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460" w:hanging="818"/>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ind w:left="3800" w:right="2400" w:hanging="3158"/>
        <w:spacing w:after="0" w:line="368" w:lineRule="auto"/>
        <w:tabs>
          <w:tab w:leader="none" w:pos="1461"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67"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87630</wp:posOffset>
            </wp:positionV>
            <wp:extent cx="288036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WILLSCOT MOBILE MINI HOLDINGS CORP.</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940" w:type="dxa"/>
            <w:vAlign w:val="bottom"/>
          </w:tcPr>
          <w:p>
            <w:pPr>
              <w:spacing w:after="0"/>
              <w:rPr>
                <w:sz w:val="15"/>
                <w:szCs w:val="15"/>
                <w:color w:val="auto"/>
              </w:rPr>
            </w:pPr>
          </w:p>
        </w:tc>
        <w:tc>
          <w:tcPr>
            <w:tcW w:w="3580" w:type="dxa"/>
            <w:vAlign w:val="bottom"/>
          </w:tcPr>
          <w:p>
            <w:pPr>
              <w:jc w:val="center"/>
              <w:ind w:right="148"/>
              <w:spacing w:after="0"/>
              <w:rPr>
                <w:sz w:val="20"/>
                <w:szCs w:val="20"/>
                <w:color w:val="auto"/>
              </w:rPr>
            </w:pPr>
            <w:r>
              <w:rPr>
                <w:rFonts w:ascii="Arial" w:cs="Arial" w:eastAsia="Arial" w:hAnsi="Arial"/>
                <w:sz w:val="14"/>
                <w:szCs w:val="14"/>
                <w:color w:val="auto"/>
              </w:rPr>
              <w:t>(Exact name of registrant as specified in its charter)</w:t>
            </w:r>
          </w:p>
        </w:tc>
        <w:tc>
          <w:tcPr>
            <w:tcW w:w="3720" w:type="dxa"/>
            <w:vAlign w:val="bottom"/>
          </w:tcPr>
          <w:p>
            <w:pPr>
              <w:spacing w:after="0"/>
              <w:rPr>
                <w:sz w:val="15"/>
                <w:szCs w:val="15"/>
                <w:color w:val="auto"/>
              </w:rPr>
            </w:pPr>
          </w:p>
        </w:tc>
      </w:tr>
      <w:tr>
        <w:trPr>
          <w:trHeight w:val="191"/>
        </w:trPr>
        <w:tc>
          <w:tcPr>
            <w:tcW w:w="394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3580" w:type="dxa"/>
            <w:vAlign w:val="bottom"/>
          </w:tcPr>
          <w:p>
            <w:pPr>
              <w:spacing w:after="0"/>
              <w:rPr>
                <w:sz w:val="16"/>
                <w:szCs w:val="16"/>
                <w:color w:val="auto"/>
              </w:rPr>
            </w:pPr>
          </w:p>
        </w:tc>
        <w:tc>
          <w:tcPr>
            <w:tcW w:w="3720" w:type="dxa"/>
            <w:vAlign w:val="bottom"/>
          </w:tcPr>
          <w:p>
            <w:pPr>
              <w:jc w:val="right"/>
              <w:ind w:right="1448"/>
              <w:spacing w:after="0"/>
              <w:rPr>
                <w:sz w:val="20"/>
                <w:szCs w:val="20"/>
                <w:color w:val="auto"/>
              </w:rPr>
            </w:pPr>
            <w:r>
              <w:rPr>
                <w:rFonts w:ascii="Arial" w:cs="Arial" w:eastAsia="Arial" w:hAnsi="Arial"/>
                <w:sz w:val="14"/>
                <w:szCs w:val="14"/>
                <w:b w:val="1"/>
                <w:bCs w:val="1"/>
                <w:color w:val="auto"/>
              </w:rPr>
              <w:t>82-3430194</w:t>
            </w:r>
          </w:p>
        </w:tc>
      </w:tr>
      <w:tr>
        <w:trPr>
          <w:trHeight w:val="194"/>
        </w:trPr>
        <w:tc>
          <w:tcPr>
            <w:tcW w:w="3940" w:type="dxa"/>
            <w:vAlign w:val="bottom"/>
          </w:tcPr>
          <w:p>
            <w:pPr>
              <w:jc w:val="center"/>
              <w:ind w:right="28"/>
              <w:spacing w:after="0"/>
              <w:rPr>
                <w:sz w:val="20"/>
                <w:szCs w:val="20"/>
                <w:color w:val="auto"/>
              </w:rPr>
            </w:pPr>
            <w:r>
              <w:rPr>
                <w:rFonts w:ascii="Arial" w:cs="Arial" w:eastAsia="Arial" w:hAnsi="Arial"/>
                <w:sz w:val="14"/>
                <w:szCs w:val="14"/>
                <w:color w:val="auto"/>
              </w:rPr>
              <w:t>(State or other jurisdiction of incorporation)</w:t>
            </w:r>
          </w:p>
        </w:tc>
        <w:tc>
          <w:tcPr>
            <w:tcW w:w="3580" w:type="dxa"/>
            <w:vAlign w:val="bottom"/>
          </w:tcPr>
          <w:p>
            <w:pPr>
              <w:spacing w:after="0"/>
              <w:rPr>
                <w:sz w:val="16"/>
                <w:szCs w:val="16"/>
                <w:color w:val="auto"/>
              </w:rPr>
            </w:pPr>
          </w:p>
        </w:tc>
        <w:tc>
          <w:tcPr>
            <w:tcW w:w="3720" w:type="dxa"/>
            <w:vAlign w:val="bottom"/>
          </w:tcPr>
          <w:p>
            <w:pPr>
              <w:ind w:left="700"/>
              <w:spacing w:after="0"/>
              <w:rPr>
                <w:sz w:val="20"/>
                <w:szCs w:val="20"/>
                <w:color w:val="auto"/>
              </w:rPr>
            </w:pPr>
            <w:r>
              <w:rPr>
                <w:rFonts w:ascii="Arial" w:cs="Arial" w:eastAsia="Arial" w:hAnsi="Arial"/>
                <w:sz w:val="14"/>
                <w:szCs w:val="14"/>
                <w:color w:val="auto"/>
              </w:rPr>
              <w:t>(I.R.S. Employer Identification No.)</w:t>
            </w:r>
          </w:p>
        </w:tc>
      </w:tr>
      <w:tr>
        <w:trPr>
          <w:trHeight w:val="249"/>
        </w:trPr>
        <w:tc>
          <w:tcPr>
            <w:tcW w:w="3940" w:type="dxa"/>
            <w:vAlign w:val="bottom"/>
          </w:tcPr>
          <w:p>
            <w:pPr>
              <w:spacing w:after="0"/>
              <w:rPr>
                <w:sz w:val="21"/>
                <w:szCs w:val="21"/>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b w:val="1"/>
                <w:bCs w:val="1"/>
                <w:color w:val="auto"/>
              </w:rPr>
              <w:t>4646 E Van Buren St., Suite 400</w:t>
            </w:r>
          </w:p>
        </w:tc>
        <w:tc>
          <w:tcPr>
            <w:tcW w:w="3720" w:type="dxa"/>
            <w:vAlign w:val="bottom"/>
          </w:tcPr>
          <w:p>
            <w:pPr>
              <w:spacing w:after="0"/>
              <w:rPr>
                <w:sz w:val="21"/>
                <w:szCs w:val="21"/>
                <w:color w:val="auto"/>
              </w:rPr>
            </w:pPr>
          </w:p>
        </w:tc>
      </w:tr>
      <w:tr>
        <w:trPr>
          <w:trHeight w:val="164"/>
        </w:trPr>
        <w:tc>
          <w:tcPr>
            <w:tcW w:w="3940" w:type="dxa"/>
            <w:vAlign w:val="bottom"/>
          </w:tcPr>
          <w:p>
            <w:pPr>
              <w:spacing w:after="0"/>
              <w:rPr>
                <w:sz w:val="14"/>
                <w:szCs w:val="14"/>
                <w:color w:val="auto"/>
              </w:rPr>
            </w:pPr>
          </w:p>
        </w:tc>
        <w:tc>
          <w:tcPr>
            <w:tcW w:w="3580" w:type="dxa"/>
            <w:vAlign w:val="bottom"/>
          </w:tcPr>
          <w:p>
            <w:pPr>
              <w:jc w:val="center"/>
              <w:ind w:right="148"/>
              <w:spacing w:after="0"/>
              <w:rPr>
                <w:sz w:val="20"/>
                <w:szCs w:val="20"/>
                <w:color w:val="auto"/>
              </w:rPr>
            </w:pPr>
            <w:r>
              <w:rPr>
                <w:rFonts w:ascii="Arial" w:cs="Arial" w:eastAsia="Arial" w:hAnsi="Arial"/>
                <w:sz w:val="14"/>
                <w:szCs w:val="14"/>
                <w:b w:val="1"/>
                <w:bCs w:val="1"/>
                <w:color w:val="auto"/>
              </w:rPr>
              <w:t>Phoenix, Arizona 85008</w:t>
            </w:r>
          </w:p>
        </w:tc>
        <w:tc>
          <w:tcPr>
            <w:tcW w:w="3720" w:type="dxa"/>
            <w:vAlign w:val="bottom"/>
          </w:tcPr>
          <w:p>
            <w:pPr>
              <w:spacing w:after="0"/>
              <w:rPr>
                <w:sz w:val="14"/>
                <w:szCs w:val="14"/>
                <w:color w:val="auto"/>
              </w:rPr>
            </w:pPr>
          </w:p>
        </w:tc>
      </w:tr>
      <w:tr>
        <w:trPr>
          <w:trHeight w:val="194"/>
        </w:trPr>
        <w:tc>
          <w:tcPr>
            <w:tcW w:w="7520" w:type="dxa"/>
            <w:vAlign w:val="bottom"/>
            <w:gridSpan w:val="2"/>
          </w:tcPr>
          <w:p>
            <w:pPr>
              <w:jc w:val="center"/>
              <w:ind w:left="3648"/>
              <w:spacing w:after="0"/>
              <w:rPr>
                <w:sz w:val="20"/>
                <w:szCs w:val="20"/>
                <w:color w:val="auto"/>
              </w:rPr>
            </w:pPr>
            <w:r>
              <w:rPr>
                <w:rFonts w:ascii="Arial" w:cs="Arial" w:eastAsia="Arial" w:hAnsi="Arial"/>
                <w:sz w:val="14"/>
                <w:szCs w:val="14"/>
                <w:color w:val="auto"/>
              </w:rPr>
              <w:t>(Address, including zip code, of principal executive offices)</w:t>
            </w:r>
          </w:p>
        </w:tc>
        <w:tc>
          <w:tcPr>
            <w:tcW w:w="3720" w:type="dxa"/>
            <w:vAlign w:val="bottom"/>
          </w:tcPr>
          <w:p>
            <w:pPr>
              <w:spacing w:after="0"/>
              <w:rPr>
                <w:sz w:val="16"/>
                <w:szCs w:val="16"/>
                <w:color w:val="auto"/>
              </w:rPr>
            </w:pPr>
          </w:p>
        </w:tc>
      </w:tr>
      <w:tr>
        <w:trPr>
          <w:trHeight w:val="373"/>
        </w:trPr>
        <w:tc>
          <w:tcPr>
            <w:tcW w:w="3940" w:type="dxa"/>
            <w:vAlign w:val="bottom"/>
          </w:tcPr>
          <w:p>
            <w:pPr>
              <w:spacing w:after="0"/>
              <w:rPr>
                <w:sz w:val="24"/>
                <w:szCs w:val="24"/>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b w:val="1"/>
                <w:bCs w:val="1"/>
                <w:color w:val="auto"/>
              </w:rPr>
              <w:t>(480) 894-6311</w:t>
            </w:r>
          </w:p>
        </w:tc>
        <w:tc>
          <w:tcPr>
            <w:tcW w:w="3720" w:type="dxa"/>
            <w:vAlign w:val="bottom"/>
          </w:tcPr>
          <w:p>
            <w:pPr>
              <w:spacing w:after="0"/>
              <w:rPr>
                <w:sz w:val="24"/>
                <w:szCs w:val="24"/>
                <w:color w:val="auto"/>
              </w:rPr>
            </w:pPr>
          </w:p>
        </w:tc>
      </w:tr>
      <w:tr>
        <w:trPr>
          <w:trHeight w:val="194"/>
        </w:trPr>
        <w:tc>
          <w:tcPr>
            <w:tcW w:w="3940" w:type="dxa"/>
            <w:vAlign w:val="bottom"/>
          </w:tcPr>
          <w:p>
            <w:pPr>
              <w:spacing w:after="0"/>
              <w:rPr>
                <w:sz w:val="16"/>
                <w:szCs w:val="16"/>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color w:val="auto"/>
              </w:rPr>
              <w:t>(Registrant’s telephone number, including area code)</w:t>
            </w:r>
          </w:p>
        </w:tc>
        <w:tc>
          <w:tcPr>
            <w:tcW w:w="3720" w:type="dxa"/>
            <w:vAlign w:val="bottom"/>
          </w:tcPr>
          <w:p>
            <w:pPr>
              <w:spacing w:after="0"/>
              <w:rPr>
                <w:sz w:val="16"/>
                <w:szCs w:val="16"/>
                <w:color w:val="auto"/>
              </w:rPr>
            </w:pPr>
          </w:p>
        </w:tc>
      </w:tr>
      <w:tr>
        <w:trPr>
          <w:trHeight w:val="270"/>
        </w:trPr>
        <w:tc>
          <w:tcPr>
            <w:tcW w:w="11240" w:type="dxa"/>
            <w:vAlign w:val="bottom"/>
            <w:gridSpan w:val="3"/>
          </w:tcPr>
          <w:p>
            <w:pPr>
              <w:jc w:val="center"/>
              <w:spacing w:after="0"/>
              <w:rPr>
                <w:sz w:val="20"/>
                <w:szCs w:val="20"/>
                <w:color w:val="auto"/>
              </w:rPr>
            </w:pPr>
            <w:r>
              <w:rPr>
                <w:rFonts w:ascii="Arial" w:cs="Arial" w:eastAsia="Arial" w:hAnsi="Arial"/>
                <w:sz w:val="14"/>
                <w:szCs w:val="14"/>
                <w:color w:val="auto"/>
              </w:rPr>
              <w:t>(Former Name or Former Address, if Changed Since Last Report)</w:t>
            </w:r>
          </w:p>
        </w:tc>
      </w:tr>
      <w:tr>
        <w:trPr>
          <w:trHeight w:val="405"/>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7"/>
        </w:trPr>
        <w:tc>
          <w:tcPr>
            <w:tcW w:w="394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b w:val="1"/>
                <w:bCs w:val="1"/>
                <w:color w:val="auto"/>
              </w:rPr>
              <w:t>Title of each class</w:t>
            </w:r>
          </w:p>
        </w:tc>
        <w:tc>
          <w:tcPr>
            <w:tcW w:w="35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Trading Symbol(s)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394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color w:val="auto"/>
              </w:rPr>
              <w:t>Common Stock, par value $0.0001 per share</w:t>
            </w:r>
          </w:p>
        </w:tc>
        <w:tc>
          <w:tcPr>
            <w:tcW w:w="35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7"/>
              </w:rPr>
              <w:t>WSC</w:t>
            </w:r>
          </w:p>
        </w:tc>
        <w:tc>
          <w:tcPr>
            <w:tcW w:w="37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The Nasdaq Capital Market</w:t>
            </w:r>
          </w:p>
        </w:tc>
      </w:tr>
    </w:tbl>
    <w:p>
      <w:pPr>
        <w:spacing w:after="0" w:line="95" w:lineRule="exact"/>
        <w:rPr>
          <w:sz w:val="24"/>
          <w:szCs w:val="24"/>
          <w:color w:val="auto"/>
        </w:rPr>
      </w:pPr>
    </w:p>
    <w:p>
      <w:pPr>
        <w:jc w:val="both"/>
        <w:ind w:firstLine="648"/>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20"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3" w:right="339" w:bottom="1440" w:gutter="0" w:footer="0" w:header="0"/>
        </w:sectPr>
      </w:pPr>
    </w:p>
    <w:p>
      <w:pPr>
        <w:spacing w:after="0" w:line="192"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44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4920" w:space="720"/>
            <w:col w:w="5600"/>
          </w:cols>
          <w:pgMar w:left="320" w:top="1213" w:right="339" w:bottom="144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2">
            <w:col w:w="4920" w:space="720"/>
            <w:col w:w="5600"/>
          </w:cols>
          <w:pgMar w:left="320" w:top="1213" w:right="339" w:bottom="1440" w:gutter="0" w:footer="0" w:header="0"/>
          <w:type w:val="continuous"/>
        </w:sectPr>
      </w:pPr>
    </w:p>
    <w:p>
      <w:pPr>
        <w:ind w:firstLine="64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660" w:right="32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228,076,470 shares at November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3"/>
          <w:szCs w:val="23"/>
          <w:b w:val="1"/>
          <w:bCs w:val="1"/>
          <w:color w:val="1D2758"/>
        </w:rPr>
        <w:t>WILLSCOT MOBILE MINI HOLDINGS CORP.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D2758"/>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Table of Contents</w:t>
      </w:r>
    </w:p>
    <w:p>
      <w:pPr>
        <w:spacing w:after="0" w:line="265" w:lineRule="exact"/>
        <w:rPr>
          <w:sz w:val="20"/>
          <w:szCs w:val="20"/>
          <w:color w:val="auto"/>
        </w:rPr>
      </w:pPr>
    </w:p>
    <w:p>
      <w:pPr>
        <w:ind w:left="20"/>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90"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3">
        <w:r>
          <w:rPr>
            <w:rFonts w:ascii="Arial" w:cs="Arial" w:eastAsia="Arial" w:hAnsi="Arial"/>
            <w:sz w:val="16"/>
            <w:szCs w:val="16"/>
            <w:color w:val="auto"/>
          </w:rPr>
          <w:t>Item 1</w:t>
        </w:r>
      </w:hyperlink>
      <w:r>
        <w:rPr>
          <w:rFonts w:ascii="Arial" w:cs="Arial" w:eastAsia="Arial" w:hAnsi="Arial"/>
          <w:sz w:val="16"/>
          <w:szCs w:val="16"/>
          <w:color w:val="auto"/>
        </w:rPr>
        <w:tab/>
      </w:r>
      <w:hyperlink w:anchor="page3">
        <w:r>
          <w:rPr>
            <w:rFonts w:ascii="Arial" w:cs="Arial" w:eastAsia="Arial" w:hAnsi="Arial"/>
            <w:sz w:val="16"/>
            <w:szCs w:val="16"/>
            <w:color w:val="auto"/>
          </w:rPr>
          <w:t>Financial Statements (unaudited, except as noted below)</w:t>
        </w:r>
      </w:hyperlink>
    </w:p>
    <w:p>
      <w:pPr>
        <w:spacing w:after="0" w:line="208" w:lineRule="exact"/>
        <w:rPr>
          <w:sz w:val="20"/>
          <w:szCs w:val="20"/>
          <w:color w:val="auto"/>
        </w:rPr>
      </w:pPr>
    </w:p>
    <w:p>
      <w:pPr>
        <w:ind w:left="1620"/>
        <w:spacing w:after="0"/>
        <w:rPr>
          <w:rFonts w:ascii="Arial" w:cs="Arial" w:eastAsia="Arial" w:hAnsi="Arial"/>
          <w:sz w:val="16"/>
          <w:szCs w:val="16"/>
          <w:color w:val="auto"/>
        </w:rPr>
      </w:pPr>
      <w:hyperlink w:anchor="page3">
        <w:r>
          <w:rPr>
            <w:rFonts w:ascii="Arial" w:cs="Arial" w:eastAsia="Arial" w:hAnsi="Arial"/>
            <w:sz w:val="16"/>
            <w:szCs w:val="16"/>
            <w:color w:val="auto"/>
          </w:rPr>
          <w:t xml:space="preserve">Condensed Consolidated Balance Sheets as of </w:t>
        </w:r>
        <w:r>
          <w:rPr>
            <w:rFonts w:ascii="Arial" w:cs="Arial" w:eastAsia="Arial" w:hAnsi="Arial"/>
            <w:sz w:val="16"/>
            <w:szCs w:val="16"/>
            <w:color w:val="0000FF"/>
          </w:rPr>
          <w:t>September</w:t>
        </w:r>
        <w:r>
          <w:rPr>
            <w:rFonts w:ascii="Arial" w:cs="Arial" w:eastAsia="Arial" w:hAnsi="Arial"/>
            <w:sz w:val="16"/>
            <w:szCs w:val="16"/>
            <w:color w:val="auto"/>
          </w:rPr>
          <w:t xml:space="preserve"> 30, 2020 and December 31, 2019 (audited)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88" w:lineRule="exact"/>
        <w:rPr>
          <w:sz w:val="20"/>
          <w:szCs w:val="20"/>
          <w:color w:val="auto"/>
        </w:rPr>
      </w:pPr>
    </w:p>
    <w:p>
      <w:pPr>
        <w:ind w:left="1620"/>
        <w:spacing w:after="0"/>
        <w:rPr>
          <w:rFonts w:ascii="Arial" w:cs="Arial" w:eastAsia="Arial" w:hAnsi="Arial"/>
          <w:sz w:val="16"/>
          <w:szCs w:val="16"/>
          <w:color w:val="auto"/>
        </w:rPr>
      </w:pPr>
      <w:hyperlink w:anchor="page3">
        <w:r>
          <w:rPr>
            <w:rFonts w:ascii="Arial" w:cs="Arial" w:eastAsia="Arial" w:hAnsi="Arial"/>
            <w:sz w:val="16"/>
            <w:szCs w:val="16"/>
            <w:color w:val="auto"/>
          </w:rPr>
          <w:t xml:space="preserve">Condensed Consolidated Statements of Operations for the Three </w:t>
        </w:r>
      </w:hyperlink>
      <w:r>
        <w:rPr>
          <w:rFonts w:ascii="Arial" w:cs="Arial" w:eastAsia="Arial" w:hAnsi="Arial"/>
          <w:sz w:val="16"/>
          <w:szCs w:val="16"/>
          <w:color w:val="auto"/>
        </w:rPr>
        <w:t xml:space="preserve">and </w:t>
      </w:r>
      <w:hyperlink w:anchor="page3">
        <w:r>
          <w:rPr>
            <w:rFonts w:ascii="Arial" w:cs="Arial" w:eastAsia="Arial" w:hAnsi="Arial"/>
            <w:sz w:val="16"/>
            <w:szCs w:val="16"/>
            <w:color w:val="0000FF"/>
          </w:rPr>
          <w:t>Nine</w:t>
        </w:r>
        <w:r>
          <w:rPr>
            <w:rFonts w:ascii="Arial" w:cs="Arial" w:eastAsia="Arial" w:hAnsi="Arial"/>
            <w:sz w:val="16"/>
            <w:szCs w:val="16"/>
            <w:color w:val="auto"/>
          </w:rPr>
          <w:t xml:space="preserve"> Months Ended </w:t>
        </w:r>
        <w:r>
          <w:rPr>
            <w:rFonts w:ascii="Arial" w:cs="Arial" w:eastAsia="Arial" w:hAnsi="Arial"/>
            <w:sz w:val="16"/>
            <w:szCs w:val="16"/>
            <w:color w:val="0000FF"/>
          </w:rPr>
          <w:t>September</w:t>
        </w:r>
        <w:r>
          <w:rPr>
            <w:rFonts w:ascii="Arial" w:cs="Arial" w:eastAsia="Arial" w:hAnsi="Arial"/>
            <w:sz w:val="16"/>
            <w:szCs w:val="16"/>
            <w:color w:val="auto"/>
          </w:rPr>
          <w:t xml:space="preserve"> 30, 2020 and 2019</w:t>
        </w:r>
      </w:hyperlink>
    </w:p>
    <w:p>
      <w:pPr>
        <w:spacing w:after="0" w:line="208" w:lineRule="exact"/>
        <w:rPr>
          <w:sz w:val="20"/>
          <w:szCs w:val="20"/>
          <w:color w:val="auto"/>
        </w:rPr>
      </w:pPr>
    </w:p>
    <w:p>
      <w:pPr>
        <w:ind w:left="1620" w:right="240"/>
        <w:spacing w:after="0" w:line="256" w:lineRule="auto"/>
        <w:rPr>
          <w:sz w:val="20"/>
          <w:szCs w:val="20"/>
          <w:color w:val="auto"/>
        </w:rPr>
      </w:pPr>
      <w:r>
        <w:rPr>
          <w:rFonts w:ascii="Arial" w:cs="Arial" w:eastAsia="Arial" w:hAnsi="Arial"/>
          <w:sz w:val="16"/>
          <w:szCs w:val="16"/>
          <w:color w:val="auto"/>
        </w:rPr>
        <w:t>Condensed Consolidated Statements of Comprehensive Income (Loss) for the Three and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41" w:lineRule="exact"/>
        <w:rPr>
          <w:sz w:val="20"/>
          <w:szCs w:val="20"/>
          <w:color w:val="auto"/>
        </w:rPr>
      </w:pPr>
    </w:p>
    <w:p>
      <w:pPr>
        <w:ind w:left="1620" w:right="480"/>
        <w:spacing w:after="0" w:line="326" w:lineRule="auto"/>
        <w:rPr>
          <w:rFonts w:ascii="Arial" w:cs="Arial" w:eastAsia="Arial" w:hAnsi="Arial"/>
          <w:sz w:val="16"/>
          <w:szCs w:val="16"/>
          <w:color w:val="auto"/>
        </w:rPr>
      </w:pPr>
      <w:hyperlink w:anchor="page5">
        <w:r>
          <w:rPr>
            <w:rFonts w:ascii="Arial" w:cs="Arial" w:eastAsia="Arial" w:hAnsi="Arial"/>
            <w:sz w:val="16"/>
            <w:szCs w:val="16"/>
            <w:color w:val="auto"/>
          </w:rPr>
          <w:t xml:space="preserve">Condensed Consolidated Statement of Changes in Equity for the Three and </w:t>
        </w:r>
        <w:r>
          <w:rPr>
            <w:rFonts w:ascii="Arial" w:cs="Arial" w:eastAsia="Arial" w:hAnsi="Arial"/>
            <w:sz w:val="16"/>
            <w:szCs w:val="16"/>
            <w:color w:val="0000FF"/>
          </w:rPr>
          <w:t>Nine</w:t>
        </w:r>
        <w:r>
          <w:rPr>
            <w:rFonts w:ascii="Arial" w:cs="Arial" w:eastAsia="Arial" w:hAnsi="Arial"/>
            <w:sz w:val="16"/>
            <w:szCs w:val="16"/>
            <w:color w:val="auto"/>
          </w:rPr>
          <w:t xml:space="preserve"> Months Ended </w:t>
        </w:r>
        <w:r>
          <w:rPr>
            <w:rFonts w:ascii="Arial" w:cs="Arial" w:eastAsia="Arial" w:hAnsi="Arial"/>
            <w:sz w:val="16"/>
            <w:szCs w:val="16"/>
            <w:color w:val="0000FF"/>
          </w:rPr>
          <w:t>September</w:t>
        </w:r>
        <w:r>
          <w:rPr>
            <w:rFonts w:ascii="Arial" w:cs="Arial" w:eastAsia="Arial" w:hAnsi="Arial"/>
            <w:sz w:val="16"/>
            <w:szCs w:val="16"/>
            <w:color w:val="auto"/>
          </w:rPr>
          <w:t xml:space="preserve"> 30, 2020 and 2019</w:t>
        </w:r>
      </w:hyperlink>
      <w:r>
        <w:rPr>
          <w:rFonts w:ascii="Arial" w:cs="Arial" w:eastAsia="Arial" w:hAnsi="Arial"/>
          <w:sz w:val="16"/>
          <w:szCs w:val="16"/>
          <w:color w:val="auto"/>
        </w:rPr>
        <w:t xml:space="preserve"> </w:t>
      </w:r>
      <w:hyperlink w:anchor="page7">
        <w:r>
          <w:rPr>
            <w:rFonts w:ascii="Arial" w:cs="Arial" w:eastAsia="Arial" w:hAnsi="Arial"/>
            <w:sz w:val="16"/>
            <w:szCs w:val="16"/>
            <w:color w:val="auto"/>
          </w:rPr>
          <w:t xml:space="preserve">Condensed Consolidated Statements of Cash Flows for the </w:t>
        </w:r>
        <w:r>
          <w:rPr>
            <w:rFonts w:ascii="Arial" w:cs="Arial" w:eastAsia="Arial" w:hAnsi="Arial"/>
            <w:sz w:val="16"/>
            <w:szCs w:val="16"/>
            <w:color w:val="0000FF"/>
          </w:rPr>
          <w:t>Nine</w:t>
        </w:r>
        <w:r>
          <w:rPr>
            <w:rFonts w:ascii="Arial" w:cs="Arial" w:eastAsia="Arial" w:hAnsi="Arial"/>
            <w:sz w:val="16"/>
            <w:szCs w:val="16"/>
            <w:color w:val="auto"/>
          </w:rPr>
          <w:t xml:space="preserve"> Months Ended </w:t>
        </w:r>
        <w:r>
          <w:rPr>
            <w:rFonts w:ascii="Arial" w:cs="Arial" w:eastAsia="Arial" w:hAnsi="Arial"/>
            <w:sz w:val="16"/>
            <w:szCs w:val="16"/>
            <w:color w:val="0000FF"/>
          </w:rPr>
          <w:t>September</w:t>
        </w:r>
        <w:r>
          <w:rPr>
            <w:rFonts w:ascii="Arial" w:cs="Arial" w:eastAsia="Arial" w:hAnsi="Arial"/>
            <w:sz w:val="16"/>
            <w:szCs w:val="16"/>
            <w:color w:val="auto"/>
          </w:rPr>
          <w:t xml:space="preserv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88" w:lineRule="exact"/>
        <w:rPr>
          <w:sz w:val="20"/>
          <w:szCs w:val="20"/>
          <w:color w:val="auto"/>
        </w:rPr>
      </w:pPr>
    </w:p>
    <w:p>
      <w:pPr>
        <w:ind w:left="1620"/>
        <w:spacing w:after="0"/>
        <w:rPr>
          <w:rFonts w:ascii="Arial" w:cs="Arial" w:eastAsia="Arial" w:hAnsi="Arial"/>
          <w:sz w:val="16"/>
          <w:szCs w:val="16"/>
          <w:color w:val="auto"/>
        </w:rPr>
      </w:pPr>
      <w:hyperlink w:anchor="page8">
        <w:r>
          <w:rPr>
            <w:rFonts w:ascii="Arial" w:cs="Arial" w:eastAsia="Arial" w:hAnsi="Arial"/>
            <w:sz w:val="16"/>
            <w:szCs w:val="16"/>
            <w:color w:val="auto"/>
          </w:rPr>
          <w:t>Notes to the Condensed Consolidated Financial Statements</w:t>
        </w:r>
      </w:hyperlink>
    </w:p>
    <w:p>
      <w:pPr>
        <w:spacing w:after="0" w:line="20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36">
        <w:r>
          <w:rPr>
            <w:rFonts w:ascii="Arial" w:cs="Arial" w:eastAsia="Arial" w:hAnsi="Arial"/>
            <w:sz w:val="16"/>
            <w:szCs w:val="16"/>
            <w:color w:val="auto"/>
          </w:rPr>
          <w:t>Item 2</w:t>
        </w:r>
      </w:hyperlink>
      <w:r>
        <w:rPr>
          <w:rFonts w:ascii="Arial" w:cs="Arial" w:eastAsia="Arial" w:hAnsi="Arial"/>
          <w:sz w:val="16"/>
          <w:szCs w:val="16"/>
          <w:color w:val="auto"/>
        </w:rPr>
        <w:tab/>
      </w:r>
      <w:hyperlink w:anchor="page36">
        <w:r>
          <w:rPr>
            <w:rFonts w:ascii="Arial" w:cs="Arial" w:eastAsia="Arial" w:hAnsi="Arial"/>
            <w:sz w:val="16"/>
            <w:szCs w:val="16"/>
            <w:color w:val="auto"/>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67">
        <w:r>
          <w:rPr>
            <w:rFonts w:ascii="Arial" w:cs="Arial" w:eastAsia="Arial" w:hAnsi="Arial"/>
            <w:sz w:val="16"/>
            <w:szCs w:val="16"/>
            <w:color w:val="auto"/>
          </w:rPr>
          <w:t>Item 3</w:t>
        </w:r>
      </w:hyperlink>
      <w:r>
        <w:rPr>
          <w:rFonts w:ascii="Arial" w:cs="Arial" w:eastAsia="Arial" w:hAnsi="Arial"/>
          <w:sz w:val="16"/>
          <w:szCs w:val="16"/>
          <w:color w:val="auto"/>
        </w:rPr>
        <w:tab/>
      </w:r>
      <w:hyperlink w:anchor="page67">
        <w:r>
          <w:rPr>
            <w:rFonts w:ascii="Arial" w:cs="Arial" w:eastAsia="Arial" w:hAnsi="Arial"/>
            <w:sz w:val="16"/>
            <w:szCs w:val="16"/>
            <w:color w:val="auto"/>
          </w:rPr>
          <w:t>Quantitative and Qualitative Disclosures About Market Risk</w:t>
        </w:r>
      </w:hyperlink>
    </w:p>
    <w:p>
      <w:pPr>
        <w:spacing w:after="0" w:line="20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68">
        <w:r>
          <w:rPr>
            <w:rFonts w:ascii="Arial" w:cs="Arial" w:eastAsia="Arial" w:hAnsi="Arial"/>
            <w:sz w:val="16"/>
            <w:szCs w:val="16"/>
            <w:color w:val="auto"/>
          </w:rPr>
          <w:t>Item 4</w:t>
        </w:r>
      </w:hyperlink>
      <w:r>
        <w:rPr>
          <w:rFonts w:ascii="Arial" w:cs="Arial" w:eastAsia="Arial" w:hAnsi="Arial"/>
          <w:sz w:val="16"/>
          <w:szCs w:val="16"/>
          <w:color w:val="auto"/>
        </w:rPr>
        <w:tab/>
      </w:r>
      <w:hyperlink w:anchor="page68">
        <w:r>
          <w:rPr>
            <w:rFonts w:ascii="Arial" w:cs="Arial" w:eastAsia="Arial" w:hAnsi="Arial"/>
            <w:sz w:val="16"/>
            <w:szCs w:val="16"/>
            <w:color w:val="auto"/>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86" w:lineRule="exact"/>
        <w:rPr>
          <w:sz w:val="20"/>
          <w:szCs w:val="20"/>
          <w:color w:val="auto"/>
        </w:rPr>
      </w:pPr>
    </w:p>
    <w:p>
      <w:pPr>
        <w:ind w:left="20"/>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PART II Other Information</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shd w:val="clear" w:color="auto" w:fill="E7E7E8"/>
          </w:tcPr>
          <w:p>
            <w:pPr>
              <w:ind w:left="400"/>
              <w:spacing w:after="0"/>
              <w:rPr>
                <w:rFonts w:ascii="Arial" w:cs="Arial" w:eastAsia="Arial" w:hAnsi="Arial"/>
                <w:sz w:val="16"/>
                <w:szCs w:val="16"/>
                <w:color w:val="auto"/>
              </w:rPr>
            </w:pPr>
            <w:hyperlink w:anchor="page68">
              <w:r>
                <w:rPr>
                  <w:rFonts w:ascii="Arial" w:cs="Arial" w:eastAsia="Arial" w:hAnsi="Arial"/>
                  <w:sz w:val="16"/>
                  <w:szCs w:val="16"/>
                  <w:color w:val="auto"/>
                </w:rPr>
                <w:t>Item 1</w:t>
              </w:r>
            </w:hyperlink>
          </w:p>
        </w:tc>
        <w:tc>
          <w:tcPr>
            <w:tcW w:w="10120" w:type="dxa"/>
            <w:vAlign w:val="bottom"/>
            <w:shd w:val="clear" w:color="auto" w:fill="E7E7E8"/>
          </w:tcPr>
          <w:p>
            <w:pPr>
              <w:ind w:left="140"/>
              <w:spacing w:after="0"/>
              <w:rPr>
                <w:rFonts w:ascii="Arial" w:cs="Arial" w:eastAsia="Arial" w:hAnsi="Arial"/>
                <w:sz w:val="16"/>
                <w:szCs w:val="16"/>
                <w:color w:val="auto"/>
              </w:rPr>
            </w:pPr>
            <w:hyperlink w:anchor="page68">
              <w:r>
                <w:rPr>
                  <w:rFonts w:ascii="Arial" w:cs="Arial" w:eastAsia="Arial" w:hAnsi="Arial"/>
                  <w:sz w:val="16"/>
                  <w:szCs w:val="16"/>
                  <w:color w:val="auto"/>
                </w:rPr>
                <w:t>Legal Proceedings</w:t>
              </w:r>
            </w:hyperlink>
          </w:p>
        </w:tc>
      </w:tr>
      <w:tr>
        <w:trPr>
          <w:trHeight w:val="153"/>
        </w:trPr>
        <w:tc>
          <w:tcPr>
            <w:tcW w:w="1120" w:type="dxa"/>
            <w:vAlign w:val="bottom"/>
            <w:shd w:val="clear" w:color="auto" w:fill="E7E7E8"/>
          </w:tcPr>
          <w:p>
            <w:pPr>
              <w:spacing w:after="0"/>
              <w:rPr>
                <w:sz w:val="13"/>
                <w:szCs w:val="13"/>
                <w:color w:val="auto"/>
              </w:rPr>
            </w:pPr>
          </w:p>
        </w:tc>
        <w:tc>
          <w:tcPr>
            <w:tcW w:w="10120" w:type="dxa"/>
            <w:vAlign w:val="bottom"/>
            <w:shd w:val="clear" w:color="auto" w:fill="E7E7E8"/>
          </w:tcPr>
          <w:p>
            <w:pPr>
              <w:spacing w:after="0"/>
              <w:rPr>
                <w:sz w:val="13"/>
                <w:szCs w:val="13"/>
                <w:color w:val="auto"/>
              </w:rPr>
            </w:pPr>
          </w:p>
        </w:tc>
      </w:tr>
      <w:tr>
        <w:trPr>
          <w:trHeight w:val="219"/>
        </w:trPr>
        <w:tc>
          <w:tcPr>
            <w:tcW w:w="1120" w:type="dxa"/>
            <w:vAlign w:val="bottom"/>
          </w:tcPr>
          <w:p>
            <w:pPr>
              <w:ind w:left="400"/>
              <w:spacing w:after="0"/>
              <w:rPr>
                <w:rFonts w:ascii="Arial" w:cs="Arial" w:eastAsia="Arial" w:hAnsi="Arial"/>
                <w:sz w:val="16"/>
                <w:szCs w:val="16"/>
                <w:color w:val="auto"/>
              </w:rPr>
            </w:pPr>
            <w:hyperlink w:anchor="page68">
              <w:r>
                <w:rPr>
                  <w:rFonts w:ascii="Arial" w:cs="Arial" w:eastAsia="Arial" w:hAnsi="Arial"/>
                  <w:sz w:val="16"/>
                  <w:szCs w:val="16"/>
                  <w:color w:val="auto"/>
                </w:rPr>
                <w:t>Item 1A</w:t>
              </w:r>
            </w:hyperlink>
          </w:p>
        </w:tc>
        <w:tc>
          <w:tcPr>
            <w:tcW w:w="10120" w:type="dxa"/>
            <w:vAlign w:val="bottom"/>
          </w:tcPr>
          <w:p>
            <w:pPr>
              <w:ind w:left="140"/>
              <w:spacing w:after="0"/>
              <w:rPr>
                <w:rFonts w:ascii="Arial" w:cs="Arial" w:eastAsia="Arial" w:hAnsi="Arial"/>
                <w:sz w:val="16"/>
                <w:szCs w:val="16"/>
                <w:color w:val="auto"/>
              </w:rPr>
            </w:pPr>
            <w:hyperlink w:anchor="page68">
              <w:r>
                <w:rPr>
                  <w:rFonts w:ascii="Arial" w:cs="Arial" w:eastAsia="Arial" w:hAnsi="Arial"/>
                  <w:sz w:val="16"/>
                  <w:szCs w:val="16"/>
                  <w:color w:val="auto"/>
                </w:rPr>
                <w:t>Risk Factors</w:t>
              </w:r>
            </w:hyperlink>
          </w:p>
        </w:tc>
      </w:tr>
      <w:tr>
        <w:trPr>
          <w:trHeight w:val="173"/>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9"/>
        </w:trPr>
        <w:tc>
          <w:tcPr>
            <w:tcW w:w="1120" w:type="dxa"/>
            <w:vAlign w:val="bottom"/>
            <w:shd w:val="clear" w:color="auto" w:fill="E7E7E8"/>
          </w:tcPr>
          <w:p>
            <w:pPr>
              <w:ind w:left="400"/>
              <w:spacing w:after="0"/>
              <w:rPr>
                <w:rFonts w:ascii="Arial" w:cs="Arial" w:eastAsia="Arial" w:hAnsi="Arial"/>
                <w:sz w:val="16"/>
                <w:szCs w:val="16"/>
                <w:color w:val="auto"/>
              </w:rPr>
            </w:pPr>
            <w:hyperlink w:anchor="page69">
              <w:r>
                <w:rPr>
                  <w:rFonts w:ascii="Arial" w:cs="Arial" w:eastAsia="Arial" w:hAnsi="Arial"/>
                  <w:sz w:val="16"/>
                  <w:szCs w:val="16"/>
                  <w:color w:val="auto"/>
                </w:rPr>
                <w:t>Item 2</w:t>
              </w:r>
            </w:hyperlink>
          </w:p>
        </w:tc>
        <w:tc>
          <w:tcPr>
            <w:tcW w:w="10120" w:type="dxa"/>
            <w:vAlign w:val="bottom"/>
            <w:shd w:val="clear" w:color="auto" w:fill="E7E7E8"/>
          </w:tcPr>
          <w:p>
            <w:pPr>
              <w:ind w:left="140"/>
              <w:spacing w:after="0"/>
              <w:rPr>
                <w:rFonts w:ascii="Arial" w:cs="Arial" w:eastAsia="Arial" w:hAnsi="Arial"/>
                <w:sz w:val="16"/>
                <w:szCs w:val="16"/>
                <w:color w:val="auto"/>
              </w:rPr>
            </w:pPr>
            <w:hyperlink w:anchor="page69">
              <w:r>
                <w:rPr>
                  <w:rFonts w:ascii="Arial" w:cs="Arial" w:eastAsia="Arial" w:hAnsi="Arial"/>
                  <w:sz w:val="16"/>
                  <w:szCs w:val="16"/>
                  <w:color w:val="auto"/>
                </w:rPr>
                <w:t>Unregistered Sales of Equity Securities and Use of Proceeds</w:t>
              </w:r>
            </w:hyperlink>
          </w:p>
        </w:tc>
      </w:tr>
      <w:tr>
        <w:trPr>
          <w:trHeight w:val="173"/>
        </w:trPr>
        <w:tc>
          <w:tcPr>
            <w:tcW w:w="1120" w:type="dxa"/>
            <w:vAlign w:val="bottom"/>
            <w:shd w:val="clear" w:color="auto" w:fill="E7E7E8"/>
          </w:tcPr>
          <w:p>
            <w:pPr>
              <w:spacing w:after="0"/>
              <w:rPr>
                <w:sz w:val="15"/>
                <w:szCs w:val="15"/>
                <w:color w:val="auto"/>
              </w:rPr>
            </w:pPr>
          </w:p>
        </w:tc>
        <w:tc>
          <w:tcPr>
            <w:tcW w:w="10120" w:type="dxa"/>
            <w:vAlign w:val="bottom"/>
            <w:shd w:val="clear" w:color="auto" w:fill="E7E7E8"/>
          </w:tcPr>
          <w:p>
            <w:pPr>
              <w:spacing w:after="0"/>
              <w:rPr>
                <w:sz w:val="15"/>
                <w:szCs w:val="15"/>
                <w:color w:val="auto"/>
              </w:rPr>
            </w:pPr>
          </w:p>
        </w:tc>
      </w:tr>
      <w:tr>
        <w:trPr>
          <w:trHeight w:val="219"/>
        </w:trPr>
        <w:tc>
          <w:tcPr>
            <w:tcW w:w="1120" w:type="dxa"/>
            <w:vAlign w:val="bottom"/>
          </w:tcPr>
          <w:p>
            <w:pPr>
              <w:ind w:left="400"/>
              <w:spacing w:after="0"/>
              <w:rPr>
                <w:rFonts w:ascii="Arial" w:cs="Arial" w:eastAsia="Arial" w:hAnsi="Arial"/>
                <w:sz w:val="16"/>
                <w:szCs w:val="16"/>
                <w:color w:val="auto"/>
              </w:rPr>
            </w:pPr>
            <w:hyperlink w:anchor="page69">
              <w:r>
                <w:rPr>
                  <w:rFonts w:ascii="Arial" w:cs="Arial" w:eastAsia="Arial" w:hAnsi="Arial"/>
                  <w:sz w:val="16"/>
                  <w:szCs w:val="16"/>
                  <w:color w:val="auto"/>
                </w:rPr>
                <w:t>Item 3</w:t>
              </w:r>
            </w:hyperlink>
          </w:p>
        </w:tc>
        <w:tc>
          <w:tcPr>
            <w:tcW w:w="10120" w:type="dxa"/>
            <w:vAlign w:val="bottom"/>
          </w:tcPr>
          <w:p>
            <w:pPr>
              <w:ind w:left="140"/>
              <w:spacing w:after="0"/>
              <w:rPr>
                <w:rFonts w:ascii="Arial" w:cs="Arial" w:eastAsia="Arial" w:hAnsi="Arial"/>
                <w:sz w:val="16"/>
                <w:szCs w:val="16"/>
                <w:color w:val="auto"/>
              </w:rPr>
            </w:pPr>
            <w:hyperlink w:anchor="page69">
              <w:r>
                <w:rPr>
                  <w:rFonts w:ascii="Arial" w:cs="Arial" w:eastAsia="Arial" w:hAnsi="Arial"/>
                  <w:sz w:val="16"/>
                  <w:szCs w:val="16"/>
                  <w:color w:val="auto"/>
                </w:rPr>
                <w:t>Defaults Upon Senior Securities</w:t>
              </w:r>
            </w:hyperlink>
          </w:p>
        </w:tc>
      </w:tr>
      <w:tr>
        <w:trPr>
          <w:trHeight w:val="173"/>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9"/>
        </w:trPr>
        <w:tc>
          <w:tcPr>
            <w:tcW w:w="1120" w:type="dxa"/>
            <w:vAlign w:val="bottom"/>
            <w:shd w:val="clear" w:color="auto" w:fill="E7E7E8"/>
          </w:tcPr>
          <w:p>
            <w:pPr>
              <w:ind w:left="400"/>
              <w:spacing w:after="0"/>
              <w:rPr>
                <w:rFonts w:ascii="Arial" w:cs="Arial" w:eastAsia="Arial" w:hAnsi="Arial"/>
                <w:sz w:val="16"/>
                <w:szCs w:val="16"/>
                <w:color w:val="auto"/>
              </w:rPr>
            </w:pPr>
            <w:hyperlink w:anchor="page69">
              <w:r>
                <w:rPr>
                  <w:rFonts w:ascii="Arial" w:cs="Arial" w:eastAsia="Arial" w:hAnsi="Arial"/>
                  <w:sz w:val="16"/>
                  <w:szCs w:val="16"/>
                  <w:color w:val="auto"/>
                </w:rPr>
                <w:t>Item 4</w:t>
              </w:r>
            </w:hyperlink>
          </w:p>
        </w:tc>
        <w:tc>
          <w:tcPr>
            <w:tcW w:w="10120" w:type="dxa"/>
            <w:vAlign w:val="bottom"/>
            <w:shd w:val="clear" w:color="auto" w:fill="E7E7E8"/>
          </w:tcPr>
          <w:p>
            <w:pPr>
              <w:ind w:left="140"/>
              <w:spacing w:after="0"/>
              <w:rPr>
                <w:rFonts w:ascii="Arial" w:cs="Arial" w:eastAsia="Arial" w:hAnsi="Arial"/>
                <w:sz w:val="16"/>
                <w:szCs w:val="16"/>
                <w:color w:val="auto"/>
              </w:rPr>
            </w:pPr>
            <w:hyperlink w:anchor="page69">
              <w:r>
                <w:rPr>
                  <w:rFonts w:ascii="Arial" w:cs="Arial" w:eastAsia="Arial" w:hAnsi="Arial"/>
                  <w:sz w:val="16"/>
                  <w:szCs w:val="16"/>
                  <w:color w:val="auto"/>
                </w:rPr>
                <w:t>Mine Safety Disclosures</w:t>
              </w:r>
            </w:hyperlink>
          </w:p>
        </w:tc>
      </w:tr>
      <w:tr>
        <w:trPr>
          <w:trHeight w:val="173"/>
        </w:trPr>
        <w:tc>
          <w:tcPr>
            <w:tcW w:w="1120" w:type="dxa"/>
            <w:vAlign w:val="bottom"/>
            <w:shd w:val="clear" w:color="auto" w:fill="E7E7E8"/>
          </w:tcPr>
          <w:p>
            <w:pPr>
              <w:spacing w:after="0"/>
              <w:rPr>
                <w:sz w:val="15"/>
                <w:szCs w:val="15"/>
                <w:color w:val="auto"/>
              </w:rPr>
            </w:pPr>
          </w:p>
        </w:tc>
        <w:tc>
          <w:tcPr>
            <w:tcW w:w="10120" w:type="dxa"/>
            <w:vAlign w:val="bottom"/>
            <w:shd w:val="clear" w:color="auto" w:fill="E7E7E8"/>
          </w:tcPr>
          <w:p>
            <w:pPr>
              <w:spacing w:after="0"/>
              <w:rPr>
                <w:sz w:val="15"/>
                <w:szCs w:val="15"/>
                <w:color w:val="auto"/>
              </w:rPr>
            </w:pPr>
          </w:p>
        </w:tc>
      </w:tr>
      <w:tr>
        <w:trPr>
          <w:trHeight w:val="219"/>
        </w:trPr>
        <w:tc>
          <w:tcPr>
            <w:tcW w:w="1120" w:type="dxa"/>
            <w:vAlign w:val="bottom"/>
          </w:tcPr>
          <w:p>
            <w:pPr>
              <w:ind w:left="400"/>
              <w:spacing w:after="0"/>
              <w:rPr>
                <w:rFonts w:ascii="Arial" w:cs="Arial" w:eastAsia="Arial" w:hAnsi="Arial"/>
                <w:sz w:val="16"/>
                <w:szCs w:val="16"/>
                <w:color w:val="auto"/>
              </w:rPr>
            </w:pPr>
            <w:hyperlink w:anchor="page69">
              <w:r>
                <w:rPr>
                  <w:rFonts w:ascii="Arial" w:cs="Arial" w:eastAsia="Arial" w:hAnsi="Arial"/>
                  <w:sz w:val="16"/>
                  <w:szCs w:val="16"/>
                  <w:color w:val="auto"/>
                </w:rPr>
                <w:t>Item 5</w:t>
              </w:r>
            </w:hyperlink>
          </w:p>
        </w:tc>
        <w:tc>
          <w:tcPr>
            <w:tcW w:w="10120" w:type="dxa"/>
            <w:vAlign w:val="bottom"/>
          </w:tcPr>
          <w:p>
            <w:pPr>
              <w:ind w:left="140"/>
              <w:spacing w:after="0"/>
              <w:rPr>
                <w:rFonts w:ascii="Arial" w:cs="Arial" w:eastAsia="Arial" w:hAnsi="Arial"/>
                <w:sz w:val="16"/>
                <w:szCs w:val="16"/>
                <w:color w:val="auto"/>
              </w:rPr>
            </w:pPr>
            <w:hyperlink w:anchor="page69">
              <w:r>
                <w:rPr>
                  <w:rFonts w:ascii="Arial" w:cs="Arial" w:eastAsia="Arial" w:hAnsi="Arial"/>
                  <w:sz w:val="16"/>
                  <w:szCs w:val="16"/>
                  <w:color w:val="auto"/>
                </w:rPr>
                <w:t>Other Information</w:t>
              </w:r>
            </w:hyperlink>
          </w:p>
        </w:tc>
      </w:tr>
      <w:tr>
        <w:trPr>
          <w:trHeight w:val="173"/>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9"/>
        </w:trPr>
        <w:tc>
          <w:tcPr>
            <w:tcW w:w="1120" w:type="dxa"/>
            <w:vAlign w:val="bottom"/>
            <w:shd w:val="clear" w:color="auto" w:fill="E7E7E8"/>
          </w:tcPr>
          <w:p>
            <w:pPr>
              <w:ind w:left="400"/>
              <w:spacing w:after="0"/>
              <w:rPr>
                <w:rFonts w:ascii="Arial" w:cs="Arial" w:eastAsia="Arial" w:hAnsi="Arial"/>
                <w:sz w:val="16"/>
                <w:szCs w:val="16"/>
                <w:color w:val="auto"/>
              </w:rPr>
            </w:pPr>
            <w:hyperlink w:anchor="page69">
              <w:r>
                <w:rPr>
                  <w:rFonts w:ascii="Arial" w:cs="Arial" w:eastAsia="Arial" w:hAnsi="Arial"/>
                  <w:sz w:val="16"/>
                  <w:szCs w:val="16"/>
                  <w:color w:val="auto"/>
                </w:rPr>
                <w:t>Item 6</w:t>
              </w:r>
            </w:hyperlink>
          </w:p>
        </w:tc>
        <w:tc>
          <w:tcPr>
            <w:tcW w:w="10120" w:type="dxa"/>
            <w:vAlign w:val="bottom"/>
            <w:shd w:val="clear" w:color="auto" w:fill="E7E7E8"/>
          </w:tcPr>
          <w:p>
            <w:pPr>
              <w:ind w:left="140"/>
              <w:spacing w:after="0"/>
              <w:rPr>
                <w:rFonts w:ascii="Arial" w:cs="Arial" w:eastAsia="Arial" w:hAnsi="Arial"/>
                <w:sz w:val="16"/>
                <w:szCs w:val="16"/>
                <w:color w:val="auto"/>
              </w:rPr>
            </w:pPr>
            <w:hyperlink w:anchor="page69">
              <w:r>
                <w:rPr>
                  <w:rFonts w:ascii="Arial" w:cs="Arial" w:eastAsia="Arial" w:hAnsi="Arial"/>
                  <w:sz w:val="16"/>
                  <w:szCs w:val="16"/>
                  <w:color w:val="auto"/>
                </w:rPr>
                <w:t>Exhibits</w:t>
              </w:r>
            </w:hyperlink>
          </w:p>
        </w:tc>
      </w:tr>
      <w:tr>
        <w:trPr>
          <w:trHeight w:val="173"/>
        </w:trPr>
        <w:tc>
          <w:tcPr>
            <w:tcW w:w="1120" w:type="dxa"/>
            <w:vAlign w:val="bottom"/>
            <w:shd w:val="clear" w:color="auto" w:fill="E7E7E8"/>
          </w:tcPr>
          <w:p>
            <w:pPr>
              <w:spacing w:after="0"/>
              <w:rPr>
                <w:sz w:val="15"/>
                <w:szCs w:val="15"/>
                <w:color w:val="auto"/>
              </w:rPr>
            </w:pPr>
          </w:p>
        </w:tc>
        <w:tc>
          <w:tcPr>
            <w:tcW w:w="10120" w:type="dxa"/>
            <w:vAlign w:val="bottom"/>
            <w:shd w:val="clear" w:color="auto" w:fill="E7E7E8"/>
          </w:tcPr>
          <w:p>
            <w:pPr>
              <w:spacing w:after="0"/>
              <w:rPr>
                <w:sz w:val="15"/>
                <w:szCs w:val="15"/>
                <w:color w:val="auto"/>
              </w:rPr>
            </w:pPr>
          </w:p>
        </w:tc>
      </w:tr>
      <w:tr>
        <w:trPr>
          <w:trHeight w:val="229"/>
        </w:trPr>
        <w:tc>
          <w:tcPr>
            <w:tcW w:w="1120" w:type="dxa"/>
            <w:vAlign w:val="bottom"/>
          </w:tcPr>
          <w:p>
            <w:pPr>
              <w:ind w:left="20"/>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SIGNATURE</w:t>
              </w:r>
            </w:hyperlink>
          </w:p>
        </w:tc>
        <w:tc>
          <w:tcPr>
            <w:tcW w:w="10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14"/>
        </w:trPr>
        <w:tc>
          <w:tcPr>
            <w:tcW w:w="4240" w:type="dxa"/>
            <w:vAlign w:val="bottom"/>
          </w:tcPr>
          <w:p>
            <w:pPr>
              <w:ind w:left="2780"/>
              <w:spacing w:after="0"/>
              <w:rPr>
                <w:sz w:val="20"/>
                <w:szCs w:val="20"/>
                <w:color w:val="auto"/>
              </w:rPr>
            </w:pPr>
            <w:r>
              <w:rPr>
                <w:rFonts w:ascii="Arial" w:cs="Arial" w:eastAsia="Arial" w:hAnsi="Arial"/>
                <w:sz w:val="36"/>
                <w:szCs w:val="36"/>
                <w:b w:val="1"/>
                <w:bCs w:val="1"/>
                <w:color w:val="auto"/>
              </w:rPr>
              <w:t>ITEM 1.</w:t>
            </w:r>
          </w:p>
        </w:tc>
        <w:tc>
          <w:tcPr>
            <w:tcW w:w="5060" w:type="dxa"/>
            <w:vAlign w:val="bottom"/>
            <w:gridSpan w:val="4"/>
          </w:tcPr>
          <w:p>
            <w:pPr>
              <w:ind w:left="200"/>
              <w:spacing w:after="0"/>
              <w:rPr>
                <w:sz w:val="20"/>
                <w:szCs w:val="20"/>
                <w:color w:val="auto"/>
              </w:rPr>
            </w:pPr>
            <w:r>
              <w:rPr>
                <w:rFonts w:ascii="Arial" w:cs="Arial" w:eastAsia="Arial" w:hAnsi="Arial"/>
                <w:sz w:val="36"/>
                <w:szCs w:val="36"/>
                <w:b w:val="1"/>
                <w:bCs w:val="1"/>
                <w:color w:val="auto"/>
              </w:rPr>
              <w:t>Financial Statements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40" w:type="dxa"/>
            <w:vAlign w:val="bottom"/>
            <w:gridSpan w:val="3"/>
          </w:tcPr>
          <w:p>
            <w:pPr>
              <w:ind w:left="3560"/>
              <w:spacing w:after="0" w:line="242" w:lineRule="exact"/>
              <w:rPr>
                <w:sz w:val="20"/>
                <w:szCs w:val="20"/>
                <w:color w:val="auto"/>
              </w:rPr>
            </w:pPr>
            <w:r>
              <w:rPr>
                <w:rFonts w:ascii="Arial" w:cs="Arial" w:eastAsia="Arial" w:hAnsi="Arial"/>
                <w:sz w:val="23"/>
                <w:szCs w:val="23"/>
                <w:color w:val="1D2758"/>
              </w:rPr>
              <w:t>WillScot Mobile Mini Holdings Corp.</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740" w:type="dxa"/>
            <w:vAlign w:val="bottom"/>
            <w:gridSpan w:val="3"/>
          </w:tcPr>
          <w:p>
            <w:pPr>
              <w:ind w:left="3240"/>
              <w:spacing w:after="0"/>
              <w:rPr>
                <w:sz w:val="20"/>
                <w:szCs w:val="20"/>
                <w:color w:val="auto"/>
              </w:rPr>
            </w:pPr>
            <w:r>
              <w:rPr>
                <w:rFonts w:ascii="Arial" w:cs="Arial" w:eastAsia="Arial" w:hAnsi="Arial"/>
                <w:sz w:val="23"/>
                <w:szCs w:val="23"/>
                <w:color w:val="1D2758"/>
              </w:rPr>
              <w:t>Condensed Consolidated Balance Sheets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3240" w:type="dxa"/>
            <w:vAlign w:val="bottom"/>
            <w:shd w:val="clear" w:color="auto" w:fill="1D2758"/>
          </w:tcPr>
          <w:p>
            <w:pPr>
              <w:spacing w:after="0"/>
              <w:rPr>
                <w:sz w:val="17"/>
                <w:szCs w:val="17"/>
                <w:color w:val="auto"/>
              </w:rPr>
            </w:pPr>
          </w:p>
        </w:tc>
        <w:tc>
          <w:tcPr>
            <w:tcW w:w="182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September 30, 2020</w:t>
            </w:r>
          </w:p>
        </w:tc>
        <w:tc>
          <w:tcPr>
            <w:tcW w:w="120" w:type="dxa"/>
            <w:vAlign w:val="bottom"/>
            <w:shd w:val="clear" w:color="auto" w:fill="1D2758"/>
          </w:tcPr>
          <w:p>
            <w:pPr>
              <w:spacing w:after="0"/>
              <w:rPr>
                <w:sz w:val="17"/>
                <w:szCs w:val="17"/>
                <w:color w:val="auto"/>
              </w:rPr>
            </w:pPr>
          </w:p>
        </w:tc>
        <w:tc>
          <w:tcPr>
            <w:tcW w:w="1600" w:type="dxa"/>
            <w:vAlign w:val="bottom"/>
            <w:vMerge w:val="restart"/>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December 31, 2019</w:t>
            </w:r>
          </w:p>
        </w:tc>
        <w:tc>
          <w:tcPr>
            <w:tcW w:w="0" w:type="dxa"/>
            <w:vAlign w:val="bottom"/>
          </w:tcPr>
          <w:p>
            <w:pPr>
              <w:spacing w:after="0"/>
              <w:rPr>
                <w:sz w:val="1"/>
                <w:szCs w:val="1"/>
                <w:color w:val="auto"/>
              </w:rPr>
            </w:pPr>
          </w:p>
        </w:tc>
      </w:tr>
      <w:tr>
        <w:trPr>
          <w:trHeight w:val="216"/>
        </w:trPr>
        <w:tc>
          <w:tcPr>
            <w:tcW w:w="4240" w:type="dxa"/>
            <w:vAlign w:val="bottom"/>
            <w:vMerge w:val="continue"/>
            <w:shd w:val="clear" w:color="auto" w:fill="1D2758"/>
          </w:tcPr>
          <w:p>
            <w:pPr>
              <w:spacing w:after="0"/>
              <w:rPr>
                <w:sz w:val="18"/>
                <w:szCs w:val="18"/>
                <w:color w:val="auto"/>
              </w:rPr>
            </w:pPr>
          </w:p>
        </w:tc>
        <w:tc>
          <w:tcPr>
            <w:tcW w:w="324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560" w:type="dxa"/>
            <w:vAlign w:val="bottom"/>
            <w:gridSpan w:val="2"/>
            <w:shd w:val="clear" w:color="auto" w:fill="1D2758"/>
          </w:tcPr>
          <w:p>
            <w:pPr>
              <w:jc w:val="center"/>
              <w:ind w:right="360"/>
              <w:spacing w:after="0"/>
              <w:rPr>
                <w:sz w:val="20"/>
                <w:szCs w:val="20"/>
                <w:color w:val="auto"/>
              </w:rPr>
            </w:pPr>
            <w:r>
              <w:rPr>
                <w:rFonts w:ascii="Arial" w:cs="Arial" w:eastAsia="Arial" w:hAnsi="Arial"/>
                <w:sz w:val="16"/>
                <w:szCs w:val="16"/>
                <w:b w:val="1"/>
                <w:bCs w:val="1"/>
                <w:color w:val="FFFFFF"/>
              </w:rPr>
              <w:t>(unaudited)</w:t>
            </w:r>
          </w:p>
        </w:tc>
        <w:tc>
          <w:tcPr>
            <w:tcW w:w="120" w:type="dxa"/>
            <w:vAlign w:val="bottom"/>
            <w:shd w:val="clear" w:color="auto" w:fill="1D2758"/>
          </w:tcPr>
          <w:p>
            <w:pPr>
              <w:spacing w:after="0"/>
              <w:rPr>
                <w:sz w:val="18"/>
                <w:szCs w:val="18"/>
                <w:color w:val="auto"/>
              </w:rPr>
            </w:pPr>
          </w:p>
        </w:tc>
        <w:tc>
          <w:tcPr>
            <w:tcW w:w="16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19,997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E7E7E8"/>
          </w:tcPr>
          <w:p>
            <w:pPr>
              <w:ind w:left="240"/>
              <w:spacing w:after="0" w:line="162" w:lineRule="exact"/>
              <w:rPr>
                <w:sz w:val="20"/>
                <w:szCs w:val="20"/>
                <w:color w:val="auto"/>
              </w:rPr>
            </w:pPr>
            <w:r>
              <w:rPr>
                <w:rFonts w:ascii="Arial" w:cs="Arial" w:eastAsia="Arial" w:hAnsi="Arial"/>
                <w:sz w:val="16"/>
                <w:szCs w:val="16"/>
                <w:color w:val="auto"/>
              </w:rPr>
              <w:t>Trade receivables, net of allowances for credit losses at September 30, 2020 and December 31,</w:t>
            </w:r>
          </w:p>
        </w:tc>
        <w:tc>
          <w:tcPr>
            <w:tcW w:w="14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332,021</w:t>
            </w: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247,596</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2019 of $24,186 and $15,828, respectively</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26,391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14,621</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324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12,764</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11,939</w:t>
            </w:r>
          </w:p>
        </w:tc>
        <w:tc>
          <w:tcPr>
            <w:tcW w:w="0" w:type="dxa"/>
            <w:vAlign w:val="bottom"/>
          </w:tcPr>
          <w:p>
            <w:pPr>
              <w:spacing w:after="0"/>
              <w:rPr>
                <w:sz w:val="1"/>
                <w:szCs w:val="1"/>
                <w:color w:val="auto"/>
              </w:rPr>
            </w:pPr>
          </w:p>
        </w:tc>
      </w:tr>
      <w:tr>
        <w:trPr>
          <w:trHeight w:val="209"/>
        </w:trPr>
        <w:tc>
          <w:tcPr>
            <w:tcW w:w="42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assets</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414,128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292,588</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3,039,710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1,944,436</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296,007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147,689</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Operating lease assets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233,891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146,698</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942,791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235,177</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686,303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126,625</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assets</w:t>
            </w:r>
          </w:p>
        </w:tc>
        <w:tc>
          <w:tcPr>
            <w:tcW w:w="324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12,020</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Total long-term assets</w:t>
            </w:r>
          </w:p>
        </w:tc>
        <w:tc>
          <w:tcPr>
            <w:tcW w:w="324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5,210,722</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2,605,061</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assets</w:t>
            </w:r>
          </w:p>
        </w:tc>
        <w:tc>
          <w:tcPr>
            <w:tcW w:w="324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5,624,850</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2,897,649</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324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4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vMerge w:val="continue"/>
          </w:tcPr>
          <w:p>
            <w:pPr>
              <w:spacing w:after="0"/>
              <w:rPr>
                <w:sz w:val="14"/>
                <w:szCs w:val="14"/>
                <w:color w:val="auto"/>
              </w:rPr>
            </w:pPr>
          </w:p>
        </w:tc>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Accounts payable</w:t>
            </w:r>
          </w:p>
        </w:tc>
        <w:tc>
          <w:tcPr>
            <w:tcW w:w="350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114,249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109,926</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125,311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82,355</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interest</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16,138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16,020</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82,978</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Current portion of long-term debt</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16,872</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Operating lease liabilities - current</w:t>
            </w:r>
          </w:p>
        </w:tc>
        <w:tc>
          <w:tcPr>
            <w:tcW w:w="324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29,133</w:t>
            </w:r>
          </w:p>
        </w:tc>
        <w:tc>
          <w:tcPr>
            <w:tcW w:w="0" w:type="dxa"/>
            <w:vAlign w:val="bottom"/>
          </w:tcPr>
          <w:p>
            <w:pPr>
              <w:spacing w:after="0"/>
              <w:rPr>
                <w:sz w:val="1"/>
                <w:szCs w:val="1"/>
                <w:color w:val="auto"/>
              </w:rPr>
            </w:pPr>
          </w:p>
        </w:tc>
      </w:tr>
      <w:tr>
        <w:trPr>
          <w:trHeight w:val="210"/>
        </w:trPr>
        <w:tc>
          <w:tcPr>
            <w:tcW w:w="42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liabilities</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451,202</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320,412</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2,498,207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1,632,589</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359,593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70,693</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12,342</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Operating lease liabilities - non-current</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187,056</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118,429</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324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22,471</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34,229</w:t>
            </w:r>
          </w:p>
        </w:tc>
        <w:tc>
          <w:tcPr>
            <w:tcW w:w="0" w:type="dxa"/>
            <w:vAlign w:val="bottom"/>
          </w:tcPr>
          <w:p>
            <w:pPr>
              <w:spacing w:after="0"/>
              <w:rPr>
                <w:sz w:val="1"/>
                <w:szCs w:val="1"/>
                <w:color w:val="auto"/>
              </w:rPr>
            </w:pPr>
          </w:p>
        </w:tc>
      </w:tr>
      <w:tr>
        <w:trPr>
          <w:trHeight w:val="210"/>
        </w:trPr>
        <w:tc>
          <w:tcPr>
            <w:tcW w:w="42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Long-term liabilities</w:t>
            </w:r>
          </w:p>
        </w:tc>
        <w:tc>
          <w:tcPr>
            <w:tcW w:w="324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3,079,143</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1,868,282</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3,530,345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2,188,694</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Common Stock: $0.0001 par, 380,000,000 shares authorized and 227,980,928 shares issued and</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6"/>
                <w:szCs w:val="16"/>
                <w:color w:val="auto"/>
              </w:rPr>
              <w:t>outstanding at September 30, 2020</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E7E7E8"/>
          </w:tcPr>
          <w:p>
            <w:pPr>
              <w:ind w:left="240"/>
              <w:spacing w:after="0" w:line="162" w:lineRule="exact"/>
              <w:rPr>
                <w:sz w:val="20"/>
                <w:szCs w:val="20"/>
                <w:color w:val="auto"/>
              </w:rPr>
            </w:pPr>
            <w:r>
              <w:rPr>
                <w:rFonts w:ascii="Arial" w:cs="Arial" w:eastAsia="Arial" w:hAnsi="Arial"/>
                <w:sz w:val="16"/>
                <w:szCs w:val="16"/>
                <w:color w:val="auto"/>
              </w:rPr>
              <w:t>Class A Common Stock: $0.0001 par, 400,000,000 shares authorized and 108,818,854 shares</w:t>
            </w:r>
          </w:p>
        </w:tc>
        <w:tc>
          <w:tcPr>
            <w:tcW w:w="1560" w:type="dxa"/>
            <w:vAlign w:val="bottom"/>
            <w:gridSpan w:val="2"/>
            <w:vMerge w:val="restart"/>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16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issued and outstanding at December 31, 2019</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60" w:type="dxa"/>
            <w:vAlign w:val="bottom"/>
            <w:gridSpan w:val="2"/>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Class B Common Stock: $0.0001 par, 100,000,000 shares authorized and 8,024,419 shares issued</w:t>
            </w: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6"/>
                <w:szCs w:val="16"/>
                <w:color w:val="auto"/>
              </w:rPr>
              <w:t>and outstanding at December 31, 2019</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3,825,940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2,396,501</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(62,775)</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324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(1,665,175)</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(1,689,373)</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2,094,505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644,365</w:t>
            </w:r>
          </w:p>
        </w:tc>
        <w:tc>
          <w:tcPr>
            <w:tcW w:w="0" w:type="dxa"/>
            <w:vAlign w:val="bottom"/>
          </w:tcPr>
          <w:p>
            <w:pPr>
              <w:spacing w:after="0"/>
              <w:rPr>
                <w:sz w:val="1"/>
                <w:szCs w:val="1"/>
                <w:color w:val="auto"/>
              </w:rPr>
            </w:pPr>
          </w:p>
        </w:tc>
      </w:tr>
      <w:tr>
        <w:trPr>
          <w:trHeight w:val="216"/>
        </w:trPr>
        <w:tc>
          <w:tcPr>
            <w:tcW w:w="4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32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64,590</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3240" w:type="dxa"/>
            <w:vAlign w:val="bottom"/>
            <w:tcBorders>
              <w:bottom w:val="single" w:sz="8" w:color="E7E7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2,094,505</w:t>
            </w:r>
          </w:p>
        </w:tc>
        <w:tc>
          <w:tcPr>
            <w:tcW w:w="100" w:type="dxa"/>
            <w:vAlign w:val="bottom"/>
            <w:tcBorders>
              <w:bottom w:val="single" w:sz="8" w:color="E7E7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708,955</w:t>
            </w:r>
          </w:p>
        </w:tc>
        <w:tc>
          <w:tcPr>
            <w:tcW w:w="0" w:type="dxa"/>
            <w:vAlign w:val="bottom"/>
          </w:tcPr>
          <w:p>
            <w:pPr>
              <w:spacing w:after="0"/>
              <w:rPr>
                <w:sz w:val="1"/>
                <w:szCs w:val="1"/>
                <w:color w:val="auto"/>
              </w:rPr>
            </w:pPr>
          </w:p>
        </w:tc>
      </w:tr>
      <w:tr>
        <w:trPr>
          <w:trHeight w:val="234"/>
        </w:trPr>
        <w:tc>
          <w:tcPr>
            <w:tcW w:w="42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324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5,624,850</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2,897,649</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tcBorders>
          </w:tcPr>
          <w:p>
            <w:pPr>
              <w:spacing w:after="0" w:line="20" w:lineRule="exact"/>
              <w:rPr>
                <w:sz w:val="1"/>
                <w:szCs w:val="1"/>
                <w:color w:val="auto"/>
              </w:rPr>
            </w:pPr>
          </w:p>
        </w:tc>
        <w:tc>
          <w:tcPr>
            <w:tcW w:w="324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4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51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3100" w:type="dxa"/>
            <w:vAlign w:val="bottom"/>
            <w:gridSpan w:val="5"/>
            <w:shd w:val="clear" w:color="auto" w:fill="1D2758"/>
          </w:tcPr>
          <w:p>
            <w:pPr>
              <w:ind w:left="520"/>
              <w:spacing w:after="0"/>
              <w:rPr>
                <w:sz w:val="20"/>
                <w:szCs w:val="20"/>
                <w:color w:val="auto"/>
              </w:rPr>
            </w:pPr>
            <w:r>
              <w:rPr>
                <w:rFonts w:ascii="Arial" w:cs="Arial" w:eastAsia="Arial" w:hAnsi="Arial"/>
                <w:sz w:val="16"/>
                <w:szCs w:val="16"/>
                <w:b w:val="1"/>
                <w:bCs w:val="1"/>
                <w:color w:val="FFFFFF"/>
              </w:rPr>
              <w:t>Three Months Ended</w:t>
            </w:r>
          </w:p>
        </w:tc>
        <w:tc>
          <w:tcPr>
            <w:tcW w:w="300" w:type="dxa"/>
            <w:vAlign w:val="bottom"/>
            <w:shd w:val="clear" w:color="auto" w:fill="1D2758"/>
          </w:tcPr>
          <w:p>
            <w:pPr>
              <w:spacing w:after="0"/>
              <w:rPr>
                <w:sz w:val="16"/>
                <w:szCs w:val="16"/>
                <w:color w:val="auto"/>
              </w:rPr>
            </w:pPr>
          </w:p>
        </w:tc>
        <w:tc>
          <w:tcPr>
            <w:tcW w:w="2720" w:type="dxa"/>
            <w:vAlign w:val="bottom"/>
            <w:gridSpan w:val="4"/>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47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60" w:type="dxa"/>
            <w:vAlign w:val="bottom"/>
            <w:shd w:val="clear" w:color="auto" w:fill="1D2758"/>
          </w:tcPr>
          <w:p>
            <w:pPr>
              <w:spacing w:after="0"/>
              <w:rPr>
                <w:sz w:val="18"/>
                <w:szCs w:val="18"/>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4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2720" w:type="dxa"/>
            <w:vAlign w:val="bottom"/>
            <w:gridSpan w:val="4"/>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September 30,</w:t>
            </w:r>
          </w:p>
        </w:tc>
        <w:tc>
          <w:tcPr>
            <w:tcW w:w="0" w:type="dxa"/>
            <w:vAlign w:val="bottom"/>
          </w:tcPr>
          <w:p>
            <w:pPr>
              <w:spacing w:after="0"/>
              <w:rPr>
                <w:sz w:val="1"/>
                <w:szCs w:val="1"/>
                <w:color w:val="auto"/>
              </w:rPr>
            </w:pPr>
          </w:p>
        </w:tc>
      </w:tr>
      <w:tr>
        <w:trPr>
          <w:trHeight w:val="222"/>
        </w:trPr>
        <w:tc>
          <w:tcPr>
            <w:tcW w:w="4760" w:type="dxa"/>
            <w:vAlign w:val="bottom"/>
            <w:vMerge w:val="continue"/>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126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580" w:type="dxa"/>
            <w:vAlign w:val="bottom"/>
            <w:shd w:val="clear" w:color="auto" w:fill="1D2758"/>
          </w:tcPr>
          <w:p>
            <w:pPr>
              <w:spacing w:after="0"/>
              <w:rPr>
                <w:sz w:val="19"/>
                <w:szCs w:val="19"/>
                <w:color w:val="auto"/>
              </w:rPr>
            </w:pPr>
          </w:p>
        </w:tc>
        <w:tc>
          <w:tcPr>
            <w:tcW w:w="1040" w:type="dxa"/>
            <w:vAlign w:val="bottom"/>
            <w:vMerge w:val="restart"/>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19"/>
                <w:szCs w:val="19"/>
                <w:color w:val="auto"/>
              </w:rPr>
            </w:pPr>
          </w:p>
        </w:tc>
        <w:tc>
          <w:tcPr>
            <w:tcW w:w="30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30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88"/>
        </w:trPr>
        <w:tc>
          <w:tcPr>
            <w:tcW w:w="476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580" w:type="dxa"/>
            <w:vAlign w:val="bottom"/>
            <w:shd w:val="clear" w:color="auto" w:fill="1D2758"/>
          </w:tcPr>
          <w:p>
            <w:pPr>
              <w:spacing w:after="0"/>
              <w:rPr>
                <w:sz w:val="7"/>
                <w:szCs w:val="7"/>
                <w:color w:val="auto"/>
              </w:rPr>
            </w:pPr>
          </w:p>
        </w:tc>
        <w:tc>
          <w:tcPr>
            <w:tcW w:w="1040" w:type="dxa"/>
            <w:vAlign w:val="bottom"/>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30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30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300,082</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188,403</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678,577</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551,513</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84,694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61,008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166,974</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38,736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37,686</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60" w:type="dxa"/>
            <w:vAlign w:val="bottom"/>
            <w:tcBorders>
              <w:bottom w:val="single" w:sz="8" w:color="auto"/>
            </w:tcBorders>
            <w:shd w:val="clear" w:color="auto" w:fill="E7E7E8"/>
          </w:tcPr>
          <w:p>
            <w:pPr>
              <w:spacing w:after="0"/>
              <w:rPr>
                <w:sz w:val="18"/>
                <w:szCs w:val="18"/>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12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29,447</w:t>
            </w:r>
          </w:p>
        </w:tc>
        <w:tc>
          <w:tcPr>
            <w:tcW w:w="0" w:type="dxa"/>
            <w:vAlign w:val="bottom"/>
          </w:tcPr>
          <w:p>
            <w:pPr>
              <w:spacing w:after="0"/>
              <w:rPr>
                <w:sz w:val="1"/>
                <w:szCs w:val="1"/>
                <w:color w:val="auto"/>
              </w:rPr>
            </w:pPr>
          </w:p>
        </w:tc>
      </w:tr>
      <w:tr>
        <w:trPr>
          <w:trHeight w:val="210"/>
        </w:trPr>
        <w:tc>
          <w:tcPr>
            <w:tcW w:w="476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268,222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929,998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785,620</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64,788</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58,168</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162,344</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160,476</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66,354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54,364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153,742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146,175</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26,298</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19,608</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54,837</w:t>
            </w:r>
          </w:p>
        </w:tc>
        <w:tc>
          <w:tcPr>
            <w:tcW w:w="100" w:type="dxa"/>
            <w:vAlign w:val="bottom"/>
            <w:tcBorders>
              <w:bottom w:val="single" w:sz="8" w:color="E7E7E8"/>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43,869</w:t>
            </w:r>
          </w:p>
        </w:tc>
        <w:tc>
          <w:tcPr>
            <w:tcW w:w="12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146,279</w:t>
            </w:r>
          </w:p>
        </w:tc>
        <w:tc>
          <w:tcPr>
            <w:tcW w:w="10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128,940</w:t>
            </w:r>
          </w:p>
        </w:tc>
        <w:tc>
          <w:tcPr>
            <w:tcW w:w="0" w:type="dxa"/>
            <w:vAlign w:val="bottom"/>
          </w:tcPr>
          <w:p>
            <w:pPr>
              <w:spacing w:after="0"/>
              <w:rPr>
                <w:sz w:val="1"/>
                <w:szCs w:val="1"/>
                <w:color w:val="auto"/>
              </w:rPr>
            </w:pPr>
          </w:p>
        </w:tc>
      </w:tr>
      <w:tr>
        <w:trPr>
          <w:trHeight w:val="209"/>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209,564</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99,308</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425,718</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304,123</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112,079</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64,992</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241,269</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208,696</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Merger transaction costs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16,867</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3,489</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22,824</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9,222</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E7E7E8"/>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10"/>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25,012</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29,782</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91,452</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77,540</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89,810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92,788</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1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09"/>
        </w:trPr>
        <w:tc>
          <w:tcPr>
            <w:tcW w:w="4760" w:type="dxa"/>
            <w:vAlign w:val="bottom"/>
          </w:tcPr>
          <w:p>
            <w:pPr>
              <w:ind w:left="440"/>
              <w:spacing w:after="0"/>
              <w:rPr>
                <w:sz w:val="20"/>
                <w:szCs w:val="20"/>
                <w:color w:val="auto"/>
              </w:rPr>
            </w:pPr>
            <w:r>
              <w:rPr>
                <w:rFonts w:ascii="Arial" w:cs="Arial" w:eastAsia="Arial" w:hAnsi="Arial"/>
                <w:sz w:val="16"/>
                <w:szCs w:val="16"/>
                <w:color w:val="auto"/>
              </w:rPr>
              <w:t>Loss from operations before income tax</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(50,423)</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(40,759)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(22,492)</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shd w:val="clear" w:color="auto" w:fill="E7E7E8"/>
          </w:tcPr>
          <w:p>
            <w:pPr>
              <w:spacing w:after="0"/>
              <w:rPr>
                <w:sz w:val="18"/>
                <w:szCs w:val="18"/>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(66,675)</w:t>
            </w:r>
          </w:p>
        </w:tc>
        <w:tc>
          <w:tcPr>
            <w:tcW w:w="100" w:type="dxa"/>
            <w:vAlign w:val="bottom"/>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(66,170)</w:t>
            </w:r>
          </w:p>
        </w:tc>
        <w:tc>
          <w:tcPr>
            <w:tcW w:w="10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4760" w:type="dxa"/>
            <w:vAlign w:val="bottom"/>
          </w:tcPr>
          <w:p>
            <w:pPr>
              <w:ind w:left="44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162"/>
        </w:trPr>
        <w:tc>
          <w:tcPr>
            <w:tcW w:w="47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Net income (loss) attributable to non-controlling interest, net of</w:t>
            </w:r>
          </w:p>
        </w:tc>
        <w:tc>
          <w:tcPr>
            <w:tcW w:w="360" w:type="dxa"/>
            <w:vAlign w:val="bottom"/>
            <w:shd w:val="clear" w:color="auto" w:fill="E7E7E8"/>
          </w:tcPr>
          <w:p>
            <w:pPr>
              <w:spacing w:after="0"/>
              <w:rPr>
                <w:sz w:val="14"/>
                <w:szCs w:val="14"/>
                <w:color w:val="auto"/>
              </w:rPr>
            </w:pPr>
          </w:p>
        </w:tc>
        <w:tc>
          <w:tcPr>
            <w:tcW w:w="1360" w:type="dxa"/>
            <w:vAlign w:val="bottom"/>
            <w:gridSpan w:val="2"/>
            <w:vMerge w:val="restart"/>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spacing w:after="0"/>
              <w:rPr>
                <w:sz w:val="14"/>
                <w:szCs w:val="14"/>
                <w:color w:val="auto"/>
              </w:rPr>
            </w:pP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tax</w:t>
            </w:r>
          </w:p>
        </w:tc>
        <w:tc>
          <w:tcPr>
            <w:tcW w:w="360" w:type="dxa"/>
            <w:vAlign w:val="bottom"/>
            <w:shd w:val="clear" w:color="auto" w:fill="E7E7E8"/>
          </w:tcPr>
          <w:p>
            <w:pPr>
              <w:spacing w:after="0"/>
              <w:rPr>
                <w:sz w:val="18"/>
                <w:szCs w:val="18"/>
                <w:color w:val="auto"/>
              </w:rPr>
            </w:pPr>
          </w:p>
        </w:tc>
        <w:tc>
          <w:tcPr>
            <w:tcW w:w="1360" w:type="dxa"/>
            <w:vAlign w:val="bottom"/>
            <w:gridSpan w:val="2"/>
            <w:vMerge w:val="continue"/>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440"/>
              <w:spacing w:after="0"/>
              <w:rPr>
                <w:sz w:val="20"/>
                <w:szCs w:val="20"/>
                <w:color w:val="auto"/>
              </w:rPr>
            </w:pPr>
            <w:r>
              <w:rPr>
                <w:rFonts w:ascii="Arial" w:cs="Arial" w:eastAsia="Arial" w:hAnsi="Arial"/>
                <w:sz w:val="16"/>
                <w:szCs w:val="16"/>
                <w:color w:val="auto"/>
              </w:rPr>
              <w:t>Net income (loss) attributable to WillScot Mobile Mini</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24,198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(19,175)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0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WillScot Mobile Mini</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 average shares:</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226,649,993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108,720,857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149,283,083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108,646,741</w:t>
            </w:r>
          </w:p>
        </w:tc>
        <w:tc>
          <w:tcPr>
            <w:tcW w:w="0" w:type="dxa"/>
            <w:vAlign w:val="bottom"/>
          </w:tcPr>
          <w:p>
            <w:pPr>
              <w:spacing w:after="0"/>
              <w:rPr>
                <w:sz w:val="1"/>
                <w:szCs w:val="1"/>
                <w:color w:val="auto"/>
              </w:rPr>
            </w:pPr>
          </w:p>
        </w:tc>
      </w:tr>
      <w:tr>
        <w:trPr>
          <w:trHeight w:val="216"/>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E7E7E8"/>
          </w:tcPr>
          <w:p>
            <w:pPr>
              <w:spacing w:after="0"/>
              <w:rPr>
                <w:sz w:val="18"/>
                <w:szCs w:val="18"/>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231,216,573</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112,043,866</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152,544,647</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108,646,741</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4" w:name="page5"/>
    <w:bookmarkEnd w:id="4"/>
    <w:p>
      <w:pPr>
        <w:jc w:val="center"/>
        <w:ind w:left="340" w:right="1920"/>
        <w:spacing w:after="0" w:line="277" w:lineRule="auto"/>
        <w:rPr>
          <w:sz w:val="20"/>
          <w:szCs w:val="20"/>
          <w:color w:val="auto"/>
        </w:rPr>
      </w:pPr>
      <w:r>
        <w:rPr>
          <w:rFonts w:ascii="Arial" w:cs="Arial" w:eastAsia="Arial" w:hAnsi="Arial"/>
          <w:sz w:val="23"/>
          <w:szCs w:val="23"/>
          <w:color w:val="1D2758"/>
        </w:rPr>
        <w:t>WillScot Mobile Mini Holdings Corp. Condensed Consolidated Statements of Comprehensive Income (Loss)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shd w:val="clear" w:color="auto" w:fill="1D2758"/>
          </w:tcPr>
          <w:p>
            <w:pPr>
              <w:spacing w:after="0"/>
              <w:rPr>
                <w:sz w:val="16"/>
                <w:szCs w:val="16"/>
                <w:color w:val="auto"/>
              </w:rPr>
            </w:pPr>
          </w:p>
        </w:tc>
        <w:tc>
          <w:tcPr>
            <w:tcW w:w="2560" w:type="dxa"/>
            <w:vAlign w:val="bottom"/>
            <w:gridSpan w:val="4"/>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Three Months Ended</w:t>
            </w:r>
          </w:p>
        </w:tc>
        <w:tc>
          <w:tcPr>
            <w:tcW w:w="560" w:type="dxa"/>
            <w:vAlign w:val="bottom"/>
            <w:shd w:val="clear" w:color="auto" w:fill="1D2758"/>
          </w:tcPr>
          <w:p>
            <w:pPr>
              <w:spacing w:after="0"/>
              <w:rPr>
                <w:sz w:val="16"/>
                <w:szCs w:val="16"/>
                <w:color w:val="auto"/>
              </w:rPr>
            </w:pPr>
          </w:p>
        </w:tc>
        <w:tc>
          <w:tcPr>
            <w:tcW w:w="900" w:type="dxa"/>
            <w:vAlign w:val="bottom"/>
            <w:shd w:val="clear" w:color="auto" w:fill="1D2758"/>
          </w:tcPr>
          <w:p>
            <w:pPr>
              <w:spacing w:after="0"/>
              <w:rPr>
                <w:sz w:val="16"/>
                <w:szCs w:val="16"/>
                <w:color w:val="auto"/>
              </w:rPr>
            </w:pPr>
          </w:p>
        </w:tc>
        <w:tc>
          <w:tcPr>
            <w:tcW w:w="300" w:type="dxa"/>
            <w:vAlign w:val="bottom"/>
            <w:shd w:val="clear" w:color="auto" w:fill="1D2758"/>
          </w:tcPr>
          <w:p>
            <w:pPr>
              <w:spacing w:after="0"/>
              <w:rPr>
                <w:sz w:val="16"/>
                <w:szCs w:val="16"/>
                <w:color w:val="auto"/>
              </w:rPr>
            </w:pPr>
          </w:p>
        </w:tc>
        <w:tc>
          <w:tcPr>
            <w:tcW w:w="2520" w:type="dxa"/>
            <w:vAlign w:val="bottom"/>
            <w:gridSpan w:val="4"/>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44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40" w:type="dxa"/>
            <w:vAlign w:val="bottom"/>
            <w:shd w:val="clear" w:color="auto" w:fill="1D2758"/>
          </w:tcPr>
          <w:p>
            <w:pPr>
              <w:spacing w:after="0"/>
              <w:rPr>
                <w:sz w:val="18"/>
                <w:szCs w:val="18"/>
                <w:color w:val="auto"/>
              </w:rPr>
            </w:pPr>
          </w:p>
        </w:tc>
        <w:tc>
          <w:tcPr>
            <w:tcW w:w="1620" w:type="dxa"/>
            <w:vAlign w:val="bottom"/>
            <w:gridSpan w:val="3"/>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September 30,</w:t>
            </w:r>
          </w:p>
        </w:tc>
        <w:tc>
          <w:tcPr>
            <w:tcW w:w="56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2520" w:type="dxa"/>
            <w:vAlign w:val="bottom"/>
            <w:gridSpan w:val="4"/>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rPr>
              <w:t>September 30,</w:t>
            </w:r>
          </w:p>
        </w:tc>
        <w:tc>
          <w:tcPr>
            <w:tcW w:w="0" w:type="dxa"/>
            <w:vAlign w:val="bottom"/>
          </w:tcPr>
          <w:p>
            <w:pPr>
              <w:spacing w:after="0"/>
              <w:rPr>
                <w:sz w:val="1"/>
                <w:szCs w:val="1"/>
                <w:color w:val="auto"/>
              </w:rPr>
            </w:pPr>
          </w:p>
        </w:tc>
      </w:tr>
      <w:tr>
        <w:trPr>
          <w:trHeight w:val="222"/>
        </w:trPr>
        <w:tc>
          <w:tcPr>
            <w:tcW w:w="4400" w:type="dxa"/>
            <w:vAlign w:val="bottom"/>
            <w:vMerge w:val="continue"/>
            <w:shd w:val="clear" w:color="auto" w:fill="1D2758"/>
          </w:tcPr>
          <w:p>
            <w:pPr>
              <w:spacing w:after="0"/>
              <w:rPr>
                <w:sz w:val="19"/>
                <w:szCs w:val="19"/>
                <w:color w:val="auto"/>
              </w:rPr>
            </w:pPr>
          </w:p>
        </w:tc>
        <w:tc>
          <w:tcPr>
            <w:tcW w:w="94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58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94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560" w:type="dxa"/>
            <w:vAlign w:val="bottom"/>
            <w:shd w:val="clear" w:color="auto" w:fill="1D2758"/>
          </w:tcPr>
          <w:p>
            <w:pPr>
              <w:spacing w:after="0"/>
              <w:rPr>
                <w:sz w:val="19"/>
                <w:szCs w:val="19"/>
                <w:color w:val="auto"/>
              </w:rPr>
            </w:pPr>
          </w:p>
        </w:tc>
        <w:tc>
          <w:tcPr>
            <w:tcW w:w="900" w:type="dxa"/>
            <w:vAlign w:val="bottom"/>
            <w:shd w:val="clear" w:color="auto" w:fill="1D2758"/>
          </w:tcPr>
          <w:p>
            <w:pPr>
              <w:spacing w:after="0"/>
              <w:rPr>
                <w:sz w:val="19"/>
                <w:szCs w:val="19"/>
                <w:color w:val="auto"/>
              </w:rPr>
            </w:pPr>
          </w:p>
        </w:tc>
        <w:tc>
          <w:tcPr>
            <w:tcW w:w="300" w:type="dxa"/>
            <w:vAlign w:val="bottom"/>
            <w:shd w:val="clear" w:color="auto" w:fill="1D2758"/>
          </w:tcPr>
          <w:p>
            <w:pPr>
              <w:spacing w:after="0"/>
              <w:rPr>
                <w:sz w:val="19"/>
                <w:szCs w:val="19"/>
                <w:color w:val="auto"/>
              </w:rPr>
            </w:pPr>
          </w:p>
        </w:tc>
        <w:tc>
          <w:tcPr>
            <w:tcW w:w="10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300" w:type="dxa"/>
            <w:vAlign w:val="bottom"/>
            <w:shd w:val="clear" w:color="auto" w:fill="1D2758"/>
          </w:tcPr>
          <w:p>
            <w:pPr>
              <w:spacing w:after="0"/>
              <w:rPr>
                <w:sz w:val="19"/>
                <w:szCs w:val="19"/>
                <w:color w:val="auto"/>
              </w:rPr>
            </w:pPr>
          </w:p>
        </w:tc>
        <w:tc>
          <w:tcPr>
            <w:tcW w:w="10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69"/>
        </w:trPr>
        <w:tc>
          <w:tcPr>
            <w:tcW w:w="4400" w:type="dxa"/>
            <w:vAlign w:val="bottom"/>
            <w:shd w:val="clear" w:color="auto" w:fill="1D2758"/>
          </w:tcPr>
          <w:p>
            <w:pPr>
              <w:spacing w:after="0"/>
              <w:rPr>
                <w:sz w:val="14"/>
                <w:szCs w:val="14"/>
                <w:color w:val="auto"/>
              </w:rPr>
            </w:pPr>
          </w:p>
        </w:tc>
        <w:tc>
          <w:tcPr>
            <w:tcW w:w="940" w:type="dxa"/>
            <w:vAlign w:val="bottom"/>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940" w:type="dxa"/>
            <w:vAlign w:val="bottom"/>
            <w:vMerge w:val="continue"/>
            <w:shd w:val="clear" w:color="auto" w:fill="1D2758"/>
          </w:tcPr>
          <w:p>
            <w:pPr>
              <w:spacing w:after="0"/>
              <w:rPr>
                <w:sz w:val="14"/>
                <w:szCs w:val="14"/>
                <w:color w:val="auto"/>
              </w:rPr>
            </w:pPr>
          </w:p>
        </w:tc>
        <w:tc>
          <w:tcPr>
            <w:tcW w:w="560" w:type="dxa"/>
            <w:vAlign w:val="bottom"/>
            <w:shd w:val="clear" w:color="auto" w:fill="1D2758"/>
          </w:tcPr>
          <w:p>
            <w:pPr>
              <w:spacing w:after="0"/>
              <w:rPr>
                <w:sz w:val="14"/>
                <w:szCs w:val="14"/>
                <w:color w:val="auto"/>
              </w:rPr>
            </w:pPr>
          </w:p>
        </w:tc>
        <w:tc>
          <w:tcPr>
            <w:tcW w:w="90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06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106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16,252</w:t>
            </w:r>
          </w:p>
        </w:tc>
        <w:tc>
          <w:tcPr>
            <w:tcW w:w="100" w:type="dxa"/>
            <w:vAlign w:val="bottom"/>
            <w:shd w:val="clear" w:color="auto" w:fill="E7E7E8"/>
          </w:tcPr>
          <w:p>
            <w:pPr>
              <w:spacing w:after="0"/>
              <w:rPr>
                <w:sz w:val="18"/>
                <w:szCs w:val="18"/>
                <w:color w:val="auto"/>
              </w:rPr>
            </w:pPr>
          </w:p>
        </w:tc>
        <w:tc>
          <w:tcPr>
            <w:tcW w:w="940" w:type="dxa"/>
            <w:vAlign w:val="bottom"/>
            <w:shd w:val="clear" w:color="auto" w:fill="E7E7E8"/>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997</w:t>
            </w:r>
          </w:p>
        </w:tc>
        <w:tc>
          <w:tcPr>
            <w:tcW w:w="90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E7E7E8"/>
          </w:tcPr>
          <w:p>
            <w:pPr>
              <w:ind w:left="240"/>
              <w:spacing w:after="0" w:line="162" w:lineRule="exact"/>
              <w:rPr>
                <w:sz w:val="20"/>
                <w:szCs w:val="20"/>
                <w:color w:val="auto"/>
              </w:rPr>
            </w:pPr>
            <w:r>
              <w:rPr>
                <w:rFonts w:ascii="Arial" w:cs="Arial" w:eastAsia="Arial" w:hAnsi="Arial"/>
                <w:sz w:val="16"/>
                <w:szCs w:val="16"/>
                <w:color w:val="auto"/>
              </w:rPr>
              <w:t>Foreign currency translation adjustment, net of income</w:t>
            </w:r>
          </w:p>
        </w:tc>
        <w:tc>
          <w:tcPr>
            <w:tcW w:w="94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06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0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E7E7E8"/>
          </w:tcPr>
          <w:p>
            <w:pPr>
              <w:ind w:left="240"/>
              <w:spacing w:after="0" w:line="162" w:lineRule="exact"/>
              <w:rPr>
                <w:sz w:val="20"/>
                <w:szCs w:val="20"/>
                <w:color w:val="auto"/>
              </w:rPr>
            </w:pPr>
            <w:r>
              <w:rPr>
                <w:rFonts w:ascii="Arial" w:cs="Arial" w:eastAsia="Arial" w:hAnsi="Arial"/>
                <w:sz w:val="16"/>
                <w:szCs w:val="16"/>
                <w:color w:val="auto"/>
              </w:rPr>
              <w:t>tax expense of $0 for the three and nine months ended</w:t>
            </w:r>
          </w:p>
        </w:tc>
        <w:tc>
          <w:tcPr>
            <w:tcW w:w="940" w:type="dxa"/>
            <w:vAlign w:val="bottom"/>
            <w:shd w:val="clear" w:color="auto" w:fill="E7E7E8"/>
          </w:tcPr>
          <w:p>
            <w:pPr>
              <w:spacing w:after="0"/>
              <w:rPr>
                <w:sz w:val="14"/>
                <w:szCs w:val="14"/>
                <w:color w:val="auto"/>
              </w:rPr>
            </w:pP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98"/>
              </w:rPr>
              <w:t>14,619</w:t>
            </w:r>
          </w:p>
        </w:tc>
        <w:tc>
          <w:tcPr>
            <w:tcW w:w="1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5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(2,810)</w:t>
            </w:r>
          </w:p>
        </w:tc>
        <w:tc>
          <w:tcPr>
            <w:tcW w:w="9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5,626</w:t>
            </w:r>
          </w:p>
        </w:tc>
        <w:tc>
          <w:tcPr>
            <w:tcW w:w="0" w:type="dxa"/>
            <w:vAlign w:val="bottom"/>
          </w:tcPr>
          <w:p>
            <w:pPr>
              <w:spacing w:after="0"/>
              <w:rPr>
                <w:sz w:val="1"/>
                <w:szCs w:val="1"/>
                <w:color w:val="auto"/>
              </w:rPr>
            </w:pPr>
          </w:p>
        </w:tc>
      </w:tr>
      <w:tr>
        <w:trPr>
          <w:trHeight w:val="216"/>
        </w:trPr>
        <w:tc>
          <w:tcPr>
            <w:tcW w:w="4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September 30, 2020 and 2019</w:t>
            </w:r>
          </w:p>
        </w:tc>
        <w:tc>
          <w:tcPr>
            <w:tcW w:w="940" w:type="dxa"/>
            <w:vAlign w:val="bottom"/>
            <w:shd w:val="clear" w:color="auto" w:fill="E7E7E8"/>
          </w:tcPr>
          <w:p>
            <w:pPr>
              <w:spacing w:after="0"/>
              <w:rPr>
                <w:sz w:val="18"/>
                <w:szCs w:val="18"/>
                <w:color w:val="auto"/>
              </w:rPr>
            </w:pPr>
          </w:p>
        </w:tc>
        <w:tc>
          <w:tcPr>
            <w:tcW w:w="58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560" w:type="dxa"/>
            <w:vAlign w:val="bottom"/>
            <w:vMerge w:val="continue"/>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240"/>
              <w:spacing w:after="0" w:line="162" w:lineRule="exact"/>
              <w:rPr>
                <w:sz w:val="20"/>
                <w:szCs w:val="20"/>
                <w:color w:val="auto"/>
              </w:rPr>
            </w:pPr>
            <w:r>
              <w:rPr>
                <w:rFonts w:ascii="Arial" w:cs="Arial" w:eastAsia="Arial" w:hAnsi="Arial"/>
                <w:sz w:val="16"/>
                <w:szCs w:val="16"/>
                <w:color w:val="auto"/>
              </w:rPr>
              <w:t>Net gain (loss) on derivatives, net of income tax benefit of</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240"/>
              <w:spacing w:after="0" w:line="162" w:lineRule="exact"/>
              <w:rPr>
                <w:sz w:val="20"/>
                <w:szCs w:val="20"/>
                <w:color w:val="auto"/>
              </w:rPr>
            </w:pPr>
            <w:r>
              <w:rPr>
                <w:rFonts w:ascii="Arial" w:cs="Arial" w:eastAsia="Arial" w:hAnsi="Arial"/>
                <w:sz w:val="16"/>
                <w:szCs w:val="16"/>
                <w:color w:val="auto"/>
              </w:rPr>
              <w:t>$1,183 and $153 for the three months ended September</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240"/>
              <w:spacing w:after="0" w:line="162" w:lineRule="exact"/>
              <w:rPr>
                <w:sz w:val="20"/>
                <w:szCs w:val="20"/>
                <w:color w:val="auto"/>
              </w:rPr>
            </w:pPr>
            <w:r>
              <w:rPr>
                <w:rFonts w:ascii="Arial" w:cs="Arial" w:eastAsia="Arial" w:hAnsi="Arial"/>
                <w:sz w:val="16"/>
                <w:szCs w:val="16"/>
                <w:color w:val="auto"/>
              </w:rPr>
              <w:t>30, 2020 and 2019, respectively, and $1,183 and $2,016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240"/>
              <w:spacing w:after="0" w:line="162" w:lineRule="exact"/>
              <w:rPr>
                <w:sz w:val="20"/>
                <w:szCs w:val="20"/>
                <w:color w:val="auto"/>
              </w:rPr>
            </w:pPr>
            <w:r>
              <w:rPr>
                <w:rFonts w:ascii="Arial" w:cs="Arial" w:eastAsia="Arial" w:hAnsi="Arial"/>
                <w:sz w:val="16"/>
                <w:szCs w:val="16"/>
                <w:color w:val="auto"/>
              </w:rPr>
              <w:t>for the nine months ended September 30, 2020 and</w:t>
            </w:r>
          </w:p>
        </w:tc>
        <w:tc>
          <w:tcPr>
            <w:tcW w:w="9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2019, respectively</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Comprehensive income (loss)</w:t>
            </w:r>
          </w:p>
        </w:tc>
        <w:tc>
          <w:tcPr>
            <w:tcW w:w="940" w:type="dxa"/>
            <w:vAlign w:val="bottom"/>
            <w:shd w:val="clear" w:color="auto" w:fill="E7E7E8"/>
          </w:tcPr>
          <w:p>
            <w:pPr>
              <w:spacing w:after="0"/>
              <w:rPr>
                <w:sz w:val="18"/>
                <w:szCs w:val="18"/>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34,776</w:t>
            </w:r>
          </w:p>
        </w:tc>
        <w:tc>
          <w:tcPr>
            <w:tcW w:w="10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(2,313)</w:t>
            </w:r>
          </w:p>
        </w:tc>
        <w:tc>
          <w:tcPr>
            <w:tcW w:w="9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22,990</w:t>
            </w:r>
          </w:p>
        </w:tc>
        <w:tc>
          <w:tcPr>
            <w:tcW w:w="1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(21,432)</w:t>
            </w:r>
          </w:p>
        </w:tc>
        <w:tc>
          <w:tcPr>
            <w:tcW w:w="0" w:type="dxa"/>
            <w:vAlign w:val="bottom"/>
          </w:tcPr>
          <w:p>
            <w:pPr>
              <w:spacing w:after="0"/>
              <w:rPr>
                <w:sz w:val="1"/>
                <w:szCs w:val="1"/>
                <w:color w:val="auto"/>
              </w:rPr>
            </w:pPr>
          </w:p>
        </w:tc>
      </w:tr>
      <w:tr>
        <w:trPr>
          <w:trHeight w:val="162"/>
        </w:trPr>
        <w:tc>
          <w:tcPr>
            <w:tcW w:w="4400" w:type="dxa"/>
            <w:vAlign w:val="bottom"/>
          </w:tcPr>
          <w:p>
            <w:pPr>
              <w:ind w:left="220"/>
              <w:spacing w:after="0" w:line="162" w:lineRule="exact"/>
              <w:rPr>
                <w:sz w:val="20"/>
                <w:szCs w:val="20"/>
                <w:color w:val="auto"/>
              </w:rPr>
            </w:pPr>
            <w:r>
              <w:rPr>
                <w:rFonts w:ascii="Arial" w:cs="Arial" w:eastAsia="Arial" w:hAnsi="Arial"/>
                <w:sz w:val="16"/>
                <w:szCs w:val="16"/>
                <w:color w:val="auto"/>
              </w:rPr>
              <w:t>Comprehensive loss attributable to non-controlling</w:t>
            </w:r>
          </w:p>
        </w:tc>
        <w:tc>
          <w:tcPr>
            <w:tcW w:w="94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6"/>
                <w:szCs w:val="16"/>
                <w:color w:val="auto"/>
              </w:rPr>
              <w:t>interest</w:t>
            </w:r>
          </w:p>
        </w:tc>
        <w:tc>
          <w:tcPr>
            <w:tcW w:w="9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E7E7E8"/>
            </w:tcBorders>
            <w:shd w:val="clear" w:color="auto" w:fill="E7E7E8"/>
          </w:tcPr>
          <w:p>
            <w:pPr>
              <w:ind w:left="20"/>
              <w:spacing w:after="0" w:line="142" w:lineRule="exact"/>
              <w:rPr>
                <w:sz w:val="20"/>
                <w:szCs w:val="20"/>
                <w:color w:val="auto"/>
              </w:rPr>
            </w:pPr>
            <w:r>
              <w:rPr>
                <w:rFonts w:ascii="Arial" w:cs="Arial" w:eastAsia="Arial" w:hAnsi="Arial"/>
                <w:sz w:val="16"/>
                <w:szCs w:val="16"/>
                <w:color w:val="auto"/>
              </w:rPr>
              <w:t>Total comprehensive income (loss) attributable to WillScot</w:t>
            </w:r>
          </w:p>
        </w:tc>
        <w:tc>
          <w:tcPr>
            <w:tcW w:w="940" w:type="dxa"/>
            <w:vAlign w:val="bottom"/>
            <w:tcBorders>
              <w:top w:val="single" w:sz="8" w:color="auto"/>
            </w:tcBorders>
            <w:vMerge w:val="restart"/>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vMerge w:val="restart"/>
            <w:shd w:val="clear" w:color="auto" w:fill="E7E7E8"/>
          </w:tcPr>
          <w:p>
            <w:pPr>
              <w:jc w:val="right"/>
              <w:spacing w:after="0"/>
              <w:rPr>
                <w:sz w:val="20"/>
                <w:szCs w:val="20"/>
                <w:color w:val="auto"/>
              </w:rPr>
            </w:pPr>
            <w:r>
              <w:rPr>
                <w:rFonts w:ascii="Arial" w:cs="Arial" w:eastAsia="Arial" w:hAnsi="Arial"/>
                <w:sz w:val="16"/>
                <w:szCs w:val="16"/>
                <w:color w:val="auto"/>
                <w:w w:val="98"/>
              </w:rPr>
              <w:t>34,776</w:t>
            </w:r>
          </w:p>
        </w:tc>
        <w:tc>
          <w:tcPr>
            <w:tcW w:w="100" w:type="dxa"/>
            <w:vAlign w:val="bottom"/>
            <w:tcBorders>
              <w:top w:val="single" w:sz="8" w:color="E7E7E8"/>
            </w:tcBorders>
            <w:shd w:val="clear" w:color="auto" w:fill="E7E7E8"/>
          </w:tcPr>
          <w:p>
            <w:pPr>
              <w:spacing w:after="0"/>
              <w:rPr>
                <w:sz w:val="12"/>
                <w:szCs w:val="12"/>
                <w:color w:val="auto"/>
              </w:rPr>
            </w:pPr>
          </w:p>
        </w:tc>
        <w:tc>
          <w:tcPr>
            <w:tcW w:w="940" w:type="dxa"/>
            <w:vAlign w:val="bottom"/>
            <w:tcBorders>
              <w:top w:val="single" w:sz="8" w:color="auto"/>
            </w:tcBorders>
            <w:vMerge w:val="restart"/>
            <w:shd w:val="clear" w:color="auto" w:fill="E7E7E8"/>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shd w:val="clear" w:color="auto" w:fill="E7E7E8"/>
          </w:tcPr>
          <w:p>
            <w:pPr>
              <w:jc w:val="right"/>
              <w:spacing w:after="0"/>
              <w:rPr>
                <w:sz w:val="20"/>
                <w:szCs w:val="20"/>
                <w:color w:val="auto"/>
              </w:rPr>
            </w:pPr>
            <w:r>
              <w:rPr>
                <w:rFonts w:ascii="Arial" w:cs="Arial" w:eastAsia="Arial" w:hAnsi="Arial"/>
                <w:sz w:val="16"/>
                <w:szCs w:val="16"/>
                <w:color w:val="auto"/>
              </w:rPr>
              <w:t>(2,307)</w:t>
            </w:r>
          </w:p>
        </w:tc>
        <w:tc>
          <w:tcPr>
            <w:tcW w:w="900" w:type="dxa"/>
            <w:vAlign w:val="bottom"/>
            <w:tcBorders>
              <w:top w:val="single" w:sz="8" w:color="E7E7E8"/>
            </w:tcBorders>
            <w:shd w:val="clear" w:color="auto" w:fill="E7E7E8"/>
          </w:tcPr>
          <w:p>
            <w:pPr>
              <w:spacing w:after="0"/>
              <w:rPr>
                <w:sz w:val="12"/>
                <w:szCs w:val="12"/>
                <w:color w:val="auto"/>
              </w:rPr>
            </w:pPr>
          </w:p>
        </w:tc>
        <w:tc>
          <w:tcPr>
            <w:tcW w:w="300" w:type="dxa"/>
            <w:vAlign w:val="bottom"/>
            <w:tcBorders>
              <w:top w:val="single" w:sz="8" w:color="auto"/>
            </w:tcBorders>
            <w:vMerge w:val="restart"/>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E7E7E8"/>
          </w:tcPr>
          <w:p>
            <w:pPr>
              <w:jc w:val="right"/>
              <w:spacing w:after="0"/>
              <w:rPr>
                <w:sz w:val="20"/>
                <w:szCs w:val="20"/>
                <w:color w:val="auto"/>
              </w:rPr>
            </w:pPr>
            <w:r>
              <w:rPr>
                <w:rFonts w:ascii="Arial" w:cs="Arial" w:eastAsia="Arial" w:hAnsi="Arial"/>
                <w:sz w:val="16"/>
                <w:szCs w:val="16"/>
                <w:color w:val="auto"/>
              </w:rPr>
              <w:t>23,662</w:t>
            </w:r>
          </w:p>
        </w:tc>
        <w:tc>
          <w:tcPr>
            <w:tcW w:w="100" w:type="dxa"/>
            <w:vAlign w:val="bottom"/>
            <w:tcBorders>
              <w:top w:val="single" w:sz="8" w:color="E7E7E8"/>
            </w:tcBorders>
            <w:shd w:val="clear" w:color="auto" w:fill="E7E7E8"/>
          </w:tcPr>
          <w:p>
            <w:pPr>
              <w:spacing w:after="0"/>
              <w:rPr>
                <w:sz w:val="12"/>
                <w:szCs w:val="12"/>
                <w:color w:val="auto"/>
              </w:rPr>
            </w:pPr>
          </w:p>
        </w:tc>
        <w:tc>
          <w:tcPr>
            <w:tcW w:w="300" w:type="dxa"/>
            <w:vAlign w:val="bottom"/>
            <w:tcBorders>
              <w:top w:val="single" w:sz="8" w:color="auto"/>
            </w:tcBorders>
            <w:vMerge w:val="restart"/>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E7E7E8"/>
          </w:tcPr>
          <w:p>
            <w:pPr>
              <w:jc w:val="right"/>
              <w:spacing w:after="0"/>
              <w:rPr>
                <w:sz w:val="20"/>
                <w:szCs w:val="20"/>
                <w:color w:val="auto"/>
              </w:rPr>
            </w:pPr>
            <w:r>
              <w:rPr>
                <w:rFonts w:ascii="Arial" w:cs="Arial" w:eastAsia="Arial" w:hAnsi="Arial"/>
                <w:sz w:val="16"/>
                <w:szCs w:val="16"/>
                <w:color w:val="auto"/>
              </w:rPr>
              <w:t>(20,048)</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Mobile Mini</w:t>
            </w:r>
          </w:p>
        </w:tc>
        <w:tc>
          <w:tcPr>
            <w:tcW w:w="940" w:type="dxa"/>
            <w:vAlign w:val="bottom"/>
            <w:tcBorders>
              <w:bottom w:val="single" w:sz="8" w:color="auto"/>
            </w:tcBorders>
            <w:vMerge w:val="continue"/>
            <w:shd w:val="clear" w:color="auto" w:fill="E7E7E8"/>
          </w:tcPr>
          <w:p>
            <w:pPr>
              <w:spacing w:after="0"/>
              <w:rPr>
                <w:sz w:val="18"/>
                <w:szCs w:val="18"/>
                <w:color w:val="auto"/>
              </w:rPr>
            </w:pPr>
          </w:p>
        </w:tc>
        <w:tc>
          <w:tcPr>
            <w:tcW w:w="580" w:type="dxa"/>
            <w:vAlign w:val="bottom"/>
            <w:tcBorders>
              <w:bottom w:val="single" w:sz="8" w:color="auto"/>
            </w:tcBorders>
            <w:vMerge w:val="continue"/>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940" w:type="dxa"/>
            <w:vAlign w:val="bottom"/>
            <w:tcBorders>
              <w:bottom w:val="single" w:sz="8" w:color="auto"/>
            </w:tcBorders>
            <w:vMerge w:val="continue"/>
            <w:shd w:val="clear" w:color="auto" w:fill="E7E7E8"/>
          </w:tcPr>
          <w:p>
            <w:pPr>
              <w:spacing w:after="0"/>
              <w:rPr>
                <w:sz w:val="18"/>
                <w:szCs w:val="18"/>
                <w:color w:val="auto"/>
              </w:rPr>
            </w:pPr>
          </w:p>
        </w:tc>
        <w:tc>
          <w:tcPr>
            <w:tcW w:w="560" w:type="dxa"/>
            <w:vAlign w:val="bottom"/>
            <w:tcBorders>
              <w:bottom w:val="single" w:sz="8" w:color="auto"/>
            </w:tcBorders>
            <w:vMerge w:val="continue"/>
            <w:shd w:val="clear" w:color="auto" w:fill="E7E7E8"/>
          </w:tcPr>
          <w:p>
            <w:pPr>
              <w:spacing w:after="0"/>
              <w:rPr>
                <w:sz w:val="18"/>
                <w:szCs w:val="18"/>
                <w:color w:val="auto"/>
              </w:rPr>
            </w:pPr>
          </w:p>
        </w:tc>
        <w:tc>
          <w:tcPr>
            <w:tcW w:w="900" w:type="dxa"/>
            <w:vAlign w:val="bottom"/>
            <w:tcBorders>
              <w:bottom w:val="single" w:sz="8" w:color="auto"/>
            </w:tcBorders>
            <w:shd w:val="clear" w:color="auto" w:fill="E7E7E8"/>
          </w:tcPr>
          <w:p>
            <w:pPr>
              <w:spacing w:after="0"/>
              <w:rPr>
                <w:sz w:val="18"/>
                <w:szCs w:val="18"/>
                <w:color w:val="auto"/>
              </w:rPr>
            </w:pPr>
          </w:p>
        </w:tc>
        <w:tc>
          <w:tcPr>
            <w:tcW w:w="300" w:type="dxa"/>
            <w:vAlign w:val="bottom"/>
            <w:tcBorders>
              <w:bottom w:val="single" w:sz="8" w:color="auto"/>
            </w:tcBorders>
            <w:vMerge w:val="continue"/>
            <w:shd w:val="clear" w:color="auto" w:fill="E7E7E8"/>
          </w:tcPr>
          <w:p>
            <w:pPr>
              <w:spacing w:after="0"/>
              <w:rPr>
                <w:sz w:val="18"/>
                <w:szCs w:val="18"/>
                <w:color w:val="auto"/>
              </w:rPr>
            </w:pPr>
          </w:p>
        </w:tc>
        <w:tc>
          <w:tcPr>
            <w:tcW w:w="1060" w:type="dxa"/>
            <w:vAlign w:val="bottom"/>
            <w:tcBorders>
              <w:bottom w:val="single" w:sz="8" w:color="auto"/>
            </w:tcBorders>
            <w:vMerge w:val="continue"/>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300" w:type="dxa"/>
            <w:vAlign w:val="bottom"/>
            <w:tcBorders>
              <w:bottom w:val="single" w:sz="8" w:color="auto"/>
            </w:tcBorders>
            <w:vMerge w:val="continue"/>
            <w:shd w:val="clear" w:color="auto" w:fill="E7E7E8"/>
          </w:tcPr>
          <w:p>
            <w:pPr>
              <w:spacing w:after="0"/>
              <w:rPr>
                <w:sz w:val="18"/>
                <w:szCs w:val="18"/>
                <w:color w:val="auto"/>
              </w:rPr>
            </w:pPr>
          </w:p>
        </w:tc>
        <w:tc>
          <w:tcPr>
            <w:tcW w:w="106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E7E7E8"/>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5" w:name="page6"/>
    <w:bookmarkEnd w:id="5"/>
    <w:p>
      <w:pPr>
        <w:jc w:val="center"/>
        <w:ind w:left="340" w:right="2560"/>
        <w:spacing w:after="0" w:line="277" w:lineRule="auto"/>
        <w:rPr>
          <w:sz w:val="20"/>
          <w:szCs w:val="20"/>
          <w:color w:val="auto"/>
        </w:rPr>
      </w:pPr>
      <w:r>
        <w:rPr>
          <w:rFonts w:ascii="Arial" w:cs="Arial" w:eastAsia="Arial" w:hAnsi="Arial"/>
          <w:sz w:val="23"/>
          <w:szCs w:val="23"/>
          <w:color w:val="1D2758"/>
        </w:rPr>
        <w:t>WillScot Mobile Mini Holdings Corp. Condensed Consolidated Statements of Changes in Equity (Unaudited)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60" w:type="dxa"/>
            <w:vAlign w:val="bottom"/>
            <w:shd w:val="clear" w:color="auto" w:fill="1D2758"/>
          </w:tcPr>
          <w:p>
            <w:pPr>
              <w:spacing w:after="0"/>
              <w:rPr>
                <w:sz w:val="13"/>
                <w:szCs w:val="13"/>
                <w:color w:val="auto"/>
              </w:rPr>
            </w:pPr>
          </w:p>
        </w:tc>
        <w:tc>
          <w:tcPr>
            <w:tcW w:w="84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74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70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1020" w:type="dxa"/>
            <w:vAlign w:val="bottom"/>
            <w:gridSpan w:val="2"/>
            <w:shd w:val="clear" w:color="auto" w:fill="1D2758"/>
          </w:tcPr>
          <w:p>
            <w:pPr>
              <w:jc w:val="center"/>
              <w:spacing w:after="0"/>
              <w:rPr>
                <w:sz w:val="20"/>
                <w:szCs w:val="20"/>
                <w:color w:val="auto"/>
              </w:rPr>
            </w:pPr>
            <w:r>
              <w:rPr>
                <w:rFonts w:ascii="Arial" w:cs="Arial" w:eastAsia="Arial" w:hAnsi="Arial"/>
                <w:sz w:val="13"/>
                <w:szCs w:val="13"/>
                <w:b w:val="1"/>
                <w:bCs w:val="1"/>
                <w:color w:val="FFFFFF"/>
                <w:w w:val="95"/>
              </w:rPr>
              <w:t>Accumulated</w:t>
            </w:r>
          </w:p>
        </w:tc>
        <w:tc>
          <w:tcPr>
            <w:tcW w:w="10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80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6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80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1D2758"/>
          </w:tcPr>
          <w:p>
            <w:pPr>
              <w:spacing w:after="0"/>
              <w:rPr>
                <w:sz w:val="12"/>
                <w:szCs w:val="12"/>
                <w:color w:val="auto"/>
              </w:rPr>
            </w:pPr>
          </w:p>
        </w:tc>
        <w:tc>
          <w:tcPr>
            <w:tcW w:w="1740" w:type="dxa"/>
            <w:vAlign w:val="bottom"/>
            <w:gridSpan w:val="3"/>
            <w:shd w:val="clear" w:color="auto" w:fill="1D2758"/>
          </w:tcPr>
          <w:p>
            <w:pPr>
              <w:jc w:val="right"/>
              <w:ind w:right="280"/>
              <w:spacing w:after="0" w:line="148" w:lineRule="exact"/>
              <w:rPr>
                <w:sz w:val="20"/>
                <w:szCs w:val="20"/>
                <w:color w:val="auto"/>
              </w:rPr>
            </w:pPr>
            <w:r>
              <w:rPr>
                <w:rFonts w:ascii="Arial" w:cs="Arial" w:eastAsia="Arial" w:hAnsi="Arial"/>
                <w:sz w:val="13"/>
                <w:szCs w:val="13"/>
                <w:b w:val="1"/>
                <w:bCs w:val="1"/>
                <w:color w:val="FFFFFF"/>
              </w:rPr>
              <w:t>Common Stock</w:t>
            </w:r>
            <w:r>
              <w:rPr>
                <w:rFonts w:ascii="Arial" w:cs="Arial" w:eastAsia="Arial" w:hAnsi="Arial"/>
                <w:sz w:val="16"/>
                <w:szCs w:val="16"/>
                <w:b w:val="1"/>
                <w:bCs w:val="1"/>
                <w:color w:val="FFFFFF"/>
                <w:vertAlign w:val="superscript"/>
              </w:rPr>
              <w:t>(1)</w:t>
            </w:r>
          </w:p>
        </w:tc>
        <w:tc>
          <w:tcPr>
            <w:tcW w:w="1660" w:type="dxa"/>
            <w:vAlign w:val="bottom"/>
            <w:gridSpan w:val="3"/>
            <w:shd w:val="clear" w:color="auto" w:fill="1D2758"/>
          </w:tcPr>
          <w:p>
            <w:pPr>
              <w:jc w:val="right"/>
              <w:ind w:right="60"/>
              <w:spacing w:after="0"/>
              <w:rPr>
                <w:sz w:val="20"/>
                <w:szCs w:val="20"/>
                <w:color w:val="auto"/>
              </w:rPr>
            </w:pPr>
            <w:r>
              <w:rPr>
                <w:rFonts w:ascii="Arial" w:cs="Arial" w:eastAsia="Arial" w:hAnsi="Arial"/>
                <w:sz w:val="13"/>
                <w:szCs w:val="13"/>
                <w:b w:val="1"/>
                <w:bCs w:val="1"/>
                <w:color w:val="FFFFFF"/>
              </w:rPr>
              <w:t>Class B Common Stock</w:t>
            </w:r>
          </w:p>
        </w:tc>
        <w:tc>
          <w:tcPr>
            <w:tcW w:w="160" w:type="dxa"/>
            <w:vAlign w:val="bottom"/>
            <w:shd w:val="clear" w:color="auto" w:fill="1D2758"/>
          </w:tcPr>
          <w:p>
            <w:pPr>
              <w:spacing w:after="0"/>
              <w:rPr>
                <w:sz w:val="12"/>
                <w:szCs w:val="12"/>
                <w:color w:val="auto"/>
              </w:rPr>
            </w:pPr>
          </w:p>
        </w:tc>
        <w:tc>
          <w:tcPr>
            <w:tcW w:w="820" w:type="dxa"/>
            <w:vAlign w:val="bottom"/>
            <w:shd w:val="clear" w:color="auto" w:fill="1D2758"/>
          </w:tcPr>
          <w:p>
            <w:pPr>
              <w:spacing w:after="0"/>
              <w:rPr>
                <w:sz w:val="12"/>
                <w:szCs w:val="12"/>
                <w:color w:val="auto"/>
              </w:rPr>
            </w:pPr>
          </w:p>
        </w:tc>
        <w:tc>
          <w:tcPr>
            <w:tcW w:w="240" w:type="dxa"/>
            <w:vAlign w:val="bottom"/>
            <w:shd w:val="clear" w:color="auto" w:fill="1D2758"/>
          </w:tcPr>
          <w:p>
            <w:pPr>
              <w:spacing w:after="0"/>
              <w:rPr>
                <w:sz w:val="12"/>
                <w:szCs w:val="12"/>
                <w:color w:val="auto"/>
              </w:rPr>
            </w:pPr>
          </w:p>
        </w:tc>
        <w:tc>
          <w:tcPr>
            <w:tcW w:w="780" w:type="dxa"/>
            <w:vAlign w:val="bottom"/>
            <w:shd w:val="clear" w:color="auto" w:fill="1D2758"/>
          </w:tcPr>
          <w:p>
            <w:pPr>
              <w:jc w:val="center"/>
              <w:ind w:right="121"/>
              <w:spacing w:after="0"/>
              <w:rPr>
                <w:sz w:val="20"/>
                <w:szCs w:val="20"/>
                <w:color w:val="auto"/>
              </w:rPr>
            </w:pPr>
            <w:r>
              <w:rPr>
                <w:rFonts w:ascii="Arial" w:cs="Arial" w:eastAsia="Arial" w:hAnsi="Arial"/>
                <w:sz w:val="13"/>
                <w:szCs w:val="13"/>
                <w:b w:val="1"/>
                <w:bCs w:val="1"/>
                <w:color w:val="FFFFFF"/>
                <w:w w:val="97"/>
              </w:rPr>
              <w:t>Other</w:t>
            </w:r>
          </w:p>
        </w:tc>
        <w:tc>
          <w:tcPr>
            <w:tcW w:w="100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800" w:type="dxa"/>
            <w:vAlign w:val="bottom"/>
            <w:shd w:val="clear" w:color="auto" w:fill="1D2758"/>
          </w:tcPr>
          <w:p>
            <w:pPr>
              <w:jc w:val="center"/>
              <w:ind w:right="21"/>
              <w:spacing w:after="0"/>
              <w:rPr>
                <w:sz w:val="20"/>
                <w:szCs w:val="20"/>
                <w:color w:val="auto"/>
              </w:rPr>
            </w:pPr>
            <w:r>
              <w:rPr>
                <w:rFonts w:ascii="Arial" w:cs="Arial" w:eastAsia="Arial" w:hAnsi="Arial"/>
                <w:sz w:val="13"/>
                <w:szCs w:val="13"/>
                <w:b w:val="1"/>
                <w:bCs w:val="1"/>
                <w:color w:val="FFFFFF"/>
                <w:w w:val="96"/>
              </w:rPr>
              <w:t>Total</w:t>
            </w:r>
          </w:p>
        </w:tc>
        <w:tc>
          <w:tcPr>
            <w:tcW w:w="160" w:type="dxa"/>
            <w:vAlign w:val="bottom"/>
            <w:shd w:val="clear" w:color="auto" w:fill="1D2758"/>
          </w:tcPr>
          <w:p>
            <w:pPr>
              <w:spacing w:after="0"/>
              <w:rPr>
                <w:sz w:val="12"/>
                <w:szCs w:val="12"/>
                <w:color w:val="auto"/>
              </w:rPr>
            </w:pPr>
          </w:p>
        </w:tc>
        <w:tc>
          <w:tcPr>
            <w:tcW w:w="680" w:type="dxa"/>
            <w:vAlign w:val="bottom"/>
            <w:shd w:val="clear" w:color="auto" w:fill="1D2758"/>
          </w:tcPr>
          <w:p>
            <w:pPr>
              <w:jc w:val="center"/>
              <w:ind w:right="81"/>
              <w:spacing w:after="0"/>
              <w:rPr>
                <w:sz w:val="20"/>
                <w:szCs w:val="20"/>
                <w:color w:val="auto"/>
              </w:rPr>
            </w:pPr>
            <w:r>
              <w:rPr>
                <w:rFonts w:ascii="Arial" w:cs="Arial" w:eastAsia="Arial" w:hAnsi="Arial"/>
                <w:sz w:val="13"/>
                <w:szCs w:val="13"/>
                <w:b w:val="1"/>
                <w:bCs w:val="1"/>
                <w:color w:val="FFFFFF"/>
                <w:w w:val="94"/>
              </w:rPr>
              <w:t>Non-</w:t>
            </w:r>
          </w:p>
        </w:tc>
        <w:tc>
          <w:tcPr>
            <w:tcW w:w="120" w:type="dxa"/>
            <w:vAlign w:val="bottom"/>
            <w:shd w:val="clear" w:color="auto" w:fill="1D2758"/>
          </w:tcPr>
          <w:p>
            <w:pPr>
              <w:spacing w:after="0"/>
              <w:rPr>
                <w:sz w:val="12"/>
                <w:szCs w:val="12"/>
                <w:color w:val="auto"/>
              </w:rPr>
            </w:pPr>
          </w:p>
        </w:tc>
        <w:tc>
          <w:tcPr>
            <w:tcW w:w="80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6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vMerge w:val="restart"/>
            <w:shd w:val="clear" w:color="auto" w:fill="1D2758"/>
          </w:tcPr>
          <w:p>
            <w:pPr>
              <w:jc w:val="right"/>
              <w:ind w:right="121"/>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1D2758"/>
          </w:tcPr>
          <w:p>
            <w:pPr>
              <w:spacing w:after="0"/>
              <w:rPr>
                <w:sz w:val="8"/>
                <w:szCs w:val="8"/>
                <w:color w:val="auto"/>
              </w:rPr>
            </w:pPr>
          </w:p>
        </w:tc>
        <w:tc>
          <w:tcPr>
            <w:tcW w:w="740" w:type="dxa"/>
            <w:vAlign w:val="bottom"/>
            <w:vMerge w:val="restart"/>
            <w:shd w:val="clear" w:color="auto" w:fill="1D2758"/>
          </w:tcPr>
          <w:p>
            <w:pPr>
              <w:jc w:val="right"/>
              <w:ind w:right="140"/>
              <w:spacing w:after="0"/>
              <w:rPr>
                <w:sz w:val="20"/>
                <w:szCs w:val="20"/>
                <w:color w:val="auto"/>
              </w:rPr>
            </w:pPr>
            <w:r>
              <w:rPr>
                <w:rFonts w:ascii="Arial" w:cs="Arial" w:eastAsia="Arial" w:hAnsi="Arial"/>
                <w:sz w:val="13"/>
                <w:szCs w:val="13"/>
                <w:b w:val="1"/>
                <w:bCs w:val="1"/>
                <w:color w:val="FFFFFF"/>
              </w:rPr>
              <w:t>Amount</w:t>
            </w:r>
          </w:p>
        </w:tc>
        <w:tc>
          <w:tcPr>
            <w:tcW w:w="820" w:type="dxa"/>
            <w:vAlign w:val="bottom"/>
            <w:vMerge w:val="restart"/>
            <w:shd w:val="clear" w:color="auto" w:fill="1D2758"/>
          </w:tcPr>
          <w:p>
            <w:pPr>
              <w:jc w:val="right"/>
              <w:ind w:right="141"/>
              <w:spacing w:after="0"/>
              <w:rPr>
                <w:sz w:val="20"/>
                <w:szCs w:val="20"/>
                <w:color w:val="auto"/>
              </w:rPr>
            </w:pPr>
            <w:r>
              <w:rPr>
                <w:rFonts w:ascii="Arial" w:cs="Arial" w:eastAsia="Arial" w:hAnsi="Arial"/>
                <w:sz w:val="13"/>
                <w:szCs w:val="13"/>
                <w:b w:val="1"/>
                <w:bCs w:val="1"/>
                <w:color w:val="FFFFFF"/>
              </w:rPr>
              <w:t>Shares</w:t>
            </w:r>
          </w:p>
        </w:tc>
        <w:tc>
          <w:tcPr>
            <w:tcW w:w="140" w:type="dxa"/>
            <w:vAlign w:val="bottom"/>
            <w:shd w:val="clear" w:color="auto" w:fill="1D2758"/>
          </w:tcPr>
          <w:p>
            <w:pPr>
              <w:spacing w:after="0"/>
              <w:rPr>
                <w:sz w:val="8"/>
                <w:szCs w:val="8"/>
                <w:color w:val="auto"/>
              </w:rPr>
            </w:pPr>
          </w:p>
        </w:tc>
        <w:tc>
          <w:tcPr>
            <w:tcW w:w="700" w:type="dxa"/>
            <w:vAlign w:val="bottom"/>
            <w:vMerge w:val="restart"/>
            <w:shd w:val="clear" w:color="auto" w:fill="1D2758"/>
          </w:tcPr>
          <w:p>
            <w:pPr>
              <w:jc w:val="right"/>
              <w:ind w:right="100"/>
              <w:spacing w:after="0"/>
              <w:rPr>
                <w:sz w:val="20"/>
                <w:szCs w:val="20"/>
                <w:color w:val="auto"/>
              </w:rPr>
            </w:pPr>
            <w:r>
              <w:rPr>
                <w:rFonts w:ascii="Arial" w:cs="Arial" w:eastAsia="Arial" w:hAnsi="Arial"/>
                <w:sz w:val="13"/>
                <w:szCs w:val="13"/>
                <w:b w:val="1"/>
                <w:bCs w:val="1"/>
                <w:color w:val="FFFFFF"/>
              </w:rPr>
              <w:t>Amount</w:t>
            </w:r>
          </w:p>
        </w:tc>
        <w:tc>
          <w:tcPr>
            <w:tcW w:w="2000" w:type="dxa"/>
            <w:vAlign w:val="bottom"/>
            <w:gridSpan w:val="4"/>
            <w:shd w:val="clear" w:color="auto" w:fill="1D2758"/>
          </w:tcPr>
          <w:p>
            <w:pPr>
              <w:jc w:val="right"/>
              <w:spacing w:after="0" w:line="95" w:lineRule="exact"/>
              <w:rPr>
                <w:sz w:val="20"/>
                <w:szCs w:val="20"/>
                <w:color w:val="auto"/>
              </w:rPr>
            </w:pPr>
            <w:r>
              <w:rPr>
                <w:rFonts w:ascii="Arial" w:cs="Arial" w:eastAsia="Arial" w:hAnsi="Arial"/>
                <w:sz w:val="10"/>
                <w:szCs w:val="10"/>
                <w:b w:val="1"/>
                <w:bCs w:val="1"/>
                <w:color w:val="FFFFFF"/>
              </w:rPr>
              <w:t>Additional Paid- Comprehensive</w:t>
            </w:r>
          </w:p>
        </w:tc>
        <w:tc>
          <w:tcPr>
            <w:tcW w:w="1000" w:type="dxa"/>
            <w:vAlign w:val="bottom"/>
            <w:shd w:val="clear" w:color="auto" w:fill="1D2758"/>
          </w:tcPr>
          <w:p>
            <w:pPr>
              <w:jc w:val="right"/>
              <w:ind w:right="21"/>
              <w:spacing w:after="0" w:line="95" w:lineRule="exact"/>
              <w:rPr>
                <w:sz w:val="20"/>
                <w:szCs w:val="20"/>
                <w:color w:val="auto"/>
              </w:rPr>
            </w:pPr>
            <w:r>
              <w:rPr>
                <w:rFonts w:ascii="Arial" w:cs="Arial" w:eastAsia="Arial" w:hAnsi="Arial"/>
                <w:sz w:val="10"/>
                <w:szCs w:val="10"/>
                <w:b w:val="1"/>
                <w:bCs w:val="1"/>
                <w:color w:val="FFFFFF"/>
              </w:rPr>
              <w:t>Accumulated</w:t>
            </w:r>
          </w:p>
        </w:tc>
        <w:tc>
          <w:tcPr>
            <w:tcW w:w="920" w:type="dxa"/>
            <w:vAlign w:val="bottom"/>
            <w:gridSpan w:val="2"/>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Shareholders'</w:t>
            </w:r>
          </w:p>
        </w:tc>
        <w:tc>
          <w:tcPr>
            <w:tcW w:w="840" w:type="dxa"/>
            <w:vAlign w:val="bottom"/>
            <w:gridSpan w:val="2"/>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Controlling</w:t>
            </w:r>
          </w:p>
        </w:tc>
        <w:tc>
          <w:tcPr>
            <w:tcW w:w="920" w:type="dxa"/>
            <w:vAlign w:val="bottom"/>
            <w:gridSpan w:val="2"/>
            <w:vMerge w:val="restart"/>
            <w:shd w:val="clear" w:color="auto" w:fill="1D2758"/>
          </w:tcPr>
          <w:p>
            <w:pPr>
              <w:jc w:val="right"/>
              <w:ind w:right="19"/>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176"/>
        </w:trPr>
        <w:tc>
          <w:tcPr>
            <w:tcW w:w="2160" w:type="dxa"/>
            <w:vAlign w:val="bottom"/>
            <w:vMerge w:val="continue"/>
            <w:shd w:val="clear" w:color="auto" w:fill="1D2758"/>
          </w:tcPr>
          <w:p>
            <w:pPr>
              <w:spacing w:after="0"/>
              <w:rPr>
                <w:sz w:val="15"/>
                <w:szCs w:val="15"/>
                <w:color w:val="auto"/>
              </w:rPr>
            </w:pPr>
          </w:p>
        </w:tc>
        <w:tc>
          <w:tcPr>
            <w:tcW w:w="840" w:type="dxa"/>
            <w:vAlign w:val="bottom"/>
            <w:vMerge w:val="continue"/>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740" w:type="dxa"/>
            <w:vAlign w:val="bottom"/>
            <w:vMerge w:val="continue"/>
            <w:shd w:val="clear" w:color="auto" w:fill="1D2758"/>
          </w:tcPr>
          <w:p>
            <w:pPr>
              <w:spacing w:after="0"/>
              <w:rPr>
                <w:sz w:val="15"/>
                <w:szCs w:val="15"/>
                <w:color w:val="auto"/>
              </w:rPr>
            </w:pPr>
          </w:p>
        </w:tc>
        <w:tc>
          <w:tcPr>
            <w:tcW w:w="820" w:type="dxa"/>
            <w:vAlign w:val="bottom"/>
            <w:vMerge w:val="continue"/>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700" w:type="dxa"/>
            <w:vAlign w:val="bottom"/>
            <w:vMerge w:val="continue"/>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820" w:type="dxa"/>
            <w:vAlign w:val="bottom"/>
            <w:shd w:val="clear" w:color="auto" w:fill="1D2758"/>
          </w:tcPr>
          <w:p>
            <w:pPr>
              <w:jc w:val="right"/>
              <w:ind w:right="100"/>
              <w:spacing w:after="0"/>
              <w:rPr>
                <w:sz w:val="20"/>
                <w:szCs w:val="20"/>
                <w:color w:val="auto"/>
              </w:rPr>
            </w:pPr>
            <w:r>
              <w:rPr>
                <w:rFonts w:ascii="Arial" w:cs="Arial" w:eastAsia="Arial" w:hAnsi="Arial"/>
                <w:sz w:val="13"/>
                <w:szCs w:val="13"/>
                <w:b w:val="1"/>
                <w:bCs w:val="1"/>
                <w:color w:val="FFFFFF"/>
              </w:rPr>
              <w:t>in-Capital</w:t>
            </w:r>
          </w:p>
        </w:tc>
        <w:tc>
          <w:tcPr>
            <w:tcW w:w="240" w:type="dxa"/>
            <w:vAlign w:val="bottom"/>
            <w:shd w:val="clear" w:color="auto" w:fill="1D2758"/>
          </w:tcPr>
          <w:p>
            <w:pPr>
              <w:spacing w:after="0"/>
              <w:rPr>
                <w:sz w:val="15"/>
                <w:szCs w:val="15"/>
                <w:color w:val="auto"/>
              </w:rPr>
            </w:pPr>
          </w:p>
        </w:tc>
        <w:tc>
          <w:tcPr>
            <w:tcW w:w="780" w:type="dxa"/>
            <w:vAlign w:val="bottom"/>
            <w:shd w:val="clear" w:color="auto" w:fill="1D2758"/>
          </w:tcPr>
          <w:p>
            <w:pPr>
              <w:jc w:val="center"/>
              <w:ind w:right="121"/>
              <w:spacing w:after="0"/>
              <w:rPr>
                <w:sz w:val="20"/>
                <w:szCs w:val="20"/>
                <w:color w:val="auto"/>
              </w:rPr>
            </w:pPr>
            <w:r>
              <w:rPr>
                <w:rFonts w:ascii="Arial" w:cs="Arial" w:eastAsia="Arial" w:hAnsi="Arial"/>
                <w:sz w:val="13"/>
                <w:szCs w:val="13"/>
                <w:b w:val="1"/>
                <w:bCs w:val="1"/>
                <w:color w:val="FFFFFF"/>
                <w:w w:val="98"/>
              </w:rPr>
              <w:t>Loss</w:t>
            </w:r>
          </w:p>
        </w:tc>
        <w:tc>
          <w:tcPr>
            <w:tcW w:w="1000" w:type="dxa"/>
            <w:vAlign w:val="bottom"/>
            <w:shd w:val="clear" w:color="auto" w:fill="1D2758"/>
          </w:tcPr>
          <w:p>
            <w:pPr>
              <w:jc w:val="right"/>
              <w:ind w:right="221"/>
              <w:spacing w:after="0"/>
              <w:rPr>
                <w:sz w:val="20"/>
                <w:szCs w:val="20"/>
                <w:color w:val="auto"/>
              </w:rPr>
            </w:pPr>
            <w:r>
              <w:rPr>
                <w:rFonts w:ascii="Arial" w:cs="Arial" w:eastAsia="Arial" w:hAnsi="Arial"/>
                <w:sz w:val="13"/>
                <w:szCs w:val="13"/>
                <w:b w:val="1"/>
                <w:bCs w:val="1"/>
                <w:color w:val="FFFFFF"/>
              </w:rPr>
              <w:t>Deficit</w:t>
            </w:r>
          </w:p>
        </w:tc>
        <w:tc>
          <w:tcPr>
            <w:tcW w:w="120" w:type="dxa"/>
            <w:vAlign w:val="bottom"/>
            <w:shd w:val="clear" w:color="auto" w:fill="1D2758"/>
          </w:tcPr>
          <w:p>
            <w:pPr>
              <w:spacing w:after="0"/>
              <w:rPr>
                <w:sz w:val="15"/>
                <w:szCs w:val="15"/>
                <w:color w:val="auto"/>
              </w:rPr>
            </w:pPr>
          </w:p>
        </w:tc>
        <w:tc>
          <w:tcPr>
            <w:tcW w:w="800" w:type="dxa"/>
            <w:vAlign w:val="bottom"/>
            <w:shd w:val="clear" w:color="auto" w:fill="1D2758"/>
          </w:tcPr>
          <w:p>
            <w:pPr>
              <w:jc w:val="center"/>
              <w:ind w:right="21"/>
              <w:spacing w:after="0"/>
              <w:rPr>
                <w:sz w:val="20"/>
                <w:szCs w:val="20"/>
                <w:color w:val="auto"/>
              </w:rPr>
            </w:pPr>
            <w:r>
              <w:rPr>
                <w:rFonts w:ascii="Arial" w:cs="Arial" w:eastAsia="Arial" w:hAnsi="Arial"/>
                <w:sz w:val="13"/>
                <w:szCs w:val="13"/>
                <w:b w:val="1"/>
                <w:bCs w:val="1"/>
                <w:color w:val="FFFFFF"/>
                <w:w w:val="95"/>
              </w:rPr>
              <w:t>Equity</w:t>
            </w:r>
          </w:p>
        </w:tc>
        <w:tc>
          <w:tcPr>
            <w:tcW w:w="160" w:type="dxa"/>
            <w:vAlign w:val="bottom"/>
            <w:shd w:val="clear" w:color="auto" w:fill="1D2758"/>
          </w:tcPr>
          <w:p>
            <w:pPr>
              <w:spacing w:after="0"/>
              <w:rPr>
                <w:sz w:val="15"/>
                <w:szCs w:val="15"/>
                <w:color w:val="auto"/>
              </w:rPr>
            </w:pPr>
          </w:p>
        </w:tc>
        <w:tc>
          <w:tcPr>
            <w:tcW w:w="680" w:type="dxa"/>
            <w:vAlign w:val="bottom"/>
            <w:shd w:val="clear" w:color="auto" w:fill="1D2758"/>
          </w:tcPr>
          <w:p>
            <w:pPr>
              <w:jc w:val="center"/>
              <w:ind w:right="61"/>
              <w:spacing w:after="0"/>
              <w:rPr>
                <w:sz w:val="20"/>
                <w:szCs w:val="20"/>
                <w:color w:val="auto"/>
              </w:rPr>
            </w:pPr>
            <w:r>
              <w:rPr>
                <w:rFonts w:ascii="Arial" w:cs="Arial" w:eastAsia="Arial" w:hAnsi="Arial"/>
                <w:sz w:val="13"/>
                <w:szCs w:val="13"/>
                <w:b w:val="1"/>
                <w:bCs w:val="1"/>
                <w:color w:val="FFFFFF"/>
                <w:w w:val="97"/>
              </w:rPr>
              <w:t>Interest</w:t>
            </w:r>
          </w:p>
        </w:tc>
        <w:tc>
          <w:tcPr>
            <w:tcW w:w="920" w:type="dxa"/>
            <w:vAlign w:val="bottom"/>
            <w:gridSpan w:val="2"/>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Balance at December 31,</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108,819</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7E7E8"/>
          </w:tcPr>
          <w:p>
            <w:pPr>
              <w:jc w:val="right"/>
              <w:ind w:right="20"/>
              <w:spacing w:after="0"/>
              <w:rPr>
                <w:sz w:val="20"/>
                <w:szCs w:val="20"/>
                <w:color w:val="auto"/>
              </w:rPr>
            </w:pPr>
            <w:r>
              <w:rPr>
                <w:rFonts w:ascii="Arial" w:cs="Arial" w:eastAsia="Arial" w:hAnsi="Arial"/>
                <w:sz w:val="16"/>
                <w:szCs w:val="16"/>
                <w:color w:val="auto"/>
              </w:rPr>
              <w:t>11</w:t>
            </w:r>
          </w:p>
        </w:tc>
        <w:tc>
          <w:tcPr>
            <w:tcW w:w="820" w:type="dxa"/>
            <w:vAlign w:val="bottom"/>
            <w:vMerge w:val="restart"/>
            <w:shd w:val="clear" w:color="auto" w:fill="E7E7E8"/>
          </w:tcPr>
          <w:p>
            <w:pPr>
              <w:jc w:val="right"/>
              <w:ind w:right="1"/>
              <w:spacing w:after="0"/>
              <w:rPr>
                <w:sz w:val="20"/>
                <w:szCs w:val="20"/>
                <w:color w:val="auto"/>
              </w:rPr>
            </w:pPr>
            <w:r>
              <w:rPr>
                <w:rFonts w:ascii="Arial" w:cs="Arial" w:eastAsia="Arial" w:hAnsi="Arial"/>
                <w:sz w:val="16"/>
                <w:szCs w:val="16"/>
                <w:color w:val="auto"/>
              </w:rPr>
              <w:t>8,024</w:t>
            </w:r>
          </w:p>
        </w:tc>
        <w:tc>
          <w:tcPr>
            <w:tcW w:w="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2,396,501</w:t>
            </w:r>
          </w:p>
        </w:tc>
        <w:tc>
          <w:tcPr>
            <w:tcW w:w="240" w:type="dxa"/>
            <w:vAlign w:val="bottom"/>
            <w:vMerge w:val="restart"/>
            <w:shd w:val="clear" w:color="auto" w:fill="E7E7E8"/>
          </w:tcPr>
          <w:p>
            <w:pPr>
              <w:jc w:val="right"/>
              <w:ind w:right="23"/>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(62,775)</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(1,689,373)</w:t>
            </w: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644,365</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64,590</w:t>
            </w:r>
          </w:p>
        </w:tc>
        <w:tc>
          <w:tcPr>
            <w:tcW w:w="120" w:type="dxa"/>
            <w:vAlign w:val="bottom"/>
            <w:shd w:val="clear" w:color="auto" w:fill="E7E7E8"/>
          </w:tcPr>
          <w:p>
            <w:pPr>
              <w:jc w:val="right"/>
              <w:spacing w:after="0" w:line="162" w:lineRule="exact"/>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spacing w:after="0" w:line="162" w:lineRule="exact"/>
              <w:rPr>
                <w:sz w:val="20"/>
                <w:szCs w:val="20"/>
                <w:color w:val="auto"/>
              </w:rPr>
            </w:pPr>
            <w:r>
              <w:rPr>
                <w:rFonts w:ascii="Arial" w:cs="Arial" w:eastAsia="Arial" w:hAnsi="Arial"/>
                <w:sz w:val="16"/>
                <w:szCs w:val="16"/>
                <w:color w:val="auto"/>
              </w:rPr>
              <w:t>708,955</w:t>
            </w: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84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40" w:type="dxa"/>
            <w:vAlign w:val="bottom"/>
            <w:vMerge w:val="continue"/>
            <w:shd w:val="clear" w:color="auto" w:fill="E7E7E8"/>
          </w:tcPr>
          <w:p>
            <w:pPr>
              <w:spacing w:after="0"/>
              <w:rPr>
                <w:sz w:val="18"/>
                <w:szCs w:val="18"/>
                <w:color w:val="auto"/>
              </w:rPr>
            </w:pPr>
          </w:p>
        </w:tc>
        <w:tc>
          <w:tcPr>
            <w:tcW w:w="820" w:type="dxa"/>
            <w:vAlign w:val="bottom"/>
            <w:vMerge w:val="continue"/>
            <w:shd w:val="clear" w:color="auto" w:fill="E7E7E8"/>
          </w:tcPr>
          <w:p>
            <w:pPr>
              <w:spacing w:after="0"/>
              <w:rPr>
                <w:sz w:val="18"/>
                <w:szCs w:val="18"/>
                <w:color w:val="auto"/>
              </w:rPr>
            </w:pPr>
          </w:p>
        </w:tc>
        <w:tc>
          <w:tcPr>
            <w:tcW w:w="140" w:type="dxa"/>
            <w:vAlign w:val="bottom"/>
            <w:vMerge w:val="continue"/>
            <w:shd w:val="clear" w:color="auto" w:fill="E7E7E8"/>
          </w:tcPr>
          <w:p>
            <w:pPr>
              <w:spacing w:after="0"/>
              <w:rPr>
                <w:sz w:val="18"/>
                <w:szCs w:val="18"/>
                <w:color w:val="auto"/>
              </w:rPr>
            </w:pPr>
          </w:p>
        </w:tc>
        <w:tc>
          <w:tcPr>
            <w:tcW w:w="70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820" w:type="dxa"/>
            <w:vAlign w:val="bottom"/>
            <w:vMerge w:val="continue"/>
            <w:shd w:val="clear" w:color="auto" w:fill="E7E7E8"/>
          </w:tcPr>
          <w:p>
            <w:pPr>
              <w:spacing w:after="0"/>
              <w:rPr>
                <w:sz w:val="18"/>
                <w:szCs w:val="18"/>
                <w:color w:val="auto"/>
              </w:rPr>
            </w:pPr>
          </w:p>
        </w:tc>
        <w:tc>
          <w:tcPr>
            <w:tcW w:w="240" w:type="dxa"/>
            <w:vAlign w:val="bottom"/>
            <w:vMerge w:val="continue"/>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20" w:type="dxa"/>
            <w:vAlign w:val="bottom"/>
            <w:vMerge w:val="continue"/>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68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2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comprehensive loss</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74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(27,199)</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(27,199)</w:t>
            </w:r>
          </w:p>
        </w:tc>
        <w:tc>
          <w:tcPr>
            <w:tcW w:w="160" w:type="dxa"/>
            <w:vAlign w:val="bottom"/>
            <w:shd w:val="clear" w:color="auto" w:fill="E7E7E8"/>
          </w:tcPr>
          <w:p>
            <w:pPr>
              <w:spacing w:after="0"/>
              <w:rPr>
                <w:sz w:val="18"/>
                <w:szCs w:val="18"/>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(2,703)</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(29,902)</w:t>
            </w:r>
          </w:p>
        </w:tc>
        <w:tc>
          <w:tcPr>
            <w:tcW w:w="0" w:type="dxa"/>
            <w:vAlign w:val="bottom"/>
          </w:tcPr>
          <w:p>
            <w:pPr>
              <w:spacing w:after="0"/>
              <w:rPr>
                <w:sz w:val="1"/>
                <w:szCs w:val="1"/>
                <w:color w:val="auto"/>
              </w:rPr>
            </w:pPr>
          </w:p>
        </w:tc>
      </w:tr>
      <w:tr>
        <w:trPr>
          <w:trHeight w:val="162"/>
        </w:trPr>
        <w:tc>
          <w:tcPr>
            <w:tcW w:w="2160" w:type="dxa"/>
            <w:vAlign w:val="bottom"/>
          </w:tcPr>
          <w:p>
            <w:pPr>
              <w:ind w:left="220"/>
              <w:spacing w:after="0" w:line="162" w:lineRule="exact"/>
              <w:rPr>
                <w:sz w:val="20"/>
                <w:szCs w:val="20"/>
                <w:color w:val="auto"/>
              </w:rPr>
            </w:pPr>
            <w:r>
              <w:rPr>
                <w:rFonts w:ascii="Arial" w:cs="Arial" w:eastAsia="Arial" w:hAnsi="Arial"/>
                <w:sz w:val="16"/>
                <w:szCs w:val="16"/>
                <w:color w:val="auto"/>
              </w:rPr>
              <w:t>Stock-based</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1,114</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6"/>
        </w:trPr>
        <w:tc>
          <w:tcPr>
            <w:tcW w:w="2160" w:type="dxa"/>
            <w:vAlign w:val="bottom"/>
          </w:tcPr>
          <w:p>
            <w:pPr>
              <w:ind w:left="220"/>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Common Stock issued in</w:t>
            </w:r>
          </w:p>
        </w:tc>
        <w:tc>
          <w:tcPr>
            <w:tcW w:w="84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jc w:val="right"/>
              <w:spacing w:after="0" w:line="162" w:lineRule="exact"/>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warrant exercises and</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1,497</w:t>
            </w:r>
          </w:p>
        </w:tc>
        <w:tc>
          <w:tcPr>
            <w:tcW w:w="160" w:type="dxa"/>
            <w:vAlign w:val="bottom"/>
            <w:shd w:val="clear" w:color="auto" w:fill="E7E7E8"/>
          </w:tcPr>
          <w:p>
            <w:pPr>
              <w:spacing w:after="0"/>
              <w:rPr>
                <w:sz w:val="14"/>
                <w:szCs w:val="14"/>
                <w:color w:val="auto"/>
              </w:rPr>
            </w:pPr>
          </w:p>
        </w:tc>
        <w:tc>
          <w:tcPr>
            <w:tcW w:w="740" w:type="dxa"/>
            <w:vAlign w:val="bottom"/>
            <w:vMerge w:val="restart"/>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4,580</w:t>
            </w:r>
          </w:p>
        </w:tc>
        <w:tc>
          <w:tcPr>
            <w:tcW w:w="24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4,580</w:t>
            </w:r>
          </w:p>
        </w:tc>
        <w:tc>
          <w:tcPr>
            <w:tcW w:w="160" w:type="dxa"/>
            <w:vAlign w:val="bottom"/>
            <w:shd w:val="clear" w:color="auto" w:fill="E7E7E8"/>
          </w:tcPr>
          <w:p>
            <w:pPr>
              <w:spacing w:after="0"/>
              <w:rPr>
                <w:sz w:val="14"/>
                <w:szCs w:val="14"/>
                <w:color w:val="auto"/>
              </w:rPr>
            </w:pPr>
          </w:p>
        </w:tc>
        <w:tc>
          <w:tcPr>
            <w:tcW w:w="6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redemptions</w:t>
            </w:r>
          </w:p>
        </w:tc>
        <w:tc>
          <w:tcPr>
            <w:tcW w:w="84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740" w:type="dxa"/>
            <w:vAlign w:val="bottom"/>
            <w:tcBorders>
              <w:bottom w:val="single" w:sz="8" w:color="auto"/>
            </w:tcBorders>
            <w:vMerge w:val="continue"/>
            <w:shd w:val="clear" w:color="auto" w:fill="E7E7E8"/>
          </w:tcPr>
          <w:p>
            <w:pPr>
              <w:spacing w:after="0"/>
              <w:rPr>
                <w:sz w:val="18"/>
                <w:szCs w:val="18"/>
                <w:color w:val="auto"/>
              </w:rPr>
            </w:pPr>
          </w:p>
        </w:tc>
        <w:tc>
          <w:tcPr>
            <w:tcW w:w="820" w:type="dxa"/>
            <w:vAlign w:val="bottom"/>
            <w:tcBorders>
              <w:bottom w:val="single" w:sz="8" w:color="auto"/>
            </w:tcBorders>
            <w:vMerge w:val="continue"/>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vMerge w:val="continue"/>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vMerge w:val="continue"/>
            <w:shd w:val="clear" w:color="auto" w:fill="E7E7E8"/>
          </w:tcPr>
          <w:p>
            <w:pPr>
              <w:spacing w:after="0"/>
              <w:rPr>
                <w:sz w:val="18"/>
                <w:szCs w:val="18"/>
                <w:color w:val="auto"/>
              </w:rPr>
            </w:pPr>
          </w:p>
        </w:tc>
        <w:tc>
          <w:tcPr>
            <w:tcW w:w="1000" w:type="dxa"/>
            <w:vAlign w:val="bottom"/>
            <w:tcBorders>
              <w:bottom w:val="single" w:sz="8" w:color="auto"/>
            </w:tcBorders>
            <w:vMerge w:val="continue"/>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80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680" w:type="dxa"/>
            <w:vAlign w:val="bottom"/>
            <w:tcBorders>
              <w:bottom w:val="single" w:sz="8" w:color="auto"/>
            </w:tcBorders>
            <w:vMerge w:val="continue"/>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80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110,555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8,024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2,402,195</w:t>
            </w:r>
          </w:p>
        </w:tc>
        <w:tc>
          <w:tcPr>
            <w:tcW w:w="2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(89,974)</w:t>
            </w:r>
          </w:p>
        </w:tc>
        <w:tc>
          <w:tcPr>
            <w:tcW w:w="1000" w:type="dxa"/>
            <w:vAlign w:val="bottom"/>
          </w:tcPr>
          <w:p>
            <w:pPr>
              <w:jc w:val="right"/>
              <w:spacing w:after="0"/>
              <w:rPr>
                <w:sz w:val="20"/>
                <w:szCs w:val="20"/>
                <w:color w:val="auto"/>
              </w:rPr>
            </w:pPr>
            <w:r>
              <w:rPr>
                <w:rFonts w:ascii="Arial" w:cs="Arial" w:eastAsia="Arial" w:hAnsi="Arial"/>
                <w:sz w:val="16"/>
                <w:szCs w:val="16"/>
                <w:color w:val="auto"/>
              </w:rPr>
              <w:t>$ (1,692,917)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619,316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61,757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681,073</w:t>
            </w: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74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11,490</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11,490</w:t>
            </w:r>
          </w:p>
        </w:tc>
        <w:tc>
          <w:tcPr>
            <w:tcW w:w="160" w:type="dxa"/>
            <w:vAlign w:val="bottom"/>
            <w:shd w:val="clear" w:color="auto" w:fill="E7E7E8"/>
          </w:tcPr>
          <w:p>
            <w:pPr>
              <w:spacing w:after="0"/>
              <w:rPr>
                <w:sz w:val="18"/>
                <w:szCs w:val="18"/>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12,833</w:t>
            </w:r>
          </w:p>
        </w:tc>
        <w:tc>
          <w:tcPr>
            <w:tcW w:w="0" w:type="dxa"/>
            <w:vAlign w:val="bottom"/>
          </w:tcPr>
          <w:p>
            <w:pPr>
              <w:spacing w:after="0"/>
              <w:rPr>
                <w:sz w:val="1"/>
                <w:szCs w:val="1"/>
                <w:color w:val="auto"/>
              </w:rPr>
            </w:pPr>
          </w:p>
        </w:tc>
      </w:tr>
      <w:tr>
        <w:trPr>
          <w:trHeight w:val="162"/>
        </w:trPr>
        <w:tc>
          <w:tcPr>
            <w:tcW w:w="2160" w:type="dxa"/>
            <w:vAlign w:val="bottom"/>
          </w:tcPr>
          <w:p>
            <w:pPr>
              <w:ind w:left="220"/>
              <w:spacing w:after="0" w:line="162" w:lineRule="exact"/>
              <w:rPr>
                <w:sz w:val="20"/>
                <w:szCs w:val="20"/>
                <w:color w:val="auto"/>
              </w:rPr>
            </w:pPr>
            <w:r>
              <w:rPr>
                <w:rFonts w:ascii="Arial" w:cs="Arial" w:eastAsia="Arial" w:hAnsi="Arial"/>
                <w:sz w:val="16"/>
                <w:szCs w:val="16"/>
                <w:color w:val="auto"/>
              </w:rPr>
              <w:t>Other comprehensive</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8,139</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8,139</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8,957</w:t>
            </w:r>
          </w:p>
        </w:tc>
        <w:tc>
          <w:tcPr>
            <w:tcW w:w="0" w:type="dxa"/>
            <w:vAlign w:val="bottom"/>
          </w:tcPr>
          <w:p>
            <w:pPr>
              <w:spacing w:after="0"/>
              <w:rPr>
                <w:sz w:val="1"/>
                <w:szCs w:val="1"/>
                <w:color w:val="auto"/>
              </w:rPr>
            </w:pPr>
          </w:p>
        </w:tc>
      </w:tr>
      <w:tr>
        <w:trPr>
          <w:trHeight w:val="216"/>
        </w:trPr>
        <w:tc>
          <w:tcPr>
            <w:tcW w:w="2160" w:type="dxa"/>
            <w:vAlign w:val="bottom"/>
          </w:tcPr>
          <w:p>
            <w:pPr>
              <w:ind w:left="220"/>
              <w:spacing w:after="0"/>
              <w:rPr>
                <w:sz w:val="20"/>
                <w:szCs w:val="20"/>
                <w:color w:val="auto"/>
              </w:rPr>
            </w:pPr>
            <w:r>
              <w:rPr>
                <w:rFonts w:ascii="Arial" w:cs="Arial" w:eastAsia="Arial" w:hAnsi="Arial"/>
                <w:sz w:val="16"/>
                <w:szCs w:val="16"/>
                <w:color w:val="auto"/>
              </w:rPr>
              <w:t>income</w:t>
            </w: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Stock-based</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40" w:type="dxa"/>
            <w:vAlign w:val="bottom"/>
            <w:vMerge w:val="restart"/>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2,227</w:t>
            </w:r>
          </w:p>
        </w:tc>
        <w:tc>
          <w:tcPr>
            <w:tcW w:w="24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2,227</w:t>
            </w:r>
          </w:p>
        </w:tc>
        <w:tc>
          <w:tcPr>
            <w:tcW w:w="160" w:type="dxa"/>
            <w:vAlign w:val="bottom"/>
            <w:shd w:val="clear" w:color="auto" w:fill="E7E7E8"/>
          </w:tcPr>
          <w:p>
            <w:pPr>
              <w:spacing w:after="0"/>
              <w:rPr>
                <w:sz w:val="14"/>
                <w:szCs w:val="14"/>
                <w:color w:val="auto"/>
              </w:rPr>
            </w:pPr>
          </w:p>
        </w:tc>
        <w:tc>
          <w:tcPr>
            <w:tcW w:w="6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jc w:val="right"/>
              <w:spacing w:after="0" w:line="162" w:lineRule="exact"/>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40" w:type="dxa"/>
            <w:vAlign w:val="bottom"/>
            <w:vMerge w:val="continue"/>
            <w:shd w:val="clear" w:color="auto" w:fill="E7E7E8"/>
          </w:tcPr>
          <w:p>
            <w:pPr>
              <w:spacing w:after="0"/>
              <w:rPr>
                <w:sz w:val="18"/>
                <w:szCs w:val="18"/>
                <w:color w:val="auto"/>
              </w:rPr>
            </w:pPr>
          </w:p>
        </w:tc>
        <w:tc>
          <w:tcPr>
            <w:tcW w:w="820" w:type="dxa"/>
            <w:vAlign w:val="bottom"/>
            <w:vMerge w:val="continue"/>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70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82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68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20"/>
              <w:spacing w:after="0" w:line="162" w:lineRule="exact"/>
              <w:rPr>
                <w:sz w:val="20"/>
                <w:szCs w:val="20"/>
                <w:color w:val="auto"/>
              </w:rPr>
            </w:pPr>
            <w:r>
              <w:rPr>
                <w:rFonts w:ascii="Arial" w:cs="Arial" w:eastAsia="Arial" w:hAnsi="Arial"/>
                <w:sz w:val="16"/>
                <w:szCs w:val="16"/>
                <w:color w:val="auto"/>
              </w:rPr>
              <w:t>Sapphire Exchange - see</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10,641</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(8,024)</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66,890</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(2,972)</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63,918</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(63,918)</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160" w:type="dxa"/>
            <w:vAlign w:val="bottom"/>
          </w:tcPr>
          <w:p>
            <w:pPr>
              <w:ind w:left="220"/>
              <w:spacing w:after="0"/>
              <w:rPr>
                <w:sz w:val="20"/>
                <w:szCs w:val="20"/>
                <w:color w:val="auto"/>
              </w:rPr>
            </w:pPr>
            <w:r>
              <w:rPr>
                <w:rFonts w:ascii="Arial" w:cs="Arial" w:eastAsia="Arial" w:hAnsi="Arial"/>
                <w:sz w:val="16"/>
                <w:szCs w:val="16"/>
                <w:color w:val="auto"/>
              </w:rPr>
              <w:t>Note 10</w:t>
            </w: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Common Stock issued in</w:t>
            </w:r>
          </w:p>
        </w:tc>
        <w:tc>
          <w:tcPr>
            <w:tcW w:w="84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16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warrant exercises and</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E7E7E8"/>
          </w:tcPr>
          <w:p>
            <w:pPr>
              <w:spacing w:after="0"/>
              <w:rPr>
                <w:sz w:val="14"/>
                <w:szCs w:val="14"/>
                <w:color w:val="auto"/>
              </w:rPr>
            </w:pPr>
          </w:p>
        </w:tc>
        <w:tc>
          <w:tcPr>
            <w:tcW w:w="740" w:type="dxa"/>
            <w:vAlign w:val="bottom"/>
            <w:vMerge w:val="restart"/>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6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redemptions</w:t>
            </w:r>
          </w:p>
        </w:tc>
        <w:tc>
          <w:tcPr>
            <w:tcW w:w="84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740" w:type="dxa"/>
            <w:vAlign w:val="bottom"/>
            <w:tcBorders>
              <w:bottom w:val="single" w:sz="8" w:color="auto"/>
            </w:tcBorders>
            <w:vMerge w:val="continue"/>
            <w:shd w:val="clear" w:color="auto" w:fill="E7E7E8"/>
          </w:tcPr>
          <w:p>
            <w:pPr>
              <w:spacing w:after="0"/>
              <w:rPr>
                <w:sz w:val="18"/>
                <w:szCs w:val="18"/>
                <w:color w:val="auto"/>
              </w:rPr>
            </w:pPr>
          </w:p>
        </w:tc>
        <w:tc>
          <w:tcPr>
            <w:tcW w:w="820" w:type="dxa"/>
            <w:vAlign w:val="bottom"/>
            <w:tcBorders>
              <w:bottom w:val="single" w:sz="8" w:color="auto"/>
            </w:tcBorders>
            <w:vMerge w:val="continue"/>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vMerge w:val="continue"/>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vMerge w:val="continue"/>
            <w:shd w:val="clear" w:color="auto" w:fill="E7E7E8"/>
          </w:tcPr>
          <w:p>
            <w:pPr>
              <w:spacing w:after="0"/>
              <w:rPr>
                <w:sz w:val="18"/>
                <w:szCs w:val="18"/>
                <w:color w:val="auto"/>
              </w:rPr>
            </w:pPr>
          </w:p>
        </w:tc>
        <w:tc>
          <w:tcPr>
            <w:tcW w:w="1000" w:type="dxa"/>
            <w:vAlign w:val="bottom"/>
            <w:tcBorders>
              <w:bottom w:val="single" w:sz="8" w:color="auto"/>
            </w:tcBorders>
            <w:vMerge w:val="continue"/>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80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680" w:type="dxa"/>
            <w:vAlign w:val="bottom"/>
            <w:tcBorders>
              <w:bottom w:val="single" w:sz="8" w:color="auto"/>
            </w:tcBorders>
            <w:vMerge w:val="continue"/>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80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840" w:type="dxa"/>
            <w:vAlign w:val="bottom"/>
          </w:tcPr>
          <w:p>
            <w:pPr>
              <w:jc w:val="right"/>
              <w:spacing w:after="0"/>
              <w:rPr>
                <w:sz w:val="20"/>
                <w:szCs w:val="20"/>
                <w:color w:val="auto"/>
              </w:rPr>
            </w:pPr>
            <w:r>
              <w:rPr>
                <w:rFonts w:ascii="Arial" w:cs="Arial" w:eastAsia="Arial" w:hAnsi="Arial"/>
                <w:sz w:val="16"/>
                <w:szCs w:val="16"/>
                <w:color w:val="auto"/>
              </w:rPr>
              <w:t>121,233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2,471,312</w:t>
            </w:r>
          </w:p>
        </w:tc>
        <w:tc>
          <w:tcPr>
            <w:tcW w:w="2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(84,807)</w:t>
            </w:r>
          </w:p>
        </w:tc>
        <w:tc>
          <w:tcPr>
            <w:tcW w:w="1000" w:type="dxa"/>
            <w:vAlign w:val="bottom"/>
          </w:tcPr>
          <w:p>
            <w:pPr>
              <w:jc w:val="right"/>
              <w:spacing w:after="0"/>
              <w:rPr>
                <w:sz w:val="20"/>
                <w:szCs w:val="20"/>
                <w:color w:val="auto"/>
              </w:rPr>
            </w:pPr>
            <w:r>
              <w:rPr>
                <w:rFonts w:ascii="Arial" w:cs="Arial" w:eastAsia="Arial" w:hAnsi="Arial"/>
                <w:sz w:val="16"/>
                <w:szCs w:val="16"/>
                <w:color w:val="auto"/>
              </w:rPr>
              <w:t>$ (1,681,427)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705,090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705,090</w:t>
            </w: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74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160" w:type="dxa"/>
            <w:vAlign w:val="bottom"/>
            <w:shd w:val="clear" w:color="auto" w:fill="E7E7E8"/>
          </w:tcPr>
          <w:p>
            <w:pPr>
              <w:spacing w:after="0"/>
              <w:rPr>
                <w:sz w:val="18"/>
                <w:szCs w:val="18"/>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0" w:type="dxa"/>
            <w:vAlign w:val="bottom"/>
          </w:tcPr>
          <w:p>
            <w:pPr>
              <w:spacing w:after="0"/>
              <w:rPr>
                <w:sz w:val="1"/>
                <w:szCs w:val="1"/>
                <w:color w:val="auto"/>
              </w:rPr>
            </w:pPr>
          </w:p>
        </w:tc>
      </w:tr>
      <w:tr>
        <w:trPr>
          <w:trHeight w:val="162"/>
        </w:trPr>
        <w:tc>
          <w:tcPr>
            <w:tcW w:w="2160" w:type="dxa"/>
            <w:vAlign w:val="bottom"/>
          </w:tcPr>
          <w:p>
            <w:pPr>
              <w:ind w:left="260"/>
              <w:spacing w:after="0" w:line="162" w:lineRule="exact"/>
              <w:rPr>
                <w:sz w:val="20"/>
                <w:szCs w:val="20"/>
                <w:color w:val="auto"/>
              </w:rPr>
            </w:pPr>
            <w:r>
              <w:rPr>
                <w:rFonts w:ascii="Arial" w:cs="Arial" w:eastAsia="Arial" w:hAnsi="Arial"/>
                <w:sz w:val="16"/>
                <w:szCs w:val="16"/>
                <w:color w:val="auto"/>
              </w:rPr>
              <w:t>Other comprehensive</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18,524</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18,524</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18,524</w:t>
            </w: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Arial" w:cs="Arial" w:eastAsia="Arial" w:hAnsi="Arial"/>
                <w:sz w:val="16"/>
                <w:szCs w:val="16"/>
                <w:color w:val="auto"/>
              </w:rPr>
              <w:t>income</w:t>
            </w: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Mobile Mini Merger</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106,427</w:t>
            </w:r>
          </w:p>
        </w:tc>
        <w:tc>
          <w:tcPr>
            <w:tcW w:w="160" w:type="dxa"/>
            <w:vAlign w:val="bottom"/>
            <w:shd w:val="clear" w:color="auto" w:fill="E7E7E8"/>
          </w:tcPr>
          <w:p>
            <w:pPr>
              <w:spacing w:after="0"/>
              <w:rPr>
                <w:sz w:val="18"/>
                <w:szCs w:val="18"/>
                <w:color w:val="auto"/>
              </w:rPr>
            </w:pPr>
          </w:p>
        </w:tc>
        <w:tc>
          <w:tcPr>
            <w:tcW w:w="74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11</w:t>
            </w:r>
          </w:p>
        </w:tc>
        <w:tc>
          <w:tcPr>
            <w:tcW w:w="82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1,348,570</w:t>
            </w:r>
          </w:p>
        </w:tc>
        <w:tc>
          <w:tcPr>
            <w:tcW w:w="240" w:type="dxa"/>
            <w:vAlign w:val="bottom"/>
            <w:shd w:val="clear" w:color="auto" w:fill="E7E7E8"/>
          </w:tcPr>
          <w:p>
            <w:pPr>
              <w:spacing w:after="0"/>
              <w:rPr>
                <w:sz w:val="18"/>
                <w:szCs w:val="18"/>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1,348,581</w:t>
            </w:r>
          </w:p>
        </w:tc>
        <w:tc>
          <w:tcPr>
            <w:tcW w:w="160" w:type="dxa"/>
            <w:vAlign w:val="bottom"/>
            <w:shd w:val="clear" w:color="auto" w:fill="E7E7E8"/>
          </w:tcPr>
          <w:p>
            <w:pPr>
              <w:spacing w:after="0"/>
              <w:rPr>
                <w:sz w:val="18"/>
                <w:szCs w:val="18"/>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1,348,581</w:t>
            </w:r>
          </w:p>
        </w:tc>
        <w:tc>
          <w:tcPr>
            <w:tcW w:w="0" w:type="dxa"/>
            <w:vAlign w:val="bottom"/>
          </w:tcPr>
          <w:p>
            <w:pPr>
              <w:spacing w:after="0"/>
              <w:rPr>
                <w:sz w:val="1"/>
                <w:szCs w:val="1"/>
                <w:color w:val="auto"/>
              </w:rPr>
            </w:pPr>
          </w:p>
        </w:tc>
      </w:tr>
      <w:tr>
        <w:trPr>
          <w:trHeight w:val="162"/>
        </w:trPr>
        <w:tc>
          <w:tcPr>
            <w:tcW w:w="2160" w:type="dxa"/>
            <w:vAlign w:val="bottom"/>
          </w:tcPr>
          <w:p>
            <w:pPr>
              <w:ind w:left="260"/>
              <w:spacing w:after="0" w:line="162" w:lineRule="exact"/>
              <w:rPr>
                <w:sz w:val="20"/>
                <w:szCs w:val="20"/>
                <w:color w:val="auto"/>
              </w:rPr>
            </w:pPr>
            <w:r>
              <w:rPr>
                <w:rFonts w:ascii="Arial" w:cs="Arial" w:eastAsia="Arial" w:hAnsi="Arial"/>
                <w:sz w:val="16"/>
                <w:szCs w:val="16"/>
                <w:color w:val="auto"/>
              </w:rPr>
              <w:t>Stock-based</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6,058</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6,058</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6,058</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color w:val="auto"/>
              </w:rPr>
              <w:t>Balance at September 30,</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227,981</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7E7E8"/>
          </w:tcPr>
          <w:p>
            <w:pPr>
              <w:jc w:val="right"/>
              <w:ind w:right="20"/>
              <w:spacing w:after="0"/>
              <w:rPr>
                <w:sz w:val="20"/>
                <w:szCs w:val="20"/>
                <w:color w:val="auto"/>
              </w:rPr>
            </w:pPr>
            <w:r>
              <w:rPr>
                <w:rFonts w:ascii="Arial" w:cs="Arial" w:eastAsia="Arial" w:hAnsi="Arial"/>
                <w:sz w:val="16"/>
                <w:szCs w:val="16"/>
                <w:color w:val="auto"/>
              </w:rPr>
              <w:t>23</w:t>
            </w:r>
          </w:p>
        </w:tc>
        <w:tc>
          <w:tcPr>
            <w:tcW w:w="960" w:type="dxa"/>
            <w:vAlign w:val="bottom"/>
            <w:gridSpan w:val="2"/>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860" w:type="dxa"/>
            <w:vAlign w:val="bottom"/>
            <w:gridSpan w:val="2"/>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3,825,940</w:t>
            </w:r>
          </w:p>
        </w:tc>
        <w:tc>
          <w:tcPr>
            <w:tcW w:w="240" w:type="dxa"/>
            <w:vAlign w:val="bottom"/>
            <w:vMerge w:val="restart"/>
            <w:shd w:val="clear" w:color="auto" w:fill="E7E7E8"/>
          </w:tcPr>
          <w:p>
            <w:pPr>
              <w:jc w:val="right"/>
              <w:ind w:right="23"/>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(66,283)</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(1,665,175)</w:t>
            </w: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2,094,505</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line="155" w:lineRule="exact"/>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spacing w:after="0" w:line="155" w:lineRule="exact"/>
              <w:rPr>
                <w:sz w:val="20"/>
                <w:szCs w:val="20"/>
                <w:color w:val="auto"/>
              </w:rPr>
            </w:pPr>
            <w:r>
              <w:rPr>
                <w:rFonts w:ascii="Arial" w:cs="Arial" w:eastAsia="Arial" w:hAnsi="Arial"/>
                <w:sz w:val="16"/>
                <w:szCs w:val="16"/>
                <w:color w:val="auto"/>
                <w:w w:val="98"/>
              </w:rPr>
              <w:t>2,094,505</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E7E7E8"/>
            </w:tcBorders>
            <w:shd w:val="clear" w:color="auto" w:fill="E7E7E8"/>
          </w:tcPr>
          <w:p>
            <w:pPr>
              <w:ind w:left="20"/>
              <w:spacing w:after="0" w:line="175" w:lineRule="exact"/>
              <w:rPr>
                <w:sz w:val="20"/>
                <w:szCs w:val="20"/>
                <w:color w:val="auto"/>
              </w:rPr>
            </w:pPr>
            <w:r>
              <w:rPr>
                <w:rFonts w:ascii="Arial" w:cs="Arial" w:eastAsia="Arial" w:hAnsi="Arial"/>
                <w:sz w:val="16"/>
                <w:szCs w:val="16"/>
                <w:color w:val="auto"/>
              </w:rPr>
              <w:t>2020</w:t>
            </w:r>
          </w:p>
        </w:tc>
        <w:tc>
          <w:tcPr>
            <w:tcW w:w="840" w:type="dxa"/>
            <w:vAlign w:val="bottom"/>
            <w:tcBorders>
              <w:bottom w:val="single" w:sz="8" w:color="auto"/>
            </w:tcBorders>
            <w:vMerge w:val="continue"/>
            <w:shd w:val="clear" w:color="auto" w:fill="E7E7E8"/>
          </w:tcPr>
          <w:p>
            <w:pPr>
              <w:spacing w:after="0"/>
              <w:rPr>
                <w:sz w:val="17"/>
                <w:szCs w:val="17"/>
                <w:color w:val="auto"/>
              </w:rPr>
            </w:pPr>
          </w:p>
        </w:tc>
        <w:tc>
          <w:tcPr>
            <w:tcW w:w="160" w:type="dxa"/>
            <w:vAlign w:val="bottom"/>
            <w:tcBorders>
              <w:bottom w:val="single" w:sz="8" w:color="auto"/>
            </w:tcBorders>
            <w:vMerge w:val="continue"/>
            <w:shd w:val="clear" w:color="auto" w:fill="E7E7E8"/>
          </w:tcPr>
          <w:p>
            <w:pPr>
              <w:spacing w:after="0"/>
              <w:rPr>
                <w:sz w:val="17"/>
                <w:szCs w:val="17"/>
                <w:color w:val="auto"/>
              </w:rPr>
            </w:pPr>
          </w:p>
        </w:tc>
        <w:tc>
          <w:tcPr>
            <w:tcW w:w="740" w:type="dxa"/>
            <w:vAlign w:val="bottom"/>
            <w:tcBorders>
              <w:bottom w:val="single" w:sz="8" w:color="auto"/>
            </w:tcBorders>
            <w:vMerge w:val="continue"/>
            <w:shd w:val="clear" w:color="auto" w:fill="E7E7E8"/>
          </w:tcPr>
          <w:p>
            <w:pPr>
              <w:spacing w:after="0"/>
              <w:rPr>
                <w:sz w:val="17"/>
                <w:szCs w:val="17"/>
                <w:color w:val="auto"/>
              </w:rPr>
            </w:pPr>
          </w:p>
        </w:tc>
        <w:tc>
          <w:tcPr>
            <w:tcW w:w="960" w:type="dxa"/>
            <w:vAlign w:val="bottom"/>
            <w:tcBorders>
              <w:bottom w:val="single" w:sz="8" w:color="auto"/>
            </w:tcBorders>
            <w:gridSpan w:val="2"/>
            <w:vMerge w:val="continue"/>
            <w:shd w:val="clear" w:color="auto" w:fill="E7E7E8"/>
          </w:tcPr>
          <w:p>
            <w:pPr>
              <w:spacing w:after="0"/>
              <w:rPr>
                <w:sz w:val="17"/>
                <w:szCs w:val="17"/>
                <w:color w:val="auto"/>
              </w:rPr>
            </w:pPr>
          </w:p>
        </w:tc>
        <w:tc>
          <w:tcPr>
            <w:tcW w:w="860" w:type="dxa"/>
            <w:vAlign w:val="bottom"/>
            <w:tcBorders>
              <w:bottom w:val="single" w:sz="8" w:color="auto"/>
            </w:tcBorders>
            <w:gridSpan w:val="2"/>
            <w:vMerge w:val="continue"/>
            <w:shd w:val="clear" w:color="auto" w:fill="E7E7E8"/>
          </w:tcPr>
          <w:p>
            <w:pPr>
              <w:spacing w:after="0"/>
              <w:rPr>
                <w:sz w:val="17"/>
                <w:szCs w:val="17"/>
                <w:color w:val="auto"/>
              </w:rPr>
            </w:pPr>
          </w:p>
        </w:tc>
        <w:tc>
          <w:tcPr>
            <w:tcW w:w="820" w:type="dxa"/>
            <w:vAlign w:val="bottom"/>
            <w:tcBorders>
              <w:bottom w:val="single" w:sz="8" w:color="auto"/>
            </w:tcBorders>
            <w:vMerge w:val="continue"/>
            <w:shd w:val="clear" w:color="auto" w:fill="E7E7E8"/>
          </w:tcPr>
          <w:p>
            <w:pPr>
              <w:spacing w:after="0"/>
              <w:rPr>
                <w:sz w:val="17"/>
                <w:szCs w:val="17"/>
                <w:color w:val="auto"/>
              </w:rPr>
            </w:pPr>
          </w:p>
        </w:tc>
        <w:tc>
          <w:tcPr>
            <w:tcW w:w="240" w:type="dxa"/>
            <w:vAlign w:val="bottom"/>
            <w:tcBorders>
              <w:bottom w:val="single" w:sz="8" w:color="auto"/>
            </w:tcBorders>
            <w:vMerge w:val="continue"/>
            <w:shd w:val="clear" w:color="auto" w:fill="E7E7E8"/>
          </w:tcPr>
          <w:p>
            <w:pPr>
              <w:spacing w:after="0"/>
              <w:rPr>
                <w:sz w:val="17"/>
                <w:szCs w:val="17"/>
                <w:color w:val="auto"/>
              </w:rPr>
            </w:pPr>
          </w:p>
        </w:tc>
        <w:tc>
          <w:tcPr>
            <w:tcW w:w="780" w:type="dxa"/>
            <w:vAlign w:val="bottom"/>
            <w:tcBorders>
              <w:bottom w:val="single" w:sz="8" w:color="auto"/>
            </w:tcBorders>
            <w:vMerge w:val="continue"/>
            <w:shd w:val="clear" w:color="auto" w:fill="E7E7E8"/>
          </w:tcPr>
          <w:p>
            <w:pPr>
              <w:spacing w:after="0"/>
              <w:rPr>
                <w:sz w:val="17"/>
                <w:szCs w:val="17"/>
                <w:color w:val="auto"/>
              </w:rPr>
            </w:pPr>
          </w:p>
        </w:tc>
        <w:tc>
          <w:tcPr>
            <w:tcW w:w="1000" w:type="dxa"/>
            <w:vAlign w:val="bottom"/>
            <w:tcBorders>
              <w:bottom w:val="single" w:sz="8" w:color="auto"/>
            </w:tcBorders>
            <w:vMerge w:val="continue"/>
            <w:shd w:val="clear" w:color="auto" w:fill="E7E7E8"/>
          </w:tcPr>
          <w:p>
            <w:pPr>
              <w:spacing w:after="0"/>
              <w:rPr>
                <w:sz w:val="17"/>
                <w:szCs w:val="17"/>
                <w:color w:val="auto"/>
              </w:rPr>
            </w:pPr>
          </w:p>
        </w:tc>
        <w:tc>
          <w:tcPr>
            <w:tcW w:w="120" w:type="dxa"/>
            <w:vAlign w:val="bottom"/>
            <w:tcBorders>
              <w:bottom w:val="single" w:sz="8" w:color="auto"/>
            </w:tcBorders>
            <w:vMerge w:val="continue"/>
            <w:shd w:val="clear" w:color="auto" w:fill="E7E7E8"/>
          </w:tcPr>
          <w:p>
            <w:pPr>
              <w:spacing w:after="0"/>
              <w:rPr>
                <w:sz w:val="17"/>
                <w:szCs w:val="17"/>
                <w:color w:val="auto"/>
              </w:rPr>
            </w:pPr>
          </w:p>
        </w:tc>
        <w:tc>
          <w:tcPr>
            <w:tcW w:w="800" w:type="dxa"/>
            <w:vAlign w:val="bottom"/>
            <w:tcBorders>
              <w:bottom w:val="single" w:sz="8" w:color="auto"/>
            </w:tcBorders>
            <w:vMerge w:val="continue"/>
            <w:shd w:val="clear" w:color="auto" w:fill="E7E7E8"/>
          </w:tcPr>
          <w:p>
            <w:pPr>
              <w:spacing w:after="0"/>
              <w:rPr>
                <w:sz w:val="17"/>
                <w:szCs w:val="17"/>
                <w:color w:val="auto"/>
              </w:rPr>
            </w:pPr>
          </w:p>
        </w:tc>
        <w:tc>
          <w:tcPr>
            <w:tcW w:w="160" w:type="dxa"/>
            <w:vAlign w:val="bottom"/>
            <w:tcBorders>
              <w:bottom w:val="single" w:sz="8" w:color="auto"/>
            </w:tcBorders>
            <w:vMerge w:val="continue"/>
            <w:shd w:val="clear" w:color="auto" w:fill="E7E7E8"/>
          </w:tcPr>
          <w:p>
            <w:pPr>
              <w:spacing w:after="0"/>
              <w:rPr>
                <w:sz w:val="17"/>
                <w:szCs w:val="17"/>
                <w:color w:val="auto"/>
              </w:rPr>
            </w:pPr>
          </w:p>
        </w:tc>
        <w:tc>
          <w:tcPr>
            <w:tcW w:w="680" w:type="dxa"/>
            <w:vAlign w:val="bottom"/>
            <w:tcBorders>
              <w:bottom w:val="single" w:sz="8" w:color="auto"/>
            </w:tcBorders>
            <w:vMerge w:val="continue"/>
            <w:shd w:val="clear" w:color="auto" w:fill="E7E7E8"/>
          </w:tcPr>
          <w:p>
            <w:pPr>
              <w:spacing w:after="0"/>
              <w:rPr>
                <w:sz w:val="17"/>
                <w:szCs w:val="17"/>
                <w:color w:val="auto"/>
              </w:rPr>
            </w:pPr>
          </w:p>
        </w:tc>
        <w:tc>
          <w:tcPr>
            <w:tcW w:w="120" w:type="dxa"/>
            <w:vAlign w:val="bottom"/>
            <w:tcBorders>
              <w:bottom w:val="single" w:sz="8" w:color="auto"/>
            </w:tcBorders>
            <w:shd w:val="clear" w:color="auto" w:fill="E7E7E8"/>
          </w:tcPr>
          <w:p>
            <w:pPr>
              <w:spacing w:after="0"/>
              <w:rPr>
                <w:sz w:val="17"/>
                <w:szCs w:val="17"/>
                <w:color w:val="auto"/>
              </w:rPr>
            </w:pPr>
          </w:p>
        </w:tc>
        <w:tc>
          <w:tcPr>
            <w:tcW w:w="800" w:type="dxa"/>
            <w:vAlign w:val="bottom"/>
            <w:tcBorders>
              <w:bottom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E7E7E8"/>
            </w:tcBorders>
          </w:tcPr>
          <w:p>
            <w:pPr>
              <w:spacing w:after="0" w:line="20" w:lineRule="exact"/>
              <w:rPr>
                <w:sz w:val="1"/>
                <w:szCs w:val="1"/>
                <w:color w:val="auto"/>
              </w:rPr>
            </w:pPr>
          </w:p>
        </w:tc>
        <w:tc>
          <w:tcPr>
            <w:tcW w:w="84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6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60" w:right="2500" w:hanging="2552"/>
        <w:spacing w:after="0" w:line="733" w:lineRule="auto"/>
        <w:tabs>
          <w:tab w:leader="none" w:pos="199"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See Note 1 for information regarding the Company's conversion of Class A Common Stock to Common Stock on July 1, 2020 concurrent with the Merger. See the accompanying notes which are an integral part of these condensed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FFFFFF"/>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980" w:type="dxa"/>
            <w:vAlign w:val="bottom"/>
            <w:shd w:val="clear" w:color="auto" w:fill="1D2758"/>
          </w:tcPr>
          <w:p>
            <w:pPr>
              <w:spacing w:after="0"/>
              <w:rPr>
                <w:sz w:val="24"/>
                <w:szCs w:val="24"/>
                <w:color w:val="auto"/>
              </w:rPr>
            </w:pPr>
          </w:p>
        </w:tc>
        <w:tc>
          <w:tcPr>
            <w:tcW w:w="3400" w:type="dxa"/>
            <w:vAlign w:val="bottom"/>
            <w:gridSpan w:val="6"/>
            <w:vMerge w:val="restart"/>
            <w:shd w:val="clear" w:color="auto" w:fill="1D2758"/>
          </w:tcPr>
          <w:p>
            <w:pPr>
              <w:jc w:val="right"/>
              <w:spacing w:after="0"/>
              <w:rPr>
                <w:sz w:val="20"/>
                <w:szCs w:val="20"/>
                <w:color w:val="auto"/>
              </w:rPr>
            </w:pPr>
            <w:r>
              <w:rPr>
                <w:rFonts w:ascii="Arial" w:cs="Arial" w:eastAsia="Arial" w:hAnsi="Arial"/>
                <w:sz w:val="14"/>
                <w:szCs w:val="14"/>
                <w:b w:val="1"/>
                <w:bCs w:val="1"/>
                <w:color w:val="FFFFFF"/>
              </w:rPr>
              <w:t>Class A Common Stock Class B Common Stock</w:t>
            </w:r>
          </w:p>
        </w:tc>
        <w:tc>
          <w:tcPr>
            <w:tcW w:w="900" w:type="dxa"/>
            <w:vAlign w:val="bottom"/>
            <w:shd w:val="clear" w:color="auto" w:fill="1D2758"/>
          </w:tcPr>
          <w:p>
            <w:pPr>
              <w:spacing w:after="0"/>
              <w:rPr>
                <w:sz w:val="24"/>
                <w:szCs w:val="24"/>
                <w:color w:val="auto"/>
              </w:rPr>
            </w:pPr>
          </w:p>
        </w:tc>
        <w:tc>
          <w:tcPr>
            <w:tcW w:w="140" w:type="dxa"/>
            <w:vAlign w:val="bottom"/>
            <w:shd w:val="clear" w:color="auto" w:fill="1D2758"/>
          </w:tcPr>
          <w:p>
            <w:pPr>
              <w:spacing w:after="0"/>
              <w:rPr>
                <w:sz w:val="24"/>
                <w:szCs w:val="24"/>
                <w:color w:val="auto"/>
              </w:rPr>
            </w:pPr>
          </w:p>
        </w:tc>
        <w:tc>
          <w:tcPr>
            <w:tcW w:w="1000" w:type="dxa"/>
            <w:vAlign w:val="bottom"/>
            <w:shd w:val="clear" w:color="auto" w:fill="1D2758"/>
          </w:tcPr>
          <w:p>
            <w:pPr>
              <w:jc w:val="center"/>
              <w:ind w:right="20"/>
              <w:spacing w:after="0"/>
              <w:rPr>
                <w:sz w:val="20"/>
                <w:szCs w:val="20"/>
                <w:color w:val="auto"/>
              </w:rPr>
            </w:pPr>
            <w:r>
              <w:rPr>
                <w:rFonts w:ascii="Arial" w:cs="Arial" w:eastAsia="Arial" w:hAnsi="Arial"/>
                <w:sz w:val="14"/>
                <w:szCs w:val="14"/>
                <w:b w:val="1"/>
                <w:bCs w:val="1"/>
                <w:color w:val="FFFFFF"/>
              </w:rPr>
              <w:t>Accumulated</w:t>
            </w:r>
          </w:p>
        </w:tc>
        <w:tc>
          <w:tcPr>
            <w:tcW w:w="1000" w:type="dxa"/>
            <w:vAlign w:val="bottom"/>
            <w:shd w:val="clear" w:color="auto" w:fill="1D2758"/>
          </w:tcPr>
          <w:p>
            <w:pPr>
              <w:spacing w:after="0"/>
              <w:rPr>
                <w:sz w:val="24"/>
                <w:szCs w:val="24"/>
                <w:color w:val="auto"/>
              </w:rPr>
            </w:pPr>
          </w:p>
        </w:tc>
        <w:tc>
          <w:tcPr>
            <w:tcW w:w="200" w:type="dxa"/>
            <w:vAlign w:val="bottom"/>
            <w:shd w:val="clear" w:color="auto" w:fill="1D2758"/>
          </w:tcPr>
          <w:p>
            <w:pPr>
              <w:spacing w:after="0"/>
              <w:rPr>
                <w:sz w:val="24"/>
                <w:szCs w:val="24"/>
                <w:color w:val="auto"/>
              </w:rPr>
            </w:pPr>
          </w:p>
        </w:tc>
        <w:tc>
          <w:tcPr>
            <w:tcW w:w="80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760" w:type="dxa"/>
            <w:vAlign w:val="bottom"/>
            <w:shd w:val="clear" w:color="auto" w:fill="1D2758"/>
          </w:tcPr>
          <w:p>
            <w:pPr>
              <w:spacing w:after="0"/>
              <w:rPr>
                <w:sz w:val="24"/>
                <w:szCs w:val="24"/>
                <w:color w:val="auto"/>
              </w:rPr>
            </w:pPr>
          </w:p>
        </w:tc>
        <w:tc>
          <w:tcPr>
            <w:tcW w:w="180" w:type="dxa"/>
            <w:vAlign w:val="bottom"/>
            <w:shd w:val="clear" w:color="auto" w:fill="1D2758"/>
          </w:tcPr>
          <w:p>
            <w:pPr>
              <w:spacing w:after="0"/>
              <w:rPr>
                <w:sz w:val="24"/>
                <w:szCs w:val="24"/>
                <w:color w:val="auto"/>
              </w:rPr>
            </w:pPr>
          </w:p>
        </w:tc>
        <w:tc>
          <w:tcPr>
            <w:tcW w:w="720" w:type="dxa"/>
            <w:vAlign w:val="bottom"/>
            <w:shd w:val="clear" w:color="auto" w:fill="1D2758"/>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980" w:type="dxa"/>
            <w:vAlign w:val="bottom"/>
            <w:shd w:val="clear" w:color="auto" w:fill="1D2758"/>
          </w:tcPr>
          <w:p>
            <w:pPr>
              <w:spacing w:after="0"/>
              <w:rPr>
                <w:sz w:val="6"/>
                <w:szCs w:val="6"/>
                <w:color w:val="auto"/>
              </w:rPr>
            </w:pPr>
          </w:p>
        </w:tc>
        <w:tc>
          <w:tcPr>
            <w:tcW w:w="3400" w:type="dxa"/>
            <w:vAlign w:val="bottom"/>
            <w:gridSpan w:val="6"/>
            <w:vMerge w:val="continue"/>
            <w:shd w:val="clear" w:color="auto" w:fill="1D2758"/>
          </w:tcPr>
          <w:p>
            <w:pPr>
              <w:spacing w:after="0"/>
              <w:rPr>
                <w:sz w:val="6"/>
                <w:szCs w:val="6"/>
                <w:color w:val="auto"/>
              </w:rPr>
            </w:pPr>
          </w:p>
        </w:tc>
        <w:tc>
          <w:tcPr>
            <w:tcW w:w="900" w:type="dxa"/>
            <w:vAlign w:val="bottom"/>
            <w:vMerge w:val="restart"/>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Additional</w:t>
            </w:r>
          </w:p>
        </w:tc>
        <w:tc>
          <w:tcPr>
            <w:tcW w:w="140" w:type="dxa"/>
            <w:vAlign w:val="bottom"/>
            <w:shd w:val="clear" w:color="auto" w:fill="1D2758"/>
          </w:tcPr>
          <w:p>
            <w:pPr>
              <w:spacing w:after="0"/>
              <w:rPr>
                <w:sz w:val="6"/>
                <w:szCs w:val="6"/>
                <w:color w:val="auto"/>
              </w:rPr>
            </w:pPr>
          </w:p>
        </w:tc>
        <w:tc>
          <w:tcPr>
            <w:tcW w:w="1000" w:type="dxa"/>
            <w:vAlign w:val="bottom"/>
            <w:vMerge w:val="restart"/>
            <w:shd w:val="clear" w:color="auto" w:fill="1D2758"/>
          </w:tcPr>
          <w:p>
            <w:pPr>
              <w:jc w:val="center"/>
              <w:ind w:right="20"/>
              <w:spacing w:after="0" w:line="135" w:lineRule="exact"/>
              <w:rPr>
                <w:sz w:val="20"/>
                <w:szCs w:val="20"/>
                <w:color w:val="auto"/>
              </w:rPr>
            </w:pPr>
            <w:r>
              <w:rPr>
                <w:rFonts w:ascii="Arial" w:cs="Arial" w:eastAsia="Arial" w:hAnsi="Arial"/>
                <w:sz w:val="14"/>
                <w:szCs w:val="14"/>
                <w:b w:val="1"/>
                <w:bCs w:val="1"/>
                <w:color w:val="FFFFFF"/>
              </w:rPr>
              <w:t>Other</w:t>
            </w:r>
          </w:p>
        </w:tc>
        <w:tc>
          <w:tcPr>
            <w:tcW w:w="1000" w:type="dxa"/>
            <w:vAlign w:val="bottom"/>
            <w:shd w:val="clear" w:color="auto" w:fill="1D2758"/>
          </w:tcPr>
          <w:p>
            <w:pPr>
              <w:spacing w:after="0"/>
              <w:rPr>
                <w:sz w:val="6"/>
                <w:szCs w:val="6"/>
                <w:color w:val="auto"/>
              </w:rPr>
            </w:pPr>
          </w:p>
        </w:tc>
        <w:tc>
          <w:tcPr>
            <w:tcW w:w="200" w:type="dxa"/>
            <w:vAlign w:val="bottom"/>
            <w:shd w:val="clear" w:color="auto" w:fill="1D2758"/>
          </w:tcPr>
          <w:p>
            <w:pPr>
              <w:spacing w:after="0"/>
              <w:rPr>
                <w:sz w:val="6"/>
                <w:szCs w:val="6"/>
                <w:color w:val="auto"/>
              </w:rPr>
            </w:pPr>
          </w:p>
        </w:tc>
        <w:tc>
          <w:tcPr>
            <w:tcW w:w="800" w:type="dxa"/>
            <w:vAlign w:val="bottom"/>
            <w:vMerge w:val="restart"/>
            <w:shd w:val="clear" w:color="auto" w:fill="1D2758"/>
          </w:tcPr>
          <w:p>
            <w:pPr>
              <w:jc w:val="right"/>
              <w:ind w:right="240"/>
              <w:spacing w:after="0" w:line="135" w:lineRule="exact"/>
              <w:rPr>
                <w:sz w:val="20"/>
                <w:szCs w:val="20"/>
                <w:color w:val="auto"/>
              </w:rPr>
            </w:pPr>
            <w:r>
              <w:rPr>
                <w:rFonts w:ascii="Arial" w:cs="Arial" w:eastAsia="Arial" w:hAnsi="Arial"/>
                <w:sz w:val="14"/>
                <w:szCs w:val="14"/>
                <w:b w:val="1"/>
                <w:bCs w:val="1"/>
                <w:color w:val="FFFFFF"/>
              </w:rPr>
              <w:t>Total</w:t>
            </w:r>
          </w:p>
        </w:tc>
        <w:tc>
          <w:tcPr>
            <w:tcW w:w="160" w:type="dxa"/>
            <w:vAlign w:val="bottom"/>
            <w:shd w:val="clear" w:color="auto" w:fill="1D2758"/>
          </w:tcPr>
          <w:p>
            <w:pPr>
              <w:spacing w:after="0"/>
              <w:rPr>
                <w:sz w:val="6"/>
                <w:szCs w:val="6"/>
                <w:color w:val="auto"/>
              </w:rPr>
            </w:pPr>
          </w:p>
        </w:tc>
        <w:tc>
          <w:tcPr>
            <w:tcW w:w="760" w:type="dxa"/>
            <w:vAlign w:val="bottom"/>
            <w:vMerge w:val="restart"/>
            <w:shd w:val="clear" w:color="auto" w:fill="1D2758"/>
          </w:tcPr>
          <w:p>
            <w:pPr>
              <w:jc w:val="center"/>
              <w:ind w:right="60"/>
              <w:spacing w:after="0" w:line="135" w:lineRule="exact"/>
              <w:rPr>
                <w:sz w:val="20"/>
                <w:szCs w:val="20"/>
                <w:color w:val="auto"/>
              </w:rPr>
            </w:pPr>
            <w:r>
              <w:rPr>
                <w:rFonts w:ascii="Arial" w:cs="Arial" w:eastAsia="Arial" w:hAnsi="Arial"/>
                <w:sz w:val="14"/>
                <w:szCs w:val="14"/>
                <w:b w:val="1"/>
                <w:bCs w:val="1"/>
                <w:color w:val="FFFFFF"/>
              </w:rPr>
              <w:t>Non-</w:t>
            </w:r>
          </w:p>
        </w:tc>
        <w:tc>
          <w:tcPr>
            <w:tcW w:w="180" w:type="dxa"/>
            <w:vAlign w:val="bottom"/>
            <w:shd w:val="clear" w:color="auto" w:fill="1D2758"/>
          </w:tcPr>
          <w:p>
            <w:pPr>
              <w:spacing w:after="0"/>
              <w:rPr>
                <w:sz w:val="6"/>
                <w:szCs w:val="6"/>
                <w:color w:val="auto"/>
              </w:rPr>
            </w:pPr>
          </w:p>
        </w:tc>
        <w:tc>
          <w:tcPr>
            <w:tcW w:w="72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980" w:type="dxa"/>
            <w:vAlign w:val="bottom"/>
            <w:shd w:val="clear" w:color="auto" w:fill="1D2758"/>
          </w:tcPr>
          <w:p>
            <w:pPr>
              <w:spacing w:after="0"/>
              <w:rPr>
                <w:sz w:val="4"/>
                <w:szCs w:val="4"/>
                <w:color w:val="auto"/>
              </w:rPr>
            </w:pPr>
          </w:p>
        </w:tc>
        <w:tc>
          <w:tcPr>
            <w:tcW w:w="3400" w:type="dxa"/>
            <w:vAlign w:val="bottom"/>
            <w:gridSpan w:val="6"/>
            <w:shd w:val="clear" w:color="auto" w:fill="1D2758"/>
          </w:tcPr>
          <w:p>
            <w:pPr>
              <w:spacing w:after="0"/>
              <w:rPr>
                <w:sz w:val="4"/>
                <w:szCs w:val="4"/>
                <w:color w:val="auto"/>
              </w:rPr>
            </w:pPr>
          </w:p>
        </w:tc>
        <w:tc>
          <w:tcPr>
            <w:tcW w:w="900" w:type="dxa"/>
            <w:vAlign w:val="bottom"/>
            <w:vMerge w:val="continue"/>
            <w:shd w:val="clear" w:color="auto" w:fill="1D2758"/>
          </w:tcPr>
          <w:p>
            <w:pPr>
              <w:spacing w:after="0"/>
              <w:rPr>
                <w:sz w:val="4"/>
                <w:szCs w:val="4"/>
                <w:color w:val="auto"/>
              </w:rPr>
            </w:pPr>
          </w:p>
        </w:tc>
        <w:tc>
          <w:tcPr>
            <w:tcW w:w="140" w:type="dxa"/>
            <w:vAlign w:val="bottom"/>
            <w:shd w:val="clear" w:color="auto" w:fill="1D2758"/>
          </w:tcPr>
          <w:p>
            <w:pPr>
              <w:spacing w:after="0"/>
              <w:rPr>
                <w:sz w:val="4"/>
                <w:szCs w:val="4"/>
                <w:color w:val="auto"/>
              </w:rPr>
            </w:pPr>
          </w:p>
        </w:tc>
        <w:tc>
          <w:tcPr>
            <w:tcW w:w="1000" w:type="dxa"/>
            <w:vAlign w:val="bottom"/>
            <w:vMerge w:val="continue"/>
            <w:shd w:val="clear" w:color="auto" w:fill="1D2758"/>
          </w:tcPr>
          <w:p>
            <w:pPr>
              <w:spacing w:after="0"/>
              <w:rPr>
                <w:sz w:val="4"/>
                <w:szCs w:val="4"/>
                <w:color w:val="auto"/>
              </w:rPr>
            </w:pPr>
          </w:p>
        </w:tc>
        <w:tc>
          <w:tcPr>
            <w:tcW w:w="1000" w:type="dxa"/>
            <w:vAlign w:val="bottom"/>
            <w:shd w:val="clear" w:color="auto" w:fill="1D2758"/>
          </w:tcPr>
          <w:p>
            <w:pPr>
              <w:spacing w:after="0"/>
              <w:rPr>
                <w:sz w:val="4"/>
                <w:szCs w:val="4"/>
                <w:color w:val="auto"/>
              </w:rPr>
            </w:pPr>
          </w:p>
        </w:tc>
        <w:tc>
          <w:tcPr>
            <w:tcW w:w="200" w:type="dxa"/>
            <w:vAlign w:val="bottom"/>
            <w:shd w:val="clear" w:color="auto" w:fill="1D2758"/>
          </w:tcPr>
          <w:p>
            <w:pPr>
              <w:spacing w:after="0"/>
              <w:rPr>
                <w:sz w:val="4"/>
                <w:szCs w:val="4"/>
                <w:color w:val="auto"/>
              </w:rPr>
            </w:pPr>
          </w:p>
        </w:tc>
        <w:tc>
          <w:tcPr>
            <w:tcW w:w="800" w:type="dxa"/>
            <w:vAlign w:val="bottom"/>
            <w:vMerge w:val="continue"/>
            <w:shd w:val="clear" w:color="auto" w:fill="1D2758"/>
          </w:tcPr>
          <w:p>
            <w:pPr>
              <w:spacing w:after="0"/>
              <w:rPr>
                <w:sz w:val="4"/>
                <w:szCs w:val="4"/>
                <w:color w:val="auto"/>
              </w:rPr>
            </w:pPr>
          </w:p>
        </w:tc>
        <w:tc>
          <w:tcPr>
            <w:tcW w:w="160" w:type="dxa"/>
            <w:vAlign w:val="bottom"/>
            <w:shd w:val="clear" w:color="auto" w:fill="1D2758"/>
          </w:tcPr>
          <w:p>
            <w:pPr>
              <w:spacing w:after="0"/>
              <w:rPr>
                <w:sz w:val="4"/>
                <w:szCs w:val="4"/>
                <w:color w:val="auto"/>
              </w:rPr>
            </w:pPr>
          </w:p>
        </w:tc>
        <w:tc>
          <w:tcPr>
            <w:tcW w:w="760" w:type="dxa"/>
            <w:vAlign w:val="bottom"/>
            <w:vMerge w:val="continue"/>
            <w:shd w:val="clear" w:color="auto" w:fill="1D2758"/>
          </w:tcPr>
          <w:p>
            <w:pPr>
              <w:spacing w:after="0"/>
              <w:rPr>
                <w:sz w:val="4"/>
                <w:szCs w:val="4"/>
                <w:color w:val="auto"/>
              </w:rPr>
            </w:pPr>
          </w:p>
        </w:tc>
        <w:tc>
          <w:tcPr>
            <w:tcW w:w="180" w:type="dxa"/>
            <w:vAlign w:val="bottom"/>
            <w:shd w:val="clear" w:color="auto" w:fill="1D2758"/>
          </w:tcPr>
          <w:p>
            <w:pPr>
              <w:spacing w:after="0"/>
              <w:rPr>
                <w:sz w:val="4"/>
                <w:szCs w:val="4"/>
                <w:color w:val="auto"/>
              </w:rPr>
            </w:pPr>
          </w:p>
        </w:tc>
        <w:tc>
          <w:tcPr>
            <w:tcW w:w="720" w:type="dxa"/>
            <w:vAlign w:val="bottom"/>
            <w:shd w:val="clear" w:color="auto" w:fill="1D275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820" w:type="dxa"/>
            <w:vAlign w:val="bottom"/>
            <w:vMerge w:val="restart"/>
            <w:shd w:val="clear" w:color="auto" w:fill="1D2758"/>
          </w:tcPr>
          <w:p>
            <w:pPr>
              <w:jc w:val="right"/>
              <w:ind w:right="80"/>
              <w:spacing w:after="0"/>
              <w:rPr>
                <w:sz w:val="20"/>
                <w:szCs w:val="20"/>
                <w:color w:val="auto"/>
              </w:rPr>
            </w:pPr>
            <w:r>
              <w:rPr>
                <w:rFonts w:ascii="Arial" w:cs="Arial" w:eastAsia="Arial" w:hAnsi="Arial"/>
                <w:sz w:val="14"/>
                <w:szCs w:val="14"/>
                <w:b w:val="1"/>
                <w:bCs w:val="1"/>
                <w:color w:val="FFFFFF"/>
              </w:rPr>
              <w:t>Shares</w:t>
            </w:r>
          </w:p>
        </w:tc>
        <w:tc>
          <w:tcPr>
            <w:tcW w:w="160" w:type="dxa"/>
            <w:vAlign w:val="bottom"/>
            <w:shd w:val="clear" w:color="auto" w:fill="1D2758"/>
          </w:tcPr>
          <w:p>
            <w:pPr>
              <w:spacing w:after="0"/>
              <w:rPr>
                <w:sz w:val="11"/>
                <w:szCs w:val="11"/>
                <w:color w:val="auto"/>
              </w:rPr>
            </w:pPr>
          </w:p>
        </w:tc>
        <w:tc>
          <w:tcPr>
            <w:tcW w:w="780" w:type="dxa"/>
            <w:vAlign w:val="bottom"/>
            <w:vMerge w:val="restart"/>
            <w:shd w:val="clear" w:color="auto" w:fill="1D2758"/>
          </w:tcPr>
          <w:p>
            <w:pPr>
              <w:jc w:val="right"/>
              <w:ind w:right="140"/>
              <w:spacing w:after="0"/>
              <w:rPr>
                <w:sz w:val="20"/>
                <w:szCs w:val="20"/>
                <w:color w:val="auto"/>
              </w:rPr>
            </w:pPr>
            <w:r>
              <w:rPr>
                <w:rFonts w:ascii="Arial" w:cs="Arial" w:eastAsia="Arial" w:hAnsi="Arial"/>
                <w:sz w:val="14"/>
                <w:szCs w:val="14"/>
                <w:b w:val="1"/>
                <w:bCs w:val="1"/>
                <w:color w:val="FFFFFF"/>
              </w:rPr>
              <w:t>Amount</w:t>
            </w:r>
          </w:p>
        </w:tc>
        <w:tc>
          <w:tcPr>
            <w:tcW w:w="760" w:type="dxa"/>
            <w:vAlign w:val="bottom"/>
            <w:vMerge w:val="restart"/>
            <w:shd w:val="clear" w:color="auto" w:fill="1D2758"/>
          </w:tcPr>
          <w:p>
            <w:pPr>
              <w:jc w:val="right"/>
              <w:ind w:right="80"/>
              <w:spacing w:after="0"/>
              <w:rPr>
                <w:sz w:val="20"/>
                <w:szCs w:val="20"/>
                <w:color w:val="auto"/>
              </w:rPr>
            </w:pPr>
            <w:r>
              <w:rPr>
                <w:rFonts w:ascii="Arial" w:cs="Arial" w:eastAsia="Arial" w:hAnsi="Arial"/>
                <w:sz w:val="14"/>
                <w:szCs w:val="14"/>
                <w:b w:val="1"/>
                <w:bCs w:val="1"/>
                <w:color w:val="FFFFFF"/>
              </w:rPr>
              <w:t>Shares</w:t>
            </w:r>
          </w:p>
        </w:tc>
        <w:tc>
          <w:tcPr>
            <w:tcW w:w="160" w:type="dxa"/>
            <w:vAlign w:val="bottom"/>
            <w:shd w:val="clear" w:color="auto" w:fill="1D2758"/>
          </w:tcPr>
          <w:p>
            <w:pPr>
              <w:spacing w:after="0"/>
              <w:rPr>
                <w:sz w:val="11"/>
                <w:szCs w:val="11"/>
                <w:color w:val="auto"/>
              </w:rPr>
            </w:pPr>
          </w:p>
        </w:tc>
        <w:tc>
          <w:tcPr>
            <w:tcW w:w="720" w:type="dxa"/>
            <w:vAlign w:val="bottom"/>
            <w:vMerge w:val="restart"/>
            <w:shd w:val="clear" w:color="auto" w:fill="1D2758"/>
          </w:tcPr>
          <w:p>
            <w:pPr>
              <w:jc w:val="right"/>
              <w:ind w:right="80"/>
              <w:spacing w:after="0"/>
              <w:rPr>
                <w:sz w:val="20"/>
                <w:szCs w:val="20"/>
                <w:color w:val="auto"/>
              </w:rPr>
            </w:pPr>
            <w:r>
              <w:rPr>
                <w:rFonts w:ascii="Arial" w:cs="Arial" w:eastAsia="Arial" w:hAnsi="Arial"/>
                <w:sz w:val="14"/>
                <w:szCs w:val="14"/>
                <w:b w:val="1"/>
                <w:bCs w:val="1"/>
                <w:color w:val="FFFFFF"/>
              </w:rPr>
              <w:t>Amount</w:t>
            </w:r>
          </w:p>
        </w:tc>
        <w:tc>
          <w:tcPr>
            <w:tcW w:w="900" w:type="dxa"/>
            <w:vAlign w:val="bottom"/>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Paid-in-</w:t>
            </w:r>
          </w:p>
        </w:tc>
        <w:tc>
          <w:tcPr>
            <w:tcW w:w="3140" w:type="dxa"/>
            <w:vAlign w:val="bottom"/>
            <w:gridSpan w:val="5"/>
            <w:shd w:val="clear" w:color="auto" w:fill="1D2758"/>
          </w:tcPr>
          <w:p>
            <w:pPr>
              <w:ind w:left="40"/>
              <w:spacing w:after="0" w:line="135" w:lineRule="exact"/>
              <w:rPr>
                <w:sz w:val="20"/>
                <w:szCs w:val="20"/>
                <w:color w:val="auto"/>
              </w:rPr>
            </w:pPr>
            <w:r>
              <w:rPr>
                <w:rFonts w:ascii="Arial" w:cs="Arial" w:eastAsia="Arial" w:hAnsi="Arial"/>
                <w:sz w:val="14"/>
                <w:szCs w:val="14"/>
                <w:b w:val="1"/>
                <w:bCs w:val="1"/>
                <w:color w:val="FFFFFF"/>
              </w:rPr>
              <w:t>Comprehensive Accumulated Shareholders'</w:t>
            </w:r>
          </w:p>
        </w:tc>
        <w:tc>
          <w:tcPr>
            <w:tcW w:w="920" w:type="dxa"/>
            <w:vAlign w:val="bottom"/>
            <w:gridSpan w:val="2"/>
            <w:shd w:val="clear" w:color="auto" w:fill="1D2758"/>
          </w:tcPr>
          <w:p>
            <w:pPr>
              <w:jc w:val="center"/>
              <w:spacing w:after="0" w:line="135" w:lineRule="exact"/>
              <w:rPr>
                <w:sz w:val="20"/>
                <w:szCs w:val="20"/>
                <w:color w:val="auto"/>
              </w:rPr>
            </w:pPr>
            <w:r>
              <w:rPr>
                <w:rFonts w:ascii="Arial" w:cs="Arial" w:eastAsia="Arial" w:hAnsi="Arial"/>
                <w:sz w:val="14"/>
                <w:szCs w:val="14"/>
                <w:b w:val="1"/>
                <w:bCs w:val="1"/>
                <w:color w:val="FFFFFF"/>
              </w:rPr>
              <w:t>Controlling</w:t>
            </w:r>
          </w:p>
        </w:tc>
        <w:tc>
          <w:tcPr>
            <w:tcW w:w="900" w:type="dxa"/>
            <w:vAlign w:val="bottom"/>
            <w:gridSpan w:val="2"/>
            <w:vMerge w:val="restart"/>
            <w:shd w:val="clear" w:color="auto" w:fill="1D2758"/>
          </w:tcPr>
          <w:p>
            <w:pPr>
              <w:ind w:left="40"/>
              <w:spacing w:after="0"/>
              <w:rPr>
                <w:sz w:val="20"/>
                <w:szCs w:val="20"/>
                <w:color w:val="auto"/>
              </w:rPr>
            </w:pPr>
            <w:r>
              <w:rPr>
                <w:rFonts w:ascii="Arial" w:cs="Arial" w:eastAsia="Arial" w:hAnsi="Arial"/>
                <w:sz w:val="14"/>
                <w:szCs w:val="14"/>
                <w:b w:val="1"/>
                <w:bCs w:val="1"/>
                <w:color w:val="FFFFFF"/>
              </w:rPr>
              <w:t>Total Equity</w:t>
            </w:r>
          </w:p>
        </w:tc>
        <w:tc>
          <w:tcPr>
            <w:tcW w:w="0" w:type="dxa"/>
            <w:vAlign w:val="bottom"/>
          </w:tcPr>
          <w:p>
            <w:pPr>
              <w:spacing w:after="0"/>
              <w:rPr>
                <w:sz w:val="1"/>
                <w:szCs w:val="1"/>
                <w:color w:val="auto"/>
              </w:rPr>
            </w:pPr>
          </w:p>
        </w:tc>
      </w:tr>
      <w:tr>
        <w:trPr>
          <w:trHeight w:val="175"/>
        </w:trPr>
        <w:tc>
          <w:tcPr>
            <w:tcW w:w="1980" w:type="dxa"/>
            <w:vAlign w:val="bottom"/>
            <w:vMerge w:val="continue"/>
            <w:shd w:val="clear" w:color="auto" w:fill="1D2758"/>
          </w:tcPr>
          <w:p>
            <w:pPr>
              <w:spacing w:after="0"/>
              <w:rPr>
                <w:sz w:val="15"/>
                <w:szCs w:val="15"/>
                <w:color w:val="auto"/>
              </w:rPr>
            </w:pPr>
          </w:p>
        </w:tc>
        <w:tc>
          <w:tcPr>
            <w:tcW w:w="820" w:type="dxa"/>
            <w:vAlign w:val="bottom"/>
            <w:vMerge w:val="continue"/>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780" w:type="dxa"/>
            <w:vAlign w:val="bottom"/>
            <w:vMerge w:val="continue"/>
            <w:shd w:val="clear" w:color="auto" w:fill="1D2758"/>
          </w:tcPr>
          <w:p>
            <w:pPr>
              <w:spacing w:after="0"/>
              <w:rPr>
                <w:sz w:val="15"/>
                <w:szCs w:val="15"/>
                <w:color w:val="auto"/>
              </w:rPr>
            </w:pPr>
          </w:p>
        </w:tc>
        <w:tc>
          <w:tcPr>
            <w:tcW w:w="760" w:type="dxa"/>
            <w:vAlign w:val="bottom"/>
            <w:vMerge w:val="continue"/>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720" w:type="dxa"/>
            <w:vAlign w:val="bottom"/>
            <w:vMerge w:val="continue"/>
            <w:shd w:val="clear" w:color="auto" w:fill="1D2758"/>
          </w:tcPr>
          <w:p>
            <w:pPr>
              <w:spacing w:after="0"/>
              <w:rPr>
                <w:sz w:val="15"/>
                <w:szCs w:val="15"/>
                <w:color w:val="auto"/>
              </w:rPr>
            </w:pPr>
          </w:p>
        </w:tc>
        <w:tc>
          <w:tcPr>
            <w:tcW w:w="900" w:type="dxa"/>
            <w:vAlign w:val="bottom"/>
            <w:shd w:val="clear" w:color="auto" w:fill="1D2758"/>
          </w:tcPr>
          <w:p>
            <w:pPr>
              <w:jc w:val="center"/>
              <w:spacing w:after="0"/>
              <w:rPr>
                <w:sz w:val="20"/>
                <w:szCs w:val="20"/>
                <w:color w:val="auto"/>
              </w:rPr>
            </w:pPr>
            <w:r>
              <w:rPr>
                <w:rFonts w:ascii="Arial" w:cs="Arial" w:eastAsia="Arial" w:hAnsi="Arial"/>
                <w:sz w:val="14"/>
                <w:szCs w:val="14"/>
                <w:b w:val="1"/>
                <w:bCs w:val="1"/>
                <w:color w:val="FFFFFF"/>
              </w:rPr>
              <w:t>Capital</w:t>
            </w:r>
          </w:p>
        </w:tc>
        <w:tc>
          <w:tcPr>
            <w:tcW w:w="140" w:type="dxa"/>
            <w:vAlign w:val="bottom"/>
            <w:shd w:val="clear" w:color="auto" w:fill="1D2758"/>
          </w:tcPr>
          <w:p>
            <w:pPr>
              <w:spacing w:after="0"/>
              <w:rPr>
                <w:sz w:val="15"/>
                <w:szCs w:val="15"/>
                <w:color w:val="auto"/>
              </w:rPr>
            </w:pPr>
          </w:p>
        </w:tc>
        <w:tc>
          <w:tcPr>
            <w:tcW w:w="1000" w:type="dxa"/>
            <w:vAlign w:val="bottom"/>
            <w:shd w:val="clear" w:color="auto" w:fill="1D2758"/>
          </w:tcPr>
          <w:p>
            <w:pPr>
              <w:jc w:val="center"/>
              <w:ind w:right="20"/>
              <w:spacing w:after="0"/>
              <w:rPr>
                <w:sz w:val="20"/>
                <w:szCs w:val="20"/>
                <w:color w:val="auto"/>
              </w:rPr>
            </w:pPr>
            <w:r>
              <w:rPr>
                <w:rFonts w:ascii="Arial" w:cs="Arial" w:eastAsia="Arial" w:hAnsi="Arial"/>
                <w:sz w:val="14"/>
                <w:szCs w:val="14"/>
                <w:b w:val="1"/>
                <w:bCs w:val="1"/>
                <w:color w:val="FFFFFF"/>
              </w:rPr>
              <w:t>Loss</w:t>
            </w:r>
          </w:p>
        </w:tc>
        <w:tc>
          <w:tcPr>
            <w:tcW w:w="1000" w:type="dxa"/>
            <w:vAlign w:val="bottom"/>
            <w:shd w:val="clear" w:color="auto" w:fill="1D2758"/>
          </w:tcPr>
          <w:p>
            <w:pPr>
              <w:jc w:val="right"/>
              <w:ind w:right="200"/>
              <w:spacing w:after="0"/>
              <w:rPr>
                <w:sz w:val="20"/>
                <w:szCs w:val="20"/>
                <w:color w:val="auto"/>
              </w:rPr>
            </w:pPr>
            <w:r>
              <w:rPr>
                <w:rFonts w:ascii="Arial" w:cs="Arial" w:eastAsia="Arial" w:hAnsi="Arial"/>
                <w:sz w:val="14"/>
                <w:szCs w:val="14"/>
                <w:b w:val="1"/>
                <w:bCs w:val="1"/>
                <w:color w:val="FFFFFF"/>
              </w:rPr>
              <w:t>Deficit</w:t>
            </w:r>
          </w:p>
        </w:tc>
        <w:tc>
          <w:tcPr>
            <w:tcW w:w="200" w:type="dxa"/>
            <w:vAlign w:val="bottom"/>
            <w:shd w:val="clear" w:color="auto" w:fill="1D2758"/>
          </w:tcPr>
          <w:p>
            <w:pPr>
              <w:spacing w:after="0"/>
              <w:rPr>
                <w:sz w:val="15"/>
                <w:szCs w:val="15"/>
                <w:color w:val="auto"/>
              </w:rPr>
            </w:pPr>
          </w:p>
        </w:tc>
        <w:tc>
          <w:tcPr>
            <w:tcW w:w="800" w:type="dxa"/>
            <w:vAlign w:val="bottom"/>
            <w:shd w:val="clear" w:color="auto" w:fill="1D2758"/>
          </w:tcPr>
          <w:p>
            <w:pPr>
              <w:jc w:val="right"/>
              <w:ind w:right="200"/>
              <w:spacing w:after="0"/>
              <w:rPr>
                <w:sz w:val="20"/>
                <w:szCs w:val="20"/>
                <w:color w:val="auto"/>
              </w:rPr>
            </w:pPr>
            <w:r>
              <w:rPr>
                <w:rFonts w:ascii="Arial" w:cs="Arial" w:eastAsia="Arial" w:hAnsi="Arial"/>
                <w:sz w:val="14"/>
                <w:szCs w:val="14"/>
                <w:b w:val="1"/>
                <w:bCs w:val="1"/>
                <w:color w:val="FFFFFF"/>
              </w:rPr>
              <w:t>Equity</w:t>
            </w:r>
          </w:p>
        </w:tc>
        <w:tc>
          <w:tcPr>
            <w:tcW w:w="160" w:type="dxa"/>
            <w:vAlign w:val="bottom"/>
            <w:shd w:val="clear" w:color="auto" w:fill="1D2758"/>
          </w:tcPr>
          <w:p>
            <w:pPr>
              <w:spacing w:after="0"/>
              <w:rPr>
                <w:sz w:val="15"/>
                <w:szCs w:val="15"/>
                <w:color w:val="auto"/>
              </w:rPr>
            </w:pPr>
          </w:p>
        </w:tc>
        <w:tc>
          <w:tcPr>
            <w:tcW w:w="760" w:type="dxa"/>
            <w:vAlign w:val="bottom"/>
            <w:shd w:val="clear" w:color="auto" w:fill="1D2758"/>
          </w:tcPr>
          <w:p>
            <w:pPr>
              <w:jc w:val="center"/>
              <w:ind w:right="60"/>
              <w:spacing w:after="0"/>
              <w:rPr>
                <w:sz w:val="20"/>
                <w:szCs w:val="20"/>
                <w:color w:val="auto"/>
              </w:rPr>
            </w:pPr>
            <w:r>
              <w:rPr>
                <w:rFonts w:ascii="Arial" w:cs="Arial" w:eastAsia="Arial" w:hAnsi="Arial"/>
                <w:sz w:val="14"/>
                <w:szCs w:val="14"/>
                <w:b w:val="1"/>
                <w:bCs w:val="1"/>
                <w:color w:val="FFFFFF"/>
                <w:w w:val="98"/>
              </w:rPr>
              <w:t>Interest</w:t>
            </w:r>
          </w:p>
        </w:tc>
        <w:tc>
          <w:tcPr>
            <w:tcW w:w="900" w:type="dxa"/>
            <w:vAlign w:val="bottom"/>
            <w:gridSpan w:val="2"/>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Balance at December 31,</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108,509</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11</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8,024</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$2,389,548</w:t>
            </w:r>
          </w:p>
        </w:tc>
        <w:tc>
          <w:tcPr>
            <w:tcW w:w="140" w:type="dxa"/>
            <w:vAlign w:val="bottom"/>
            <w:vMerge w:val="restart"/>
            <w:shd w:val="clear" w:color="auto" w:fill="E7E7E8"/>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(68,026)</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(1,683,319)</w:t>
            </w:r>
          </w:p>
        </w:tc>
        <w:tc>
          <w:tcPr>
            <w:tcW w:w="2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638,215</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63,982</w:t>
            </w:r>
          </w:p>
        </w:tc>
        <w:tc>
          <w:tcPr>
            <w:tcW w:w="18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702,197</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2018</w:t>
            </w:r>
          </w:p>
        </w:tc>
        <w:tc>
          <w:tcPr>
            <w:tcW w:w="82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900" w:type="dxa"/>
            <w:vAlign w:val="bottom"/>
            <w:vMerge w:val="continue"/>
            <w:shd w:val="clear" w:color="auto" w:fill="E7E7E8"/>
          </w:tcPr>
          <w:p>
            <w:pPr>
              <w:spacing w:after="0"/>
              <w:rPr>
                <w:sz w:val="18"/>
                <w:szCs w:val="18"/>
                <w:color w:val="auto"/>
              </w:rPr>
            </w:pPr>
          </w:p>
        </w:tc>
        <w:tc>
          <w:tcPr>
            <w:tcW w:w="14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200" w:type="dxa"/>
            <w:vAlign w:val="bottom"/>
            <w:vMerge w:val="continue"/>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vMerge w:val="continue"/>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(9,271)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(9,271)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(10,029)</w:t>
            </w: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Other comprehensive</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1,748</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1,748</w:t>
            </w:r>
          </w:p>
        </w:tc>
        <w:tc>
          <w:tcPr>
            <w:tcW w:w="160" w:type="dxa"/>
            <w:vAlign w:val="bottom"/>
            <w:shd w:val="clear" w:color="auto" w:fill="E7E7E8"/>
          </w:tcPr>
          <w:p>
            <w:pPr>
              <w:spacing w:after="0"/>
              <w:rPr>
                <w:sz w:val="14"/>
                <w:szCs w:val="14"/>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w:t>
            </w:r>
          </w:p>
        </w:tc>
        <w:tc>
          <w:tcPr>
            <w:tcW w:w="82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900" w:type="dxa"/>
            <w:vAlign w:val="bottom"/>
            <w:vMerge w:val="continue"/>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20"/>
              <w:spacing w:after="0"/>
              <w:rPr>
                <w:sz w:val="20"/>
                <w:szCs w:val="20"/>
                <w:color w:val="auto"/>
              </w:rPr>
            </w:pPr>
            <w:r>
              <w:rPr>
                <w:rFonts w:ascii="Arial" w:cs="Arial" w:eastAsia="Arial" w:hAnsi="Arial"/>
                <w:sz w:val="16"/>
                <w:szCs w:val="16"/>
                <w:color w:val="auto"/>
              </w:rPr>
              <w:t>Adoption of ASC 842</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4,723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Adoption of ASC 606</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78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345</w:t>
            </w:r>
          </w:p>
        </w:tc>
        <w:tc>
          <w:tcPr>
            <w:tcW w:w="20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345</w:t>
            </w:r>
          </w:p>
        </w:tc>
        <w:tc>
          <w:tcPr>
            <w:tcW w:w="160" w:type="dxa"/>
            <w:vAlign w:val="bottom"/>
            <w:shd w:val="clear" w:color="auto" w:fill="E7E7E8"/>
          </w:tcPr>
          <w:p>
            <w:pPr>
              <w:spacing w:after="0"/>
              <w:rPr>
                <w:sz w:val="18"/>
                <w:szCs w:val="18"/>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Stock-based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160" w:type="dxa"/>
            <w:vAlign w:val="bottom"/>
          </w:tcPr>
          <w:p>
            <w:pPr>
              <w:spacing w:after="0"/>
              <w:rPr>
                <w:sz w:val="14"/>
                <w:szCs w:val="14"/>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636</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636</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80" w:type="dxa"/>
            <w:vAlign w:val="bottom"/>
            <w:shd w:val="clear" w:color="auto" w:fill="E7E7E8"/>
          </w:tcPr>
          <w:p>
            <w:pPr>
              <w:ind w:left="20"/>
              <w:spacing w:after="0" w:line="142" w:lineRule="exact"/>
              <w:rPr>
                <w:sz w:val="20"/>
                <w:szCs w:val="20"/>
                <w:color w:val="auto"/>
              </w:rPr>
            </w:pPr>
            <w:r>
              <w:rPr>
                <w:rFonts w:ascii="Arial" w:cs="Arial" w:eastAsia="Arial" w:hAnsi="Arial"/>
                <w:sz w:val="16"/>
                <w:szCs w:val="16"/>
                <w:color w:val="auto"/>
              </w:rPr>
              <w:t>Balance at March 31,</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108,693</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11</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8,024</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$2,390,184</w:t>
            </w:r>
          </w:p>
        </w:tc>
        <w:tc>
          <w:tcPr>
            <w:tcW w:w="140" w:type="dxa"/>
            <w:vAlign w:val="bottom"/>
            <w:vMerge w:val="restart"/>
            <w:shd w:val="clear" w:color="auto" w:fill="E7E7E8"/>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(66,278)</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(1,687,522)</w:t>
            </w:r>
          </w:p>
        </w:tc>
        <w:tc>
          <w:tcPr>
            <w:tcW w:w="2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636,396</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63,893</w:t>
            </w:r>
          </w:p>
        </w:tc>
        <w:tc>
          <w:tcPr>
            <w:tcW w:w="18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700,289</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82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900" w:type="dxa"/>
            <w:vAlign w:val="bottom"/>
            <w:vMerge w:val="continue"/>
            <w:shd w:val="clear" w:color="auto" w:fill="E7E7E8"/>
          </w:tcPr>
          <w:p>
            <w:pPr>
              <w:spacing w:after="0"/>
              <w:rPr>
                <w:sz w:val="18"/>
                <w:szCs w:val="18"/>
                <w:color w:val="auto"/>
              </w:rPr>
            </w:pPr>
          </w:p>
        </w:tc>
        <w:tc>
          <w:tcPr>
            <w:tcW w:w="14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200" w:type="dxa"/>
            <w:vAlign w:val="bottom"/>
            <w:vMerge w:val="continue"/>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vMerge w:val="continue"/>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(10,606)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(11,438)</w:t>
            </w: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Other comprehensive</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388</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388</w:t>
            </w:r>
          </w:p>
        </w:tc>
        <w:tc>
          <w:tcPr>
            <w:tcW w:w="160" w:type="dxa"/>
            <w:vAlign w:val="bottom"/>
            <w:shd w:val="clear" w:color="auto" w:fill="E7E7E8"/>
          </w:tcPr>
          <w:p>
            <w:pPr>
              <w:spacing w:after="0"/>
              <w:rPr>
                <w:sz w:val="14"/>
                <w:szCs w:val="14"/>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w:t>
            </w:r>
          </w:p>
        </w:tc>
        <w:tc>
          <w:tcPr>
            <w:tcW w:w="82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900" w:type="dxa"/>
            <w:vAlign w:val="bottom"/>
            <w:vMerge w:val="continue"/>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Stock-based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4"/>
                <w:szCs w:val="14"/>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1,901</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1,901</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June 30, 2019</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108,699</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8,024</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$2,392,085</w:t>
            </w:r>
          </w:p>
        </w:tc>
        <w:tc>
          <w:tcPr>
            <w:tcW w:w="140" w:type="dxa"/>
            <w:vAlign w:val="bottom"/>
            <w:shd w:val="clear" w:color="auto" w:fill="E7E7E8"/>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(65,890)</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(1,698,128)</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628,079</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63,107</w:t>
            </w:r>
          </w:p>
        </w:tc>
        <w:tc>
          <w:tcPr>
            <w:tcW w:w="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691,186</w:t>
            </w:r>
          </w:p>
        </w:tc>
        <w:tc>
          <w:tcPr>
            <w:tcW w:w="0" w:type="dxa"/>
            <w:vAlign w:val="bottom"/>
          </w:tcPr>
          <w:p>
            <w:pPr>
              <w:spacing w:after="0"/>
              <w:rPr>
                <w:sz w:val="1"/>
                <w:szCs w:val="1"/>
                <w:color w:val="auto"/>
              </w:rPr>
            </w:pPr>
          </w:p>
        </w:tc>
      </w:tr>
      <w:tr>
        <w:trPr>
          <w:trHeight w:val="216"/>
        </w:trPr>
        <w:tc>
          <w:tcPr>
            <w:tcW w:w="19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60"/>
              <w:spacing w:after="0" w:line="162" w:lineRule="exact"/>
              <w:rPr>
                <w:sz w:val="20"/>
                <w:szCs w:val="20"/>
                <w:color w:val="auto"/>
              </w:rPr>
            </w:pPr>
            <w:r>
              <w:rPr>
                <w:rFonts w:ascii="Arial" w:cs="Arial" w:eastAsia="Arial" w:hAnsi="Arial"/>
                <w:sz w:val="16"/>
                <w:szCs w:val="16"/>
                <w:color w:val="auto"/>
              </w:rPr>
              <w:t>Other comprehensive</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4"/>
                <w:szCs w:val="14"/>
                <w:color w:val="auto"/>
              </w:rPr>
            </w:pP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(3,009)</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(3,009)</w:t>
            </w:r>
          </w:p>
        </w:tc>
        <w:tc>
          <w:tcPr>
            <w:tcW w:w="160" w:type="dxa"/>
            <w:vAlign w:val="bottom"/>
            <w:shd w:val="clear" w:color="auto" w:fill="E7E7E8"/>
          </w:tcPr>
          <w:p>
            <w:pPr>
              <w:spacing w:after="0"/>
              <w:rPr>
                <w:sz w:val="14"/>
                <w:szCs w:val="14"/>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(301)</w:t>
            </w:r>
          </w:p>
        </w:tc>
        <w:tc>
          <w:tcPr>
            <w:tcW w:w="18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w:t>
            </w:r>
          </w:p>
        </w:tc>
        <w:tc>
          <w:tcPr>
            <w:tcW w:w="82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8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900" w:type="dxa"/>
            <w:vAlign w:val="bottom"/>
            <w:vMerge w:val="continue"/>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1000" w:type="dxa"/>
            <w:vAlign w:val="bottom"/>
            <w:vMerge w:val="continue"/>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7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Issuance of Common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20"/>
              <w:spacing w:after="0" w:line="162" w:lineRule="exact"/>
              <w:rPr>
                <w:sz w:val="20"/>
                <w:szCs w:val="20"/>
                <w:color w:val="auto"/>
              </w:rPr>
            </w:pPr>
            <w:r>
              <w:rPr>
                <w:rFonts w:ascii="Arial" w:cs="Arial" w:eastAsia="Arial" w:hAnsi="Arial"/>
                <w:sz w:val="16"/>
                <w:szCs w:val="16"/>
                <w:color w:val="auto"/>
              </w:rPr>
              <w:t>Stock due to option</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4"/>
                <w:szCs w:val="14"/>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1980" w:type="dxa"/>
            <w:vAlign w:val="bottom"/>
          </w:tcPr>
          <w:p>
            <w:pPr>
              <w:ind w:left="220"/>
              <w:spacing w:after="0"/>
              <w:rPr>
                <w:sz w:val="20"/>
                <w:szCs w:val="20"/>
                <w:color w:val="auto"/>
              </w:rPr>
            </w:pPr>
            <w:r>
              <w:rPr>
                <w:rFonts w:ascii="Arial" w:cs="Arial" w:eastAsia="Arial" w:hAnsi="Arial"/>
                <w:sz w:val="16"/>
                <w:szCs w:val="16"/>
                <w:color w:val="auto"/>
              </w:rPr>
              <w:t>exercises</w:t>
            </w: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Stock-based</w:t>
            </w:r>
          </w:p>
        </w:tc>
        <w:tc>
          <w:tcPr>
            <w:tcW w:w="8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compensation and</w:t>
            </w:r>
          </w:p>
        </w:tc>
        <w:tc>
          <w:tcPr>
            <w:tcW w:w="8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issuance of common</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E7E7E8"/>
          </w:tcPr>
          <w:p>
            <w:pPr>
              <w:spacing w:after="0"/>
              <w:rPr>
                <w:sz w:val="14"/>
                <w:szCs w:val="14"/>
                <w:color w:val="auto"/>
              </w:rPr>
            </w:pPr>
          </w:p>
        </w:tc>
        <w:tc>
          <w:tcPr>
            <w:tcW w:w="780" w:type="dxa"/>
            <w:vAlign w:val="bottom"/>
            <w:vMerge w:val="restart"/>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1,812</w:t>
            </w:r>
          </w:p>
        </w:tc>
        <w:tc>
          <w:tcPr>
            <w:tcW w:w="140" w:type="dxa"/>
            <w:vAlign w:val="bottom"/>
            <w:shd w:val="clear" w:color="auto" w:fill="E7E7E8"/>
          </w:tcPr>
          <w:p>
            <w:pPr>
              <w:spacing w:after="0"/>
              <w:rPr>
                <w:sz w:val="14"/>
                <w:szCs w:val="14"/>
                <w:color w:val="auto"/>
              </w:rPr>
            </w:pP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1,812</w:t>
            </w:r>
          </w:p>
        </w:tc>
        <w:tc>
          <w:tcPr>
            <w:tcW w:w="160" w:type="dxa"/>
            <w:vAlign w:val="bottom"/>
            <w:shd w:val="clear" w:color="auto" w:fill="E7E7E8"/>
          </w:tcPr>
          <w:p>
            <w:pPr>
              <w:spacing w:after="0"/>
              <w:rPr>
                <w:sz w:val="14"/>
                <w:szCs w:val="14"/>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4"/>
                <w:szCs w:val="14"/>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16"/>
        </w:trPr>
        <w:tc>
          <w:tcPr>
            <w:tcW w:w="1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from vesting</w:t>
            </w:r>
          </w:p>
        </w:tc>
        <w:tc>
          <w:tcPr>
            <w:tcW w:w="82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vMerge w:val="continue"/>
            <w:shd w:val="clear" w:color="auto" w:fill="E7E7E8"/>
          </w:tcPr>
          <w:p>
            <w:pPr>
              <w:spacing w:after="0"/>
              <w:rPr>
                <w:sz w:val="18"/>
                <w:szCs w:val="18"/>
                <w:color w:val="auto"/>
              </w:rPr>
            </w:pPr>
          </w:p>
        </w:tc>
        <w:tc>
          <w:tcPr>
            <w:tcW w:w="76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720" w:type="dxa"/>
            <w:vAlign w:val="bottom"/>
            <w:tcBorders>
              <w:bottom w:val="single" w:sz="8" w:color="auto"/>
            </w:tcBorders>
            <w:vMerge w:val="continue"/>
            <w:shd w:val="clear" w:color="auto" w:fill="E7E7E8"/>
          </w:tcPr>
          <w:p>
            <w:pPr>
              <w:spacing w:after="0"/>
              <w:rPr>
                <w:sz w:val="18"/>
                <w:szCs w:val="18"/>
                <w:color w:val="auto"/>
              </w:rPr>
            </w:pPr>
          </w:p>
        </w:tc>
        <w:tc>
          <w:tcPr>
            <w:tcW w:w="900" w:type="dxa"/>
            <w:vAlign w:val="bottom"/>
            <w:tcBorders>
              <w:bottom w:val="single" w:sz="8" w:color="auto"/>
            </w:tcBorders>
            <w:vMerge w:val="continue"/>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vMerge w:val="continue"/>
            <w:shd w:val="clear" w:color="auto" w:fill="E7E7E8"/>
          </w:tcPr>
          <w:p>
            <w:pPr>
              <w:spacing w:after="0"/>
              <w:rPr>
                <w:sz w:val="18"/>
                <w:szCs w:val="18"/>
                <w:color w:val="auto"/>
              </w:rPr>
            </w:pPr>
          </w:p>
        </w:tc>
        <w:tc>
          <w:tcPr>
            <w:tcW w:w="1000" w:type="dxa"/>
            <w:vAlign w:val="bottom"/>
            <w:tcBorders>
              <w:bottom w:val="single" w:sz="8" w:color="auto"/>
            </w:tcBorders>
            <w:vMerge w:val="continue"/>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80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760" w:type="dxa"/>
            <w:vAlign w:val="bottom"/>
            <w:tcBorders>
              <w:bottom w:val="single" w:sz="8" w:color="auto"/>
            </w:tcBorders>
            <w:vMerge w:val="continue"/>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72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Balance at September 30,</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108,751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60"/>
              <w:spacing w:after="0"/>
              <w:rPr>
                <w:sz w:val="20"/>
                <w:szCs w:val="20"/>
                <w:color w:val="auto"/>
              </w:rPr>
            </w:pPr>
            <w:r>
              <w:rPr>
                <w:rFonts w:ascii="Arial" w:cs="Arial" w:eastAsia="Arial" w:hAnsi="Arial"/>
                <w:sz w:val="16"/>
                <w:szCs w:val="16"/>
                <w:color w:val="auto"/>
              </w:rPr>
              <w:t>11</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8,024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$2,394,091</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(68,899)</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 (1,697,426)</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627,778</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63,101</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690,879</w:t>
            </w:r>
          </w:p>
        </w:tc>
        <w:tc>
          <w:tcPr>
            <w:tcW w:w="0" w:type="dxa"/>
            <w:vAlign w:val="bottom"/>
          </w:tcPr>
          <w:p>
            <w:pPr>
              <w:spacing w:after="0"/>
              <w:rPr>
                <w:sz w:val="1"/>
                <w:szCs w:val="1"/>
                <w:color w:val="auto"/>
              </w:rPr>
            </w:pPr>
          </w:p>
        </w:tc>
      </w:tr>
      <w:tr>
        <w:trPr>
          <w:trHeight w:val="194"/>
        </w:trPr>
        <w:tc>
          <w:tcPr>
            <w:tcW w:w="1980" w:type="dxa"/>
            <w:vAlign w:val="bottom"/>
          </w:tcPr>
          <w:p>
            <w:pPr>
              <w:ind w:left="20"/>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1D2758"/>
        </w:rPr>
        <w:t>WillScot Mobile Mini Holdings Corp.</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1D2758"/>
        </w:rPr>
        <w:t>Condensed Consolidated Statements of Cash Flows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760" w:type="dxa"/>
            <w:vAlign w:val="bottom"/>
            <w:gridSpan w:val="4"/>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7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vMerge w:val="continue"/>
            <w:shd w:val="clear" w:color="auto" w:fill="1D2758"/>
          </w:tcPr>
          <w:p>
            <w:pPr>
              <w:spacing w:after="0"/>
              <w:rPr>
                <w:sz w:val="19"/>
                <w:szCs w:val="19"/>
                <w:color w:val="auto"/>
              </w:rPr>
            </w:pPr>
          </w:p>
        </w:tc>
        <w:tc>
          <w:tcPr>
            <w:tcW w:w="32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540" w:type="dxa"/>
            <w:vAlign w:val="bottom"/>
            <w:shd w:val="clear" w:color="auto" w:fill="1D2758"/>
          </w:tcPr>
          <w:p>
            <w:pPr>
              <w:spacing w:after="0"/>
              <w:rPr>
                <w:sz w:val="19"/>
                <w:szCs w:val="19"/>
                <w:color w:val="auto"/>
              </w:rPr>
            </w:pPr>
          </w:p>
        </w:tc>
        <w:tc>
          <w:tcPr>
            <w:tcW w:w="9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69"/>
        </w:trPr>
        <w:tc>
          <w:tcPr>
            <w:tcW w:w="786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16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c>
          <w:tcPr>
            <w:tcW w:w="96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171,425</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139,810</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11,817</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Impairment losses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Amortization of debt discounts and debt issuance costs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9,547</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8,550</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(67,324)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Unrealized currency (gains) losses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Trade receivables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(64,693)</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Prepaid and other assets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Operating lease assets and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Accrued interest</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(7,657)</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(6,851)</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Deferred revenue and customer deposits</w:t>
            </w:r>
          </w:p>
        </w:tc>
        <w:tc>
          <w:tcPr>
            <w:tcW w:w="32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10,077</w:t>
            </w:r>
          </w:p>
        </w:tc>
        <w:tc>
          <w:tcPr>
            <w:tcW w:w="10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19,464</w:t>
            </w:r>
          </w:p>
        </w:tc>
        <w:tc>
          <w:tcPr>
            <w:tcW w:w="0" w:type="dxa"/>
            <w:vAlign w:val="bottom"/>
          </w:tcPr>
          <w:p>
            <w:pPr>
              <w:spacing w:after="0"/>
              <w:rPr>
                <w:sz w:val="1"/>
                <w:szCs w:val="1"/>
                <w:color w:val="auto"/>
              </w:rPr>
            </w:pPr>
          </w:p>
        </w:tc>
      </w:tr>
      <w:tr>
        <w:trPr>
          <w:trHeight w:val="209"/>
        </w:trPr>
        <w:tc>
          <w:tcPr>
            <w:tcW w:w="786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175,095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99,076</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Cash acquired from Mobile Mini Acquisition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Proceeds from sale of rental equipment</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31,504</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Purchase of rental equipment and refurbishments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(122,273)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(160,877)</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Proceeds from the sale of property, plant and equipment</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5,825</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13,199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Borders>
              <w:bottom w:val="single" w:sz="8" w:color="E7E7E8"/>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210"/>
        </w:trPr>
        <w:tc>
          <w:tcPr>
            <w:tcW w:w="7860" w:type="dxa"/>
            <w:vAlign w:val="bottom"/>
            <w:shd w:val="clear" w:color="auto" w:fill="E7E7E8"/>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(83,073)</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(122,774)</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Receipts from issuance of Common Stock</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7,694</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Payment of Common Stock issuance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Receipts from borrowings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2,735,793</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489,207</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Payment of financing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(64,552)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Repayment of borrowings</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(2,715,042)</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(461,245)</w:t>
            </w:r>
          </w:p>
        </w:tc>
        <w:tc>
          <w:tcPr>
            <w:tcW w:w="0" w:type="dxa"/>
            <w:vAlign w:val="bottom"/>
          </w:tcPr>
          <w:p>
            <w:pPr>
              <w:spacing w:after="0"/>
              <w:rPr>
                <w:sz w:val="1"/>
                <w:szCs w:val="1"/>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6"/>
                <w:szCs w:val="16"/>
                <w:color w:val="auto"/>
              </w:rPr>
              <w:t>Payment of debt extinguishment premium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Other financing activities</w:t>
            </w:r>
          </w:p>
        </w:tc>
        <w:tc>
          <w:tcPr>
            <w:tcW w:w="32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9"/>
        </w:trPr>
        <w:tc>
          <w:tcPr>
            <w:tcW w:w="7860" w:type="dxa"/>
            <w:vAlign w:val="bottom"/>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(75,612)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18,627</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7860" w:type="dxa"/>
            <w:vAlign w:val="bottom"/>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(5,007)</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10"/>
        </w:trPr>
        <w:tc>
          <w:tcPr>
            <w:tcW w:w="7860" w:type="dxa"/>
            <w:vAlign w:val="bottom"/>
          </w:tcPr>
          <w:p>
            <w:pPr>
              <w:ind w:left="220"/>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E7E7E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shd w:val="clear" w:color="auto" w:fill="E7E7E8"/>
          </w:tcPr>
          <w:p>
            <w:pPr>
              <w:spacing w:after="0"/>
              <w:rPr>
                <w:sz w:val="15"/>
                <w:szCs w:val="15"/>
                <w:color w:val="auto"/>
              </w:rPr>
            </w:pPr>
          </w:p>
        </w:tc>
        <w:tc>
          <w:tcPr>
            <w:tcW w:w="116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54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80,558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92,590</w:t>
            </w: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taxes paid, net</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9"/>
        </w:trPr>
        <w:tc>
          <w:tcPr>
            <w:tcW w:w="7860" w:type="dxa"/>
            <w:vAlign w:val="bottom"/>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24,179</w:t>
            </w:r>
          </w:p>
        </w:tc>
        <w:tc>
          <w:tcPr>
            <w:tcW w:w="10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438"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Notes to the Condensed Consolidated Financial Statements (Unaudited)</w:t>
      </w:r>
    </w:p>
    <w:p>
      <w:pPr>
        <w:spacing w:after="0" w:line="381" w:lineRule="exact"/>
        <w:rPr>
          <w:sz w:val="20"/>
          <w:szCs w:val="20"/>
          <w:color w:val="auto"/>
        </w:rPr>
      </w:pPr>
    </w:p>
    <w:p>
      <w:pPr>
        <w:spacing w:after="0"/>
        <w:rPr>
          <w:sz w:val="20"/>
          <w:szCs w:val="20"/>
          <w:color w:val="auto"/>
        </w:rPr>
      </w:pPr>
      <w:r>
        <w:rPr>
          <w:rFonts w:ascii="Arial" w:cs="Arial" w:eastAsia="Arial" w:hAnsi="Arial"/>
          <w:sz w:val="23"/>
          <w:szCs w:val="23"/>
          <w:color w:val="1D2758"/>
        </w:rPr>
        <w:t>NOTE 1 - Summary of 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WillScot Mobile Mini Holdings Corporation (“WillScot Mobile Mini” and, together with its subsidiaries, the “Company”) is a leading provider of modular space and portable storage solutions in the United States (“US”), Canada, United Kingdom and Mexico.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United Kingdom.</w:t>
      </w:r>
    </w:p>
    <w:p>
      <w:pPr>
        <w:spacing w:after="0" w:line="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WillScot Corporation, a Delaware corporation (“WillScot”) entered into an Agreement and Plan of Merger, dated as of March 1, 2020, as amended on May 28, 2020 (as so amended, the “Merger Agreement”), by and among WillScot, Mobile Mini, Inc.(“Mobile Mini”), and Picasso Merger Sub, Inc. and a wholly-owned subsidiary of WillScot (“Merger Sub”). On July 1, 2020, Merger Sub merged with and into Mobile Mini (the “Merger”). At the effective time of the Merger, the separate corporate existence of Merger Sub ceased and Mobile Mini continued its existence, as the surviving corporation in the Merger and a wholly-owned subsidiary of WillScot. As a result of the Merger, each issued and outstanding share of Mobile Mini common stock, par value $0.01 per share (other than treasury shares held by Mobile Mini), was converted automatically into the right to receive 2.405 shares of WillScot’s Class A common stock, par value $0.0001 per share (the “WillScot Class A Common Stock”), and cash in lieu of any fractional shares.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the Merger closed on July 1, 2020 the preparation of financial statements in accordance with U.S. Generally Accepted Accounting Principles (“GAAP”) requires that our condensed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Quarterly Report on Form 10-Q and do not include all the information and notes required by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necessary to present fairly the financial position, results of operations and cash flows for the interim periods presented.</w:t>
      </w:r>
    </w:p>
    <w:p>
      <w:pPr>
        <w:spacing w:after="0" w:line="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On December 31, 2019, the 2019 financial statement amounts were adjusted for the adoption of Accounting Standards Update (“ASU”) 2016-02, </w:t>
      </w: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("ASC 842"), effective retroactively to January 1, 2019, and therefore may not agree to the Quarterly Reports filed on Form 10-Q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filed periods of 2019.</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results of operations for the nine months ended September 30, 2020 are not necessarily indicative of the results to be expected for the full year. For further information, refer to the consolidated financial statements and notes included in the Company's Annual Report on Form 10-K for the year ended December 31,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Issued Accounting Standards</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is elective, and provides for optional expedients and exceptions for applying GAAP to contracts, hedging relationships, and other transactions affected by reference rate reform if certain criteria are met. The Company is currently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6"/>
          <w:szCs w:val="16"/>
          <w:color w:val="auto"/>
        </w:rPr>
        <w:t>evaluating the impact of reference rate reform and potential impact of adoption of these elective practical expedients on its condensed consolidated financial statements and will consider the impact of adoption during its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January 30, 2020, the World Health Organization declared an outbreak of a highly contagious form of an upper respiratory infection caused by COVID-19, a novel coronavirus strain commonly referred to as “coronavirus”. The Company was deemed an essential infrastructure business and has continued to supply its customers.</w:t>
      </w:r>
    </w:p>
    <w:p>
      <w:pPr>
        <w:spacing w:after="0" w:line="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There have been significant changes to the global economic situation and to public securities markets as a consequence of the COVID-19 pandemic. If these conditions persist, it is reasonably likely that this could cause changes to estimates as a result of the markets in which the Company operates, the price of the Company’s publicly traded equity and debt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the fair value of long-lived assets in relation to potential impairment and the allowance for credit losses.</w:t>
      </w: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D2758"/>
        </w:rPr>
        <w:t>NOTE 2 -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Merger</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March 1, 2020, the Company, along with its newly formed subsidiary, Picasso Merger Sub, Inc. (“Merger Sub”), entered into an Agreement and Plan of Merger (the “Merger Agreement”) with Mobile Mini, Inc. (“Mobile Mini”), hereby referred to as the “Merger”. The Merger was completed on July 1, 2020 and Merger Sub merged with and into Mobile Mini and the separate corporate existence of Merger Sub ceased and Mobile Mini continued its existence, as the surviving corporation in the Merger and a wholly-owned subsidiary of the Company.</w:t>
      </w:r>
    </w:p>
    <w:p>
      <w:pPr>
        <w:spacing w:after="0" w:line="6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Upon completion of the Merger, each issued and outstanding share of Mobile Mini Common Stock, par value $0.01 per share, converted to 2.405 shares of WillScot Class A Common Stock, par value $0.0001 per share, and cash in lieu of any fractional shares.</w:t>
      </w:r>
    </w:p>
    <w:p>
      <w:pPr>
        <w:spacing w:after="0" w:line="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 The purchase price has been determined to be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600" w:type="dxa"/>
            <w:vAlign w:val="bottom"/>
            <w:shd w:val="clear" w:color="auto" w:fill="1D2758"/>
          </w:tcPr>
          <w:p>
            <w:pPr>
              <w:spacing w:after="0"/>
              <w:rPr>
                <w:sz w:val="18"/>
                <w:szCs w:val="18"/>
                <w:color w:val="auto"/>
              </w:rPr>
            </w:pPr>
          </w:p>
        </w:tc>
        <w:tc>
          <w:tcPr>
            <w:tcW w:w="1480" w:type="dxa"/>
            <w:vAlign w:val="bottom"/>
            <w:shd w:val="clear" w:color="auto" w:fill="1D2758"/>
          </w:tcPr>
          <w:p>
            <w:pPr>
              <w:spacing w:after="0"/>
              <w:rPr>
                <w:sz w:val="18"/>
                <w:szCs w:val="18"/>
                <w:color w:val="auto"/>
              </w:rPr>
            </w:pPr>
          </w:p>
        </w:tc>
      </w:tr>
      <w:tr>
        <w:trPr>
          <w:trHeight w:val="216"/>
        </w:trPr>
        <w:tc>
          <w:tcPr>
            <w:tcW w:w="9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Mobile Mini Common Stock outstanding</w:t>
            </w:r>
          </w:p>
        </w:tc>
        <w:tc>
          <w:tcPr>
            <w:tcW w:w="60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44,252,275</w:t>
            </w:r>
          </w:p>
        </w:tc>
      </w:tr>
      <w:tr>
        <w:trPr>
          <w:trHeight w:val="216"/>
        </w:trPr>
        <w:tc>
          <w:tcPr>
            <w:tcW w:w="9160" w:type="dxa"/>
            <w:vAlign w:val="bottom"/>
          </w:tcPr>
          <w:p>
            <w:pPr>
              <w:ind w:left="20"/>
              <w:spacing w:after="0"/>
              <w:rPr>
                <w:sz w:val="20"/>
                <w:szCs w:val="20"/>
                <w:color w:val="auto"/>
              </w:rPr>
            </w:pPr>
            <w:r>
              <w:rPr>
                <w:rFonts w:ascii="Arial" w:cs="Arial" w:eastAsia="Arial" w:hAnsi="Arial"/>
                <w:sz w:val="16"/>
                <w:szCs w:val="16"/>
                <w:color w:val="auto"/>
              </w:rPr>
              <w:t>Share conversion ratio</w:t>
            </w:r>
          </w:p>
        </w:tc>
        <w:tc>
          <w:tcPr>
            <w:tcW w:w="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6"/>
        </w:trPr>
        <w:tc>
          <w:tcPr>
            <w:tcW w:w="9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Common Stock issued</w:t>
            </w:r>
          </w:p>
        </w:tc>
        <w:tc>
          <w:tcPr>
            <w:tcW w:w="60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106,426,721</w:t>
            </w:r>
          </w:p>
        </w:tc>
      </w:tr>
      <w:tr>
        <w:trPr>
          <w:trHeight w:val="216"/>
        </w:trPr>
        <w:tc>
          <w:tcPr>
            <w:tcW w:w="9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Common Stock per share price as of July 1, 2020</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r>
      <w:tr>
        <w:trPr>
          <w:trHeight w:val="210"/>
        </w:trPr>
        <w:tc>
          <w:tcPr>
            <w:tcW w:w="9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Fair value of shares of WillScot Class A Common Stock issued</w:t>
            </w: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1,333,527</w:t>
            </w:r>
          </w:p>
        </w:tc>
      </w:tr>
      <w:tr>
        <w:trPr>
          <w:trHeight w:val="216"/>
        </w:trPr>
        <w:tc>
          <w:tcPr>
            <w:tcW w:w="9160" w:type="dxa"/>
            <w:vAlign w:val="bottom"/>
          </w:tcPr>
          <w:p>
            <w:pPr>
              <w:ind w:left="260"/>
              <w:spacing w:after="0"/>
              <w:rPr>
                <w:sz w:val="20"/>
                <w:szCs w:val="20"/>
                <w:color w:val="auto"/>
              </w:rPr>
            </w:pPr>
            <w:r>
              <w:rPr>
                <w:rFonts w:ascii="Arial" w:cs="Arial" w:eastAsia="Arial" w:hAnsi="Arial"/>
                <w:sz w:val="16"/>
                <w:szCs w:val="16"/>
                <w:color w:val="auto"/>
              </w:rPr>
              <w:t>Cash paid for fractional shares</w:t>
            </w:r>
          </w:p>
        </w:tc>
        <w:tc>
          <w:tcPr>
            <w:tcW w:w="6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9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Fair value of Mobile Mini Options converted to WillScot Mobile Mini Options</w:t>
            </w:r>
          </w:p>
        </w:tc>
        <w:tc>
          <w:tcPr>
            <w:tcW w:w="60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19,279</w:t>
            </w:r>
          </w:p>
        </w:tc>
      </w:tr>
      <w:tr>
        <w:trPr>
          <w:trHeight w:val="209"/>
        </w:trPr>
        <w:tc>
          <w:tcPr>
            <w:tcW w:w="9160" w:type="dxa"/>
            <w:vAlign w:val="bottom"/>
          </w:tcPr>
          <w:p>
            <w:pPr>
              <w:ind w:left="480"/>
              <w:spacing w:after="0"/>
              <w:rPr>
                <w:sz w:val="20"/>
                <w:szCs w:val="20"/>
                <w:color w:val="auto"/>
              </w:rPr>
            </w:pPr>
            <w:r>
              <w:rPr>
                <w:rFonts w:ascii="Arial" w:cs="Arial" w:eastAsia="Arial" w:hAnsi="Arial"/>
                <w:sz w:val="16"/>
                <w:szCs w:val="16"/>
                <w:color w:val="auto"/>
              </w:rPr>
              <w:t>Total purchase price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1,352,836</w:t>
            </w:r>
          </w:p>
        </w:tc>
      </w:tr>
      <w:tr>
        <w:trPr>
          <w:trHeight w:val="21"/>
        </w:trPr>
        <w:tc>
          <w:tcPr>
            <w:tcW w:w="9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Merger was accounted for using the acquisition method of accounting, and WillScot is considered the accounting acquirer. Under the acquisition method of accounting, we are required to assign the purchase price to tangible and identifiable intangible assets acquired and liabilities assumed based on their fair values at the closing date. The excess of the purchase price over those fair values is recorded as goodwill. The Company's acquisition of Mobile Mini represents a non-cash investing outflow activity of $1,352,836 and the related issuance of equity including stock options represents a non-cash financing inflow activity of $1,352,836.</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in the Merger as of July 1, 2020. The estimated fair value of Mobile Mini’s assets acquired and liabilities assumed at the acquisition date are determined based on preliminary valuations and analyses. Accordingly, the Company has made provisional estimates for the assets acquired and liabilities assumed. The valuation of intangible assets acquired is based on certain valuation assumptions yet to be finalized, including cash flow projections, discount rates, contributory asset charges and other valuation model inputs. The valuation of tangible long-lived assets acquired is dependent upon, among other things, refinement of the inputs in the valuation model and an analysis of the condition and estimated remaining useful lives of the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360" w:type="dxa"/>
            <w:vAlign w:val="bottom"/>
            <w:shd w:val="clear" w:color="auto" w:fill="1D2758"/>
          </w:tcPr>
          <w:p>
            <w:pPr>
              <w:spacing w:after="0"/>
              <w:rPr>
                <w:sz w:val="18"/>
                <w:szCs w:val="18"/>
                <w:color w:val="auto"/>
              </w:rPr>
            </w:pPr>
          </w:p>
        </w:tc>
        <w:tc>
          <w:tcPr>
            <w:tcW w:w="21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Purchase Price</w:t>
            </w:r>
          </w:p>
        </w:tc>
        <w:tc>
          <w:tcPr>
            <w:tcW w:w="1360" w:type="dxa"/>
            <w:vAlign w:val="bottom"/>
            <w:tcBorders>
              <w:bottom w:val="single" w:sz="8" w:color="auto"/>
            </w:tcBorders>
            <w:shd w:val="clear" w:color="auto" w:fill="E7E7E8"/>
          </w:tcPr>
          <w:p>
            <w:pPr>
              <w:jc w:val="right"/>
              <w:ind w:right="1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1,352,836</w:t>
            </w:r>
          </w:p>
        </w:tc>
        <w:tc>
          <w:tcPr>
            <w:tcW w:w="0" w:type="dxa"/>
            <w:vAlign w:val="bottom"/>
          </w:tcPr>
          <w:p>
            <w:pPr>
              <w:spacing w:after="0"/>
              <w:rPr>
                <w:sz w:val="1"/>
                <w:szCs w:val="1"/>
                <w:color w:val="auto"/>
              </w:rPr>
            </w:pPr>
          </w:p>
        </w:tc>
      </w:tr>
      <w:tr>
        <w:trPr>
          <w:trHeight w:val="20"/>
        </w:trPr>
        <w:tc>
          <w:tcPr>
            <w:tcW w:w="778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Cash and cash equivalents</w:t>
            </w: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21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13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17,203</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91,840</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8,987</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13,348</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1,142,987</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 net</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153,175</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92,054</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565,550</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non-current assets</w:t>
            </w:r>
          </w:p>
        </w:tc>
        <w:tc>
          <w:tcPr>
            <w:tcW w:w="1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0" w:type="dxa"/>
            <w:vAlign w:val="bottom"/>
          </w:tcPr>
          <w:p>
            <w:pPr>
              <w:spacing w:after="0"/>
              <w:rPr>
                <w:sz w:val="1"/>
                <w:szCs w:val="1"/>
                <w:color w:val="auto"/>
              </w:rPr>
            </w:pPr>
          </w:p>
        </w:tc>
      </w:tr>
      <w:tr>
        <w:trPr>
          <w:trHeight w:val="209"/>
        </w:trPr>
        <w:tc>
          <w:tcPr>
            <w:tcW w:w="77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Total identifiable assets acquired</w:t>
            </w:r>
          </w:p>
        </w:tc>
        <w:tc>
          <w:tcPr>
            <w:tcW w:w="1360" w:type="dxa"/>
            <w:vAlign w:val="bottom"/>
            <w:tcBorders>
              <w:bottom w:val="single" w:sz="8" w:color="auto"/>
            </w:tcBorders>
            <w:shd w:val="clear" w:color="auto" w:fill="E7E7E8"/>
          </w:tcPr>
          <w:p>
            <w:pPr>
              <w:jc w:val="right"/>
              <w:ind w:right="1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2,087,869</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(30,368)</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Accrued liabilities</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(31,355)</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revenue and customer deposits</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(38,846)</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3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(89,968)</w:t>
            </w:r>
          </w:p>
        </w:tc>
        <w:tc>
          <w:tcPr>
            <w:tcW w:w="0" w:type="dxa"/>
            <w:vAlign w:val="bottom"/>
          </w:tcPr>
          <w:p>
            <w:pPr>
              <w:spacing w:after="0"/>
              <w:rPr>
                <w:sz w:val="1"/>
                <w:szCs w:val="1"/>
                <w:color w:val="auto"/>
              </w:rPr>
            </w:pPr>
          </w:p>
        </w:tc>
      </w:tr>
      <w:tr>
        <w:trPr>
          <w:trHeight w:val="216"/>
        </w:trPr>
        <w:tc>
          <w:tcPr>
            <w:tcW w:w="7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Debt and finance lease liabilities</w:t>
            </w:r>
          </w:p>
        </w:tc>
        <w:tc>
          <w:tcPr>
            <w:tcW w:w="1360" w:type="dxa"/>
            <w:vAlign w:val="bottom"/>
            <w:shd w:val="clear" w:color="auto" w:fill="E7E7E8"/>
          </w:tcPr>
          <w:p>
            <w:pPr>
              <w:spacing w:after="0"/>
              <w:rPr>
                <w:sz w:val="18"/>
                <w:szCs w:val="18"/>
                <w:color w:val="auto"/>
              </w:rPr>
            </w:pPr>
          </w:p>
        </w:tc>
        <w:tc>
          <w:tcPr>
            <w:tcW w:w="2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(898,519)</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Deferred tax liabilities</w:t>
            </w:r>
          </w:p>
        </w:tc>
        <w:tc>
          <w:tcPr>
            <w:tcW w:w="1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(346,586)</w:t>
            </w:r>
          </w:p>
        </w:tc>
        <w:tc>
          <w:tcPr>
            <w:tcW w:w="0" w:type="dxa"/>
            <w:vAlign w:val="bottom"/>
          </w:tcPr>
          <w:p>
            <w:pPr>
              <w:spacing w:after="0"/>
              <w:rPr>
                <w:sz w:val="1"/>
                <w:szCs w:val="1"/>
                <w:color w:val="auto"/>
              </w:rPr>
            </w:pPr>
          </w:p>
        </w:tc>
      </w:tr>
      <w:tr>
        <w:trPr>
          <w:trHeight w:val="209"/>
        </w:trPr>
        <w:tc>
          <w:tcPr>
            <w:tcW w:w="77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Total liabilities assumed</w:t>
            </w:r>
          </w:p>
        </w:tc>
        <w:tc>
          <w:tcPr>
            <w:tcW w:w="1360" w:type="dxa"/>
            <w:vAlign w:val="bottom"/>
            <w:tcBorders>
              <w:bottom w:val="single" w:sz="8" w:color="auto"/>
            </w:tcBorders>
            <w:shd w:val="clear" w:color="auto" w:fill="E7E7E8"/>
          </w:tcPr>
          <w:p>
            <w:pPr>
              <w:spacing w:after="0"/>
              <w:rPr>
                <w:sz w:val="18"/>
                <w:szCs w:val="18"/>
                <w:color w:val="auto"/>
              </w:rPr>
            </w:pPr>
          </w:p>
        </w:tc>
        <w:tc>
          <w:tcPr>
            <w:tcW w:w="2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(1,443,418)</w:t>
            </w:r>
          </w:p>
        </w:tc>
        <w:tc>
          <w:tcPr>
            <w:tcW w:w="0" w:type="dxa"/>
            <w:vAlign w:val="bottom"/>
          </w:tcPr>
          <w:p>
            <w:pPr>
              <w:spacing w:after="0"/>
              <w:rPr>
                <w:sz w:val="1"/>
                <w:szCs w:val="1"/>
                <w:color w:val="auto"/>
              </w:rPr>
            </w:pPr>
          </w:p>
        </w:tc>
      </w:tr>
      <w:tr>
        <w:trPr>
          <w:trHeight w:val="209"/>
        </w:trPr>
        <w:tc>
          <w:tcPr>
            <w:tcW w:w="7780" w:type="dxa"/>
            <w:vAlign w:val="bottom"/>
          </w:tcPr>
          <w:p>
            <w:pPr>
              <w:ind w:left="480"/>
              <w:spacing w:after="0"/>
              <w:rPr>
                <w:sz w:val="20"/>
                <w:szCs w:val="20"/>
                <w:color w:val="auto"/>
              </w:rPr>
            </w:pPr>
            <w:r>
              <w:rPr>
                <w:rFonts w:ascii="Arial" w:cs="Arial" w:eastAsia="Arial" w:hAnsi="Arial"/>
                <w:sz w:val="16"/>
                <w:szCs w:val="16"/>
                <w:color w:val="auto"/>
              </w:rPr>
              <w:t>Goodwill identified</w:t>
            </w:r>
          </w:p>
        </w:tc>
        <w:tc>
          <w:tcPr>
            <w:tcW w:w="13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708,385</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Mobile Mini has generated $149.4 million of revenue since the acquisition date, which is included in the condensed consolidated financial statements of operations for the three and nine months ended September 30, 2020.</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below pro forma results give effect to the following as if they occurred on January 1, 2019, (i) the Merger, (ii) borrowings under the Company's 2025 Secured Notes and 2020 ABL Facility (terms as defined in Note 9) used to repay certain debt in connection with the Merger, (iii) extinguishment of the Mobile Mini revolving credit facility and senior notes assumed in the Merger and immediately repaid, (iv) extinguishment of WillScot's 2017 ABL Facility and WillScot's 2022 Secured Notes (both as defined in Note 9) repaid in connection with the Merger and (v) elimination of WillScot's non-controlling interest and WillScot's Class B common stock in connection with the Merger. 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 w:name="page12"/>
    <w:bookmarkEnd w:id="11"/>
    <w:p>
      <w:pPr>
        <w:ind w:right="160" w:firstLine="648"/>
        <w:spacing w:after="0" w:line="291" w:lineRule="auto"/>
        <w:rPr>
          <w:sz w:val="20"/>
          <w:szCs w:val="20"/>
          <w:color w:val="auto"/>
        </w:rPr>
      </w:pPr>
      <w:r>
        <w:rPr>
          <w:rFonts w:ascii="Arial" w:cs="Arial" w:eastAsia="Arial" w:hAnsi="Arial"/>
          <w:sz w:val="16"/>
          <w:szCs w:val="16"/>
          <w:color w:val="auto"/>
        </w:rPr>
        <w:t>The tables below present unaudited pro forma consolidated statements of operations information for the three and nine months ended September 30, 2020 and 2019: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Three Months Ended</w:t>
            </w:r>
          </w:p>
        </w:tc>
        <w:tc>
          <w:tcPr>
            <w:tcW w:w="170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7740" w:type="dxa"/>
            <w:vAlign w:val="bottom"/>
            <w:vMerge w:val="continue"/>
            <w:shd w:val="clear" w:color="auto" w:fill="1D2758"/>
          </w:tcPr>
          <w:p>
            <w:pPr>
              <w:spacing w:after="0"/>
              <w:rPr>
                <w:sz w:val="18"/>
                <w:szCs w:val="18"/>
                <w:color w:val="auto"/>
              </w:rPr>
            </w:pP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September 30, 2020</w:t>
            </w:r>
          </w:p>
        </w:tc>
        <w:tc>
          <w:tcPr>
            <w:tcW w:w="170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September 30, 2020</w:t>
            </w: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929,998</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Mobile Mini revenues</w:t>
            </w:r>
          </w:p>
        </w:tc>
        <w:tc>
          <w:tcPr>
            <w:tcW w:w="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284,240</w:t>
            </w:r>
          </w:p>
        </w:tc>
        <w:tc>
          <w:tcPr>
            <w:tcW w:w="0" w:type="dxa"/>
            <w:vAlign w:val="bottom"/>
          </w:tcPr>
          <w:p>
            <w:pPr>
              <w:spacing w:after="0"/>
              <w:rPr>
                <w:sz w:val="1"/>
                <w:szCs w:val="1"/>
                <w:color w:val="auto"/>
              </w:rPr>
            </w:pPr>
          </w:p>
        </w:tc>
      </w:tr>
      <w:tr>
        <w:trPr>
          <w:trHeight w:val="235"/>
        </w:trPr>
        <w:tc>
          <w:tcPr>
            <w:tcW w:w="77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580" w:type="dxa"/>
            <w:vAlign w:val="bottom"/>
            <w:tcBorders>
              <w:top w:val="single" w:sz="8" w:color="auto"/>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500" w:type="dxa"/>
            <w:vAlign w:val="bottom"/>
            <w:tcBorders>
              <w:top w:val="single" w:sz="8" w:color="auto"/>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1,214,238</w:t>
            </w:r>
          </w:p>
        </w:tc>
        <w:tc>
          <w:tcPr>
            <w:tcW w:w="0" w:type="dxa"/>
            <w:vAlign w:val="bottom"/>
          </w:tcPr>
          <w:p>
            <w:pPr>
              <w:spacing w:after="0"/>
              <w:rPr>
                <w:sz w:val="1"/>
                <w:szCs w:val="1"/>
                <w:color w:val="auto"/>
              </w:rPr>
            </w:pP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Mobile Mini pretax loss (a)</w:t>
            </w: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(50,423)</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(40,759)</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Mobile Mini pretax income</w:t>
            </w:r>
          </w:p>
        </w:tc>
        <w:tc>
          <w:tcPr>
            <w:tcW w:w="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37,875</w:t>
            </w:r>
          </w:p>
        </w:tc>
        <w:tc>
          <w:tcPr>
            <w:tcW w:w="0" w:type="dxa"/>
            <w:vAlign w:val="bottom"/>
          </w:tcPr>
          <w:p>
            <w:pPr>
              <w:spacing w:after="0"/>
              <w:rPr>
                <w:sz w:val="1"/>
                <w:szCs w:val="1"/>
                <w:color w:val="auto"/>
              </w:rPr>
            </w:pPr>
          </w:p>
        </w:tc>
      </w:tr>
      <w:tr>
        <w:trPr>
          <w:trHeight w:val="210"/>
        </w:trPr>
        <w:tc>
          <w:tcPr>
            <w:tcW w:w="77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pretax loss</w:t>
            </w:r>
          </w:p>
        </w:tc>
        <w:tc>
          <w:tcPr>
            <w:tcW w:w="580" w:type="dxa"/>
            <w:vAlign w:val="bottom"/>
            <w:tcBorders>
              <w:top w:val="single" w:sz="8" w:color="auto"/>
            </w:tcBorders>
            <w:shd w:val="clear" w:color="auto" w:fill="E7E7E8"/>
          </w:tcPr>
          <w:p>
            <w:pPr>
              <w:spacing w:after="0"/>
              <w:rPr>
                <w:sz w:val="18"/>
                <w:szCs w:val="18"/>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(50,423)</w:t>
            </w:r>
          </w:p>
        </w:tc>
        <w:tc>
          <w:tcPr>
            <w:tcW w:w="100" w:type="dxa"/>
            <w:vAlign w:val="bottom"/>
            <w:tcBorders>
              <w:top w:val="single" w:sz="8" w:color="E7E7E8"/>
            </w:tcBorders>
            <w:shd w:val="clear" w:color="auto" w:fill="E7E7E8"/>
          </w:tcPr>
          <w:p>
            <w:pPr>
              <w:spacing w:after="0"/>
              <w:rPr>
                <w:sz w:val="18"/>
                <w:szCs w:val="18"/>
                <w:color w:val="auto"/>
              </w:rPr>
            </w:pPr>
          </w:p>
        </w:tc>
        <w:tc>
          <w:tcPr>
            <w:tcW w:w="500" w:type="dxa"/>
            <w:vAlign w:val="bottom"/>
            <w:tcBorders>
              <w:top w:val="single" w:sz="8" w:color="auto"/>
            </w:tcBorders>
            <w:shd w:val="clear" w:color="auto" w:fill="E7E7E8"/>
          </w:tcPr>
          <w:p>
            <w:pPr>
              <w:spacing w:after="0"/>
              <w:rPr>
                <w:sz w:val="18"/>
                <w:szCs w:val="18"/>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income (loss):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Elimination of Merger transaction costs (b)</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80,040</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Impact of fair value mark-ups on rental fleet depreciation (c)</w:t>
            </w:r>
          </w:p>
        </w:tc>
        <w:tc>
          <w:tcPr>
            <w:tcW w:w="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depreciation expense and intangible asset amortization (d)</w:t>
            </w:r>
          </w:p>
        </w:tc>
        <w:tc>
          <w:tcPr>
            <w:tcW w:w="580" w:type="dxa"/>
            <w:vAlign w:val="bottom"/>
            <w:shd w:val="clear" w:color="auto" w:fill="E7E7E8"/>
          </w:tcPr>
          <w:p>
            <w:pPr>
              <w:spacing w:after="0"/>
              <w:rPr>
                <w:sz w:val="18"/>
                <w:szCs w:val="18"/>
                <w:color w:val="auto"/>
              </w:rPr>
            </w:pPr>
          </w:p>
        </w:tc>
        <w:tc>
          <w:tcPr>
            <w:tcW w:w="122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(7,164)</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Interest expense (e)</w:t>
            </w:r>
          </w:p>
        </w:tc>
        <w:tc>
          <w:tcPr>
            <w:tcW w:w="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(6,113)</w:t>
            </w: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Elimination of Mobile Mini interest (f)</w:t>
            </w:r>
          </w:p>
        </w:tc>
        <w:tc>
          <w:tcPr>
            <w:tcW w:w="580" w:type="dxa"/>
            <w:vAlign w:val="bottom"/>
            <w:shd w:val="clear" w:color="auto" w:fill="E7E7E8"/>
          </w:tcPr>
          <w:p>
            <w:pPr>
              <w:spacing w:after="0"/>
              <w:rPr>
                <w:sz w:val="18"/>
                <w:szCs w:val="18"/>
                <w:color w:val="auto"/>
              </w:rPr>
            </w:pPr>
          </w:p>
        </w:tc>
        <w:tc>
          <w:tcPr>
            <w:tcW w:w="122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15,921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Elimination of loss on extinguishment of debt (g)</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0" w:type="dxa"/>
            <w:vAlign w:val="bottom"/>
          </w:tcPr>
          <w:p>
            <w:pPr>
              <w:spacing w:after="0"/>
              <w:rPr>
                <w:sz w:val="1"/>
                <w:szCs w:val="1"/>
                <w:color w:val="auto"/>
              </w:rPr>
            </w:pPr>
          </w:p>
        </w:tc>
      </w:tr>
      <w:tr>
        <w:trPr>
          <w:trHeight w:val="209"/>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pretax income</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44,169</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119,867</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expense (h)</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(6,296)</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(26,495)</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net income</w:t>
            </w: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37,873</w:t>
            </w:r>
          </w:p>
        </w:tc>
        <w:tc>
          <w:tcPr>
            <w:tcW w:w="100" w:type="dxa"/>
            <w:vAlign w:val="bottom"/>
            <w:tcBorders>
              <w:bottom w:val="single" w:sz="8" w:color="E7E7E8"/>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93,372</w:t>
            </w:r>
          </w:p>
        </w:tc>
        <w:tc>
          <w:tcPr>
            <w:tcW w:w="0" w:type="dxa"/>
            <w:vAlign w:val="bottom"/>
          </w:tcPr>
          <w:p>
            <w:pPr>
              <w:spacing w:after="0"/>
              <w:rPr>
                <w:sz w:val="1"/>
                <w:szCs w:val="1"/>
                <w:color w:val="auto"/>
              </w:rPr>
            </w:pP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impact of non-controlling interest which was eliminated as part of the Sapphire Exchange (see Note 10)</w:t>
      </w:r>
    </w:p>
    <w:p>
      <w:pPr>
        <w:spacing w:after="0" w:line="33" w:lineRule="exact"/>
        <w:rPr>
          <w:rFonts w:ascii="Arial" w:cs="Arial" w:eastAsia="Arial" w:hAnsi="Arial"/>
          <w:sz w:val="14"/>
          <w:szCs w:val="14"/>
          <w:color w:val="auto"/>
        </w:rPr>
      </w:pPr>
    </w:p>
    <w:p>
      <w:pPr>
        <w:ind w:left="48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Eliminates non-recurring Merger transaction costs incurred as a result of the Mobile Mini Merger.</w:t>
      </w:r>
    </w:p>
    <w:p>
      <w:pPr>
        <w:spacing w:after="0" w:line="28" w:lineRule="exact"/>
        <w:rPr>
          <w:rFonts w:ascii="Arial" w:cs="Arial" w:eastAsia="Arial" w:hAnsi="Arial"/>
          <w:sz w:val="14"/>
          <w:szCs w:val="14"/>
          <w:color w:val="auto"/>
        </w:rPr>
      </w:pPr>
    </w:p>
    <w:p>
      <w:pPr>
        <w:ind w:left="480" w:right="20" w:hanging="454"/>
        <w:spacing w:after="0" w:line="241"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Depreciation on rental equipment and property, plant and equipment were adjusted for the preliminary determination of the fair value of equipment acquired in the Mobile Mini Merger.</w:t>
      </w:r>
    </w:p>
    <w:p>
      <w:pPr>
        <w:ind w:left="480" w:right="20" w:hanging="454"/>
        <w:spacing w:after="0" w:line="241"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differential in other depreciation and amortization expense related to the provisional fair value purchase accounting adjustments as a result of the Merger, principally the amortization of the Mobile Mini customer relationship estimated at $263 million over 13 years.</w:t>
      </w:r>
    </w:p>
    <w:p>
      <w:pPr>
        <w:jc w:val="both"/>
        <w:ind w:left="480" w:right="20" w:hanging="454"/>
        <w:spacing w:after="0" w:line="221"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 w:lineRule="exact"/>
        <w:rPr>
          <w:rFonts w:ascii="Arial" w:cs="Arial" w:eastAsia="Arial" w:hAnsi="Arial"/>
          <w:sz w:val="14"/>
          <w:szCs w:val="14"/>
          <w:color w:val="auto"/>
        </w:rPr>
      </w:pPr>
    </w:p>
    <w:p>
      <w:pPr>
        <w:ind w:left="480" w:right="20" w:hanging="454"/>
        <w:spacing w:after="0" w:line="241"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9 for definition of terms.</w:t>
      </w:r>
    </w:p>
    <w:p>
      <w:pPr>
        <w:ind w:left="480" w:right="20" w:hanging="454"/>
        <w:spacing w:after="0" w:line="241"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Elimination of loss on extinguishment of debt in connection with the redemption premium on the 2022 Secured Notes and unamortized deferred financing costs on the 2022 Secured Notes and 2017 ABL Facility. See Note 9 for definitions of terms.</w:t>
      </w:r>
    </w:p>
    <w:p>
      <w:pPr>
        <w:jc w:val="both"/>
        <w:ind w:left="480" w:right="2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eliminates the reversal of $54.6 million of valuation allowance as a result of reassessment of the realizability of deferred tax assets as a result of the Merger.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77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Three Months Ended</w:t>
            </w:r>
          </w:p>
        </w:tc>
        <w:tc>
          <w:tcPr>
            <w:tcW w:w="170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7740" w:type="dxa"/>
            <w:vAlign w:val="bottom"/>
            <w:vMerge w:val="continue"/>
            <w:shd w:val="clear" w:color="auto" w:fill="1D2758"/>
          </w:tcPr>
          <w:p>
            <w:pPr>
              <w:spacing w:after="0"/>
              <w:rPr>
                <w:sz w:val="18"/>
                <w:szCs w:val="18"/>
                <w:color w:val="auto"/>
              </w:rPr>
            </w:pP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September 30, 2019</w:t>
            </w:r>
          </w:p>
        </w:tc>
        <w:tc>
          <w:tcPr>
            <w:tcW w:w="170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September 30, 2019</w:t>
            </w: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785,620</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Mobile Mini revenues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155,325</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458,709</w:t>
            </w:r>
          </w:p>
        </w:tc>
        <w:tc>
          <w:tcPr>
            <w:tcW w:w="0" w:type="dxa"/>
            <w:vAlign w:val="bottom"/>
          </w:tcPr>
          <w:p>
            <w:pPr>
              <w:spacing w:after="0"/>
              <w:rPr>
                <w:sz w:val="1"/>
                <w:szCs w:val="1"/>
                <w:color w:val="auto"/>
              </w:rPr>
            </w:pPr>
          </w:p>
        </w:tc>
      </w:tr>
      <w:tr>
        <w:trPr>
          <w:trHeight w:val="234"/>
        </w:trPr>
        <w:tc>
          <w:tcPr>
            <w:tcW w:w="77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423,547</w:t>
            </w:r>
          </w:p>
        </w:tc>
        <w:tc>
          <w:tcPr>
            <w:tcW w:w="100" w:type="dxa"/>
            <w:vAlign w:val="bottom"/>
            <w:tcBorders>
              <w:bottom w:val="single" w:sz="8" w:color="E7E7E8"/>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1,244,329</w:t>
            </w:r>
          </w:p>
        </w:tc>
        <w:tc>
          <w:tcPr>
            <w:tcW w:w="0" w:type="dxa"/>
            <w:vAlign w:val="bottom"/>
          </w:tcPr>
          <w:p>
            <w:pPr>
              <w:spacing w:after="0"/>
              <w:rPr>
                <w:sz w:val="1"/>
                <w:szCs w:val="1"/>
                <w:color w:val="auto"/>
              </w:rPr>
            </w:pP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Mobile Mini pretax loss (a)</w:t>
            </w: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(22,492)</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Mobile Mini pretax income</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29,449</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74,297</w:t>
            </w:r>
          </w:p>
        </w:tc>
        <w:tc>
          <w:tcPr>
            <w:tcW w:w="0" w:type="dxa"/>
            <w:vAlign w:val="bottom"/>
          </w:tcPr>
          <w:p>
            <w:pPr>
              <w:spacing w:after="0"/>
              <w:rPr>
                <w:sz w:val="1"/>
                <w:szCs w:val="1"/>
                <w:color w:val="auto"/>
              </w:rPr>
            </w:pPr>
          </w:p>
        </w:tc>
      </w:tr>
      <w:tr>
        <w:trPr>
          <w:trHeight w:val="210"/>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pretax income</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29,226</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51,805</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income: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fair value mark-ups on rental fleet depreciation (b)</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Other depreciation expense and intangible asset amortization (c)</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(10,514)</w:t>
            </w:r>
          </w:p>
        </w:tc>
        <w:tc>
          <w:tcPr>
            <w:tcW w:w="0" w:type="dxa"/>
            <w:vAlign w:val="bottom"/>
          </w:tcPr>
          <w:p>
            <w:pPr>
              <w:spacing w:after="0"/>
              <w:rPr>
                <w:sz w:val="1"/>
                <w:szCs w:val="1"/>
                <w:color w:val="auto"/>
              </w:rPr>
            </w:pPr>
          </w:p>
        </w:tc>
      </w:tr>
      <w:tr>
        <w:trPr>
          <w:trHeight w:val="216"/>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(d)</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Elimination of Mobile Mini interest (e)</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30,460</w:t>
            </w:r>
          </w:p>
        </w:tc>
        <w:tc>
          <w:tcPr>
            <w:tcW w:w="0" w:type="dxa"/>
            <w:vAlign w:val="bottom"/>
          </w:tcPr>
          <w:p>
            <w:pPr>
              <w:spacing w:after="0"/>
              <w:rPr>
                <w:sz w:val="1"/>
                <w:szCs w:val="1"/>
                <w:color w:val="auto"/>
              </w:rPr>
            </w:pPr>
          </w:p>
        </w:tc>
      </w:tr>
      <w:tr>
        <w:trPr>
          <w:trHeight w:val="210"/>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pretax income</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34,460</w:t>
            </w:r>
          </w:p>
        </w:tc>
        <w:tc>
          <w:tcPr>
            <w:tcW w:w="10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67,087</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expense (f)</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w:t>
            </w:r>
          </w:p>
        </w:tc>
        <w:tc>
          <w:tcPr>
            <w:tcW w:w="0" w:type="dxa"/>
            <w:vAlign w:val="bottom"/>
          </w:tcPr>
          <w:p>
            <w:pPr>
              <w:spacing w:after="0"/>
              <w:rPr>
                <w:sz w:val="1"/>
                <w:szCs w:val="1"/>
                <w:color w:val="auto"/>
              </w:rPr>
            </w:pPr>
          </w:p>
        </w:tc>
      </w:tr>
      <w:tr>
        <w:trPr>
          <w:trHeight w:val="234"/>
        </w:trPr>
        <w:tc>
          <w:tcPr>
            <w:tcW w:w="77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net income</w:t>
            </w: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27,471</w:t>
            </w:r>
          </w:p>
        </w:tc>
        <w:tc>
          <w:tcPr>
            <w:tcW w:w="100" w:type="dxa"/>
            <w:vAlign w:val="bottom"/>
            <w:tcBorders>
              <w:bottom w:val="single" w:sz="8" w:color="E7E7E8"/>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45,634</w:t>
            </w:r>
          </w:p>
        </w:tc>
        <w:tc>
          <w:tcPr>
            <w:tcW w:w="0" w:type="dxa"/>
            <w:vAlign w:val="bottom"/>
          </w:tcPr>
          <w:p>
            <w:pPr>
              <w:spacing w:after="0"/>
              <w:rPr>
                <w:sz w:val="1"/>
                <w:szCs w:val="1"/>
                <w:color w:val="auto"/>
              </w:rPr>
            </w:pP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impact of non-controlling interest which was eliminated as part of the Sapphire Exchange (see Note 10)</w:t>
      </w:r>
    </w:p>
    <w:p>
      <w:pPr>
        <w:spacing w:after="0" w:line="33" w:lineRule="exact"/>
        <w:rPr>
          <w:rFonts w:ascii="Arial" w:cs="Arial" w:eastAsia="Arial" w:hAnsi="Arial"/>
          <w:sz w:val="14"/>
          <w:szCs w:val="14"/>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Depreciation on rental equipment was adjusted for the fair value of rental equipment acquired in the Mobile Mini Merger.</w:t>
      </w:r>
    </w:p>
    <w:p>
      <w:pPr>
        <w:spacing w:after="0" w:line="28" w:lineRule="exact"/>
        <w:rPr>
          <w:rFonts w:ascii="Arial" w:cs="Arial" w:eastAsia="Arial" w:hAnsi="Arial"/>
          <w:sz w:val="14"/>
          <w:szCs w:val="14"/>
          <w:color w:val="auto"/>
        </w:rPr>
      </w:pPr>
    </w:p>
    <w:p>
      <w:pPr>
        <w:ind w:left="480" w:right="20" w:hanging="454"/>
        <w:spacing w:after="0" w:line="24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differential in other depreciation and amortization expense related to the provisional fair value purchase accounting adjustments as a result of the Merger, principally the amortization of the Mobile Mini customer relationship estimated at $263 million over 13 years.</w:t>
      </w:r>
    </w:p>
    <w:p>
      <w:pPr>
        <w:jc w:val="both"/>
        <w:ind w:left="480" w:right="20" w:hanging="454"/>
        <w:spacing w:after="0" w:line="22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 w:lineRule="exact"/>
        <w:rPr>
          <w:rFonts w:ascii="Arial" w:cs="Arial" w:eastAsia="Arial" w:hAnsi="Arial"/>
          <w:sz w:val="14"/>
          <w:szCs w:val="14"/>
          <w:color w:val="auto"/>
        </w:rPr>
      </w:pPr>
    </w:p>
    <w:p>
      <w:pPr>
        <w:ind w:left="480" w:right="20" w:hanging="454"/>
        <w:spacing w:after="0" w:line="24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9 for definition of terms.</w:t>
      </w:r>
    </w:p>
    <w:p>
      <w:pPr>
        <w:ind w:left="480" w:right="20" w:hanging="454"/>
        <w:spacing w:after="0" w:line="24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124" w:lineRule="exact"/>
        <w:rPr>
          <w:sz w:val="20"/>
          <w:szCs w:val="20"/>
          <w:color w:val="auto"/>
        </w:rPr>
      </w:pPr>
    </w:p>
    <w:p>
      <w:pPr>
        <w:ind w:right="360" w:firstLine="648"/>
        <w:spacing w:after="0" w:line="256" w:lineRule="auto"/>
        <w:rPr>
          <w:sz w:val="20"/>
          <w:szCs w:val="20"/>
          <w:color w:val="auto"/>
        </w:rPr>
      </w:pPr>
      <w:r>
        <w:rPr>
          <w:rFonts w:ascii="Arial" w:cs="Arial" w:eastAsia="Arial" w:hAnsi="Arial"/>
          <w:sz w:val="16"/>
          <w:szCs w:val="16"/>
          <w:color w:val="auto"/>
        </w:rPr>
        <w:t>The Company expensed $52.2 million and $63.2 million in Merger transaction costs within transaction costs and $7.1 million and $9.4 million in integration costs related to the Merger within selling, general and administrative ("SG&amp;A") for the three and nine months ended September 30,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1D2758"/>
        </w:rPr>
        <w:t>NOTE 3 - Revenue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Geographic Areas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and nine months ended September 30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3080" w:type="dxa"/>
            <w:vAlign w:val="bottom"/>
            <w:gridSpan w:val="5"/>
            <w:shd w:val="clear" w:color="auto" w:fill="1D2758"/>
          </w:tcPr>
          <w:p>
            <w:pPr>
              <w:ind w:left="500"/>
              <w:spacing w:after="0"/>
              <w:rPr>
                <w:sz w:val="20"/>
                <w:szCs w:val="20"/>
                <w:color w:val="auto"/>
              </w:rPr>
            </w:pPr>
            <w:r>
              <w:rPr>
                <w:rFonts w:ascii="Arial" w:cs="Arial" w:eastAsia="Arial" w:hAnsi="Arial"/>
                <w:sz w:val="16"/>
                <w:szCs w:val="16"/>
                <w:b w:val="1"/>
                <w:bCs w:val="1"/>
                <w:color w:val="FFFFFF"/>
              </w:rPr>
              <w:t>Three Months Ended</w:t>
            </w:r>
          </w:p>
        </w:tc>
        <w:tc>
          <w:tcPr>
            <w:tcW w:w="360" w:type="dxa"/>
            <w:vAlign w:val="bottom"/>
            <w:shd w:val="clear" w:color="auto" w:fill="1D2758"/>
          </w:tcPr>
          <w:p>
            <w:pPr>
              <w:spacing w:after="0"/>
              <w:rPr>
                <w:sz w:val="16"/>
                <w:szCs w:val="16"/>
                <w:color w:val="auto"/>
              </w:rPr>
            </w:pPr>
          </w:p>
        </w:tc>
        <w:tc>
          <w:tcPr>
            <w:tcW w:w="2940" w:type="dxa"/>
            <w:vAlign w:val="bottom"/>
            <w:gridSpan w:val="4"/>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Nine Months Ended</w:t>
            </w:r>
          </w:p>
        </w:tc>
      </w:tr>
      <w:tr>
        <w:trPr>
          <w:trHeight w:val="216"/>
        </w:trPr>
        <w:tc>
          <w:tcPr>
            <w:tcW w:w="45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9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40" w:type="dxa"/>
            <w:vAlign w:val="bottom"/>
            <w:shd w:val="clear" w:color="auto" w:fill="1D2758"/>
          </w:tcPr>
          <w:p>
            <w:pPr>
              <w:spacing w:after="0"/>
              <w:rPr>
                <w:sz w:val="18"/>
                <w:szCs w:val="18"/>
                <w:color w:val="auto"/>
              </w:rPr>
            </w:pPr>
          </w:p>
        </w:tc>
      </w:tr>
      <w:tr>
        <w:trPr>
          <w:trHeight w:val="216"/>
        </w:trPr>
        <w:tc>
          <w:tcPr>
            <w:tcW w:w="45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0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r>
      <w:tr>
        <w:trPr>
          <w:trHeight w:val="216"/>
        </w:trPr>
        <w:tc>
          <w:tcPr>
            <w:tcW w:w="4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368,285</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245,115</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841,227</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714,669</w:t>
            </w: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57,083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58,782</w:t>
            </w:r>
          </w:p>
        </w:tc>
      </w:tr>
      <w:tr>
        <w:trPr>
          <w:trHeight w:val="216"/>
        </w:trPr>
        <w:tc>
          <w:tcPr>
            <w:tcW w:w="4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3,279</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10,035</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12,169</w:t>
            </w: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UK</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21,653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500" w:type="dxa"/>
            <w:vAlign w:val="bottom"/>
            <w:tcBorders>
              <w:top w:val="single" w:sz="8" w:color="E7E7E8"/>
              <w:bottom w:val="single" w:sz="8" w:color="E7E7E8"/>
            </w:tcBorders>
            <w:shd w:val="clear" w:color="auto" w:fill="E7E7E8"/>
          </w:tcPr>
          <w:p>
            <w:pPr>
              <w:ind w:left="120"/>
              <w:spacing w:after="0"/>
              <w:rPr>
                <w:sz w:val="20"/>
                <w:szCs w:val="20"/>
                <w:color w:val="auto"/>
              </w:rPr>
            </w:pPr>
            <w:r>
              <w:rPr>
                <w:rFonts w:ascii="Arial" w:cs="Arial" w:eastAsia="Arial" w:hAnsi="Arial"/>
                <w:sz w:val="16"/>
                <w:szCs w:val="16"/>
                <w:color w:val="auto"/>
              </w:rPr>
              <w:t>Total revenues</w:t>
            </w:r>
          </w:p>
        </w:tc>
        <w:tc>
          <w:tcPr>
            <w:tcW w:w="36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417,315</w:t>
            </w:r>
          </w:p>
        </w:tc>
        <w:tc>
          <w:tcPr>
            <w:tcW w:w="120" w:type="dxa"/>
            <w:vAlign w:val="bottom"/>
            <w:tcBorders>
              <w:top w:val="single" w:sz="8" w:color="E7E7E8"/>
              <w:bottom w:val="single" w:sz="8" w:color="E7E7E8"/>
            </w:tcBorders>
            <w:shd w:val="clear" w:color="auto" w:fill="E7E7E8"/>
          </w:tcPr>
          <w:p>
            <w:pPr>
              <w:spacing w:after="0"/>
              <w:rPr>
                <w:sz w:val="19"/>
                <w:szCs w:val="19"/>
                <w:color w:val="auto"/>
              </w:rPr>
            </w:pPr>
          </w:p>
        </w:tc>
        <w:tc>
          <w:tcPr>
            <w:tcW w:w="560" w:type="dxa"/>
            <w:vAlign w:val="bottom"/>
            <w:tcBorders>
              <w:top w:val="single" w:sz="8" w:color="auto"/>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36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929,998</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560" w:type="dxa"/>
            <w:vAlign w:val="bottom"/>
            <w:tcBorders>
              <w:top w:val="single" w:sz="8" w:color="auto"/>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785,620</w:t>
            </w:r>
          </w:p>
        </w:tc>
      </w:tr>
      <w:tr>
        <w:trPr>
          <w:trHeight w:val="20"/>
        </w:trPr>
        <w:tc>
          <w:tcPr>
            <w:tcW w:w="45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1D2758"/>
        </w:rPr>
        <w:t>Major Product and Service Lines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and nine months ended September 30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3040" w:type="dxa"/>
            <w:vAlign w:val="bottom"/>
            <w:gridSpan w:val="5"/>
            <w:shd w:val="clear" w:color="auto" w:fill="1D2758"/>
          </w:tcPr>
          <w:p>
            <w:pPr>
              <w:ind w:left="480"/>
              <w:spacing w:after="0"/>
              <w:rPr>
                <w:sz w:val="20"/>
                <w:szCs w:val="20"/>
                <w:color w:val="auto"/>
              </w:rPr>
            </w:pPr>
            <w:r>
              <w:rPr>
                <w:rFonts w:ascii="Arial" w:cs="Arial" w:eastAsia="Arial" w:hAnsi="Arial"/>
                <w:sz w:val="16"/>
                <w:szCs w:val="16"/>
                <w:b w:val="1"/>
                <w:bCs w:val="1"/>
                <w:color w:val="FFFFFF"/>
              </w:rPr>
              <w:t>Three Months Ended</w:t>
            </w:r>
          </w:p>
        </w:tc>
        <w:tc>
          <w:tcPr>
            <w:tcW w:w="360" w:type="dxa"/>
            <w:vAlign w:val="bottom"/>
            <w:shd w:val="clear" w:color="auto" w:fill="1D2758"/>
          </w:tcPr>
          <w:p>
            <w:pPr>
              <w:spacing w:after="0"/>
              <w:rPr>
                <w:sz w:val="16"/>
                <w:szCs w:val="16"/>
                <w:color w:val="auto"/>
              </w:rPr>
            </w:pPr>
          </w:p>
        </w:tc>
        <w:tc>
          <w:tcPr>
            <w:tcW w:w="2940" w:type="dxa"/>
            <w:vAlign w:val="bottom"/>
            <w:gridSpan w:val="4"/>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Nine Months Ended</w:t>
            </w:r>
          </w:p>
        </w:tc>
      </w:tr>
      <w:tr>
        <w:trPr>
          <w:trHeight w:val="216"/>
        </w:trPr>
        <w:tc>
          <w:tcPr>
            <w:tcW w:w="45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9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9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40" w:type="dxa"/>
            <w:vAlign w:val="bottom"/>
            <w:shd w:val="clear" w:color="auto" w:fill="1D2758"/>
          </w:tcPr>
          <w:p>
            <w:pPr>
              <w:spacing w:after="0"/>
              <w:rPr>
                <w:sz w:val="18"/>
                <w:szCs w:val="18"/>
                <w:color w:val="auto"/>
              </w:rPr>
            </w:pPr>
          </w:p>
        </w:tc>
      </w:tr>
      <w:tr>
        <w:trPr>
          <w:trHeight w:val="216"/>
        </w:trPr>
        <w:tc>
          <w:tcPr>
            <w:tcW w:w="454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(in thousands)</w:t>
            </w:r>
          </w:p>
        </w:tc>
        <w:tc>
          <w:tcPr>
            <w:tcW w:w="36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0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0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r>
      <w:tr>
        <w:trPr>
          <w:trHeight w:val="216"/>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163,635</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131,557</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427,409</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384,582</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52,941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64,506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18,295</w:t>
            </w:r>
          </w:p>
        </w:tc>
      </w:tr>
      <w:tr>
        <w:trPr>
          <w:trHeight w:val="216"/>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Tank and pump leasing revenue</w:t>
            </w: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14,112</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1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14,112</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40" w:type="dxa"/>
            <w:vAlign w:val="bottom"/>
          </w:tcPr>
          <w:p>
            <w:pPr>
              <w:ind w:left="20"/>
              <w:spacing w:after="0" w:line="216" w:lineRule="exact"/>
              <w:rPr>
                <w:sz w:val="20"/>
                <w:szCs w:val="20"/>
                <w:color w:val="auto"/>
              </w:rPr>
            </w:pPr>
            <w:r>
              <w:rPr>
                <w:rFonts w:ascii="Arial" w:cs="Arial" w:eastAsia="Arial" w:hAnsi="Arial"/>
                <w:sz w:val="16"/>
                <w:szCs w:val="16"/>
                <w:color w:val="auto"/>
              </w:rPr>
              <w:t>VAPS and third party leasing revenues</w:t>
            </w:r>
            <w:r>
              <w:rPr>
                <w:rFonts w:ascii="Arial" w:cs="Arial" w:eastAsia="Arial" w:hAnsi="Arial"/>
                <w:sz w:val="21"/>
                <w:szCs w:val="21"/>
                <w:color w:val="auto"/>
                <w:vertAlign w:val="superscript"/>
              </w:rPr>
              <w:t>(a)</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56,330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40,944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139,754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118,005</w:t>
            </w:r>
          </w:p>
        </w:tc>
      </w:tr>
      <w:tr>
        <w:trPr>
          <w:trHeight w:val="216"/>
        </w:trPr>
        <w:tc>
          <w:tcPr>
            <w:tcW w:w="4540" w:type="dxa"/>
            <w:vAlign w:val="bottom"/>
            <w:shd w:val="clear" w:color="auto" w:fill="E7E7E8"/>
          </w:tcPr>
          <w:p>
            <w:pPr>
              <w:ind w:left="20"/>
              <w:spacing w:after="0" w:line="216" w:lineRule="exact"/>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36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13,064</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9,869</w:t>
            </w:r>
          </w:p>
        </w:tc>
        <w:tc>
          <w:tcPr>
            <w:tcW w:w="100" w:type="dxa"/>
            <w:vAlign w:val="bottom"/>
            <w:shd w:val="clear" w:color="auto" w:fill="E7E7E8"/>
          </w:tcPr>
          <w:p>
            <w:pPr>
              <w:spacing w:after="0"/>
              <w:rPr>
                <w:sz w:val="18"/>
                <w:szCs w:val="18"/>
                <w:color w:val="auto"/>
              </w:rPr>
            </w:pPr>
          </w:p>
        </w:tc>
        <w:tc>
          <w:tcPr>
            <w:tcW w:w="36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32,796</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30,631</w:t>
            </w:r>
          </w:p>
        </w:tc>
      </w:tr>
      <w:tr>
        <w:trPr>
          <w:trHeight w:val="209"/>
        </w:trPr>
        <w:tc>
          <w:tcPr>
            <w:tcW w:w="4540" w:type="dxa"/>
            <w:vAlign w:val="bottom"/>
          </w:tcPr>
          <w:p>
            <w:pPr>
              <w:ind w:left="220"/>
              <w:spacing w:after="0"/>
              <w:rPr>
                <w:sz w:val="20"/>
                <w:szCs w:val="20"/>
                <w:color w:val="auto"/>
              </w:rPr>
            </w:pPr>
            <w:r>
              <w:rPr>
                <w:rFonts w:ascii="Arial" w:cs="Arial" w:eastAsia="Arial" w:hAnsi="Arial"/>
                <w:sz w:val="16"/>
                <w:szCs w:val="16"/>
                <w:color w:val="auto"/>
              </w:rPr>
              <w:t>Leasing revenue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678,577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551,513</w:t>
            </w:r>
          </w:p>
        </w:tc>
      </w:tr>
      <w:tr>
        <w:trPr>
          <w:trHeight w:val="216"/>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Delivery and installation revenue</w:t>
            </w:r>
          </w:p>
        </w:tc>
        <w:tc>
          <w:tcPr>
            <w:tcW w:w="36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84,694</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61,008</w:t>
            </w:r>
          </w:p>
        </w:tc>
        <w:tc>
          <w:tcPr>
            <w:tcW w:w="100" w:type="dxa"/>
            <w:vAlign w:val="bottom"/>
            <w:shd w:val="clear" w:color="auto" w:fill="E7E7E8"/>
          </w:tcPr>
          <w:p>
            <w:pPr>
              <w:spacing w:after="0"/>
              <w:rPr>
                <w:sz w:val="18"/>
                <w:szCs w:val="18"/>
                <w:color w:val="auto"/>
              </w:rPr>
            </w:pPr>
          </w:p>
        </w:tc>
        <w:tc>
          <w:tcPr>
            <w:tcW w:w="36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166,974</w:t>
            </w:r>
          </w:p>
        </w:tc>
      </w:tr>
      <w:tr>
        <w:trPr>
          <w:trHeight w:val="209"/>
        </w:trPr>
        <w:tc>
          <w:tcPr>
            <w:tcW w:w="4540" w:type="dxa"/>
            <w:vAlign w:val="bottom"/>
          </w:tcPr>
          <w:p>
            <w:pPr>
              <w:ind w:left="220"/>
              <w:spacing w:after="0"/>
              <w:rPr>
                <w:sz w:val="20"/>
                <w:szCs w:val="20"/>
                <w:color w:val="auto"/>
              </w:rPr>
            </w:pPr>
            <w:r>
              <w:rPr>
                <w:rFonts w:ascii="Arial" w:cs="Arial" w:eastAsia="Arial" w:hAnsi="Arial"/>
                <w:sz w:val="16"/>
                <w:szCs w:val="16"/>
                <w:color w:val="auto"/>
              </w:rPr>
              <w:t>Total leasing and services revenue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384,776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865,981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718,487</w:t>
            </w:r>
          </w:p>
        </w:tc>
      </w:tr>
      <w:tr>
        <w:trPr>
          <w:trHeight w:val="216"/>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New unit sales revenue</w:t>
            </w: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19,360</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38,736</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37,686</w:t>
            </w:r>
          </w:p>
        </w:tc>
      </w:tr>
      <w:tr>
        <w:trPr>
          <w:trHeight w:val="216"/>
        </w:trPr>
        <w:tc>
          <w:tcPr>
            <w:tcW w:w="45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Rental unit sales revenue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tcBorders>
              <w:bottom w:val="single" w:sz="8" w:color="E7E7E8"/>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7,473</w:t>
            </w:r>
          </w:p>
        </w:tc>
        <w:tc>
          <w:tcPr>
            <w:tcW w:w="100" w:type="dxa"/>
            <w:vAlign w:val="bottom"/>
            <w:tcBorders>
              <w:bottom w:val="single" w:sz="8" w:color="E7E7E8"/>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tcBorders>
              <w:bottom w:val="single" w:sz="8" w:color="E7E7E8"/>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29,447</w:t>
            </w:r>
          </w:p>
        </w:tc>
      </w:tr>
      <w:tr>
        <w:trPr>
          <w:trHeight w:val="234"/>
        </w:trPr>
        <w:tc>
          <w:tcPr>
            <w:tcW w:w="4540" w:type="dxa"/>
            <w:vAlign w:val="bottom"/>
            <w:tcBorders>
              <w:bottom w:val="single" w:sz="8" w:color="E7E7E8"/>
            </w:tcBorders>
            <w:shd w:val="clear" w:color="auto" w:fill="E7E7E8"/>
          </w:tcPr>
          <w:p>
            <w:pPr>
              <w:ind w:left="34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tcBorders>
              <w:bottom w:val="single" w:sz="8" w:color="E7E7E8"/>
            </w:tcBorders>
            <w:shd w:val="clear" w:color="auto" w:fill="E7E7E8"/>
          </w:tcPr>
          <w:p>
            <w:pPr>
              <w:spacing w:after="0"/>
              <w:rPr>
                <w:sz w:val="19"/>
                <w:szCs w:val="19"/>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tcBorders>
              <w:bottom w:val="single" w:sz="8" w:color="E7E7E8"/>
            </w:tcBorders>
            <w:shd w:val="clear" w:color="auto" w:fill="E7E7E8"/>
          </w:tcPr>
          <w:p>
            <w:pPr>
              <w:spacing w:after="0"/>
              <w:rPr>
                <w:sz w:val="19"/>
                <w:szCs w:val="19"/>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929,998</w:t>
            </w:r>
          </w:p>
        </w:tc>
        <w:tc>
          <w:tcPr>
            <w:tcW w:w="100" w:type="dxa"/>
            <w:vAlign w:val="bottom"/>
            <w:tcBorders>
              <w:bottom w:val="single" w:sz="8" w:color="E7E7E8"/>
            </w:tcBorders>
            <w:shd w:val="clear" w:color="auto" w:fill="E7E7E8"/>
          </w:tcPr>
          <w:p>
            <w:pPr>
              <w:spacing w:after="0"/>
              <w:rPr>
                <w:sz w:val="19"/>
                <w:szCs w:val="19"/>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785,620</w:t>
            </w:r>
          </w:p>
        </w:tc>
      </w:tr>
      <w:tr>
        <w:trPr>
          <w:trHeight w:val="20"/>
        </w:trPr>
        <w:tc>
          <w:tcPr>
            <w:tcW w:w="454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right="20" w:firstLine="8"/>
        <w:spacing w:after="0" w:line="271" w:lineRule="auto"/>
        <w:tabs>
          <w:tab w:leader="none" w:pos="223"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$5.6 million and $4.0 million of value added products and services ("VAPS") revenue for the three months ended September 30, 2020 and 2019, respectively and $13.9 million and $11.9 million of VAPS service revenue for the nine months ended September 30 2020, and 2019, respectively.</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and Services Revenue</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The majority of revenue 71% for the three and nine months ended September 30, 2020 and 69% for the three and nine months ended September 30, 2019) is generated by rental income subject to the guidance of ASC 842. The remaining revenue for the three and nine months ended September 30, 2020 and 2019 is generated by performance obligations in contracts with customers for services or sale of units subject to the guidance in ASU 2014-09, </w:t>
      </w:r>
      <w:r>
        <w:rPr>
          <w:rFonts w:ascii="Arial" w:cs="Arial" w:eastAsia="Arial" w:hAnsi="Arial"/>
          <w:sz w:val="16"/>
          <w:szCs w:val="16"/>
          <w:i w:val="1"/>
          <w:iCs w:val="1"/>
          <w:color w:val="auto"/>
        </w:rPr>
        <w:t xml:space="preserve">Revenue from Contracts with Customers (Topic 606) </w:t>
      </w:r>
      <w:r>
        <w:rPr>
          <w:rFonts w:ascii="Arial" w:cs="Arial" w:eastAsia="Arial" w:hAnsi="Arial"/>
          <w:sz w:val="16"/>
          <w:szCs w:val="16"/>
          <w:color w:val="auto"/>
        </w:rPr>
        <w:t>("ASC 606").</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As reflected above, approximately 71% of the Company's rental revenue is generated by lease revenue subject to the guidance of ASC 842. The customers that are responsible for the remaining revenue accounted for under ASC 606 are generally the same customers that rent the Company's equipment. The Company manages credit risk associated with its accounts receivables at the customer level. As the same customers generate the revenues that are accounted for under both ASC 606 and ASC 842, the discussions below on credit risk and the Company's allowance for credit losses address its total revenues. The Company's top five customers with the largest open receivables balances represented 6.1% of the total receivables balance as of September 30, 2020.</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December 31, 2019, the Company had approximately $42.6 million of deferred revenue that relates to removal services for lease transactions and advance billings for sale transactions, which are within the scope of ASC 606. As of September 30, 2020, the Company had approximately $72.4 million of deferred revenue relating to these services which are included in deferred revenue and customer deposits in the condensed consolidated balance sheets. During the three months ended September 30, 2020, $19.8 million of previously deferred revenue relating to removal services for lease transactions and advance billings for sale transactions was recognized as revenue.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contract assets.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w:t>
      </w:r>
    </w:p>
    <w:p>
      <w:pPr>
        <w:spacing w:after="0" w:line="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paid to our sales force. The Company pays its sales force commissions on the sale of new and rental units. For new and rental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unit sales, the period benefited by each commission is less than one year, therefore the commissions are expensed as incurred.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 The determination of the fair value of trade receivables acquired in the Merger is preliminary and subject to adjustment within the measurement period as the Company completes its review of the account receivable portfolio acquired from Mobile Mini.</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1D2758"/>
          </w:tcPr>
          <w:p>
            <w:pPr>
              <w:spacing w:after="0"/>
              <w:rPr>
                <w:sz w:val="16"/>
                <w:szCs w:val="16"/>
                <w:color w:val="auto"/>
              </w:rPr>
            </w:pPr>
          </w:p>
        </w:tc>
        <w:tc>
          <w:tcPr>
            <w:tcW w:w="2000" w:type="dxa"/>
            <w:vAlign w:val="bottom"/>
            <w:gridSpan w:val="2"/>
            <w:shd w:val="clear" w:color="auto" w:fill="1D2758"/>
          </w:tcPr>
          <w:p>
            <w:pPr>
              <w:ind w:left="100"/>
              <w:spacing w:after="0"/>
              <w:rPr>
                <w:sz w:val="20"/>
                <w:szCs w:val="20"/>
                <w:color w:val="auto"/>
              </w:rPr>
            </w:pPr>
            <w:r>
              <w:rPr>
                <w:rFonts w:ascii="Arial" w:cs="Arial" w:eastAsia="Arial" w:hAnsi="Arial"/>
                <w:sz w:val="16"/>
                <w:szCs w:val="16"/>
                <w:b w:val="1"/>
                <w:bCs w:val="1"/>
                <w:color w:val="FFFFFF"/>
              </w:rPr>
              <w:t>Nine Months Ended</w:t>
            </w:r>
          </w:p>
        </w:tc>
        <w:tc>
          <w:tcPr>
            <w:tcW w:w="200" w:type="dxa"/>
            <w:vAlign w:val="bottom"/>
            <w:shd w:val="clear" w:color="auto" w:fill="1D2758"/>
          </w:tcPr>
          <w:p>
            <w:pPr>
              <w:spacing w:after="0"/>
              <w:rPr>
                <w:sz w:val="16"/>
                <w:szCs w:val="16"/>
                <w:color w:val="auto"/>
              </w:rPr>
            </w:pPr>
          </w:p>
        </w:tc>
        <w:tc>
          <w:tcPr>
            <w:tcW w:w="190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Year Ended</w:t>
            </w:r>
          </w:p>
        </w:tc>
        <w:tc>
          <w:tcPr>
            <w:tcW w:w="0" w:type="dxa"/>
            <w:vAlign w:val="bottom"/>
          </w:tcPr>
          <w:p>
            <w:pPr>
              <w:spacing w:after="0"/>
              <w:rPr>
                <w:sz w:val="1"/>
                <w:szCs w:val="1"/>
                <w:color w:val="auto"/>
              </w:rPr>
            </w:pPr>
          </w:p>
        </w:tc>
      </w:tr>
      <w:tr>
        <w:trPr>
          <w:trHeight w:val="216"/>
        </w:trPr>
        <w:tc>
          <w:tcPr>
            <w:tcW w:w="694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2000" w:type="dxa"/>
            <w:vAlign w:val="bottom"/>
            <w:gridSpan w:val="2"/>
            <w:shd w:val="clear" w:color="auto" w:fill="1D2758"/>
          </w:tcPr>
          <w:p>
            <w:pPr>
              <w:ind w:left="100"/>
              <w:spacing w:after="0"/>
              <w:rPr>
                <w:sz w:val="20"/>
                <w:szCs w:val="20"/>
                <w:color w:val="auto"/>
              </w:rPr>
            </w:pPr>
            <w:r>
              <w:rPr>
                <w:rFonts w:ascii="Arial" w:cs="Arial" w:eastAsia="Arial" w:hAnsi="Arial"/>
                <w:sz w:val="16"/>
                <w:szCs w:val="16"/>
                <w:b w:val="1"/>
                <w:bCs w:val="1"/>
                <w:color w:val="FFFFFF"/>
              </w:rPr>
              <w:t>September 30, 2020</w:t>
            </w:r>
          </w:p>
        </w:tc>
        <w:tc>
          <w:tcPr>
            <w:tcW w:w="200" w:type="dxa"/>
            <w:vAlign w:val="bottom"/>
            <w:shd w:val="clear" w:color="auto" w:fill="1D2758"/>
          </w:tcPr>
          <w:p>
            <w:pPr>
              <w:spacing w:after="0"/>
              <w:rPr>
                <w:sz w:val="18"/>
                <w:szCs w:val="18"/>
                <w:color w:val="auto"/>
              </w:rPr>
            </w:pPr>
          </w:p>
        </w:tc>
        <w:tc>
          <w:tcPr>
            <w:tcW w:w="1900" w:type="dxa"/>
            <w:vAlign w:val="bottom"/>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December 31, 2019</w:t>
            </w:r>
          </w:p>
        </w:tc>
        <w:tc>
          <w:tcPr>
            <w:tcW w:w="0" w:type="dxa"/>
            <w:vAlign w:val="bottom"/>
          </w:tcPr>
          <w:p>
            <w:pPr>
              <w:spacing w:after="0"/>
              <w:rPr>
                <w:sz w:val="1"/>
                <w:szCs w:val="1"/>
                <w:color w:val="auto"/>
              </w:rPr>
            </w:pPr>
          </w:p>
        </w:tc>
      </w:tr>
      <w:tr>
        <w:trPr>
          <w:trHeight w:val="216"/>
        </w:trPr>
        <w:tc>
          <w:tcPr>
            <w:tcW w:w="6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year</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15,828</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9,340</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color w:val="auto"/>
              </w:rPr>
              <w:t>Net charges to bad debt expense and revenue</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14,496</w:t>
            </w:r>
          </w:p>
        </w:tc>
        <w:tc>
          <w:tcPr>
            <w:tcW w:w="0" w:type="dxa"/>
            <w:vAlign w:val="bottom"/>
          </w:tcPr>
          <w:p>
            <w:pPr>
              <w:spacing w:after="0"/>
              <w:rPr>
                <w:sz w:val="1"/>
                <w:szCs w:val="1"/>
                <w:color w:val="auto"/>
              </w:rPr>
            </w:pPr>
          </w:p>
        </w:tc>
      </w:tr>
      <w:tr>
        <w:trPr>
          <w:trHeight w:val="216"/>
        </w:trPr>
        <w:tc>
          <w:tcPr>
            <w:tcW w:w="6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shd w:val="clear" w:color="auto" w:fill="E7E7E8"/>
          </w:tcPr>
          <w:p>
            <w:pPr>
              <w:spacing w:after="0"/>
              <w:rPr>
                <w:sz w:val="18"/>
                <w:szCs w:val="18"/>
                <w:color w:val="auto"/>
              </w:rPr>
            </w:pP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(12,395)</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24,186</w:t>
            </w:r>
          </w:p>
        </w:tc>
        <w:tc>
          <w:tcPr>
            <w:tcW w:w="100" w:type="dxa"/>
            <w:vAlign w:val="bottom"/>
            <w:tcBorders>
              <w:bottom w:val="single" w:sz="8" w:color="E7E7E8"/>
            </w:tcBorders>
            <w:shd w:val="clear" w:color="auto" w:fill="E7E7E8"/>
          </w:tcPr>
          <w:p>
            <w:pPr>
              <w:spacing w:after="0"/>
              <w:rPr>
                <w:sz w:val="19"/>
                <w:szCs w:val="19"/>
                <w:color w:val="auto"/>
              </w:rPr>
            </w:pP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15,828</w:t>
            </w:r>
          </w:p>
        </w:tc>
        <w:tc>
          <w:tcPr>
            <w:tcW w:w="0" w:type="dxa"/>
            <w:vAlign w:val="bottom"/>
          </w:tcPr>
          <w:p>
            <w:pPr>
              <w:spacing w:after="0"/>
              <w:rPr>
                <w:sz w:val="1"/>
                <w:szCs w:val="1"/>
                <w:color w:val="auto"/>
              </w:rPr>
            </w:pPr>
          </w:p>
        </w:tc>
      </w:tr>
      <w:tr>
        <w:trPr>
          <w:trHeight w:val="20"/>
        </w:trPr>
        <w:tc>
          <w:tcPr>
            <w:tcW w:w="694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9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9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1D2758"/>
        </w:rPr>
        <w:t>NOTE 4 - Leases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2020, the undiscounted future lease payments for operating and finance lease liabilities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shd w:val="clear" w:color="auto" w:fill="1D2758"/>
          </w:tcPr>
          <w:p>
            <w:pPr>
              <w:spacing w:after="0"/>
              <w:rPr>
                <w:sz w:val="18"/>
                <w:szCs w:val="18"/>
                <w:color w:val="auto"/>
              </w:rPr>
            </w:pPr>
          </w:p>
        </w:tc>
        <w:tc>
          <w:tcPr>
            <w:tcW w:w="14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Operating</w:t>
            </w:r>
          </w:p>
        </w:tc>
        <w:tc>
          <w:tcPr>
            <w:tcW w:w="6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680" w:type="dxa"/>
            <w:vAlign w:val="bottom"/>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Finance</w:t>
            </w:r>
          </w:p>
        </w:tc>
      </w:tr>
      <w:tr>
        <w:trPr>
          <w:trHeight w:val="216"/>
        </w:trPr>
        <w:tc>
          <w:tcPr>
            <w:tcW w:w="6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 (remaining)</w:t>
            </w:r>
          </w:p>
        </w:tc>
        <w:tc>
          <w:tcPr>
            <w:tcW w:w="1440" w:type="dxa"/>
            <w:vAlign w:val="bottom"/>
            <w:shd w:val="clear" w:color="auto" w:fill="E7E7E8"/>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13,294</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5,135</w:t>
            </w: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color w:val="auto"/>
              </w:rPr>
              <w:t>2021</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57,440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18,139</w:t>
            </w:r>
          </w:p>
        </w:tc>
      </w:tr>
      <w:tr>
        <w:trPr>
          <w:trHeight w:val="216"/>
        </w:trPr>
        <w:tc>
          <w:tcPr>
            <w:tcW w:w="6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48,638</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16,751</w:t>
            </w: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color w:val="auto"/>
              </w:rPr>
              <w:t>2023</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13,300</w:t>
            </w:r>
          </w:p>
        </w:tc>
      </w:tr>
      <w:tr>
        <w:trPr>
          <w:trHeight w:val="216"/>
        </w:trPr>
        <w:tc>
          <w:tcPr>
            <w:tcW w:w="6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144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32,068</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10,378</w:t>
            </w:r>
          </w:p>
        </w:tc>
      </w:tr>
      <w:tr>
        <w:trPr>
          <w:trHeight w:val="216"/>
        </w:trPr>
        <w:tc>
          <w:tcPr>
            <w:tcW w:w="69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90,727</w:t>
            </w:r>
          </w:p>
        </w:tc>
        <w:tc>
          <w:tcPr>
            <w:tcW w:w="100" w:type="dxa"/>
            <w:vAlign w:val="bottom"/>
            <w:tcBorders>
              <w:bottom w:val="single" w:sz="8" w:color="E7E7E8"/>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22,826</w:t>
            </w:r>
          </w:p>
        </w:tc>
      </w:tr>
      <w:tr>
        <w:trPr>
          <w:trHeight w:val="210"/>
        </w:trPr>
        <w:tc>
          <w:tcPr>
            <w:tcW w:w="6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lease payments</w:t>
            </w:r>
          </w:p>
        </w:tc>
        <w:tc>
          <w:tcPr>
            <w:tcW w:w="144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6"/>
              </w:rPr>
              <w:t>281,803</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86,529</w:t>
            </w:r>
          </w:p>
        </w:tc>
      </w:tr>
      <w:tr>
        <w:trPr>
          <w:trHeight w:val="216"/>
        </w:trPr>
        <w:tc>
          <w:tcPr>
            <w:tcW w:w="69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interest</w:t>
            </w:r>
          </w:p>
        </w:tc>
        <w:tc>
          <w:tcPr>
            <w:tcW w:w="1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(48,467)</w:t>
            </w:r>
          </w:p>
        </w:tc>
        <w:tc>
          <w:tcPr>
            <w:tcW w:w="100" w:type="dxa"/>
            <w:vAlign w:val="bottom"/>
            <w:tcBorders>
              <w:bottom w:val="single" w:sz="8" w:color="E7E7E8"/>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(6,524)</w:t>
            </w:r>
          </w:p>
        </w:tc>
      </w:tr>
      <w:tr>
        <w:trPr>
          <w:trHeight w:val="235"/>
        </w:trPr>
        <w:tc>
          <w:tcPr>
            <w:tcW w:w="69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Present value of lease liabilities</w:t>
            </w:r>
          </w:p>
        </w:tc>
        <w:tc>
          <w:tcPr>
            <w:tcW w:w="1440" w:type="dxa"/>
            <w:vAlign w:val="bottom"/>
            <w:tcBorders>
              <w:bottom w:val="single" w:sz="8" w:color="auto"/>
            </w:tcBorders>
            <w:shd w:val="clear" w:color="auto" w:fill="E7E7E8"/>
          </w:tcPr>
          <w:p>
            <w:pPr>
              <w:jc w:val="right"/>
              <w:ind w:right="1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96"/>
              </w:rPr>
              <w:t>233,336</w:t>
            </w:r>
          </w:p>
        </w:tc>
        <w:tc>
          <w:tcPr>
            <w:tcW w:w="100" w:type="dxa"/>
            <w:vAlign w:val="bottom"/>
            <w:tcBorders>
              <w:bottom w:val="single" w:sz="8" w:color="E7E7E8"/>
            </w:tcBorders>
            <w:shd w:val="clear" w:color="auto" w:fill="E7E7E8"/>
          </w:tcPr>
          <w:p>
            <w:pPr>
              <w:spacing w:after="0"/>
              <w:rPr>
                <w:sz w:val="19"/>
                <w:szCs w:val="19"/>
                <w:color w:val="auto"/>
              </w:rPr>
            </w:pPr>
          </w:p>
        </w:tc>
        <w:tc>
          <w:tcPr>
            <w:tcW w:w="42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80,005</w:t>
            </w:r>
          </w:p>
        </w:tc>
      </w:tr>
      <w:tr>
        <w:trPr>
          <w:trHeight w:val="20"/>
        </w:trPr>
        <w:tc>
          <w:tcPr>
            <w:tcW w:w="6940" w:type="dxa"/>
            <w:vAlign w:val="bottom"/>
            <w:tcBorders>
              <w:top w:val="single" w:sz="8" w:color="E7E7E8"/>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6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E7E7E8"/>
              <w:bottom w:val="single" w:sz="8" w:color="auto"/>
            </w:tcBorders>
          </w:tcPr>
          <w:p>
            <w:pPr>
              <w:spacing w:after="0" w:line="20" w:lineRule="exact"/>
              <w:rPr>
                <w:sz w:val="1"/>
                <w:szCs w:val="1"/>
                <w:color w:val="auto"/>
              </w:rPr>
            </w:pPr>
          </w:p>
        </w:tc>
        <w:tc>
          <w:tcPr>
            <w:tcW w:w="1680" w:type="dxa"/>
            <w:vAlign w:val="bottom"/>
            <w:tcBorders>
              <w:top w:val="single" w:sz="8" w:color="E7E7E8"/>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lease liabilities are included within Long-term debt and current portion of long-term debt on the condensed consolidated balance sheets.</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lease activity during the nine months ended September 30, 2020 and 2019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3720" w:type="dxa"/>
            <w:vAlign w:val="bottom"/>
            <w:gridSpan w:val="4"/>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Nine Months Ended September 30,</w:t>
            </w:r>
          </w:p>
        </w:tc>
      </w:tr>
      <w:tr>
        <w:trPr>
          <w:trHeight w:val="216"/>
        </w:trPr>
        <w:tc>
          <w:tcPr>
            <w:tcW w:w="710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 xml:space="preserve">Financial Statement Line </w:t>
            </w:r>
            <w:r>
              <w:rPr>
                <w:rFonts w:ascii="Arial" w:cs="Arial" w:eastAsia="Arial" w:hAnsi="Arial"/>
                <w:sz w:val="16"/>
                <w:szCs w:val="16"/>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60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Finance Lease Expense</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1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Amortization of finance lease assets</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4,360</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00" w:type="dxa"/>
            <w:vAlign w:val="bottom"/>
            <w:tcBorders>
              <w:bottom w:val="single" w:sz="8" w:color="E7E7E8"/>
            </w:tcBorders>
          </w:tcPr>
          <w:p>
            <w:pPr>
              <w:ind w:left="340"/>
              <w:spacing w:after="0"/>
              <w:rPr>
                <w:sz w:val="20"/>
                <w:szCs w:val="20"/>
                <w:color w:val="auto"/>
              </w:rPr>
            </w:pPr>
            <w:r>
              <w:rPr>
                <w:rFonts w:ascii="Arial" w:cs="Arial" w:eastAsia="Arial" w:hAnsi="Arial"/>
                <w:sz w:val="16"/>
                <w:szCs w:val="16"/>
                <w:color w:val="auto"/>
              </w:rPr>
              <w:t>Interest on obligations under finance leases</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E7E7E8"/>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finance lease expense</w:t>
            </w:r>
          </w:p>
        </w:tc>
        <w:tc>
          <w:tcPr>
            <w:tcW w:w="42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4,872</w:t>
            </w:r>
          </w:p>
        </w:tc>
        <w:tc>
          <w:tcPr>
            <w:tcW w:w="100" w:type="dxa"/>
            <w:vAlign w:val="bottom"/>
            <w:tcBorders>
              <w:bottom w:val="single" w:sz="8" w:color="E7E7E8"/>
            </w:tcBorders>
            <w:shd w:val="clear" w:color="auto" w:fill="E7E7E8"/>
          </w:tcPr>
          <w:p>
            <w:pPr>
              <w:spacing w:after="0"/>
              <w:rPr>
                <w:sz w:val="19"/>
                <w:szCs w:val="19"/>
                <w:color w:val="auto"/>
              </w:rPr>
            </w:pPr>
          </w:p>
        </w:tc>
        <w:tc>
          <w:tcPr>
            <w:tcW w:w="46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10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6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Lease Expense</w:t>
            </w:r>
          </w:p>
        </w:tc>
        <w:tc>
          <w:tcPr>
            <w:tcW w:w="4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6"/>
                <w:szCs w:val="16"/>
                <w:color w:val="auto"/>
              </w:rPr>
              <w:t>Fixed lease expense</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4,444</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5,151</w:t>
            </w:r>
          </w:p>
        </w:tc>
      </w:tr>
      <w:tr>
        <w:trPr>
          <w:trHeight w:val="216"/>
        </w:trPr>
        <w:tc>
          <w:tcPr>
            <w:tcW w:w="710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29,682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25,423</w:t>
            </w: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4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1,770</w:t>
            </w:r>
          </w:p>
        </w:tc>
      </w:tr>
      <w:tr>
        <w:trPr>
          <w:trHeight w:val="216"/>
        </w:trPr>
        <w:tc>
          <w:tcPr>
            <w:tcW w:w="7100" w:type="dxa"/>
            <w:vAlign w:val="bottom"/>
          </w:tcPr>
          <w:p>
            <w:pPr>
              <w:ind w:left="220"/>
              <w:spacing w:after="0"/>
              <w:rPr>
                <w:sz w:val="20"/>
                <w:szCs w:val="20"/>
                <w:color w:val="auto"/>
              </w:rPr>
            </w:pPr>
            <w:r>
              <w:rPr>
                <w:rFonts w:ascii="Arial" w:cs="Arial" w:eastAsia="Arial" w:hAnsi="Arial"/>
                <w:sz w:val="16"/>
                <w:szCs w:val="16"/>
                <w:color w:val="auto"/>
              </w:rPr>
              <w:t>Short-term lease expense</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4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19,765</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22,725</w:t>
            </w:r>
          </w:p>
        </w:tc>
      </w:tr>
      <w:tr>
        <w:trPr>
          <w:trHeight w:val="216"/>
        </w:trPr>
        <w:tc>
          <w:tcPr>
            <w:tcW w:w="710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4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00" w:type="dxa"/>
            <w:vAlign w:val="bottom"/>
          </w:tcPr>
          <w:p>
            <w:pPr>
              <w:ind w:left="220"/>
              <w:spacing w:after="0"/>
              <w:rPr>
                <w:sz w:val="20"/>
                <w:szCs w:val="20"/>
                <w:color w:val="auto"/>
              </w:rPr>
            </w:pPr>
            <w:r>
              <w:rPr>
                <w:rFonts w:ascii="Arial" w:cs="Arial" w:eastAsia="Arial" w:hAnsi="Arial"/>
                <w:sz w:val="16"/>
                <w:szCs w:val="16"/>
                <w:color w:val="auto"/>
              </w:rPr>
              <w:t>Variable lease expense</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4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5,277</w:t>
            </w:r>
          </w:p>
        </w:tc>
        <w:tc>
          <w:tcPr>
            <w:tcW w:w="1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2,182</w:t>
            </w:r>
          </w:p>
        </w:tc>
      </w:tr>
      <w:tr>
        <w:trPr>
          <w:trHeight w:val="216"/>
        </w:trPr>
        <w:tc>
          <w:tcPr>
            <w:tcW w:w="710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3,016</w:t>
            </w:r>
          </w:p>
        </w:tc>
      </w:tr>
      <w:tr>
        <w:trPr>
          <w:trHeight w:val="216"/>
        </w:trPr>
        <w:tc>
          <w:tcPr>
            <w:tcW w:w="71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420" w:type="dxa"/>
            <w:vAlign w:val="bottom"/>
            <w:tcBorders>
              <w:bottom w:val="single" w:sz="8" w:color="auto"/>
            </w:tcBorders>
            <w:shd w:val="clear" w:color="auto" w:fill="E7E7E8"/>
          </w:tcPr>
          <w:p>
            <w:pPr>
              <w:spacing w:after="0"/>
              <w:rPr>
                <w:sz w:val="18"/>
                <w:szCs w:val="18"/>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E7E7E8"/>
          </w:tcPr>
          <w:p>
            <w:pPr>
              <w:spacing w:after="0"/>
              <w:rPr>
                <w:sz w:val="18"/>
                <w:szCs w:val="18"/>
                <w:color w:val="auto"/>
              </w:rPr>
            </w:pPr>
          </w:p>
        </w:tc>
        <w:tc>
          <w:tcPr>
            <w:tcW w:w="46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67,665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61,931</w:t>
            </w:r>
          </w:p>
        </w:tc>
      </w:tr>
      <w:tr>
        <w:trPr>
          <w:trHeight w:val="21"/>
        </w:trPr>
        <w:tc>
          <w:tcPr>
            <w:tcW w:w="7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initiated certain restructuring plans associated with the acquisition of Modular Space Holdings, Inc. ("ModSpace") in 2018 in order to capture operating synergies as a result of integrating ModSpace into WillScot. The restructuring activities primarily included the termination of leases for duplicative branches, equipment and corporate facilities. As part of these plans, certain of its leased locations were vacated and leases were terminated or impaired.</w:t>
      </w:r>
    </w:p>
    <w:p>
      <w:pPr>
        <w:spacing w:after="0" w:line="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During the nine months ended September 30, 2020, the Company recorded $4.0 million in lease impairment expense and other related charges which is comprised of $0.8 million loss on lease exit and impairment charges and $3.3 million in closed location rent expense. During the nine months ended September 30, 2019, the Company recorded $5.8 million in lease impairment expense and other related charges which is comprised of $2.4 million in right-of-use ("ROU") asset impairment on leased locations no longer used in operations, $1.7 million loss on lease exit and $1.7 million in closed location rent expense.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leases for the nine months ended September 30, 2020 and 2019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3900" w:type="dxa"/>
            <w:vAlign w:val="bottom"/>
            <w:gridSpan w:val="3"/>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rPr>
              <w:t>Nine Months Ended September 30,</w:t>
            </w:r>
          </w:p>
        </w:tc>
      </w:tr>
      <w:tr>
        <w:trPr>
          <w:trHeight w:val="216"/>
        </w:trPr>
        <w:tc>
          <w:tcPr>
            <w:tcW w:w="686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 xml:space="preserve">Supplemental Cash Flow Information </w:t>
            </w:r>
            <w:r>
              <w:rPr>
                <w:rFonts w:ascii="Arial" w:cs="Arial" w:eastAsia="Arial" w:hAnsi="Arial"/>
                <w:sz w:val="16"/>
                <w:szCs w:val="16"/>
                <w:b w:val="1"/>
                <w:bCs w:val="1"/>
                <w:i w:val="1"/>
                <w:iCs w:val="1"/>
                <w:color w:val="FFFFFF"/>
              </w:rPr>
              <w:t>(in thousands)</w:t>
            </w:r>
          </w:p>
        </w:tc>
        <w:tc>
          <w:tcPr>
            <w:tcW w:w="480" w:type="dxa"/>
            <w:vAlign w:val="bottom"/>
            <w:shd w:val="clear" w:color="auto" w:fill="1D2758"/>
          </w:tcPr>
          <w:p>
            <w:pPr>
              <w:spacing w:after="0"/>
              <w:rPr>
                <w:sz w:val="18"/>
                <w:szCs w:val="18"/>
                <w:color w:val="auto"/>
              </w:rPr>
            </w:pPr>
          </w:p>
        </w:tc>
        <w:tc>
          <w:tcPr>
            <w:tcW w:w="1680" w:type="dxa"/>
            <w:vAlign w:val="bottom"/>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2020</w:t>
            </w:r>
          </w:p>
        </w:tc>
        <w:tc>
          <w:tcPr>
            <w:tcW w:w="58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2019</w:t>
            </w:r>
          </w:p>
        </w:tc>
      </w:tr>
      <w:tr>
        <w:trPr>
          <w:trHeight w:val="216"/>
        </w:trPr>
        <w:tc>
          <w:tcPr>
            <w:tcW w:w="6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480" w:type="dxa"/>
            <w:vAlign w:val="bottom"/>
            <w:shd w:val="clear" w:color="auto" w:fill="E7E7E8"/>
          </w:tcPr>
          <w:p>
            <w:pPr>
              <w:spacing w:after="0"/>
              <w:rPr>
                <w:sz w:val="18"/>
                <w:szCs w:val="18"/>
                <w:color w:val="auto"/>
              </w:rPr>
            </w:pPr>
          </w:p>
        </w:tc>
        <w:tc>
          <w:tcPr>
            <w:tcW w:w="168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Operating cash outflows from operating leases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35,065</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29,598</w:t>
            </w:r>
          </w:p>
        </w:tc>
      </w:tr>
      <w:tr>
        <w:trPr>
          <w:trHeight w:val="216"/>
        </w:trPr>
        <w:tc>
          <w:tcPr>
            <w:tcW w:w="6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Operating cash outflows from finance leases</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491</w:t>
            </w:r>
          </w:p>
        </w:tc>
        <w:tc>
          <w:tcPr>
            <w:tcW w:w="58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Financing cash outflows from finance leases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860" w:type="dxa"/>
            <w:vAlign w:val="bottom"/>
            <w:shd w:val="clear" w:color="auto" w:fill="E7E7E8"/>
          </w:tcPr>
          <w:p>
            <w:pPr>
              <w:spacing w:after="0"/>
              <w:rPr>
                <w:sz w:val="22"/>
                <w:szCs w:val="22"/>
                <w:color w:val="auto"/>
              </w:rPr>
            </w:pPr>
          </w:p>
        </w:tc>
        <w:tc>
          <w:tcPr>
            <w:tcW w:w="480" w:type="dxa"/>
            <w:vAlign w:val="bottom"/>
            <w:shd w:val="clear" w:color="auto" w:fill="E7E7E8"/>
          </w:tcPr>
          <w:p>
            <w:pPr>
              <w:spacing w:after="0"/>
              <w:rPr>
                <w:sz w:val="22"/>
                <w:szCs w:val="22"/>
                <w:color w:val="auto"/>
              </w:rPr>
            </w:pPr>
          </w:p>
        </w:tc>
        <w:tc>
          <w:tcPr>
            <w:tcW w:w="1680" w:type="dxa"/>
            <w:vAlign w:val="bottom"/>
            <w:shd w:val="clear" w:color="auto" w:fill="E7E7E8"/>
          </w:tcPr>
          <w:p>
            <w:pPr>
              <w:spacing w:after="0"/>
              <w:rPr>
                <w:sz w:val="22"/>
                <w:szCs w:val="22"/>
                <w:color w:val="auto"/>
              </w:rPr>
            </w:pPr>
          </w:p>
        </w:tc>
        <w:tc>
          <w:tcPr>
            <w:tcW w:w="5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26,727</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20,782</w:t>
            </w:r>
          </w:p>
        </w:tc>
      </w:tr>
      <w:tr>
        <w:trPr>
          <w:trHeight w:val="216"/>
        </w:trPr>
        <w:tc>
          <w:tcPr>
            <w:tcW w:w="6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 obtained in exchange for finance leases</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6,322</w:t>
            </w:r>
          </w:p>
        </w:tc>
        <w:tc>
          <w:tcPr>
            <w:tcW w:w="58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bl>
    <w:p>
      <w:pPr>
        <w:spacing w:after="0" w:line="3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Weighted-average remaining operating lease terms and the weighted average discount rates as of September 30, 2020 and December 31, 2019 were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Lease Terms and Discount Rates</w:t>
            </w:r>
          </w:p>
        </w:tc>
        <w:tc>
          <w:tcPr>
            <w:tcW w:w="2660" w:type="dxa"/>
            <w:vAlign w:val="bottom"/>
            <w:gridSpan w:val="4"/>
            <w:shd w:val="clear" w:color="auto" w:fill="1D2758"/>
          </w:tcPr>
          <w:p>
            <w:pPr>
              <w:ind w:left="800"/>
              <w:spacing w:after="0"/>
              <w:rPr>
                <w:sz w:val="20"/>
                <w:szCs w:val="20"/>
                <w:color w:val="auto"/>
              </w:rPr>
            </w:pPr>
            <w:r>
              <w:rPr>
                <w:rFonts w:ascii="Arial" w:cs="Arial" w:eastAsia="Arial" w:hAnsi="Arial"/>
                <w:sz w:val="16"/>
                <w:szCs w:val="16"/>
                <w:b w:val="1"/>
                <w:bCs w:val="1"/>
                <w:color w:val="FFFFFF"/>
              </w:rPr>
              <w:t>September 30, 2020</w:t>
            </w:r>
          </w:p>
        </w:tc>
        <w:tc>
          <w:tcPr>
            <w:tcW w:w="1700" w:type="dxa"/>
            <w:vAlign w:val="bottom"/>
            <w:gridSpan w:val="2"/>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December 31, 2019</w:t>
            </w:r>
          </w:p>
        </w:tc>
      </w:tr>
      <w:tr>
        <w:trPr>
          <w:trHeight w:val="216"/>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Weighted-average remaining lease term - operating leases</w:t>
            </w:r>
          </w:p>
        </w:tc>
        <w:tc>
          <w:tcPr>
            <w:tcW w:w="86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280" w:type="dxa"/>
            <w:vAlign w:val="bottom"/>
            <w:gridSpan w:val="2"/>
            <w:shd w:val="clear" w:color="auto" w:fill="E7E7E8"/>
          </w:tcPr>
          <w:p>
            <w:pPr>
              <w:ind w:left="400"/>
              <w:spacing w:after="0"/>
              <w:rPr>
                <w:sz w:val="20"/>
                <w:szCs w:val="20"/>
                <w:color w:val="auto"/>
              </w:rPr>
            </w:pPr>
            <w:r>
              <w:rPr>
                <w:rFonts w:ascii="Arial" w:cs="Arial" w:eastAsia="Arial" w:hAnsi="Arial"/>
                <w:sz w:val="16"/>
                <w:szCs w:val="16"/>
                <w:color w:val="auto"/>
              </w:rPr>
              <w:t>6.5 years</w:t>
            </w: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 years</w:t>
            </w: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color w:val="auto"/>
              </w:rPr>
              <w:t>Weighted-average discount rate - operating leases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center"/>
              <w:ind w:left="479"/>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6"/>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Weighted-average remaining lease term - finance leases</w:t>
            </w:r>
          </w:p>
        </w:tc>
        <w:tc>
          <w:tcPr>
            <w:tcW w:w="86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280" w:type="dxa"/>
            <w:vAlign w:val="bottom"/>
            <w:gridSpan w:val="2"/>
            <w:shd w:val="clear" w:color="auto" w:fill="E7E7E8"/>
          </w:tcPr>
          <w:p>
            <w:pPr>
              <w:ind w:left="400"/>
              <w:spacing w:after="0"/>
              <w:rPr>
                <w:sz w:val="20"/>
                <w:szCs w:val="20"/>
                <w:color w:val="auto"/>
              </w:rPr>
            </w:pPr>
            <w:r>
              <w:rPr>
                <w:rFonts w:ascii="Arial" w:cs="Arial" w:eastAsia="Arial" w:hAnsi="Arial"/>
                <w:sz w:val="16"/>
                <w:szCs w:val="16"/>
                <w:color w:val="auto"/>
              </w:rPr>
              <w:t>4.7 years</w:t>
            </w: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 years</w:t>
            </w:r>
          </w:p>
        </w:tc>
      </w:tr>
      <w:tr>
        <w:trPr>
          <w:trHeight w:val="219"/>
        </w:trPr>
        <w:tc>
          <w:tcPr>
            <w:tcW w:w="6880" w:type="dxa"/>
            <w:vAlign w:val="bottom"/>
          </w:tcPr>
          <w:p>
            <w:pPr>
              <w:ind w:left="20"/>
              <w:spacing w:after="0"/>
              <w:rPr>
                <w:sz w:val="20"/>
                <w:szCs w:val="20"/>
                <w:color w:val="auto"/>
              </w:rPr>
            </w:pPr>
            <w:r>
              <w:rPr>
                <w:rFonts w:ascii="Arial" w:cs="Arial" w:eastAsia="Arial" w:hAnsi="Arial"/>
                <w:sz w:val="16"/>
                <w:szCs w:val="16"/>
                <w:color w:val="auto"/>
              </w:rPr>
              <w:t>Weighted-average discount rate - finance leases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center"/>
              <w:ind w:left="479"/>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549"/>
        </w:trPr>
        <w:tc>
          <w:tcPr>
            <w:tcW w:w="688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2"/>
        </w:trPr>
        <w:tc>
          <w:tcPr>
            <w:tcW w:w="6880" w:type="dxa"/>
            <w:vAlign w:val="bottom"/>
          </w:tcPr>
          <w:p>
            <w:pPr>
              <w:spacing w:after="0"/>
              <w:rPr>
                <w:sz w:val="20"/>
                <w:szCs w:val="20"/>
                <w:color w:val="auto"/>
              </w:rPr>
            </w:pPr>
            <w:r>
              <w:rPr>
                <w:rFonts w:ascii="Arial" w:cs="Arial" w:eastAsia="Arial" w:hAnsi="Arial"/>
                <w:sz w:val="23"/>
                <w:szCs w:val="23"/>
                <w:color w:val="1D2758"/>
              </w:rPr>
              <w:t>NOTE 5 - Inventories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2"/>
        </w:trPr>
        <w:tc>
          <w:tcPr>
            <w:tcW w:w="6880" w:type="dxa"/>
            <w:vAlign w:val="bottom"/>
          </w:tcPr>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688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ind w:left="100"/>
              <w:spacing w:after="0"/>
              <w:rPr>
                <w:sz w:val="20"/>
                <w:szCs w:val="20"/>
                <w:color w:val="auto"/>
              </w:rPr>
            </w:pPr>
            <w:r>
              <w:rPr>
                <w:rFonts w:ascii="Arial" w:cs="Arial" w:eastAsia="Arial" w:hAnsi="Arial"/>
                <w:sz w:val="16"/>
                <w:szCs w:val="16"/>
                <w:b w:val="1"/>
                <w:bCs w:val="1"/>
                <w:color w:val="FFFFFF"/>
              </w:rPr>
              <w:t>September 30, 2020</w:t>
            </w: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16"/>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supplies</w:t>
            </w:r>
          </w:p>
        </w:tc>
        <w:tc>
          <w:tcPr>
            <w:tcW w:w="1380" w:type="dxa"/>
            <w:vAlign w:val="bottom"/>
            <w:gridSpan w:val="2"/>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center"/>
              <w:ind w:left="479"/>
              <w:spacing w:after="0"/>
              <w:rPr>
                <w:sz w:val="20"/>
                <w:szCs w:val="20"/>
                <w:color w:val="auto"/>
              </w:rPr>
            </w:pPr>
            <w:r>
              <w:rPr>
                <w:rFonts w:ascii="Arial" w:cs="Arial" w:eastAsia="Arial" w:hAnsi="Arial"/>
                <w:sz w:val="16"/>
                <w:szCs w:val="16"/>
                <w:color w:val="auto"/>
              </w:rPr>
              <w:t>21,573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15,387</w:t>
            </w:r>
          </w:p>
        </w:tc>
      </w:tr>
      <w:tr>
        <w:trPr>
          <w:trHeight w:val="216"/>
        </w:trPr>
        <w:tc>
          <w:tcPr>
            <w:tcW w:w="6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Finished units</w:t>
            </w:r>
          </w:p>
        </w:tc>
        <w:tc>
          <w:tcPr>
            <w:tcW w:w="860" w:type="dxa"/>
            <w:vAlign w:val="bottom"/>
            <w:tcBorders>
              <w:bottom w:val="single" w:sz="8" w:color="E7E7E8"/>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8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Inventories</w:t>
            </w:r>
          </w:p>
        </w:tc>
        <w:tc>
          <w:tcPr>
            <w:tcW w:w="860" w:type="dxa"/>
            <w:vAlign w:val="bottom"/>
            <w:tcBorders>
              <w:bottom w:val="single" w:sz="8" w:color="E7E7E8"/>
            </w:tcBorders>
            <w:shd w:val="clear" w:color="auto" w:fill="E7E7E8"/>
          </w:tcPr>
          <w:p>
            <w:pPr>
              <w:spacing w:after="0"/>
              <w:rPr>
                <w:sz w:val="19"/>
                <w:szCs w:val="19"/>
                <w:color w:val="auto"/>
              </w:rPr>
            </w:pP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center"/>
              <w:ind w:left="479"/>
              <w:spacing w:after="0"/>
              <w:rPr>
                <w:sz w:val="20"/>
                <w:szCs w:val="20"/>
                <w:color w:val="auto"/>
              </w:rPr>
            </w:pPr>
            <w:r>
              <w:rPr>
                <w:rFonts w:ascii="Arial" w:cs="Arial" w:eastAsia="Arial" w:hAnsi="Arial"/>
                <w:sz w:val="16"/>
                <w:szCs w:val="16"/>
                <w:color w:val="auto"/>
              </w:rPr>
              <w:t>22,955</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15,387</w:t>
            </w:r>
          </w:p>
        </w:tc>
      </w:tr>
      <w:tr>
        <w:trPr>
          <w:trHeight w:val="20"/>
        </w:trPr>
        <w:tc>
          <w:tcPr>
            <w:tcW w:w="6880" w:type="dxa"/>
            <w:vAlign w:val="bottom"/>
            <w:tcBorders>
              <w:top w:val="single" w:sz="8" w:color="E7E7E8"/>
            </w:tcBorders>
          </w:tcPr>
          <w:p>
            <w:pPr>
              <w:spacing w:after="0" w:line="20" w:lineRule="exact"/>
              <w:rPr>
                <w:sz w:val="1"/>
                <w:szCs w:val="1"/>
                <w:color w:val="auto"/>
              </w:rPr>
            </w:pPr>
          </w:p>
        </w:tc>
        <w:tc>
          <w:tcPr>
            <w:tcW w:w="86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9"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color w:val="1D2758"/>
        </w:rPr>
        <w:t>NOTE 6 - Rental Equipment, net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Modular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Portable storage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Tank and pump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Value added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FFFFFF"/>
              </w:rPr>
              <w:t>September 30, 2020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FFFFFF"/>
                <w:w w:val="99"/>
              </w:rPr>
              <w:t>December 31, 2019</w:t>
            </w:r>
          </w:p>
        </w:tc>
      </w:tr>
      <w:tr>
        <w:trPr>
          <w:trHeight w:val="216"/>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2,490,827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2,372,069</w:t>
            </w:r>
          </w:p>
        </w:tc>
      </w:tr>
      <w:tr>
        <w:trPr>
          <w:trHeight w:val="216"/>
        </w:trPr>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1,028,230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83,402</w:t>
            </w:r>
          </w:p>
        </w:tc>
      </w:tr>
      <w:tr>
        <w:trPr>
          <w:trHeight w:val="216"/>
        </w:trPr>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129,604</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134,910</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121,855</w:t>
            </w:r>
          </w:p>
        </w:tc>
      </w:tr>
    </w:tbl>
    <w:p>
      <w:pPr>
        <w:spacing w:after="0" w:line="1" w:lineRule="exact"/>
        <w:rPr>
          <w:sz w:val="20"/>
          <w:szCs w:val="20"/>
          <w:color w:val="auto"/>
        </w:rPr>
      </w:pPr>
    </w:p>
    <w:p>
      <w:pPr>
        <w:sectPr>
          <w:pgSz w:w="11900" w:h="16838" w:orient="portrait"/>
          <w:cols w:equalWidth="0" w:num="2">
            <w:col w:w="7040" w:space="720"/>
            <w:col w:w="3480"/>
          </w:cols>
          <w:pgMar w:left="320" w:top="1139"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520" w:type="dxa"/>
            <w:vAlign w:val="bottom"/>
            <w:tcBorders>
              <w:top w:val="single" w:sz="8" w:color="auto"/>
            </w:tcBorders>
            <w:shd w:val="clear" w:color="auto" w:fill="E7E7E8"/>
          </w:tcPr>
          <w:p>
            <w:pPr>
              <w:spacing w:after="0"/>
              <w:rPr>
                <w:sz w:val="18"/>
                <w:szCs w:val="18"/>
                <w:color w:val="auto"/>
              </w:rPr>
            </w:pP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3,783,571</w:t>
            </w:r>
          </w:p>
        </w:tc>
        <w:tc>
          <w:tcPr>
            <w:tcW w:w="100" w:type="dxa"/>
            <w:vAlign w:val="bottom"/>
            <w:tcBorders>
              <w:top w:val="single" w:sz="8" w:color="E7E7E8"/>
            </w:tcBorders>
            <w:shd w:val="clear" w:color="auto" w:fill="E7E7E8"/>
          </w:tcPr>
          <w:p>
            <w:pPr>
              <w:spacing w:after="0"/>
              <w:rPr>
                <w:sz w:val="18"/>
                <w:szCs w:val="18"/>
                <w:color w:val="auto"/>
              </w:rPr>
            </w:pPr>
          </w:p>
        </w:tc>
        <w:tc>
          <w:tcPr>
            <w:tcW w:w="500" w:type="dxa"/>
            <w:vAlign w:val="bottom"/>
            <w:tcBorders>
              <w:top w:val="single" w:sz="8" w:color="auto"/>
            </w:tcBorders>
            <w:shd w:val="clear" w:color="auto" w:fill="E7E7E8"/>
          </w:tcPr>
          <w:p>
            <w:pPr>
              <w:spacing w:after="0"/>
              <w:rPr>
                <w:sz w:val="18"/>
                <w:szCs w:val="18"/>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2,577,326</w:t>
            </w:r>
          </w:p>
        </w:tc>
      </w:tr>
      <w:tr>
        <w:trPr>
          <w:trHeight w:val="21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(743,861)</w:t>
            </w:r>
          </w:p>
        </w:tc>
        <w:tc>
          <w:tcPr>
            <w:tcW w:w="100" w:type="dxa"/>
            <w:vAlign w:val="bottom"/>
            <w:tcBorders>
              <w:bottom w:val="single" w:sz="8" w:color="E7E7E8"/>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(632,890)</w:t>
            </w:r>
          </w:p>
        </w:tc>
      </w:tr>
      <w:tr>
        <w:trPr>
          <w:trHeight w:val="235"/>
        </w:trPr>
        <w:tc>
          <w:tcPr>
            <w:tcW w:w="77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3,039,710</w:t>
            </w:r>
          </w:p>
        </w:tc>
        <w:tc>
          <w:tcPr>
            <w:tcW w:w="100" w:type="dxa"/>
            <w:vAlign w:val="bottom"/>
            <w:tcBorders>
              <w:bottom w:val="single" w:sz="8" w:color="E7E7E8"/>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1,944,436</w:t>
            </w: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1D2758"/>
        </w:rPr>
        <w:t>NOTE 7 -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540" w:type="dxa"/>
            <w:vAlign w:val="bottom"/>
          </w:tcPr>
          <w:p>
            <w:pPr>
              <w:ind w:left="660"/>
              <w:spacing w:after="0"/>
              <w:rPr>
                <w:sz w:val="20"/>
                <w:szCs w:val="20"/>
                <w:color w:val="auto"/>
              </w:rPr>
            </w:pPr>
            <w:r>
              <w:rPr>
                <w:rFonts w:ascii="Arial" w:cs="Arial" w:eastAsia="Arial" w:hAnsi="Arial"/>
                <w:sz w:val="16"/>
                <w:szCs w:val="16"/>
                <w:color w:val="auto"/>
              </w:rPr>
              <w:t>Changes in the carrying amount of goodwill were as follows: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9"/>
        </w:trPr>
        <w:tc>
          <w:tcPr>
            <w:tcW w:w="9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16"/>
        </w:trPr>
        <w:tc>
          <w:tcPr>
            <w:tcW w:w="95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r>
      <w:tr>
        <w:trPr>
          <w:trHeight w:val="216"/>
        </w:trPr>
        <w:tc>
          <w:tcPr>
            <w:tcW w:w="9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247,017</w:t>
            </w:r>
          </w:p>
        </w:tc>
      </w:tr>
      <w:tr>
        <w:trPr>
          <w:trHeight w:val="216"/>
        </w:trPr>
        <w:tc>
          <w:tcPr>
            <w:tcW w:w="9540" w:type="dxa"/>
            <w:vAlign w:val="bottom"/>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(13,479)</w:t>
            </w:r>
          </w:p>
        </w:tc>
      </w:tr>
      <w:tr>
        <w:trPr>
          <w:trHeight w:val="216"/>
        </w:trPr>
        <w:tc>
          <w:tcPr>
            <w:tcW w:w="9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58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1,639</w:t>
            </w:r>
          </w:p>
        </w:tc>
      </w:tr>
      <w:tr>
        <w:trPr>
          <w:trHeight w:val="209"/>
        </w:trPr>
        <w:tc>
          <w:tcPr>
            <w:tcW w:w="954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235,177</w:t>
            </w:r>
          </w:p>
        </w:tc>
      </w:tr>
      <w:tr>
        <w:trPr>
          <w:trHeight w:val="216"/>
        </w:trPr>
        <w:tc>
          <w:tcPr>
            <w:tcW w:w="9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Acquisition of Mobile Mini</w:t>
            </w: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708,385</w:t>
            </w:r>
          </w:p>
        </w:tc>
      </w:tr>
      <w:tr>
        <w:trPr>
          <w:trHeight w:val="216"/>
        </w:trPr>
        <w:tc>
          <w:tcPr>
            <w:tcW w:w="95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35"/>
        </w:trPr>
        <w:tc>
          <w:tcPr>
            <w:tcW w:w="95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2020</w:t>
            </w: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942,791</w:t>
            </w:r>
          </w:p>
        </w:tc>
      </w:tr>
      <w:tr>
        <w:trPr>
          <w:trHeight w:val="20"/>
        </w:trPr>
        <w:tc>
          <w:tcPr>
            <w:tcW w:w="954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discussed in further detail in Note 2, the Company acquired Mobile Mini on July 1, 2020. The assignment of goodwill across the operating segments: NA Storage, UK Storage, and Tank and Pump (as defined in Note 17), associated with the Merger has not yet been completed. The Company expects to finalize the valuation of the acquired net assets of Mobile Mini within the one-year measurement period from the date of acquisition and will complete the assignment of the related acquired goodwill to its operating segments at that time. The Company expects any adjustments to goodwill for financial reporting to be non-deductible for income tax purposes.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no goodwill impairment during the nine months ended September 30, 2020 or the year ended December 31, 2019.</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considered the economic environment resulting from the COVID-19 pandemic as part of its review for indicators of potential impairment and reviewed qualitative information currently available in determining if it was more likely than not that the fair values of the Company’s reporting units were less than their carrying amounts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17" w:name="page18"/>
    <w:bookmarkEnd w:id="17"/>
    <w:p>
      <w:pPr>
        <w:jc w:val="both"/>
        <w:spacing w:after="0" w:line="264" w:lineRule="auto"/>
        <w:rPr>
          <w:sz w:val="20"/>
          <w:szCs w:val="20"/>
          <w:color w:val="auto"/>
        </w:rPr>
      </w:pPr>
      <w:r>
        <w:rPr>
          <w:rFonts w:ascii="Arial" w:cs="Arial" w:eastAsia="Arial" w:hAnsi="Arial"/>
          <w:sz w:val="16"/>
          <w:szCs w:val="16"/>
          <w:color w:val="auto"/>
        </w:rPr>
        <w:t>Based on the Company’s current long-term projections and the extent of fair value in excess of carrying value at the Company's October 1, 2019 annual impairment test date, management concluded that it is not more likely than not that the fair value of the Company's reporting units were less than their carrying amount during the three and nine months ended September 30, 2020 and there were no impairment indicators that would require an interim impairment test.</w:t>
      </w:r>
    </w:p>
    <w:p>
      <w:pPr>
        <w:spacing w:after="0" w:line="2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Due to the uncertain and rapidly evolving nature of the conditions surrounding the COVID-19 pandemic, changes in economic outlook may change our long-term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color w:val="1D2758"/>
        </w:rPr>
        <w:t>NOTE 8 - Intangibles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gridSpan w:val="5"/>
          </w:tcPr>
          <w:p>
            <w:pPr>
              <w:ind w:left="660"/>
              <w:spacing w:after="0"/>
              <w:rPr>
                <w:sz w:val="20"/>
                <w:szCs w:val="20"/>
                <w:color w:val="auto"/>
              </w:rPr>
            </w:pPr>
            <w:r>
              <w:rPr>
                <w:rFonts w:ascii="Arial" w:cs="Arial" w:eastAsia="Arial" w:hAnsi="Arial"/>
                <w:sz w:val="16"/>
                <w:szCs w:val="16"/>
                <w:color w:val="auto"/>
              </w:rPr>
              <w:t>Intangible assets other than goodwill at the respective balance sheet dates consisted of the following:</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50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6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1D2758"/>
          </w:tcPr>
          <w:p>
            <w:pPr>
              <w:spacing w:after="0"/>
              <w:rPr>
                <w:sz w:val="18"/>
                <w:szCs w:val="18"/>
                <w:color w:val="auto"/>
              </w:rPr>
            </w:pPr>
          </w:p>
        </w:tc>
        <w:tc>
          <w:tcPr>
            <w:tcW w:w="152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2980" w:type="dxa"/>
            <w:vAlign w:val="bottom"/>
            <w:gridSpan w:val="5"/>
            <w:shd w:val="clear" w:color="auto" w:fill="1D2758"/>
          </w:tcPr>
          <w:p>
            <w:pPr>
              <w:ind w:left="640"/>
              <w:spacing w:after="0"/>
              <w:rPr>
                <w:sz w:val="20"/>
                <w:szCs w:val="20"/>
                <w:color w:val="auto"/>
              </w:rPr>
            </w:pPr>
            <w:r>
              <w:rPr>
                <w:rFonts w:ascii="Arial" w:cs="Arial" w:eastAsia="Arial" w:hAnsi="Arial"/>
                <w:sz w:val="16"/>
                <w:szCs w:val="16"/>
                <w:b w:val="1"/>
                <w:bCs w:val="1"/>
                <w:color w:val="FFFFFF"/>
              </w:rPr>
              <w:t>September 30, 2020</w:t>
            </w:r>
          </w:p>
        </w:tc>
        <w:tc>
          <w:tcPr>
            <w:tcW w:w="14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1D2758"/>
          </w:tcPr>
          <w:p>
            <w:pPr>
              <w:spacing w:after="0"/>
              <w:rPr>
                <w:sz w:val="14"/>
                <w:szCs w:val="14"/>
                <w:color w:val="auto"/>
              </w:rPr>
            </w:pPr>
          </w:p>
        </w:tc>
        <w:tc>
          <w:tcPr>
            <w:tcW w:w="1420" w:type="dxa"/>
            <w:vAlign w:val="bottom"/>
            <w:gridSpan w:val="2"/>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1D2758"/>
          </w:tcPr>
          <w:p>
            <w:pPr>
              <w:spacing w:after="0"/>
              <w:rPr>
                <w:sz w:val="14"/>
                <w:szCs w:val="14"/>
                <w:color w:val="auto"/>
              </w:rPr>
            </w:pPr>
          </w:p>
        </w:tc>
        <w:tc>
          <w:tcPr>
            <w:tcW w:w="1400" w:type="dxa"/>
            <w:vAlign w:val="bottom"/>
            <w:gridSpan w:val="2"/>
            <w:shd w:val="clear" w:color="auto" w:fill="1D2758"/>
          </w:tcPr>
          <w:p>
            <w:pPr>
              <w:jc w:val="center"/>
              <w:ind w:right="260"/>
              <w:spacing w:after="0" w:line="162" w:lineRule="exact"/>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080" w:type="dxa"/>
            <w:vAlign w:val="bottom"/>
            <w:vMerge w:val="continue"/>
            <w:shd w:val="clear" w:color="auto" w:fill="1D2758"/>
          </w:tcPr>
          <w:p>
            <w:pPr>
              <w:spacing w:after="0"/>
              <w:rPr>
                <w:sz w:val="18"/>
                <w:szCs w:val="18"/>
                <w:color w:val="auto"/>
              </w:rPr>
            </w:pPr>
          </w:p>
        </w:tc>
        <w:tc>
          <w:tcPr>
            <w:tcW w:w="152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1D2758"/>
          </w:tcPr>
          <w:p>
            <w:pPr>
              <w:spacing w:after="0"/>
              <w:rPr>
                <w:sz w:val="18"/>
                <w:szCs w:val="18"/>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ind w:right="19"/>
              <w:spacing w:after="0"/>
              <w:rPr>
                <w:sz w:val="20"/>
                <w:szCs w:val="20"/>
                <w:color w:val="auto"/>
              </w:rPr>
            </w:pPr>
            <w:r>
              <w:rPr>
                <w:rFonts w:ascii="Arial" w:cs="Arial" w:eastAsia="Arial" w:hAnsi="Arial"/>
                <w:sz w:val="16"/>
                <w:szCs w:val="16"/>
                <w:color w:val="auto"/>
                <w:w w:val="98"/>
              </w:rPr>
              <w:t>0.9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29"/>
        </w:trPr>
        <w:tc>
          <w:tcPr>
            <w:tcW w:w="50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Mobile Mini customer relationship</w:t>
            </w:r>
          </w:p>
        </w:tc>
        <w:tc>
          <w:tcPr>
            <w:tcW w:w="1520" w:type="dxa"/>
            <w:vAlign w:val="bottom"/>
            <w:shd w:val="clear" w:color="auto" w:fill="E7E7E8"/>
          </w:tcPr>
          <w:p>
            <w:pPr>
              <w:jc w:val="center"/>
              <w:ind w:right="19"/>
              <w:spacing w:after="0"/>
              <w:rPr>
                <w:sz w:val="20"/>
                <w:szCs w:val="20"/>
                <w:color w:val="auto"/>
              </w:rPr>
            </w:pPr>
            <w:r>
              <w:rPr>
                <w:rFonts w:ascii="Arial" w:cs="Arial" w:eastAsia="Arial" w:hAnsi="Arial"/>
                <w:sz w:val="16"/>
                <w:szCs w:val="16"/>
                <w:color w:val="auto"/>
              </w:rPr>
              <w:t>13</w:t>
            </w: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263,000</w:t>
            </w:r>
          </w:p>
        </w:tc>
        <w:tc>
          <w:tcPr>
            <w:tcW w:w="1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257,942</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1520" w:type="dxa"/>
            <w:vAlign w:val="bottom"/>
          </w:tcPr>
          <w:p>
            <w:pPr>
              <w:jc w:val="center"/>
              <w:ind w:right="1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30"/>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6"/>
                <w:szCs w:val="16"/>
                <w:color w:val="auto"/>
              </w:rPr>
              <w:t>Trade name - Mobile Mini</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301,000</w:t>
            </w:r>
          </w:p>
        </w:tc>
        <w:tc>
          <w:tcPr>
            <w:tcW w:w="0" w:type="dxa"/>
            <w:vAlign w:val="bottom"/>
          </w:tcPr>
          <w:p>
            <w:pPr>
              <w:spacing w:after="0"/>
              <w:rPr>
                <w:sz w:val="1"/>
                <w:szCs w:val="1"/>
                <w:color w:val="auto"/>
              </w:rPr>
            </w:pPr>
          </w:p>
        </w:tc>
      </w:tr>
      <w:tr>
        <w:trPr>
          <w:trHeight w:val="229"/>
        </w:trPr>
        <w:tc>
          <w:tcPr>
            <w:tcW w:w="5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 - WillScot</w:t>
            </w:r>
          </w:p>
        </w:tc>
        <w:tc>
          <w:tcPr>
            <w:tcW w:w="15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693,550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686,303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1D2758"/>
          </w:tcPr>
          <w:p>
            <w:pPr>
              <w:spacing w:after="0"/>
              <w:rPr>
                <w:sz w:val="18"/>
                <w:szCs w:val="18"/>
                <w:color w:val="auto"/>
              </w:rPr>
            </w:pPr>
          </w:p>
        </w:tc>
        <w:tc>
          <w:tcPr>
            <w:tcW w:w="152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2980" w:type="dxa"/>
            <w:vAlign w:val="bottom"/>
            <w:gridSpan w:val="5"/>
            <w:shd w:val="clear" w:color="auto" w:fill="1D2758"/>
          </w:tcPr>
          <w:p>
            <w:pPr>
              <w:ind w:left="660"/>
              <w:spacing w:after="0"/>
              <w:rPr>
                <w:sz w:val="20"/>
                <w:szCs w:val="20"/>
                <w:color w:val="auto"/>
              </w:rPr>
            </w:pPr>
            <w:r>
              <w:rPr>
                <w:rFonts w:ascii="Arial" w:cs="Arial" w:eastAsia="Arial" w:hAnsi="Arial"/>
                <w:sz w:val="16"/>
                <w:szCs w:val="16"/>
                <w:b w:val="1"/>
                <w:bCs w:val="1"/>
                <w:color w:val="FFFFFF"/>
              </w:rPr>
              <w:t>December 31, 2019</w:t>
            </w:r>
          </w:p>
        </w:tc>
        <w:tc>
          <w:tcPr>
            <w:tcW w:w="14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1D2758"/>
          </w:tcPr>
          <w:p>
            <w:pPr>
              <w:spacing w:after="0"/>
              <w:rPr>
                <w:sz w:val="14"/>
                <w:szCs w:val="14"/>
                <w:color w:val="auto"/>
              </w:rPr>
            </w:pPr>
          </w:p>
        </w:tc>
        <w:tc>
          <w:tcPr>
            <w:tcW w:w="1420" w:type="dxa"/>
            <w:vAlign w:val="bottom"/>
            <w:gridSpan w:val="2"/>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1D2758"/>
          </w:tcPr>
          <w:p>
            <w:pPr>
              <w:spacing w:after="0"/>
              <w:rPr>
                <w:sz w:val="14"/>
                <w:szCs w:val="14"/>
                <w:color w:val="auto"/>
              </w:rPr>
            </w:pPr>
          </w:p>
        </w:tc>
        <w:tc>
          <w:tcPr>
            <w:tcW w:w="1400" w:type="dxa"/>
            <w:vAlign w:val="bottom"/>
            <w:gridSpan w:val="2"/>
            <w:shd w:val="clear" w:color="auto" w:fill="1D2758"/>
          </w:tcPr>
          <w:p>
            <w:pPr>
              <w:jc w:val="center"/>
              <w:ind w:right="260"/>
              <w:spacing w:after="0" w:line="162" w:lineRule="exact"/>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4"/>
                <w:szCs w:val="14"/>
                <w:color w:val="auto"/>
              </w:rPr>
            </w:pPr>
          </w:p>
        </w:tc>
        <w:tc>
          <w:tcPr>
            <w:tcW w:w="132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080" w:type="dxa"/>
            <w:vAlign w:val="bottom"/>
            <w:vMerge w:val="continue"/>
            <w:shd w:val="clear" w:color="auto" w:fill="1D2758"/>
          </w:tcPr>
          <w:p>
            <w:pPr>
              <w:spacing w:after="0"/>
              <w:rPr>
                <w:sz w:val="18"/>
                <w:szCs w:val="18"/>
                <w:color w:val="auto"/>
              </w:rPr>
            </w:pPr>
          </w:p>
        </w:tc>
        <w:tc>
          <w:tcPr>
            <w:tcW w:w="152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1D2758"/>
          </w:tcPr>
          <w:p>
            <w:pPr>
              <w:spacing w:after="0"/>
              <w:rPr>
                <w:sz w:val="18"/>
                <w:szCs w:val="18"/>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ind w:right="19"/>
              <w:spacing w:after="0"/>
              <w:rPr>
                <w:sz w:val="20"/>
                <w:szCs w:val="20"/>
                <w:color w:val="auto"/>
              </w:rPr>
            </w:pPr>
            <w:r>
              <w:rPr>
                <w:rFonts w:ascii="Arial" w:cs="Arial" w:eastAsia="Arial" w:hAnsi="Arial"/>
                <w:sz w:val="16"/>
                <w:szCs w:val="16"/>
                <w:color w:val="auto"/>
                <w:w w:val="98"/>
              </w:rPr>
              <w:t>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6"/>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6"/>
                <w:szCs w:val="16"/>
                <w:color w:val="auto"/>
              </w:rPr>
              <w:t>Trade name - WillScot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34"/>
        </w:trPr>
        <w:tc>
          <w:tcPr>
            <w:tcW w:w="508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Borders>
              <w:top w:val="single" w:sz="8" w:color="E7E7E8"/>
              <w:bottom w:val="single" w:sz="8" w:color="E7E7E8"/>
            </w:tcBorders>
            <w:shd w:val="clear" w:color="auto" w:fill="E7E7E8"/>
          </w:tcPr>
          <w:p>
            <w:pPr>
              <w:spacing w:after="0"/>
              <w:rPr>
                <w:sz w:val="19"/>
                <w:szCs w:val="19"/>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128,000</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126,625</w:t>
            </w:r>
          </w:p>
        </w:tc>
        <w:tc>
          <w:tcPr>
            <w:tcW w:w="0" w:type="dxa"/>
            <w:vAlign w:val="bottom"/>
          </w:tcPr>
          <w:p>
            <w:pPr>
              <w:spacing w:after="0"/>
              <w:rPr>
                <w:sz w:val="1"/>
                <w:szCs w:val="1"/>
                <w:color w:val="auto"/>
              </w:rPr>
            </w:pPr>
          </w:p>
        </w:tc>
      </w:tr>
      <w:tr>
        <w:trPr>
          <w:trHeight w:val="20"/>
        </w:trPr>
        <w:tc>
          <w:tcPr>
            <w:tcW w:w="5080" w:type="dxa"/>
            <w:vAlign w:val="bottom"/>
            <w:tcBorders>
              <w:top w:val="single" w:sz="8" w:color="E7E7E8"/>
            </w:tcBorders>
          </w:tcPr>
          <w:p>
            <w:pPr>
              <w:spacing w:after="0" w:line="20" w:lineRule="exact"/>
              <w:rPr>
                <w:sz w:val="1"/>
                <w:szCs w:val="1"/>
                <w:color w:val="auto"/>
              </w:rPr>
            </w:pPr>
          </w:p>
        </w:tc>
        <w:tc>
          <w:tcPr>
            <w:tcW w:w="15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carrying value at September 30, 2020, future amortization of intangible assets is expected to be as follows for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 (remaining)</w:t>
            </w: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5,372</w:t>
            </w:r>
          </w:p>
        </w:tc>
      </w:tr>
      <w:tr>
        <w:trPr>
          <w:trHeight w:val="216"/>
        </w:trPr>
        <w:tc>
          <w:tcPr>
            <w:tcW w:w="9440" w:type="dxa"/>
            <w:vAlign w:val="bottom"/>
          </w:tcPr>
          <w:p>
            <w:pPr>
              <w:ind w:left="20"/>
              <w:spacing w:after="0"/>
              <w:rPr>
                <w:sz w:val="20"/>
                <w:szCs w:val="20"/>
                <w:color w:val="auto"/>
              </w:rPr>
            </w:pPr>
            <w:r>
              <w:rPr>
                <w:rFonts w:ascii="Arial" w:cs="Arial" w:eastAsia="Arial" w:hAnsi="Arial"/>
                <w:sz w:val="16"/>
                <w:szCs w:val="16"/>
                <w:color w:val="auto"/>
              </w:rPr>
              <w:t>2021</w:t>
            </w: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21,114</w:t>
            </w:r>
          </w:p>
        </w:tc>
      </w:tr>
      <w:tr>
        <w:trPr>
          <w:trHeight w:val="216"/>
        </w:trPr>
        <w:tc>
          <w:tcPr>
            <w:tcW w:w="9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62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20,489</w:t>
            </w:r>
          </w:p>
        </w:tc>
      </w:tr>
      <w:tr>
        <w:trPr>
          <w:trHeight w:val="216"/>
        </w:trPr>
        <w:tc>
          <w:tcPr>
            <w:tcW w:w="9440" w:type="dxa"/>
            <w:vAlign w:val="bottom"/>
          </w:tcPr>
          <w:p>
            <w:pPr>
              <w:ind w:left="20"/>
              <w:spacing w:after="0"/>
              <w:rPr>
                <w:sz w:val="20"/>
                <w:szCs w:val="20"/>
                <w:color w:val="auto"/>
              </w:rPr>
            </w:pPr>
            <w:r>
              <w:rPr>
                <w:rFonts w:ascii="Arial" w:cs="Arial" w:eastAsia="Arial" w:hAnsi="Arial"/>
                <w:sz w:val="16"/>
                <w:szCs w:val="16"/>
                <w:color w:val="auto"/>
              </w:rPr>
              <w:t>2023</w:t>
            </w: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20,489</w:t>
            </w:r>
          </w:p>
        </w:tc>
      </w:tr>
      <w:tr>
        <w:trPr>
          <w:trHeight w:val="216"/>
        </w:trPr>
        <w:tc>
          <w:tcPr>
            <w:tcW w:w="9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62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20,489</w:t>
            </w:r>
          </w:p>
        </w:tc>
      </w:tr>
      <w:tr>
        <w:trPr>
          <w:trHeight w:val="216"/>
        </w:trPr>
        <w:tc>
          <w:tcPr>
            <w:tcW w:w="94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172,350</w:t>
            </w:r>
          </w:p>
        </w:tc>
      </w:tr>
      <w:tr>
        <w:trPr>
          <w:trHeight w:val="235"/>
        </w:trPr>
        <w:tc>
          <w:tcPr>
            <w:tcW w:w="944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260,303</w:t>
            </w:r>
          </w:p>
        </w:tc>
      </w:tr>
      <w:tr>
        <w:trPr>
          <w:trHeight w:val="20"/>
        </w:trPr>
        <w:tc>
          <w:tcPr>
            <w:tcW w:w="9440" w:type="dxa"/>
            <w:vAlign w:val="bottom"/>
            <w:tcBorders>
              <w:top w:val="single" w:sz="8" w:color="E7E7E8"/>
            </w:tcBorders>
          </w:tcPr>
          <w:p>
            <w:pPr>
              <w:spacing w:after="0" w:line="20" w:lineRule="exact"/>
              <w:rPr>
                <w:sz w:val="1"/>
                <w:szCs w:val="1"/>
                <w:color w:val="auto"/>
              </w:rPr>
            </w:pPr>
          </w:p>
        </w:tc>
        <w:tc>
          <w:tcPr>
            <w:tcW w:w="62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assignment of acquired intangibles in the Merger across the operating segments: NA Storage, UK Storage, and Tank and Pump (as defined in Note 17), has not yet been completed. The Company has preliminarily included $301.0 million to indefinite-lived intangible assets and $259.4 million of intangibles subject to amortization, related to Mobile Mini customer relationships and technology, in the NA Storage segment. The Company expects any adjustments to intangible assets for financial reporting to be non-deductible for income tax purposes and for which deferred tax liabilities for the basis difference between financial reporting and tax to be established. The numbers reflected above are preliminary and the Company expects to finalize the valuation of the acquired net assets of Mobile Mini, including the related intangible assets, within the one-year measurement period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19" w:name="page20"/>
    <w:bookmarkEnd w:id="19"/>
    <w:p>
      <w:pPr>
        <w:spacing w:after="0"/>
        <w:rPr>
          <w:sz w:val="20"/>
          <w:szCs w:val="20"/>
          <w:color w:val="auto"/>
        </w:rPr>
      </w:pPr>
      <w:r>
        <w:rPr>
          <w:rFonts w:ascii="Arial" w:cs="Arial" w:eastAsia="Arial" w:hAnsi="Arial"/>
          <w:sz w:val="23"/>
          <w:szCs w:val="23"/>
          <w:color w:val="1D2758"/>
        </w:rPr>
        <w:t>NOTE 9 - Debt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40" w:type="dxa"/>
            <w:vAlign w:val="bottom"/>
            <w:gridSpan w:val="4"/>
          </w:tcPr>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70"/>
        </w:trPr>
        <w:tc>
          <w:tcPr>
            <w:tcW w:w="3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16"/>
        </w:trPr>
        <w:tc>
          <w:tcPr>
            <w:tcW w:w="3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080" w:type="dxa"/>
            <w:vAlign w:val="bottom"/>
            <w:shd w:val="clear" w:color="auto" w:fill="1D2758"/>
          </w:tcPr>
          <w:p>
            <w:pPr>
              <w:jc w:val="center"/>
              <w:ind w:left="359"/>
              <w:spacing w:after="0"/>
              <w:rPr>
                <w:sz w:val="20"/>
                <w:szCs w:val="20"/>
                <w:color w:val="auto"/>
              </w:rPr>
            </w:pPr>
            <w:r>
              <w:rPr>
                <w:rFonts w:ascii="Arial" w:cs="Arial" w:eastAsia="Arial" w:hAnsi="Arial"/>
                <w:sz w:val="16"/>
                <w:szCs w:val="16"/>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1800" w:type="dxa"/>
            <w:vAlign w:val="bottom"/>
            <w:gridSpan w:val="3"/>
            <w:shd w:val="clear" w:color="auto" w:fill="1D2758"/>
          </w:tcPr>
          <w:p>
            <w:pPr>
              <w:ind w:left="100"/>
              <w:spacing w:after="0"/>
              <w:rPr>
                <w:sz w:val="20"/>
                <w:szCs w:val="20"/>
                <w:color w:val="auto"/>
              </w:rPr>
            </w:pPr>
            <w:r>
              <w:rPr>
                <w:rFonts w:ascii="Arial" w:cs="Arial" w:eastAsia="Arial" w:hAnsi="Arial"/>
                <w:sz w:val="16"/>
                <w:szCs w:val="16"/>
                <w:b w:val="1"/>
                <w:bCs w:val="1"/>
                <w:color w:val="FFFFFF"/>
              </w:rPr>
              <w:t>September 30, 2020</w:t>
            </w: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208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rPr>
              <w:t>7.875%</w:t>
            </w:r>
          </w:p>
        </w:tc>
        <w:tc>
          <w:tcPr>
            <w:tcW w:w="190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264,576</w:t>
            </w: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2080" w:type="dxa"/>
            <w:vAlign w:val="bottom"/>
          </w:tcPr>
          <w:p>
            <w:pPr>
              <w:jc w:val="center"/>
              <w:ind w:left="359"/>
              <w:spacing w:after="0"/>
              <w:rPr>
                <w:sz w:val="20"/>
                <w:szCs w:val="20"/>
                <w:color w:val="auto"/>
              </w:rPr>
            </w:pPr>
            <w:r>
              <w:rPr>
                <w:rFonts w:ascii="Arial" w:cs="Arial" w:eastAsia="Arial" w:hAnsi="Arial"/>
                <w:sz w:val="16"/>
                <w:szCs w:val="16"/>
                <w:color w:val="auto"/>
              </w:rPr>
              <w:t>6.875%</w:t>
            </w:r>
          </w:p>
        </w:tc>
        <w:tc>
          <w:tcPr>
            <w:tcW w:w="1900" w:type="dxa"/>
            <w:vAlign w:val="bottom"/>
          </w:tcPr>
          <w:p>
            <w:pPr>
              <w:jc w:val="center"/>
              <w:spacing w:after="0"/>
              <w:rPr>
                <w:sz w:val="20"/>
                <w:szCs w:val="20"/>
                <w:color w:val="auto"/>
              </w:rPr>
            </w:pPr>
            <w:r>
              <w:rPr>
                <w:rFonts w:ascii="Arial" w:cs="Arial" w:eastAsia="Arial" w:hAnsi="Arial"/>
                <w:sz w:val="16"/>
                <w:szCs w:val="16"/>
                <w:color w:val="auto"/>
              </w:rPr>
              <w:t>2023</w:t>
            </w:r>
          </w:p>
        </w:tc>
        <w:tc>
          <w:tcPr>
            <w:tcW w:w="6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482,768</w:t>
            </w: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 Secured Notes</w:t>
            </w:r>
          </w:p>
        </w:tc>
        <w:tc>
          <w:tcPr>
            <w:tcW w:w="208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rPr>
              <w:t>6.125%</w:t>
            </w:r>
          </w:p>
        </w:tc>
        <w:tc>
          <w:tcPr>
            <w:tcW w:w="190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2025</w:t>
            </w: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636,450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ABL Facility</w:t>
            </w:r>
          </w:p>
        </w:tc>
        <w:tc>
          <w:tcPr>
            <w:tcW w:w="2080" w:type="dxa"/>
            <w:vAlign w:val="bottom"/>
          </w:tcPr>
          <w:p>
            <w:pPr>
              <w:jc w:val="center"/>
              <w:ind w:left="359"/>
              <w:spacing w:after="0"/>
              <w:rPr>
                <w:sz w:val="20"/>
                <w:szCs w:val="20"/>
                <w:color w:val="auto"/>
              </w:rPr>
            </w:pPr>
            <w:r>
              <w:rPr>
                <w:rFonts w:ascii="Arial" w:cs="Arial" w:eastAsia="Arial" w:hAnsi="Arial"/>
                <w:sz w:val="16"/>
                <w:szCs w:val="16"/>
                <w:color w:val="auto"/>
                <w:w w:val="96"/>
              </w:rPr>
              <w:t>Varies</w:t>
            </w:r>
          </w:p>
        </w:tc>
        <w:tc>
          <w:tcPr>
            <w:tcW w:w="1900" w:type="dxa"/>
            <w:vAlign w:val="bottom"/>
          </w:tcPr>
          <w:p>
            <w:pPr>
              <w:jc w:val="center"/>
              <w:spacing w:after="0"/>
              <w:rPr>
                <w:sz w:val="20"/>
                <w:szCs w:val="20"/>
                <w:color w:val="auto"/>
              </w:rPr>
            </w:pPr>
            <w:r>
              <w:rPr>
                <w:rFonts w:ascii="Arial" w:cs="Arial" w:eastAsia="Arial" w:hAnsi="Arial"/>
                <w:sz w:val="16"/>
                <w:szCs w:val="16"/>
                <w:color w:val="auto"/>
              </w:rPr>
              <w:t>2025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1,307,295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885,245</w:t>
            </w: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2028 Secured Notes</w:t>
            </w:r>
          </w:p>
        </w:tc>
        <w:tc>
          <w:tcPr>
            <w:tcW w:w="208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rPr>
              <w:t>4.625%</w:t>
            </w:r>
          </w:p>
        </w:tc>
        <w:tc>
          <w:tcPr>
            <w:tcW w:w="190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2028</w:t>
            </w: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491,329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Finance Leases</w:t>
            </w:r>
          </w:p>
        </w:tc>
        <w:tc>
          <w:tcPr>
            <w:tcW w:w="2080" w:type="dxa"/>
            <w:vAlign w:val="bottom"/>
            <w:tcBorders>
              <w:bottom w:val="single" w:sz="8" w:color="E7E7E8"/>
            </w:tcBorders>
          </w:tcPr>
          <w:p>
            <w:pPr>
              <w:jc w:val="center"/>
              <w:ind w:left="359"/>
              <w:spacing w:after="0"/>
              <w:rPr>
                <w:sz w:val="20"/>
                <w:szCs w:val="20"/>
                <w:color w:val="auto"/>
              </w:rPr>
            </w:pPr>
            <w:r>
              <w:rPr>
                <w:rFonts w:ascii="Arial" w:cs="Arial" w:eastAsia="Arial" w:hAnsi="Arial"/>
                <w:sz w:val="16"/>
                <w:szCs w:val="16"/>
                <w:color w:val="auto"/>
                <w:w w:val="96"/>
              </w:rPr>
              <w:t>Varies</w:t>
            </w:r>
          </w:p>
        </w:tc>
        <w:tc>
          <w:tcPr>
            <w:tcW w:w="1900" w:type="dxa"/>
            <w:vAlign w:val="bottom"/>
            <w:tcBorders>
              <w:bottom w:val="single" w:sz="8" w:color="E7E7E8"/>
            </w:tcBorders>
          </w:tcPr>
          <w:p>
            <w:pPr>
              <w:jc w:val="center"/>
              <w:spacing w:after="0"/>
              <w:rPr>
                <w:sz w:val="20"/>
                <w:szCs w:val="20"/>
                <w:color w:val="auto"/>
              </w:rPr>
            </w:pPr>
            <w:r>
              <w:rPr>
                <w:rFonts w:ascii="Arial" w:cs="Arial" w:eastAsia="Arial" w:hAnsi="Arial"/>
                <w:sz w:val="16"/>
                <w:szCs w:val="16"/>
                <w:color w:val="auto"/>
                <w:w w:val="96"/>
              </w:rPr>
              <w:t>Varies</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80,005</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2080" w:type="dxa"/>
            <w:vAlign w:val="bottom"/>
            <w:shd w:val="clear" w:color="auto" w:fill="E7E7E8"/>
          </w:tcPr>
          <w:p>
            <w:pPr>
              <w:spacing w:after="0"/>
              <w:rPr>
                <w:sz w:val="18"/>
                <w:szCs w:val="18"/>
                <w:color w:val="auto"/>
              </w:rPr>
            </w:pPr>
          </w:p>
        </w:tc>
        <w:tc>
          <w:tcPr>
            <w:tcW w:w="19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2,515,079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1,632,589</w:t>
            </w:r>
          </w:p>
        </w:tc>
      </w:tr>
      <w:tr>
        <w:trPr>
          <w:trHeight w:val="216"/>
        </w:trPr>
        <w:tc>
          <w:tcPr>
            <w:tcW w:w="3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current portion of long-term debt</w:t>
            </w:r>
          </w:p>
        </w:tc>
        <w:tc>
          <w:tcPr>
            <w:tcW w:w="2080" w:type="dxa"/>
            <w:vAlign w:val="bottom"/>
            <w:tcBorders>
              <w:bottom w:val="single" w:sz="8" w:color="E7E7E8"/>
            </w:tcBorders>
          </w:tcPr>
          <w:p>
            <w:pPr>
              <w:spacing w:after="0"/>
              <w:rPr>
                <w:sz w:val="18"/>
                <w:szCs w:val="18"/>
                <w:color w:val="auto"/>
              </w:rPr>
            </w:pPr>
          </w:p>
        </w:tc>
        <w:tc>
          <w:tcPr>
            <w:tcW w:w="1900" w:type="dxa"/>
            <w:vAlign w:val="bottom"/>
            <w:tcBorders>
              <w:bottom w:val="single" w:sz="8" w:color="E7E7E8"/>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16,872</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37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long-term debt</w:t>
            </w:r>
          </w:p>
        </w:tc>
        <w:tc>
          <w:tcPr>
            <w:tcW w:w="2080" w:type="dxa"/>
            <w:vAlign w:val="bottom"/>
            <w:tcBorders>
              <w:bottom w:val="single" w:sz="8" w:color="E7E7E8"/>
            </w:tcBorders>
            <w:shd w:val="clear" w:color="auto" w:fill="E7E7E8"/>
          </w:tcPr>
          <w:p>
            <w:pPr>
              <w:spacing w:after="0"/>
              <w:rPr>
                <w:sz w:val="19"/>
                <w:szCs w:val="19"/>
                <w:color w:val="auto"/>
              </w:rPr>
            </w:pPr>
          </w:p>
        </w:tc>
        <w:tc>
          <w:tcPr>
            <w:tcW w:w="1900" w:type="dxa"/>
            <w:vAlign w:val="bottom"/>
            <w:tcBorders>
              <w:bottom w:val="single" w:sz="8" w:color="E7E7E8"/>
            </w:tcBorders>
            <w:shd w:val="clear" w:color="auto" w:fill="E7E7E8"/>
          </w:tcPr>
          <w:p>
            <w:pPr>
              <w:spacing w:after="0"/>
              <w:rPr>
                <w:sz w:val="19"/>
                <w:szCs w:val="19"/>
                <w:color w:val="auto"/>
              </w:rPr>
            </w:pPr>
          </w:p>
        </w:tc>
        <w:tc>
          <w:tcPr>
            <w:tcW w:w="60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2,498,207</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1,632,589</w:t>
            </w:r>
          </w:p>
        </w:tc>
      </w:tr>
      <w:tr>
        <w:trPr>
          <w:trHeight w:val="20"/>
        </w:trPr>
        <w:tc>
          <w:tcPr>
            <w:tcW w:w="3760" w:type="dxa"/>
            <w:vAlign w:val="bottom"/>
            <w:tcBorders>
              <w:top w:val="single" w:sz="8" w:color="E7E7E8"/>
            </w:tcBorders>
          </w:tcPr>
          <w:p>
            <w:pPr>
              <w:spacing w:after="0" w:line="20" w:lineRule="exact"/>
              <w:rPr>
                <w:sz w:val="1"/>
                <w:szCs w:val="1"/>
                <w:color w:val="auto"/>
              </w:rPr>
            </w:pPr>
          </w:p>
        </w:tc>
        <w:tc>
          <w:tcPr>
            <w:tcW w:w="2080" w:type="dxa"/>
            <w:vAlign w:val="bottom"/>
            <w:tcBorders>
              <w:top w:val="single" w:sz="8" w:color="E7E7E8"/>
            </w:tcBorders>
          </w:tcPr>
          <w:p>
            <w:pPr>
              <w:spacing w:after="0" w:line="20" w:lineRule="exact"/>
              <w:rPr>
                <w:sz w:val="1"/>
                <w:szCs w:val="1"/>
                <w:color w:val="auto"/>
              </w:rPr>
            </w:pPr>
          </w:p>
        </w:tc>
        <w:tc>
          <w:tcPr>
            <w:tcW w:w="1900" w:type="dxa"/>
            <w:vAlign w:val="bottom"/>
            <w:tcBorders>
              <w:top w:val="single" w:sz="8" w:color="E7E7E8"/>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60" w:firstLine="648"/>
        <w:spacing w:after="0" w:line="274" w:lineRule="auto"/>
        <w:rPr>
          <w:sz w:val="20"/>
          <w:szCs w:val="20"/>
          <w:color w:val="auto"/>
        </w:rPr>
      </w:pPr>
      <w:r>
        <w:rPr>
          <w:rFonts w:ascii="Arial" w:cs="Arial" w:eastAsia="Arial" w:hAnsi="Arial"/>
          <w:sz w:val="16"/>
          <w:szCs w:val="16"/>
          <w:color w:val="auto"/>
        </w:rPr>
        <w:t>The Company is subject to various covenants and restrictions. The Company was in compliance with all covenants related to debt as of September 30, 2020 and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Backed Lending Facilities ("ABL Facility")</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2017 ABL Facility consisted of (i) a $1.285 billion asset-backed revolving credit facility for WSII and certain of its domestic subsidiaries, (ii) a $140.0 million asset-based revolving credit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w:t>
      </w:r>
    </w:p>
    <w:p>
      <w:pPr>
        <w:spacing w:after="0" w:line="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Borrowing availability under the 2017 ABL Facility was equal to the lesser of $1.425 billion and the applicable borrowing bases. The borrowing bases were a function of, among other things, the value of the assets in the relevant collateral pool.</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United Kingdom. On July 1, 2020, in connection with the completion of the Merger, approximately $1.47 billion of proceeds from the 2020 ABL Facility were used to repay the 2017 ABL Facility and the asset-backed lending facility assumed in the transaction with Mobile Mini, as well as to pay fees and expenses related to the Merger and the debt refinancing transactions. The 2020 ABL Facility matures July 1, 2025. 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Borrowing availability under the US Facility and the Multicurrency Facility is equal to the lesser of (i) the aggregate Revolver Commitments and (ii) the aggregate Borrowing Base ("Line Cap"). At September 30, 2020, the Line Cap was $2.4 billion and the Borrowers had $1.04 billion of available borrowing capacity under the 2020 ABL Facility, including $636.9 million under the US Facility and $400.0 million under the Multicurrency Facility.</w:t>
      </w:r>
    </w:p>
    <w:p>
      <w:pPr>
        <w:spacing w:after="0" w:line="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At September 30, 2020, the weighted average interest rate for borrowings under the 2020 ABL Facility was 2.05%. The weighted average interest rate on the balance outstanding, as adjusted for the effects of the interest rate swap agreements was 2.91%. Refer to Note 15 for a more detailed discussion on interest rate management.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6"/>
          <w:szCs w:val="16"/>
          <w:color w:val="auto"/>
        </w:rPr>
        <w:t>the Borrowers had $1.04 billion of available borrowing capacity under the 2020 ABL Facility. At December 31, 2019, the Borrowers had $509.1 million of available borrowing capacity under the 2017 ABL Facility. The Company had issued $12.8 million of standby letters of credit under the 2020 ABL Facility at September 30, 2020 and $10.4 million under the 2017 ABL Facility at December 31, 2019. At September 30, 2020, letters of credit and guarantees carried fees of 2.00%. Unamortized debt issuance costs of $43.0 million are included in the carrying value of the 2020 ABL Facility at September 30, 2020. Unamortized debt issuance costs of $17.8 million are included in the carrying value of the 2017 ABL Facility at December 31, 2019. In connection with the repayment of the 2017 ABL Facility, the Company wrote off $4.4 million of deferred financing fees to loss on extinguishment of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WSII had $270.0 million aggregate principal amount of 7.875% senior secured notes due December 15, 2022 (the “2022 Secured Notes”).</w:t>
      </w:r>
    </w:p>
    <w:p>
      <w:pPr>
        <w:spacing w:after="0" w:line="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connection with the Merger and related refinancing transactions in the third quarter of 2020, using proceeds from the 2025 Secured Notes discussed below, the Company redeemed all of its 2022 Secured Notes and recorded a loss on extinguishment of debt in the condensed consolidated statements of operations of $15.2 million comprised of a redemption premium of $10.6 million and write off of unamortized deferred financing fees of $4.6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12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WSII had $490.0 million of 6.875% senior secured notes due August 15, 2023 (the “2023 Secured Notes”). On August 11, 2020, WSII redeemed 10% of the outstanding principal amount of the 2023 Secured Notes, $49.0 million, at a redemption price of 103.0% plus accrued and unpaid interest. This repayment was funded by borrowings under the Company’s ABL Facility.</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25, 2020, the Company completed a private offering of its 2028 Secured Notes, discussed below, and used the offering proceeds to repay, along with expenses, the $441.0 million outstanding principal amount of its 2023 Secured Notes at a redemption price of 103.438% plus accrued and unpaid interest. The Company recorded a loss on extinguishment of debt in the condensed consolidated statements of operations of $22.7 million comprised of a redemption premium of $16.6 million and write off of unamortized deferred financing fees of $6.1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Secured Notes</w:t>
      </w:r>
    </w:p>
    <w:p>
      <w:pPr>
        <w:spacing w:after="0" w:line="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The 2025 Secured Notes contained provisions requiring repayment, without penalty, in the event the Merger was not consummated. The offering proceeds from the 2025 Secured Notes of $650.0 million and $5.1 million of interest due through August 1, 2020 were deposited into an escrow account, pending the closing of the Merger. In connection with completion of the Merger on July 1, 2020, the offering proceeds were released and the proceeds were used to repay the 2022 Secured Notes, repay Mobile Mini senior notes assumed in the acquisition and pay certain fees and expenses related to the Merger and financing transactions. In addition, Finance Sub was merged into WSII on July 1, 2020. The Company recorded $14.3 million in deferred financing fees related to the 2025 Secured Notes.</w:t>
      </w:r>
    </w:p>
    <w:p>
      <w:pPr>
        <w:spacing w:after="0" w:line="2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2025 Secured Notes mature on June 15, 2025 and bear interest at a rate of 6.125% per annum. Interest is payable semi-annually on June 15 and December 15 of each year, beginning December 15, 2020.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deferred financing costs pertaining to the 2025 Secured Notes were $13.6 million as of September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2028 Senior Secured Notes</w:t>
      </w:r>
    </w:p>
    <w:p>
      <w:pPr>
        <w:spacing w:after="0" w:line="5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On August 25, 2020, the Company, completed a private offering of $500.0 million in aggregate principal amount of 4.625% senior secured notes due 2028 (the “2028 Secured Notes”).</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2028 Secured Notes mature on August 15, 2028. They bear interest at a rate of 4.625% per annum. Interest is payable semi-annually on August 15 and February 15 of each year, beginning February 25, 2021. Unamortized deferred financing cost pertaining to the 2028 Secured Notes were $8.7 million as of September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Company maintains finance leases primarily related to transportation equipment. At September 30, 2020, obligations under finance leases for certain real property and transportation related equipment were $80.0 million. See footnote 4 -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Mobile Mini Debt</w:t>
      </w:r>
    </w:p>
    <w:p>
      <w:pPr>
        <w:spacing w:after="0" w:line="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Mobile Mini had $250.0 million in aggregate principal amount of 5.875% senior notes outstanding prior to the Merger. Interest was payable semi-annually on January 1 and July 1. In connection with the Merger, these notes were assumed by WillScot Mobile Mini and subsequently redeemed using proceeds from the 2025 Secured Notes discussed above.</w:t>
      </w:r>
    </w:p>
    <w:p>
      <w:pPr>
        <w:spacing w:after="0" w:line="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Mobile Mini had a $1 billion first lien senior secured revolving credit facility. At June 30, 2020, Mobile Mini had $563.2 million of outstanding principal on the credit facility. In connection with the Merger, this line of credit was assumed by WillScot Mobile Mini and subsequently repaid in full using proceeds from the 2020 ABL Facility discussed above.</w:t>
      </w: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color w:val="1D2758"/>
        </w:rPr>
        <w:t>NOTE 10 – Equity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Common Stock</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June 30, 2020, as contemplated by the Merger Agreement, and pursuant to the terms of an exercise notice delivered by Sapphire Holding S.à r.l. ("Sapphire Holdings"), an affiliate of TDR Capital LLP (“TDR Capital”), to WillScot, Sapphire Holdings exchanged each of its shares of Common Stock, par value $0.0001 per share, of Holdings, pursuant to that certain existing exchange agreement, between WillScot and Sapphire Holdings, for 1.3261 shares of newly issued Common Stock of WillScot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Holdings became a wholly-owned subsidiary of WillScot. Sapphire Holdings received 10,641,182 shares of Common Stock of WillScot in the Sapphire Exchange (the “Exchange Shares”).</w:t>
      </w:r>
    </w:p>
    <w:p>
      <w:pPr>
        <w:spacing w:after="0" w:line="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Prior to the Sapphire Exchange, Sapphire Holdings' ownership of Holdings was recorded as a non-controlling interest in the condensed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condensed consolidated balance sheet.</w:t>
      </w:r>
    </w:p>
    <w:p>
      <w:pPr>
        <w:spacing w:after="0" w:line="1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In connection with the Sapphire Exchange, stock compensation vesting events and stock option exercises described in Note 14, and the warrant exercises described below, the Company issued 12,735,352 shares of Common Stock during the nine months ended September 30, 2020.</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connection with the Merger on July 1, 2020, the Company issued 106,426,721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$0.0001 per share, of WillScot Mobile Mini.</w:t>
      </w:r>
    </w:p>
    <w:p>
      <w:pPr>
        <w:spacing w:after="0" w:line="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7, 2020, the Company's Board of Directors approved a stock repurchase program that authorizes the Company to repurchase up to $250 million of its outstanding shares of Common Stock. The stock repurchase program does not obligate the Company to purchase any particular number of shares, and the timing and exact amount of any repurchases will depend on various factors, including market pricing and conditions, business, legal, accounting, and other considerations. No Common Stock was repurchased during the third quarter of 2020.</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is conducted subject to the covenants in the agreements governing our indebtedness.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Warrants</w:t>
      </w:r>
    </w:p>
    <w:p>
      <w:pPr>
        <w:spacing w:after="0" w:line="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24, 2020, the Company delivered a notice (the “Redemption Notice”) to redeem all of its outstanding warrants to purchase the Company’s Class A Common Stock, which were issued under the warrant agreement, dated September 10, 2015, by and between Double Eagle and Continental Stock Transfer &amp; Trust Company, as warrant agent (the “Warrant Agreement”), as part of the units sold in Double Eagle's initial public offering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issued 398,305 shares of the Company's Class A Common Stock. After January 24, 2020 through February 24, 2020, 5,836,048 warrants were exercised on a cashless basis. An aggregate of 1,097,162 shares of the Company's Class A Common Stock was issued in connection with these exercises. Thereafter, the Company completed the redemption of 38,509 remaining warrants under the Redemption Notice for $0.01 per warrant.</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September 30, 2020, the Company has 9,782,106 warrants each exercisable for one share with an exercise price of $15.50 and 17,561,700 warrants exercisable for one half share with an exercise price of $5.75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("AOCL"), net of tax, for the nine months ended September 30, 2020 and 2019 were 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780" w:type="dxa"/>
            <w:vAlign w:val="bottom"/>
            <w:gridSpan w:val="3"/>
            <w:shd w:val="clear" w:color="auto" w:fill="1D2758"/>
          </w:tcPr>
          <w:p>
            <w:pPr>
              <w:ind w:left="2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80" w:type="dxa"/>
            <w:vAlign w:val="bottom"/>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4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translation</w:t>
            </w:r>
          </w:p>
        </w:tc>
        <w:tc>
          <w:tcPr>
            <w:tcW w:w="120" w:type="dxa"/>
            <w:vAlign w:val="bottom"/>
            <w:shd w:val="clear" w:color="auto" w:fill="1D2758"/>
          </w:tcPr>
          <w:p>
            <w:pPr>
              <w:spacing w:after="0"/>
              <w:rPr>
                <w:sz w:val="18"/>
                <w:szCs w:val="18"/>
                <w:color w:val="auto"/>
              </w:rPr>
            </w:pPr>
          </w:p>
        </w:tc>
        <w:tc>
          <w:tcPr>
            <w:tcW w:w="166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2019</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(52,982)</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(9,793)</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(62,775)</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(10,330)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(31,474)</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60" w:type="dxa"/>
            <w:vAlign w:val="bottom"/>
            <w:shd w:val="clear" w:color="auto" w:fill="E7E7E8"/>
          </w:tcPr>
          <w:p>
            <w:pPr>
              <w:spacing w:after="0"/>
              <w:rPr>
                <w:sz w:val="18"/>
                <w:szCs w:val="18"/>
                <w:color w:val="auto"/>
              </w:rPr>
            </w:pPr>
          </w:p>
        </w:tc>
        <w:tc>
          <w:tcPr>
            <w:tcW w:w="16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09"/>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2020</w:t>
            </w:r>
          </w:p>
        </w:tc>
        <w:tc>
          <w:tcPr>
            <w:tcW w:w="160" w:type="dxa"/>
            <w:vAlign w:val="bottom"/>
            <w:shd w:val="clear" w:color="auto" w:fill="E7E7E8"/>
          </w:tcPr>
          <w:p>
            <w:pPr>
              <w:spacing w:after="0"/>
              <w:rPr>
                <w:sz w:val="18"/>
                <w:szCs w:val="18"/>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(72,213)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(17,761)</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(89,974)</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60" w:type="dxa"/>
            <w:vAlign w:val="bottom"/>
            <w:shd w:val="clear" w:color="auto" w:fill="E7E7E8"/>
          </w:tcPr>
          <w:p>
            <w:pPr>
              <w:spacing w:after="0"/>
              <w:rPr>
                <w:sz w:val="18"/>
                <w:szCs w:val="18"/>
                <w:color w:val="auto"/>
              </w:rPr>
            </w:pPr>
          </w:p>
        </w:tc>
        <w:tc>
          <w:tcPr>
            <w:tcW w:w="16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2,617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62"/>
        </w:trPr>
        <w:tc>
          <w:tcPr>
            <w:tcW w:w="59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Impact of elimination of non-controlling interest on accumulated other</w:t>
            </w:r>
          </w:p>
        </w:tc>
        <w:tc>
          <w:tcPr>
            <w:tcW w:w="160" w:type="dxa"/>
            <w:vAlign w:val="bottom"/>
            <w:shd w:val="clear" w:color="auto" w:fill="E7E7E8"/>
          </w:tcPr>
          <w:p>
            <w:pPr>
              <w:spacing w:after="0"/>
              <w:rPr>
                <w:sz w:val="14"/>
                <w:szCs w:val="14"/>
                <w:color w:val="auto"/>
              </w:rPr>
            </w:pPr>
          </w:p>
        </w:tc>
        <w:tc>
          <w:tcPr>
            <w:tcW w:w="15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shd w:val="clear" w:color="auto" w:fill="E7E7E8"/>
          </w:tcPr>
          <w:p>
            <w:pPr>
              <w:spacing w:after="0"/>
              <w:rPr>
                <w:sz w:val="18"/>
                <w:szCs w:val="18"/>
                <w:color w:val="auto"/>
              </w:rPr>
            </w:pPr>
          </w:p>
        </w:tc>
        <w:tc>
          <w:tcPr>
            <w:tcW w:w="1540" w:type="dxa"/>
            <w:vAlign w:val="bottom"/>
            <w:tcBorders>
              <w:bottom w:val="single" w:sz="8" w:color="auto"/>
            </w:tcBorders>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30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(66,260)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(18,547)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(84,807)</w:t>
            </w:r>
          </w:p>
        </w:tc>
        <w:tc>
          <w:tcPr>
            <w:tcW w:w="0" w:type="dxa"/>
            <w:vAlign w:val="bottom"/>
          </w:tcPr>
          <w:p>
            <w:pPr>
              <w:spacing w:after="0"/>
              <w:rPr>
                <w:sz w:val="1"/>
                <w:szCs w:val="1"/>
                <w:color w:val="auto"/>
              </w:rPr>
            </w:pPr>
          </w:p>
        </w:tc>
      </w:tr>
      <w:tr>
        <w:trPr>
          <w:trHeight w:val="216"/>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other comprehensive income prior to reclassifications</w:t>
            </w:r>
          </w:p>
        </w:tc>
        <w:tc>
          <w:tcPr>
            <w:tcW w:w="160" w:type="dxa"/>
            <w:vAlign w:val="bottom"/>
            <w:shd w:val="clear" w:color="auto" w:fill="E7E7E8"/>
          </w:tcPr>
          <w:p>
            <w:pPr>
              <w:spacing w:after="0"/>
              <w:rPr>
                <w:sz w:val="18"/>
                <w:szCs w:val="18"/>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14,619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15,566</w:t>
            </w:r>
          </w:p>
        </w:tc>
        <w:tc>
          <w:tcPr>
            <w:tcW w:w="0" w:type="dxa"/>
            <w:vAlign w:val="bottom"/>
          </w:tcPr>
          <w:p>
            <w:pPr>
              <w:spacing w:after="0"/>
              <w:rPr>
                <w:sz w:val="1"/>
                <w:szCs w:val="1"/>
                <w:color w:val="auto"/>
              </w:rPr>
            </w:pPr>
          </w:p>
        </w:tc>
      </w:tr>
      <w:tr>
        <w:trPr>
          <w:trHeight w:val="216"/>
        </w:trPr>
        <w:tc>
          <w:tcPr>
            <w:tcW w:w="5980" w:type="dxa"/>
            <w:vAlign w:val="bottom"/>
          </w:tcPr>
          <w:p>
            <w:pPr>
              <w:ind w:left="260"/>
              <w:spacing w:after="0"/>
              <w:rPr>
                <w:sz w:val="20"/>
                <w:szCs w:val="20"/>
                <w:color w:val="auto"/>
              </w:rPr>
            </w:pPr>
            <w:r>
              <w:rPr>
                <w:rFonts w:ascii="Arial" w:cs="Arial" w:eastAsia="Arial" w:hAnsi="Arial"/>
                <w:sz w:val="16"/>
                <w:szCs w:val="16"/>
                <w:color w:val="auto"/>
              </w:rPr>
              <w:t>Reclassifications to the statements of operations</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34"/>
        </w:trPr>
        <w:tc>
          <w:tcPr>
            <w:tcW w:w="598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2020</w:t>
            </w:r>
          </w:p>
        </w:tc>
        <w:tc>
          <w:tcPr>
            <w:tcW w:w="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(51,641)</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2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(14,642)</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(66,283)</w:t>
            </w:r>
          </w:p>
        </w:tc>
        <w:tc>
          <w:tcPr>
            <w:tcW w:w="0" w:type="dxa"/>
            <w:vAlign w:val="bottom"/>
          </w:tcPr>
          <w:p>
            <w:pPr>
              <w:spacing w:after="0"/>
              <w:rPr>
                <w:sz w:val="1"/>
                <w:szCs w:val="1"/>
                <w:color w:val="auto"/>
              </w:rPr>
            </w:pP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0" w:type="dxa"/>
            <w:vAlign w:val="bottom"/>
            <w:gridSpan w:val="3"/>
            <w:shd w:val="clear" w:color="auto" w:fill="1D2758"/>
          </w:tcPr>
          <w:p>
            <w:pPr>
              <w:jc w:val="center"/>
              <w:ind w:right="8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4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560" w:type="dxa"/>
            <w:vAlign w:val="bottom"/>
            <w:gridSpan w:val="2"/>
            <w:shd w:val="clear" w:color="auto" w:fill="1D2758"/>
          </w:tcPr>
          <w:p>
            <w:pPr>
              <w:jc w:val="center"/>
              <w:ind w:right="320"/>
              <w:spacing w:after="0"/>
              <w:rPr>
                <w:sz w:val="20"/>
                <w:szCs w:val="20"/>
                <w:color w:val="auto"/>
              </w:rPr>
            </w:pPr>
            <w:r>
              <w:rPr>
                <w:rFonts w:ascii="Arial" w:cs="Arial" w:eastAsia="Arial" w:hAnsi="Arial"/>
                <w:sz w:val="16"/>
                <w:szCs w:val="16"/>
                <w:b w:val="1"/>
                <w:bCs w:val="1"/>
                <w:color w:val="FFFFFF"/>
              </w:rPr>
              <w:t>translation</w:t>
            </w:r>
          </w:p>
        </w:tc>
        <w:tc>
          <w:tcPr>
            <w:tcW w:w="140" w:type="dxa"/>
            <w:vAlign w:val="bottom"/>
            <w:shd w:val="clear" w:color="auto" w:fill="1D2758"/>
          </w:tcPr>
          <w:p>
            <w:pPr>
              <w:spacing w:after="0"/>
              <w:rPr>
                <w:sz w:val="18"/>
                <w:szCs w:val="18"/>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(5,418)</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(68,026)</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24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(income) attributable to non-controlling interest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9"/>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(58,857)</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(7,421)</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(66,278)</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24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(income) attributable to non-controlling interest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June 30, 2019</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(54,933)</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(10,957)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(65,890)</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24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(income) attributable to non-controlling interest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35"/>
        </w:trPr>
        <w:tc>
          <w:tcPr>
            <w:tcW w:w="59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September 30, 2019</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(57,487)</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(11,412)</w:t>
            </w:r>
          </w:p>
        </w:tc>
        <w:tc>
          <w:tcPr>
            <w:tcW w:w="100" w:type="dxa"/>
            <w:vAlign w:val="bottom"/>
            <w:tcBorders>
              <w:bottom w:val="single" w:sz="8" w:color="E7E7E8"/>
            </w:tcBorders>
            <w:shd w:val="clear" w:color="auto" w:fill="E7E7E8"/>
          </w:tcPr>
          <w:p>
            <w:pPr>
              <w:spacing w:after="0"/>
              <w:rPr>
                <w:sz w:val="19"/>
                <w:szCs w:val="19"/>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(68,899)</w:t>
            </w:r>
          </w:p>
        </w:tc>
        <w:tc>
          <w:tcPr>
            <w:tcW w:w="0" w:type="dxa"/>
            <w:vAlign w:val="bottom"/>
          </w:tcPr>
          <w:p>
            <w:pPr>
              <w:spacing w:after="0"/>
              <w:rPr>
                <w:sz w:val="1"/>
                <w:szCs w:val="1"/>
                <w:color w:val="auto"/>
              </w:rPr>
            </w:pPr>
          </w:p>
        </w:tc>
      </w:tr>
      <w:tr>
        <w:trPr>
          <w:trHeight w:val="20"/>
        </w:trPr>
        <w:tc>
          <w:tcPr>
            <w:tcW w:w="594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4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700" w:type="dxa"/>
            <w:vAlign w:val="bottom"/>
            <w:tcBorders>
              <w:top w:val="single" w:sz="8" w:color="E7E7E8"/>
              <w:bottom w:val="single" w:sz="8" w:color="auto"/>
            </w:tcBorders>
            <w:gridSpan w:val="2"/>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700" w:type="dxa"/>
            <w:vAlign w:val="bottom"/>
            <w:tcBorders>
              <w:top w:val="single" w:sz="8" w:color="E7E7E8"/>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180" w:type="dxa"/>
            <w:vAlign w:val="bottom"/>
            <w:gridSpan w:val="2"/>
          </w:tcPr>
          <w:p>
            <w:pPr>
              <w:ind w:left="660"/>
              <w:spacing w:after="0"/>
              <w:rPr>
                <w:sz w:val="20"/>
                <w:szCs w:val="20"/>
                <w:color w:val="auto"/>
              </w:rPr>
            </w:pPr>
            <w:r>
              <w:rPr>
                <w:rFonts w:ascii="Arial" w:cs="Arial" w:eastAsia="Arial" w:hAnsi="Arial"/>
                <w:sz w:val="16"/>
                <w:szCs w:val="16"/>
                <w:color w:val="auto"/>
              </w:rPr>
              <w:t>For the nine months ended September 30, 2020 and 2019, $7.1 million and $</w:t>
            </w:r>
          </w:p>
        </w:tc>
        <w:tc>
          <w:tcPr>
            <w:tcW w:w="5060" w:type="dxa"/>
            <w:vAlign w:val="bottom"/>
            <w:gridSpan w:val="7"/>
          </w:tcPr>
          <w:p>
            <w:pPr>
              <w:jc w:val="right"/>
              <w:ind w:right="639"/>
              <w:spacing w:after="0"/>
              <w:rPr>
                <w:sz w:val="20"/>
                <w:szCs w:val="20"/>
                <w:color w:val="auto"/>
              </w:rPr>
            </w:pPr>
            <w:r>
              <w:rPr>
                <w:rFonts w:ascii="Arial" w:cs="Arial" w:eastAsia="Arial" w:hAnsi="Arial"/>
                <w:sz w:val="16"/>
                <w:szCs w:val="16"/>
                <w:color w:val="auto"/>
              </w:rPr>
              <w:t>2.0 million, respectively, was reclassified from AOCL into the</w:t>
            </w:r>
          </w:p>
        </w:tc>
        <w:tc>
          <w:tcPr>
            <w:tcW w:w="0" w:type="dxa"/>
            <w:vAlign w:val="bottom"/>
          </w:tcPr>
          <w:p>
            <w:pPr>
              <w:spacing w:after="0"/>
              <w:rPr>
                <w:sz w:val="1"/>
                <w:szCs w:val="1"/>
                <w:color w:val="auto"/>
              </w:rPr>
            </w:pPr>
          </w:p>
        </w:tc>
      </w:tr>
    </w:tbl>
    <w:p>
      <w:pPr>
        <w:ind w:right="180"/>
        <w:spacing w:after="0" w:line="256" w:lineRule="auto"/>
        <w:rPr>
          <w:sz w:val="20"/>
          <w:szCs w:val="20"/>
          <w:color w:val="auto"/>
        </w:rPr>
      </w:pPr>
      <w:r>
        <w:rPr>
          <w:rFonts w:ascii="Arial" w:cs="Arial" w:eastAsia="Arial" w:hAnsi="Arial"/>
          <w:sz w:val="16"/>
          <w:szCs w:val="16"/>
          <w:color w:val="auto"/>
        </w:rPr>
        <w:t>condensed consolidated statements of operations within interest expense related to the interest rate swaps discussed in Note 15. Associated with these reclassifications, the Company recorded a tax benefit of $1.2 million for the three and nine months ended September 30, 2020 and $0.1 million for the nine months ended September 30, 2019. The Company did not record a tax benefit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3" w:name="page24"/>
    <w:bookmarkEnd w:id="23"/>
    <w:p>
      <w:pPr>
        <w:spacing w:after="0"/>
        <w:rPr>
          <w:sz w:val="20"/>
          <w:szCs w:val="20"/>
          <w:color w:val="auto"/>
        </w:rPr>
      </w:pPr>
      <w:r>
        <w:rPr>
          <w:rFonts w:ascii="Arial" w:cs="Arial" w:eastAsia="Arial" w:hAnsi="Arial"/>
          <w:sz w:val="23"/>
          <w:szCs w:val="23"/>
          <w:color w:val="1D2758"/>
        </w:rPr>
        <w:t>NOTE 11 – Income Taxes</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recorded an income tax benefit of $66.7 million and $66.2 million for the three and nine months ended September 30, 2020, respectively, and $1.2 million and $2.0 million for the three and nine months ended September 30, 2019 respectively.</w:t>
      </w:r>
    </w:p>
    <w:p>
      <w:pPr>
        <w:spacing w:after="0" w:line="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Company’s effective tax rate for the three and nine months ended September 30, 2020 was 132.2% and 162.3%, respectively, and 541.7% and 9.0% for the same periods in 2019. The income tax benefit for the three and nine months ended September 30, 2020 is primarily due to reversal of valuation allowance of approximately $54.6 million, driven by a material increase to deferred tax liabilities after the Merger, which upon re-assessment changed the Company's position on realizability of deferred tax assets and a reduction of reserves for uncertain tax positions of approximately $9.5 million. The benefit is partially offset by approximately $3 million of tax expense from a law change enacted in July 2020 in the United Kingdom. The income tax benefit for the three and nine months ended September 30, 2019 is primarily from discrete items recorded in the respective periods.</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general, FASB Accounting Standards Codification (“ASC”) Section 740, “Income Taxes” (“ASC 740”) requires us to evaluate the realizability of our deferred tax assets and reduce the deferred tax assets by valuation allowances to the extent we determined some or all of our deferred tax assets are not more likely than not realizable. To determine the realizability, ASC 740 requires consideration of sources of available taxable income of the proper character and within the time period before which our deferred tax assets, if any, expire due to the passage of time. Prior to the acquisition of Mobile Mini, our sources of taxable income were insufficient to realize a significant portion of WillScot’s historical deferred tax assets. As a result, at December 31, 2019, we maintained valuation allowances of approximately $80.2 million to cover deferred tax assets that were not realizable. The significant WillScot historical deferred tax assets covered by valuation allowances were net operating losses and deferred interest expense. On July 1, 2020, with the Merger, estimates for future taxable income increased significantly; accordingly, the Company concluded that a substantial portion of WillScot’s historical deferred tax assets that were previously covered by valuation allowances became more likely than not realizable. As a result, the Company reversed $54.6 million of valuation allowances as a discrete benefit in the three months ended September 30, 2020 due to change in judgment. The significant deferred tax assets of the Company are comprised of net operating losses and deferred interest expense. A small percentage of the net operating losses are subject to an annual limitation based on tax law for which a valuation allowance continues to be maintained. Deferred interest has an indefinite life. The Company anticipates that our remaining available net operating losses of approximately $1,026.0 million for federal, $708.2 million for state and $20.7 million of foreign will be consumed prior to its expiration which range from tax years 2020 to 2039 based on jurisdictional tax law.</w:t>
      </w:r>
    </w:p>
    <w:p>
      <w:pPr>
        <w:spacing w:after="0" w:line="360" w:lineRule="exact"/>
        <w:rPr>
          <w:sz w:val="20"/>
          <w:szCs w:val="20"/>
          <w:color w:val="auto"/>
        </w:rPr>
      </w:pPr>
    </w:p>
    <w:p>
      <w:pPr>
        <w:spacing w:after="0"/>
        <w:rPr>
          <w:sz w:val="20"/>
          <w:szCs w:val="20"/>
          <w:color w:val="auto"/>
        </w:rPr>
      </w:pPr>
      <w:r>
        <w:rPr>
          <w:rFonts w:ascii="Arial" w:cs="Arial" w:eastAsia="Arial" w:hAnsi="Arial"/>
          <w:sz w:val="23"/>
          <w:szCs w:val="23"/>
          <w:color w:val="1D2758"/>
        </w:rPr>
        <w:t>NOTE 12 - Fair Value Measures</w:t>
      </w:r>
    </w:p>
    <w:p>
      <w:pPr>
        <w:spacing w:after="0" w:line="6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4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3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3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September 30, 2020 approximate their respective book values.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other financial liabilities, including their levels in the fair value hierarchy: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98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September 30, 2020</w:t>
            </w:r>
          </w:p>
        </w:tc>
        <w:tc>
          <w:tcPr>
            <w:tcW w:w="18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104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980" w:type="dxa"/>
            <w:vAlign w:val="bottom"/>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December 31, 2019</w:t>
            </w:r>
          </w:p>
        </w:tc>
        <w:tc>
          <w:tcPr>
            <w:tcW w:w="20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940" w:type="dxa"/>
            <w:vAlign w:val="bottom"/>
            <w:vMerge w:val="restart"/>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1D2758"/>
          </w:tcPr>
          <w:p>
            <w:pPr>
              <w:spacing w:after="0"/>
              <w:rPr>
                <w:sz w:val="19"/>
                <w:szCs w:val="19"/>
                <w:color w:val="auto"/>
              </w:rPr>
            </w:pPr>
          </w:p>
        </w:tc>
        <w:tc>
          <w:tcPr>
            <w:tcW w:w="980" w:type="dxa"/>
            <w:vAlign w:val="bottom"/>
            <w:shd w:val="clear" w:color="auto" w:fill="1D2758"/>
          </w:tcPr>
          <w:p>
            <w:pPr>
              <w:spacing w:after="0"/>
              <w:rPr>
                <w:sz w:val="19"/>
                <w:szCs w:val="19"/>
                <w:color w:val="auto"/>
              </w:rPr>
            </w:pPr>
          </w:p>
        </w:tc>
        <w:tc>
          <w:tcPr>
            <w:tcW w:w="100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w w:val="99"/>
              </w:rPr>
              <w:t>Fair Value</w:t>
            </w:r>
          </w:p>
        </w:tc>
        <w:tc>
          <w:tcPr>
            <w:tcW w:w="180" w:type="dxa"/>
            <w:vAlign w:val="bottom"/>
            <w:shd w:val="clear" w:color="auto" w:fill="1D2758"/>
          </w:tcPr>
          <w:p>
            <w:pPr>
              <w:spacing w:after="0"/>
              <w:rPr>
                <w:sz w:val="19"/>
                <w:szCs w:val="19"/>
                <w:color w:val="auto"/>
              </w:rPr>
            </w:pPr>
          </w:p>
        </w:tc>
        <w:tc>
          <w:tcPr>
            <w:tcW w:w="940" w:type="dxa"/>
            <w:vAlign w:val="bottom"/>
            <w:shd w:val="clear" w:color="auto" w:fill="1D2758"/>
          </w:tcPr>
          <w:p>
            <w:pPr>
              <w:spacing w:after="0"/>
              <w:rPr>
                <w:sz w:val="19"/>
                <w:szCs w:val="19"/>
                <w:color w:val="auto"/>
              </w:rPr>
            </w:pPr>
          </w:p>
        </w:tc>
        <w:tc>
          <w:tcPr>
            <w:tcW w:w="104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1D2758"/>
          </w:tcPr>
          <w:p>
            <w:pPr>
              <w:spacing w:after="0"/>
              <w:rPr>
                <w:sz w:val="19"/>
                <w:szCs w:val="19"/>
                <w:color w:val="auto"/>
              </w:rPr>
            </w:pPr>
          </w:p>
        </w:tc>
        <w:tc>
          <w:tcPr>
            <w:tcW w:w="1000" w:type="dxa"/>
            <w:vAlign w:val="bottom"/>
            <w:shd w:val="clear" w:color="auto" w:fill="1D2758"/>
          </w:tcPr>
          <w:p>
            <w:pPr>
              <w:spacing w:after="0"/>
              <w:rPr>
                <w:sz w:val="19"/>
                <w:szCs w:val="19"/>
                <w:color w:val="auto"/>
              </w:rPr>
            </w:pPr>
          </w:p>
        </w:tc>
        <w:tc>
          <w:tcPr>
            <w:tcW w:w="98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1D2758"/>
          </w:tcPr>
          <w:p>
            <w:pPr>
              <w:spacing w:after="0"/>
              <w:rPr>
                <w:sz w:val="19"/>
                <w:szCs w:val="19"/>
                <w:color w:val="auto"/>
              </w:rPr>
            </w:pPr>
          </w:p>
        </w:tc>
        <w:tc>
          <w:tcPr>
            <w:tcW w:w="84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5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40" w:type="dxa"/>
            <w:vAlign w:val="bottom"/>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1</w:t>
            </w:r>
          </w:p>
        </w:tc>
        <w:tc>
          <w:tcPr>
            <w:tcW w:w="1000" w:type="dxa"/>
            <w:vAlign w:val="bottom"/>
            <w:vMerge w:val="restart"/>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Level 2</w:t>
            </w:r>
          </w:p>
        </w:tc>
        <w:tc>
          <w:tcPr>
            <w:tcW w:w="180" w:type="dxa"/>
            <w:vAlign w:val="bottom"/>
            <w:shd w:val="clear" w:color="auto" w:fill="1D2758"/>
          </w:tcPr>
          <w:p>
            <w:pPr>
              <w:spacing w:after="0"/>
              <w:rPr>
                <w:sz w:val="7"/>
                <w:szCs w:val="7"/>
                <w:color w:val="auto"/>
              </w:rPr>
            </w:pPr>
          </w:p>
        </w:tc>
        <w:tc>
          <w:tcPr>
            <w:tcW w:w="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color w:val="FFFFFF"/>
              </w:rPr>
              <w:t>Level 3</w:t>
            </w:r>
          </w:p>
        </w:tc>
        <w:tc>
          <w:tcPr>
            <w:tcW w:w="1040" w:type="dxa"/>
            <w:vAlign w:val="bottom"/>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0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1</w:t>
            </w:r>
          </w:p>
        </w:tc>
        <w:tc>
          <w:tcPr>
            <w:tcW w:w="98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1D2758"/>
          </w:tcPr>
          <w:p>
            <w:pPr>
              <w:spacing w:after="0"/>
              <w:rPr>
                <w:sz w:val="7"/>
                <w:szCs w:val="7"/>
                <w:color w:val="auto"/>
              </w:rPr>
            </w:pPr>
          </w:p>
        </w:tc>
        <w:tc>
          <w:tcPr>
            <w:tcW w:w="84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29"/>
        </w:trPr>
        <w:tc>
          <w:tcPr>
            <w:tcW w:w="2580" w:type="dxa"/>
            <w:vAlign w:val="bottom"/>
            <w:vMerge w:val="continue"/>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94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1D2758"/>
          </w:tcPr>
          <w:p>
            <w:pPr>
              <w:spacing w:after="0"/>
              <w:rPr>
                <w:sz w:val="19"/>
                <w:szCs w:val="19"/>
                <w:color w:val="auto"/>
              </w:rPr>
            </w:pPr>
          </w:p>
        </w:tc>
        <w:tc>
          <w:tcPr>
            <w:tcW w:w="980" w:type="dxa"/>
            <w:vAlign w:val="bottom"/>
            <w:vMerge w:val="continue"/>
            <w:shd w:val="clear" w:color="auto" w:fill="1D2758"/>
          </w:tcPr>
          <w:p>
            <w:pPr>
              <w:spacing w:after="0"/>
              <w:rPr>
                <w:sz w:val="19"/>
                <w:szCs w:val="19"/>
                <w:color w:val="auto"/>
              </w:rPr>
            </w:pPr>
          </w:p>
        </w:tc>
        <w:tc>
          <w:tcPr>
            <w:tcW w:w="1000" w:type="dxa"/>
            <w:vAlign w:val="bottom"/>
            <w:vMerge w:val="continue"/>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940" w:type="dxa"/>
            <w:vAlign w:val="bottom"/>
            <w:vMerge w:val="continue"/>
            <w:shd w:val="clear" w:color="auto" w:fill="1D2758"/>
          </w:tcPr>
          <w:p>
            <w:pPr>
              <w:spacing w:after="0"/>
              <w:rPr>
                <w:sz w:val="19"/>
                <w:szCs w:val="19"/>
                <w:color w:val="auto"/>
              </w:rPr>
            </w:pPr>
          </w:p>
        </w:tc>
        <w:tc>
          <w:tcPr>
            <w:tcW w:w="1040" w:type="dxa"/>
            <w:vAlign w:val="bottom"/>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1D2758"/>
          </w:tcPr>
          <w:p>
            <w:pPr>
              <w:spacing w:after="0"/>
              <w:rPr>
                <w:sz w:val="19"/>
                <w:szCs w:val="19"/>
                <w:color w:val="auto"/>
              </w:rPr>
            </w:pPr>
          </w:p>
        </w:tc>
        <w:tc>
          <w:tcPr>
            <w:tcW w:w="1000" w:type="dxa"/>
            <w:vAlign w:val="bottom"/>
            <w:vMerge w:val="continue"/>
            <w:shd w:val="clear" w:color="auto" w:fill="1D2758"/>
          </w:tcPr>
          <w:p>
            <w:pPr>
              <w:spacing w:after="0"/>
              <w:rPr>
                <w:sz w:val="19"/>
                <w:szCs w:val="19"/>
                <w:color w:val="auto"/>
              </w:rPr>
            </w:pPr>
          </w:p>
        </w:tc>
        <w:tc>
          <w:tcPr>
            <w:tcW w:w="980" w:type="dxa"/>
            <w:vAlign w:val="bottom"/>
            <w:vMerge w:val="continue"/>
            <w:shd w:val="clear" w:color="auto" w:fill="1D2758"/>
          </w:tcPr>
          <w:p>
            <w:pPr>
              <w:spacing w:after="0"/>
              <w:rPr>
                <w:sz w:val="19"/>
                <w:szCs w:val="19"/>
                <w:color w:val="auto"/>
              </w:rPr>
            </w:pPr>
          </w:p>
        </w:tc>
        <w:tc>
          <w:tcPr>
            <w:tcW w:w="200" w:type="dxa"/>
            <w:vAlign w:val="bottom"/>
            <w:shd w:val="clear" w:color="auto" w:fill="1D2758"/>
          </w:tcPr>
          <w:p>
            <w:pPr>
              <w:spacing w:after="0"/>
              <w:rPr>
                <w:sz w:val="19"/>
                <w:szCs w:val="19"/>
                <w:color w:val="auto"/>
              </w:rPr>
            </w:pPr>
          </w:p>
        </w:tc>
        <w:tc>
          <w:tcPr>
            <w:tcW w:w="840" w:type="dxa"/>
            <w:vAlign w:val="bottom"/>
            <w:vMerge w:val="continue"/>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58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120" w:type="dxa"/>
            <w:vAlign w:val="bottom"/>
            <w:gridSpan w:val="2"/>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1180" w:type="dxa"/>
            <w:vAlign w:val="bottom"/>
            <w:gridSpan w:val="2"/>
            <w:shd w:val="clear" w:color="auto" w:fill="1D2758"/>
          </w:tcPr>
          <w:p>
            <w:pPr>
              <w:spacing w:after="0"/>
              <w:rPr>
                <w:sz w:val="7"/>
                <w:szCs w:val="7"/>
                <w:color w:val="auto"/>
              </w:rPr>
            </w:pPr>
          </w:p>
        </w:tc>
        <w:tc>
          <w:tcPr>
            <w:tcW w:w="940" w:type="dxa"/>
            <w:vAlign w:val="bottom"/>
            <w:shd w:val="clear" w:color="auto" w:fill="1D2758"/>
          </w:tcPr>
          <w:p>
            <w:pPr>
              <w:spacing w:after="0"/>
              <w:rPr>
                <w:sz w:val="7"/>
                <w:szCs w:val="7"/>
                <w:color w:val="auto"/>
              </w:rPr>
            </w:pPr>
          </w:p>
        </w:tc>
        <w:tc>
          <w:tcPr>
            <w:tcW w:w="104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0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8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ind w:left="640"/>
              <w:spacing w:after="0"/>
              <w:rPr>
                <w:sz w:val="20"/>
                <w:szCs w:val="20"/>
                <w:color w:val="auto"/>
              </w:rPr>
            </w:pPr>
            <w:r>
              <w:rPr>
                <w:rFonts w:ascii="Arial" w:cs="Arial" w:eastAsia="Arial" w:hAnsi="Arial"/>
                <w:sz w:val="16"/>
                <w:szCs w:val="16"/>
                <w:color w:val="auto"/>
              </w:rPr>
              <w:t>—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40" w:type="dxa"/>
            <w:vAlign w:val="bottom"/>
          </w:tcPr>
          <w:p>
            <w:pPr>
              <w:ind w:left="52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264,576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282,250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9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482,768</w:t>
            </w:r>
          </w:p>
        </w:tc>
        <w:tc>
          <w:tcPr>
            <w:tcW w:w="180" w:type="dxa"/>
            <w:vAlign w:val="bottom"/>
            <w:shd w:val="clear" w:color="auto" w:fill="E7E7E8"/>
          </w:tcPr>
          <w:p>
            <w:pPr>
              <w:spacing w:after="0"/>
              <w:rPr>
                <w:sz w:val="18"/>
                <w:szCs w:val="18"/>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517,334</w:t>
            </w:r>
          </w:p>
        </w:tc>
        <w:tc>
          <w:tcPr>
            <w:tcW w:w="200" w:type="dxa"/>
            <w:vAlign w:val="bottom"/>
            <w:shd w:val="clear" w:color="auto" w:fill="E7E7E8"/>
          </w:tcPr>
          <w:p>
            <w:pPr>
              <w:spacing w:after="0"/>
              <w:rPr>
                <w:sz w:val="18"/>
                <w:szCs w:val="18"/>
                <w:color w:val="auto"/>
              </w:rPr>
            </w:pPr>
          </w:p>
        </w:tc>
        <w:tc>
          <w:tcPr>
            <w:tcW w:w="840" w:type="dxa"/>
            <w:vAlign w:val="bottom"/>
            <w:shd w:val="clear" w:color="auto" w:fill="E7E7E8"/>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2025 Secured Notes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636,450</w:t>
            </w:r>
          </w:p>
        </w:tc>
        <w:tc>
          <w:tcPr>
            <w:tcW w:w="180" w:type="dxa"/>
            <w:vAlign w:val="bottom"/>
          </w:tcPr>
          <w:p>
            <w:pPr>
              <w:spacing w:after="0"/>
              <w:rPr>
                <w:sz w:val="18"/>
                <w:szCs w:val="18"/>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696,625</w:t>
            </w:r>
          </w:p>
        </w:tc>
        <w:tc>
          <w:tcPr>
            <w:tcW w:w="1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ABL Facilities</w:t>
            </w:r>
          </w:p>
        </w:tc>
        <w:tc>
          <w:tcPr>
            <w:tcW w:w="18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1,307,295</w:t>
            </w:r>
          </w:p>
        </w:tc>
        <w:tc>
          <w:tcPr>
            <w:tcW w:w="180" w:type="dxa"/>
            <w:vAlign w:val="bottom"/>
            <w:shd w:val="clear" w:color="auto" w:fill="E7E7E8"/>
          </w:tcPr>
          <w:p>
            <w:pPr>
              <w:spacing w:after="0"/>
              <w:rPr>
                <w:sz w:val="18"/>
                <w:szCs w:val="18"/>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1,350,340</w:t>
            </w:r>
          </w:p>
        </w:tc>
        <w:tc>
          <w:tcPr>
            <w:tcW w:w="180" w:type="dxa"/>
            <w:vAlign w:val="bottom"/>
            <w:shd w:val="clear" w:color="auto" w:fill="E7E7E8"/>
          </w:tcPr>
          <w:p>
            <w:pPr>
              <w:spacing w:after="0"/>
              <w:rPr>
                <w:sz w:val="18"/>
                <w:szCs w:val="18"/>
                <w:color w:val="auto"/>
              </w:rPr>
            </w:pPr>
          </w:p>
        </w:tc>
        <w:tc>
          <w:tcPr>
            <w:tcW w:w="9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885,245</w:t>
            </w:r>
          </w:p>
        </w:tc>
        <w:tc>
          <w:tcPr>
            <w:tcW w:w="180" w:type="dxa"/>
            <w:vAlign w:val="bottom"/>
            <w:shd w:val="clear" w:color="auto" w:fill="E7E7E8"/>
          </w:tcPr>
          <w:p>
            <w:pPr>
              <w:spacing w:after="0"/>
              <w:rPr>
                <w:sz w:val="18"/>
                <w:szCs w:val="18"/>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903,000</w:t>
            </w:r>
          </w:p>
        </w:tc>
        <w:tc>
          <w:tcPr>
            <w:tcW w:w="200" w:type="dxa"/>
            <w:vAlign w:val="bottom"/>
            <w:shd w:val="clear" w:color="auto" w:fill="E7E7E8"/>
          </w:tcPr>
          <w:p>
            <w:pPr>
              <w:spacing w:after="0"/>
              <w:rPr>
                <w:sz w:val="18"/>
                <w:szCs w:val="18"/>
                <w:color w:val="auto"/>
              </w:rPr>
            </w:pPr>
          </w:p>
        </w:tc>
        <w:tc>
          <w:tcPr>
            <w:tcW w:w="840" w:type="dxa"/>
            <w:vAlign w:val="bottom"/>
            <w:shd w:val="clear" w:color="auto" w:fill="E7E7E8"/>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2028 Secured Notes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491,329</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499,990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5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2,435,074</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64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2,546,955</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1,632,589</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1,702,584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7E7E8"/>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8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4" w:name="page25"/>
    <w:bookmarkEnd w:id="24"/>
    <w:p>
      <w:pPr>
        <w:jc w:val="both"/>
        <w:ind w:firstLine="648"/>
        <w:spacing w:after="0" w:line="261" w:lineRule="auto"/>
        <w:rPr>
          <w:sz w:val="20"/>
          <w:szCs w:val="20"/>
          <w:color w:val="auto"/>
        </w:rPr>
      </w:pPr>
      <w:r>
        <w:rPr>
          <w:rFonts w:ascii="Arial" w:cs="Arial" w:eastAsia="Arial" w:hAnsi="Arial"/>
          <w:sz w:val="16"/>
          <w:szCs w:val="16"/>
          <w:color w:val="auto"/>
        </w:rPr>
        <w:t>The carrying value of the ABL Facilities, excluding debt issuance costs, approximates fair value as the interest rates are variable and reflective of market rates. The fair value of the 2022 Secured Notes, the 2023 Secured Notes, the 2025 Secured Notes and the 2028 Secured Notes are based on their last trading price at the end of each period obtained from a third party. The location and the fair value of derivative assets and liabilities designated as hedges in the condensed consolidated balance sheet are disclosed in Note 15.</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w:t>
      </w: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value of Mobile Mini stock options converted to Willscot Mobile Mini stock options in connection with the Merger, was determined utilizing the Black-Scholes option-pricing model and is affected by several variables, the most significant of which are the expected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 The key inputs utilized to determine the fair value of the stock options converted included within the purchase price were expected volatility of 51.92%, risk free rate of interest 0.17%, dividend yield of zero and expected life and years of 2.</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color w:val="1D2758"/>
        </w:rPr>
        <w:t>NOTE 13 - Restructuring</w:t>
      </w:r>
    </w:p>
    <w:p>
      <w:pPr>
        <w:spacing w:after="0" w:line="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FASB ASC Topic 420, </w:t>
      </w:r>
      <w:r>
        <w:rPr>
          <w:rFonts w:ascii="Arial" w:cs="Arial" w:eastAsia="Arial" w:hAnsi="Arial"/>
          <w:sz w:val="16"/>
          <w:szCs w:val="16"/>
          <w:i w:val="1"/>
          <w:iCs w:val="1"/>
          <w:color w:val="auto"/>
        </w:rPr>
        <w:t xml:space="preserve">Exit or Disposal Cost Obligations </w:t>
      </w:r>
      <w:r>
        <w:rPr>
          <w:rFonts w:ascii="Arial" w:cs="Arial" w:eastAsia="Arial" w:hAnsi="Arial"/>
          <w:sz w:val="16"/>
          <w:szCs w:val="16"/>
          <w:color w:val="auto"/>
        </w:rPr>
        <w:t>(“ASC 420”). The Company's restructuring plans are generally country or region specific and are typically completed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 one year period. Restructuring costs incurred under these plans include (i) one-time termination benefits related to employee separations, (ii) contract termination costs, and (iii) non lease costs for consolidating or closing facilities.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activity in the Company’s restructuring accruals for the three and nine months ended September 30, 2020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80" w:type="dxa"/>
            <w:vAlign w:val="bottom"/>
            <w:vMerge w:val="restart"/>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2020</w:t>
            </w:r>
          </w:p>
        </w:tc>
        <w:tc>
          <w:tcPr>
            <w:tcW w:w="2800" w:type="dxa"/>
            <w:vAlign w:val="bottom"/>
            <w:gridSpan w:val="8"/>
            <w:shd w:val="clear" w:color="auto" w:fill="1D2758"/>
          </w:tcPr>
          <w:p>
            <w:pPr>
              <w:ind w:left="40"/>
              <w:spacing w:after="0"/>
              <w:rPr>
                <w:sz w:val="20"/>
                <w:szCs w:val="20"/>
                <w:color w:val="auto"/>
              </w:rPr>
            </w:pPr>
            <w:r>
              <w:rPr>
                <w:rFonts w:ascii="Arial" w:cs="Arial" w:eastAsia="Arial" w:hAnsi="Arial"/>
                <w:sz w:val="16"/>
                <w:szCs w:val="16"/>
                <w:b w:val="1"/>
                <w:bCs w:val="1"/>
                <w:color w:val="FFFFFF"/>
              </w:rPr>
              <w:t>Three Months Ended September 30,</w:t>
            </w:r>
          </w:p>
        </w:tc>
        <w:tc>
          <w:tcPr>
            <w:tcW w:w="14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4"/>
                <w:szCs w:val="14"/>
                <w:color w:val="auto"/>
              </w:rPr>
            </w:pPr>
          </w:p>
        </w:tc>
        <w:tc>
          <w:tcPr>
            <w:tcW w:w="1160" w:type="dxa"/>
            <w:vAlign w:val="bottom"/>
            <w:gridSpan w:val="2"/>
            <w:shd w:val="clear" w:color="auto" w:fill="1D2758"/>
          </w:tcPr>
          <w:p>
            <w:pPr>
              <w:jc w:val="center"/>
              <w:ind w:right="280"/>
              <w:spacing w:after="0" w:line="168" w:lineRule="exact"/>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1D2758"/>
          </w:tcPr>
          <w:p>
            <w:pPr>
              <w:spacing w:after="0"/>
              <w:rPr>
                <w:sz w:val="14"/>
                <w:szCs w:val="14"/>
                <w:color w:val="auto"/>
              </w:rPr>
            </w:pPr>
          </w:p>
        </w:tc>
        <w:tc>
          <w:tcPr>
            <w:tcW w:w="1080" w:type="dxa"/>
            <w:vAlign w:val="bottom"/>
            <w:shd w:val="clear" w:color="auto" w:fill="1D2758"/>
          </w:tcPr>
          <w:p>
            <w:pPr>
              <w:jc w:val="center"/>
              <w:ind w:right="59"/>
              <w:spacing w:after="0" w:line="168" w:lineRule="exact"/>
              <w:rPr>
                <w:sz w:val="20"/>
                <w:szCs w:val="20"/>
                <w:color w:val="auto"/>
              </w:rPr>
            </w:pPr>
            <w:r>
              <w:rPr>
                <w:rFonts w:ascii="Arial" w:cs="Arial" w:eastAsia="Arial" w:hAnsi="Arial"/>
                <w:sz w:val="16"/>
                <w:szCs w:val="16"/>
                <w:b w:val="1"/>
                <w:bCs w:val="1"/>
                <w:color w:val="FFFFFF"/>
              </w:rPr>
              <w:t>Facility Exit</w:t>
            </w:r>
          </w:p>
        </w:tc>
        <w:tc>
          <w:tcPr>
            <w:tcW w:w="10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180" w:type="dxa"/>
            <w:vAlign w:val="bottom"/>
            <w:gridSpan w:val="3"/>
            <w:shd w:val="clear" w:color="auto" w:fill="1D2758"/>
          </w:tcPr>
          <w:p>
            <w:pPr>
              <w:jc w:val="center"/>
              <w:ind w:right="300"/>
              <w:spacing w:after="0" w:line="168" w:lineRule="exact"/>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1D2758"/>
          </w:tcPr>
          <w:p>
            <w:pPr>
              <w:spacing w:after="0"/>
              <w:rPr>
                <w:sz w:val="14"/>
                <w:szCs w:val="14"/>
                <w:color w:val="auto"/>
              </w:rPr>
            </w:pPr>
          </w:p>
        </w:tc>
        <w:tc>
          <w:tcPr>
            <w:tcW w:w="1200" w:type="dxa"/>
            <w:vAlign w:val="bottom"/>
            <w:gridSpan w:val="2"/>
            <w:shd w:val="clear" w:color="auto" w:fill="1D2758"/>
          </w:tcPr>
          <w:p>
            <w:pPr>
              <w:jc w:val="center"/>
              <w:ind w:right="260"/>
              <w:spacing w:after="0" w:line="168" w:lineRule="exact"/>
              <w:rPr>
                <w:sz w:val="20"/>
                <w:szCs w:val="20"/>
                <w:color w:val="auto"/>
              </w:rPr>
            </w:pPr>
            <w:r>
              <w:rPr>
                <w:rFonts w:ascii="Arial" w:cs="Arial" w:eastAsia="Arial" w:hAnsi="Arial"/>
                <w:sz w:val="16"/>
                <w:szCs w:val="16"/>
                <w:b w:val="1"/>
                <w:bCs w:val="1"/>
                <w:color w:val="FFFFFF"/>
              </w:rPr>
              <w:t>Facility Exit</w:t>
            </w:r>
          </w:p>
        </w:tc>
        <w:tc>
          <w:tcPr>
            <w:tcW w:w="26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00" w:type="dxa"/>
            <w:vAlign w:val="bottom"/>
            <w:vMerge w:val="continue"/>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16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1D2758"/>
          </w:tcPr>
          <w:p>
            <w:pPr>
              <w:spacing w:after="0"/>
              <w:rPr>
                <w:sz w:val="11"/>
                <w:szCs w:val="11"/>
                <w:color w:val="auto"/>
              </w:rPr>
            </w:pPr>
          </w:p>
        </w:tc>
        <w:tc>
          <w:tcPr>
            <w:tcW w:w="1080" w:type="dxa"/>
            <w:vAlign w:val="bottom"/>
            <w:vMerge w:val="restart"/>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rPr>
              <w:t>Costs</w:t>
            </w:r>
          </w:p>
        </w:tc>
        <w:tc>
          <w:tcPr>
            <w:tcW w:w="100" w:type="dxa"/>
            <w:vAlign w:val="bottom"/>
            <w:shd w:val="clear" w:color="auto" w:fill="1D2758"/>
          </w:tcPr>
          <w:p>
            <w:pPr>
              <w:spacing w:after="0"/>
              <w:rPr>
                <w:sz w:val="11"/>
                <w:szCs w:val="11"/>
                <w:color w:val="auto"/>
              </w:rPr>
            </w:pPr>
          </w:p>
        </w:tc>
        <w:tc>
          <w:tcPr>
            <w:tcW w:w="280" w:type="dxa"/>
            <w:vAlign w:val="bottom"/>
            <w:shd w:val="clear" w:color="auto" w:fill="1D2758"/>
          </w:tcPr>
          <w:p>
            <w:pPr>
              <w:spacing w:after="0"/>
              <w:rPr>
                <w:sz w:val="11"/>
                <w:szCs w:val="11"/>
                <w:color w:val="auto"/>
              </w:rPr>
            </w:pPr>
          </w:p>
        </w:tc>
        <w:tc>
          <w:tcPr>
            <w:tcW w:w="1060" w:type="dxa"/>
            <w:vAlign w:val="bottom"/>
            <w:gridSpan w:val="2"/>
            <w:vMerge w:val="restart"/>
            <w:shd w:val="clear" w:color="auto" w:fill="1D2758"/>
          </w:tcPr>
          <w:p>
            <w:pPr>
              <w:ind w:left="16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1D2758"/>
          </w:tcPr>
          <w:p>
            <w:pPr>
              <w:spacing w:after="0"/>
              <w:rPr>
                <w:sz w:val="11"/>
                <w:szCs w:val="11"/>
                <w:color w:val="auto"/>
              </w:rPr>
            </w:pPr>
          </w:p>
        </w:tc>
        <w:tc>
          <w:tcPr>
            <w:tcW w:w="1180" w:type="dxa"/>
            <w:vAlign w:val="bottom"/>
            <w:gridSpan w:val="3"/>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Costs</w:t>
            </w:r>
          </w:p>
        </w:tc>
        <w:tc>
          <w:tcPr>
            <w:tcW w:w="140" w:type="dxa"/>
            <w:vAlign w:val="bottom"/>
            <w:shd w:val="clear" w:color="auto" w:fill="1D2758"/>
          </w:tcPr>
          <w:p>
            <w:pPr>
              <w:spacing w:after="0"/>
              <w:rPr>
                <w:sz w:val="11"/>
                <w:szCs w:val="11"/>
                <w:color w:val="auto"/>
              </w:rPr>
            </w:pPr>
          </w:p>
        </w:tc>
        <w:tc>
          <w:tcPr>
            <w:tcW w:w="120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w w:val="98"/>
              </w:rPr>
              <w:t>Costs</w:t>
            </w:r>
          </w:p>
        </w:tc>
        <w:tc>
          <w:tcPr>
            <w:tcW w:w="260" w:type="dxa"/>
            <w:vAlign w:val="bottom"/>
            <w:shd w:val="clear" w:color="auto" w:fill="1D2758"/>
          </w:tcPr>
          <w:p>
            <w:pPr>
              <w:spacing w:after="0"/>
              <w:rPr>
                <w:sz w:val="11"/>
                <w:szCs w:val="11"/>
                <w:color w:val="auto"/>
              </w:rPr>
            </w:pPr>
          </w:p>
        </w:tc>
        <w:tc>
          <w:tcPr>
            <w:tcW w:w="980" w:type="dxa"/>
            <w:vAlign w:val="bottom"/>
            <w:vMerge w:val="restart"/>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88"/>
        </w:trPr>
        <w:tc>
          <w:tcPr>
            <w:tcW w:w="33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160" w:type="dxa"/>
            <w:vAlign w:val="bottom"/>
            <w:gridSpan w:val="2"/>
            <w:vMerge w:val="continue"/>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08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060" w:type="dxa"/>
            <w:vAlign w:val="bottom"/>
            <w:gridSpan w:val="2"/>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180" w:type="dxa"/>
            <w:vAlign w:val="bottom"/>
            <w:gridSpan w:val="3"/>
            <w:vMerge w:val="continue"/>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200" w:type="dxa"/>
            <w:vAlign w:val="bottom"/>
            <w:gridSpan w:val="2"/>
            <w:vMerge w:val="continue"/>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98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 - June 30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1,143</w:t>
            </w: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Arial" w:cs="Arial" w:eastAsia="Arial" w:hAnsi="Arial"/>
                <w:sz w:val="16"/>
                <w:szCs w:val="16"/>
                <w:color w:val="auto"/>
              </w:rPr>
              <w:t>Reclassification of liability to operating</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ind w:left="8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6"/>
                <w:szCs w:val="16"/>
                <w:color w:val="auto"/>
              </w:rPr>
              <w:t>lease asset at the adoption of ASC 842(a)</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18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3,854</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0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3,854</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6"/>
                <w:szCs w:val="16"/>
                <w:color w:val="auto"/>
              </w:rPr>
              <w:t>Cash payments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6"/>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18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0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Non-cash movements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E7E7E8"/>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5"/>
        </w:trPr>
        <w:tc>
          <w:tcPr>
            <w:tcW w:w="33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shd w:val="clear" w:color="auto" w:fill="E7E7E8"/>
          </w:tcPr>
          <w:p>
            <w:pPr>
              <w:spacing w:after="0"/>
              <w:rPr>
                <w:sz w:val="19"/>
                <w:szCs w:val="19"/>
                <w:color w:val="auto"/>
              </w:rPr>
            </w:pPr>
          </w:p>
        </w:tc>
        <w:tc>
          <w:tcPr>
            <w:tcW w:w="28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829</w:t>
            </w:r>
          </w:p>
        </w:tc>
        <w:tc>
          <w:tcPr>
            <w:tcW w:w="80" w:type="dxa"/>
            <w:vAlign w:val="bottom"/>
            <w:tcBorders>
              <w:bottom w:val="single" w:sz="8" w:color="E7E7E8"/>
            </w:tcBorders>
            <w:shd w:val="clear" w:color="auto" w:fill="E7E7E8"/>
          </w:tcPr>
          <w:p>
            <w:pPr>
              <w:spacing w:after="0"/>
              <w:rPr>
                <w:sz w:val="19"/>
                <w:szCs w:val="19"/>
                <w:color w:val="auto"/>
              </w:rPr>
            </w:pPr>
          </w:p>
        </w:tc>
        <w:tc>
          <w:tcPr>
            <w:tcW w:w="20" w:type="dxa"/>
            <w:vAlign w:val="bottom"/>
            <w:tcBorders>
              <w:bottom w:val="single" w:sz="8" w:color="auto"/>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
        </w:trPr>
        <w:tc>
          <w:tcPr>
            <w:tcW w:w="33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2020</w:t>
            </w:r>
          </w:p>
        </w:tc>
        <w:tc>
          <w:tcPr>
            <w:tcW w:w="2720" w:type="dxa"/>
            <w:vAlign w:val="bottom"/>
            <w:gridSpan w:val="8"/>
            <w:shd w:val="clear" w:color="auto" w:fill="1D2758"/>
          </w:tcPr>
          <w:p>
            <w:pPr>
              <w:ind w:left="20"/>
              <w:spacing w:after="0"/>
              <w:rPr>
                <w:sz w:val="20"/>
                <w:szCs w:val="20"/>
                <w:color w:val="auto"/>
              </w:rPr>
            </w:pPr>
            <w:r>
              <w:rPr>
                <w:rFonts w:ascii="Arial" w:cs="Arial" w:eastAsia="Arial" w:hAnsi="Arial"/>
                <w:sz w:val="16"/>
                <w:szCs w:val="16"/>
                <w:b w:val="1"/>
                <w:bCs w:val="1"/>
                <w:color w:val="FFFFFF"/>
              </w:rPr>
              <w:t>Nine Months Ended September 30,</w:t>
            </w:r>
          </w:p>
        </w:tc>
        <w:tc>
          <w:tcPr>
            <w:tcW w:w="120" w:type="dxa"/>
            <w:vAlign w:val="bottom"/>
            <w:shd w:val="clear" w:color="auto" w:fill="1D2758"/>
          </w:tcPr>
          <w:p>
            <w:pPr>
              <w:spacing w:after="0"/>
              <w:rPr>
                <w:sz w:val="18"/>
                <w:szCs w:val="18"/>
                <w:color w:val="auto"/>
              </w:rPr>
            </w:pPr>
          </w:p>
        </w:tc>
        <w:tc>
          <w:tcPr>
            <w:tcW w:w="1060" w:type="dxa"/>
            <w:vAlign w:val="bottom"/>
            <w:vMerge w:val="restart"/>
            <w:shd w:val="clear" w:color="auto" w:fill="1D2758"/>
          </w:tcPr>
          <w:p>
            <w:pPr>
              <w:ind w:left="240"/>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0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8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14"/>
                <w:szCs w:val="14"/>
                <w:color w:val="auto"/>
              </w:rPr>
            </w:pPr>
          </w:p>
        </w:tc>
        <w:tc>
          <w:tcPr>
            <w:tcW w:w="1120" w:type="dxa"/>
            <w:vAlign w:val="bottom"/>
            <w:gridSpan w:val="2"/>
            <w:shd w:val="clear" w:color="auto" w:fill="1D2758"/>
          </w:tcPr>
          <w:p>
            <w:pPr>
              <w:jc w:val="center"/>
              <w:ind w:right="280"/>
              <w:spacing w:after="0" w:line="168" w:lineRule="exact"/>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1D2758"/>
          </w:tcPr>
          <w:p>
            <w:pPr>
              <w:spacing w:after="0"/>
              <w:rPr>
                <w:sz w:val="14"/>
                <w:szCs w:val="14"/>
                <w:color w:val="auto"/>
              </w:rPr>
            </w:pPr>
          </w:p>
        </w:tc>
        <w:tc>
          <w:tcPr>
            <w:tcW w:w="1120" w:type="dxa"/>
            <w:vAlign w:val="bottom"/>
            <w:shd w:val="clear" w:color="auto" w:fill="1D2758"/>
          </w:tcPr>
          <w:p>
            <w:pPr>
              <w:jc w:val="right"/>
              <w:ind w:right="79"/>
              <w:spacing w:after="0" w:line="168" w:lineRule="exact"/>
              <w:rPr>
                <w:sz w:val="20"/>
                <w:szCs w:val="20"/>
                <w:color w:val="auto"/>
              </w:rPr>
            </w:pPr>
            <w:r>
              <w:rPr>
                <w:rFonts w:ascii="Arial" w:cs="Arial" w:eastAsia="Arial" w:hAnsi="Arial"/>
                <w:sz w:val="16"/>
                <w:szCs w:val="16"/>
                <w:b w:val="1"/>
                <w:bCs w:val="1"/>
                <w:color w:val="FFFFFF"/>
              </w:rPr>
              <w:t>Facility Exit</w:t>
            </w:r>
          </w:p>
        </w:tc>
        <w:tc>
          <w:tcPr>
            <w:tcW w:w="4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920" w:type="dxa"/>
            <w:vAlign w:val="bottom"/>
            <w:gridSpan w:val="2"/>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Total</w:t>
            </w:r>
          </w:p>
        </w:tc>
        <w:tc>
          <w:tcPr>
            <w:tcW w:w="1440" w:type="dxa"/>
            <w:vAlign w:val="bottom"/>
            <w:gridSpan w:val="3"/>
            <w:vMerge w:val="restart"/>
            <w:shd w:val="clear" w:color="auto" w:fill="1D2758"/>
          </w:tcPr>
          <w:p>
            <w:pPr>
              <w:ind w:left="40"/>
              <w:spacing w:after="0"/>
              <w:rPr>
                <w:sz w:val="20"/>
                <w:szCs w:val="20"/>
                <w:color w:val="auto"/>
              </w:rPr>
            </w:pPr>
            <w:r>
              <w:rPr>
                <w:rFonts w:ascii="Arial" w:cs="Arial" w:eastAsia="Arial" w:hAnsi="Arial"/>
                <w:sz w:val="16"/>
                <w:szCs w:val="16"/>
                <w:b w:val="1"/>
                <w:bCs w:val="1"/>
                <w:color w:val="FFFFFF"/>
              </w:rPr>
              <w:t>Employee Costs</w:t>
            </w:r>
          </w:p>
        </w:tc>
        <w:tc>
          <w:tcPr>
            <w:tcW w:w="120" w:type="dxa"/>
            <w:vAlign w:val="bottom"/>
            <w:shd w:val="clear" w:color="auto" w:fill="1D2758"/>
          </w:tcPr>
          <w:p>
            <w:pPr>
              <w:spacing w:after="0"/>
              <w:rPr>
                <w:sz w:val="14"/>
                <w:szCs w:val="14"/>
                <w:color w:val="auto"/>
              </w:rPr>
            </w:pPr>
          </w:p>
        </w:tc>
        <w:tc>
          <w:tcPr>
            <w:tcW w:w="1160" w:type="dxa"/>
            <w:vAlign w:val="bottom"/>
            <w:gridSpan w:val="2"/>
            <w:shd w:val="clear" w:color="auto" w:fill="1D2758"/>
          </w:tcPr>
          <w:p>
            <w:pPr>
              <w:ind w:left="20"/>
              <w:spacing w:after="0" w:line="168" w:lineRule="exact"/>
              <w:rPr>
                <w:sz w:val="20"/>
                <w:szCs w:val="20"/>
                <w:color w:val="auto"/>
              </w:rPr>
            </w:pPr>
            <w:r>
              <w:rPr>
                <w:rFonts w:ascii="Arial" w:cs="Arial" w:eastAsia="Arial" w:hAnsi="Arial"/>
                <w:sz w:val="16"/>
                <w:szCs w:val="16"/>
                <w:b w:val="1"/>
                <w:bCs w:val="1"/>
                <w:color w:val="FFFFFF"/>
              </w:rPr>
              <w:t>Facility Exit</w:t>
            </w:r>
          </w:p>
        </w:tc>
        <w:tc>
          <w:tcPr>
            <w:tcW w:w="260" w:type="dxa"/>
            <w:vAlign w:val="bottom"/>
            <w:shd w:val="clear" w:color="auto" w:fill="1D2758"/>
          </w:tcPr>
          <w:p>
            <w:pPr>
              <w:spacing w:after="0"/>
              <w:rPr>
                <w:sz w:val="14"/>
                <w:szCs w:val="14"/>
                <w:color w:val="auto"/>
              </w:rPr>
            </w:pPr>
          </w:p>
        </w:tc>
        <w:tc>
          <w:tcPr>
            <w:tcW w:w="980" w:type="dxa"/>
            <w:vAlign w:val="bottom"/>
            <w:vMerge w:val="restart"/>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460" w:type="dxa"/>
            <w:vAlign w:val="bottom"/>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2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Costs</w:t>
            </w: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gridSpan w:val="2"/>
            <w:vMerge w:val="continue"/>
            <w:shd w:val="clear" w:color="auto" w:fill="1D2758"/>
          </w:tcPr>
          <w:p>
            <w:pPr>
              <w:spacing w:after="0"/>
              <w:rPr>
                <w:sz w:val="18"/>
                <w:szCs w:val="18"/>
                <w:color w:val="auto"/>
              </w:rPr>
            </w:pPr>
          </w:p>
        </w:tc>
        <w:tc>
          <w:tcPr>
            <w:tcW w:w="144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Costs</w:t>
            </w:r>
          </w:p>
        </w:tc>
        <w:tc>
          <w:tcPr>
            <w:tcW w:w="260" w:type="dxa"/>
            <w:vAlign w:val="bottom"/>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Balance at beginning of the period - December</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E7E7E8"/>
          </w:tcPr>
          <w:p>
            <w:pPr>
              <w:spacing w:after="0"/>
              <w:rPr>
                <w:sz w:val="14"/>
                <w:szCs w:val="14"/>
                <w:color w:val="auto"/>
              </w:rPr>
            </w:pPr>
          </w:p>
        </w:tc>
        <w:tc>
          <w:tcPr>
            <w:tcW w:w="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E7E7E8"/>
          </w:tcPr>
          <w:p>
            <w:pPr>
              <w:spacing w:after="0"/>
              <w:rPr>
                <w:sz w:val="14"/>
                <w:szCs w:val="14"/>
                <w:color w:val="auto"/>
              </w:rPr>
            </w:pPr>
          </w:p>
        </w:tc>
        <w:tc>
          <w:tcPr>
            <w:tcW w:w="46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4,544</w:t>
            </w:r>
          </w:p>
        </w:tc>
        <w:tc>
          <w:tcPr>
            <w:tcW w:w="100" w:type="dxa"/>
            <w:vAlign w:val="bottom"/>
            <w:shd w:val="clear" w:color="auto" w:fill="E7E7E8"/>
          </w:tcPr>
          <w:p>
            <w:pPr>
              <w:spacing w:after="0"/>
              <w:rPr>
                <w:sz w:val="14"/>
                <w:szCs w:val="14"/>
                <w:color w:val="auto"/>
              </w:rPr>
            </w:pP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14"/>
                <w:szCs w:val="14"/>
                <w:color w:val="auto"/>
              </w:rPr>
            </w:pPr>
          </w:p>
        </w:tc>
        <w:tc>
          <w:tcPr>
            <w:tcW w:w="26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16"/>
        </w:trPr>
        <w:tc>
          <w:tcPr>
            <w:tcW w:w="3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31</w:t>
            </w:r>
          </w:p>
        </w:tc>
        <w:tc>
          <w:tcPr>
            <w:tcW w:w="160" w:type="dxa"/>
            <w:vAlign w:val="bottom"/>
            <w:vMerge w:val="continue"/>
            <w:shd w:val="clear" w:color="auto" w:fill="E7E7E8"/>
          </w:tcPr>
          <w:p>
            <w:pPr>
              <w:spacing w:after="0"/>
              <w:rPr>
                <w:sz w:val="18"/>
                <w:szCs w:val="18"/>
                <w:color w:val="auto"/>
              </w:rPr>
            </w:pPr>
          </w:p>
        </w:tc>
        <w:tc>
          <w:tcPr>
            <w:tcW w:w="102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vMerge w:val="continue"/>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360" w:type="dxa"/>
            <w:vAlign w:val="bottom"/>
            <w:gridSpan w:val="3"/>
            <w:vMerge w:val="continue"/>
            <w:shd w:val="clear" w:color="auto" w:fill="E7E7E8"/>
          </w:tcPr>
          <w:p>
            <w:pPr>
              <w:spacing w:after="0"/>
              <w:rPr>
                <w:sz w:val="18"/>
                <w:szCs w:val="18"/>
                <w:color w:val="auto"/>
              </w:rPr>
            </w:pPr>
          </w:p>
        </w:tc>
        <w:tc>
          <w:tcPr>
            <w:tcW w:w="80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460" w:type="dxa"/>
            <w:vAlign w:val="bottom"/>
            <w:vMerge w:val="continue"/>
            <w:shd w:val="clear" w:color="auto" w:fill="E7E7E8"/>
          </w:tcPr>
          <w:p>
            <w:pPr>
              <w:spacing w:after="0"/>
              <w:rPr>
                <w:sz w:val="18"/>
                <w:szCs w:val="18"/>
                <w:color w:val="auto"/>
              </w:rPr>
            </w:pPr>
          </w:p>
        </w:tc>
        <w:tc>
          <w:tcPr>
            <w:tcW w:w="88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vMerge w:val="continue"/>
            <w:shd w:val="clear" w:color="auto" w:fill="E7E7E8"/>
          </w:tcPr>
          <w:p>
            <w:pPr>
              <w:spacing w:after="0"/>
              <w:rPr>
                <w:sz w:val="18"/>
                <w:szCs w:val="18"/>
                <w:color w:val="auto"/>
              </w:rPr>
            </w:pPr>
          </w:p>
        </w:tc>
        <w:tc>
          <w:tcPr>
            <w:tcW w:w="106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vMerge w:val="continue"/>
            <w:shd w:val="clear" w:color="auto" w:fill="E7E7E8"/>
          </w:tcPr>
          <w:p>
            <w:pPr>
              <w:spacing w:after="0"/>
              <w:rPr>
                <w:sz w:val="18"/>
                <w:szCs w:val="18"/>
                <w:color w:val="auto"/>
              </w:rPr>
            </w:pPr>
          </w:p>
        </w:tc>
        <w:tc>
          <w:tcPr>
            <w:tcW w:w="98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line="162" w:lineRule="exact"/>
              <w:rPr>
                <w:sz w:val="20"/>
                <w:szCs w:val="20"/>
                <w:color w:val="auto"/>
              </w:rPr>
            </w:pPr>
            <w:r>
              <w:rPr>
                <w:rFonts w:ascii="Arial" w:cs="Arial" w:eastAsia="Arial" w:hAnsi="Arial"/>
                <w:sz w:val="16"/>
                <w:szCs w:val="16"/>
                <w:color w:val="auto"/>
              </w:rPr>
              <w:t>Reclassification of liability to operating lease</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6"/>
                <w:szCs w:val="16"/>
                <w:color w:val="auto"/>
              </w:rPr>
              <w:t>asset at the adoption of ASC 842(a)</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E7E7E8"/>
          </w:tcPr>
          <w:p>
            <w:pPr>
              <w:spacing w:after="0"/>
              <w:rPr>
                <w:sz w:val="18"/>
                <w:szCs w:val="18"/>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4,526</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4,543</w:t>
            </w:r>
          </w:p>
        </w:tc>
        <w:tc>
          <w:tcPr>
            <w:tcW w:w="12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1,985</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6"/>
                <w:szCs w:val="16"/>
                <w:color w:val="auto"/>
              </w:rPr>
              <w:t>Cash payments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216"/>
        </w:trPr>
        <w:tc>
          <w:tcPr>
            <w:tcW w:w="3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E7E7E8"/>
          </w:tcPr>
          <w:p>
            <w:pPr>
              <w:spacing w:after="0"/>
              <w:rPr>
                <w:sz w:val="18"/>
                <w:szCs w:val="18"/>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Non-cash movements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E7E7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E7E7E8"/>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35"/>
        </w:trPr>
        <w:tc>
          <w:tcPr>
            <w:tcW w:w="34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E7E7E8"/>
          </w:tcPr>
          <w:p>
            <w:pPr>
              <w:spacing w:after="0"/>
              <w:rPr>
                <w:sz w:val="19"/>
                <w:szCs w:val="19"/>
                <w:color w:val="auto"/>
              </w:rPr>
            </w:pPr>
          </w:p>
        </w:tc>
        <w:tc>
          <w:tcPr>
            <w:tcW w:w="100" w:type="dxa"/>
            <w:vAlign w:val="bottom"/>
            <w:tcBorders>
              <w:bottom w:val="single" w:sz="8" w:color="E7E7E8"/>
            </w:tcBorders>
            <w:shd w:val="clear" w:color="auto" w:fill="E7E7E8"/>
          </w:tcPr>
          <w:p>
            <w:pPr>
              <w:spacing w:after="0"/>
              <w:rPr>
                <w:sz w:val="19"/>
                <w:szCs w:val="19"/>
                <w:color w:val="auto"/>
              </w:rPr>
            </w:pP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E7E7E8"/>
            </w:tcBorders>
            <w:shd w:val="clear" w:color="auto" w:fill="E7E7E8"/>
          </w:tcPr>
          <w:p>
            <w:pPr>
              <w:spacing w:after="0"/>
              <w:rPr>
                <w:sz w:val="19"/>
                <w:szCs w:val="19"/>
                <w:color w:val="auto"/>
              </w:rPr>
            </w:pPr>
          </w:p>
        </w:tc>
        <w:tc>
          <w:tcPr>
            <w:tcW w:w="4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
        </w:trPr>
        <w:tc>
          <w:tcPr>
            <w:tcW w:w="346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6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The restructuring charges for the three and nine months ended September 30, 2020 are primarily driven by termination costs as a result of the elimination of positions due to the Merger and reductions in force as a result of COVID-19.</w:t>
      </w:r>
    </w:p>
    <w:p>
      <w:pPr>
        <w:spacing w:after="0" w:line="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restructuring charges for the three and nine months ended September 30, 2019 primarily relate to employee termination costs in order to capture operating synergies as a result of integrating ModSpace into WillScot. These costs were primarily the termination of employees in connection with the consolidation of overlapping facilities and functions within the existing business.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(as defined in Footnote 17)</w:t>
      </w:r>
    </w:p>
    <w:p>
      <w:pPr>
        <w:spacing w:after="0" w:line="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$3.9 million of restructuring charges for the three months ended September 30, 2020 includes $0.3 million of charges related to the NA Modular segment, $3.3 million of charges related to the NA Storage segment and $0.3 million of charges related to the UK Storage segment.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entire $0.6 million of restructuring charges for the three months ended September 30, 2019 pertain to the NA Modular segment.</w:t>
      </w:r>
    </w:p>
    <w:p>
      <w:pPr>
        <w:spacing w:after="0" w:line="46"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The $4.5 million of restructuring charges for the nine months ended September 30, 2020 includes $0.9 million of charges pertaining to the NA Modular segment, $3.3 million of charges related to the NA Storage segment and $0.3 million of charges related to the UK Storage segment.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entire $3.9 million of restructuring charges for the nine months ended September 30, 2019 pertain to the NA Modular segment.</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1D2758"/>
        </w:rPr>
        <w:t>NOTE 14 - Stock-Based Compensation</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Prior to the Merger, stock awards were granted under the WillScot Corporation 2017 Incentive Plan (the "2017 Incentive Plan"), which included Restricted Stock Awards ("RSAs") and Restricted Stock Units ("RSUs") as outlined below.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are granted under the 2020 Incentive Plan.</w:t>
      </w:r>
    </w:p>
    <w:p>
      <w:pPr>
        <w:spacing w:after="0" w:line="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2020 Incentive Plan included grants of stock options, time-based RSUs ("Time-Based RSUs"), and market-based RSUs ("Market-Based RSUs" together with the time-based RSUs, the "RSUs"), which are recognized in the financial statements based on their fair value. In addition, stock-based compensation to non-executive directors include grants of RSAs. The 2020 Incentive Plan continues Market-Based RSU's renamed as "Performance-Based RSUs".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as of September 30,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78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78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shd w:val="clear" w:color="auto" w:fill="E7E7E8"/>
          </w:tcPr>
          <w:p>
            <w:pPr>
              <w:jc w:val="center"/>
              <w:ind w:left="979"/>
              <w:spacing w:after="0"/>
              <w:rPr>
                <w:sz w:val="20"/>
                <w:szCs w:val="20"/>
                <w:color w:val="auto"/>
              </w:rPr>
            </w:pPr>
            <w:r>
              <w:rPr>
                <w:rFonts w:ascii="Arial" w:cs="Arial" w:eastAsia="Arial" w:hAnsi="Arial"/>
                <w:sz w:val="16"/>
                <w:szCs w:val="16"/>
                <w:color w:val="auto"/>
              </w:rPr>
              <w:t>52,755</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16"/>
        </w:trPr>
        <w:tc>
          <w:tcPr>
            <w:tcW w:w="77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80" w:type="dxa"/>
            <w:vAlign w:val="bottom"/>
          </w:tcPr>
          <w:p>
            <w:pPr>
              <w:jc w:val="center"/>
              <w:ind w:left="979"/>
              <w:spacing w:after="0"/>
              <w:rPr>
                <w:sz w:val="20"/>
                <w:szCs w:val="20"/>
                <w:color w:val="auto"/>
              </w:rPr>
            </w:pPr>
            <w:r>
              <w:rPr>
                <w:rFonts w:ascii="Arial" w:cs="Arial" w:eastAsia="Arial" w:hAnsi="Arial"/>
                <w:sz w:val="16"/>
                <w:szCs w:val="16"/>
                <w:color w:val="auto"/>
              </w:rPr>
              <w:t>65,959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shd w:val="clear" w:color="auto" w:fill="E7E7E8"/>
          </w:tcPr>
          <w:p>
            <w:pPr>
              <w:jc w:val="center"/>
              <w:ind w:left="959"/>
              <w:spacing w:after="0"/>
              <w:rPr>
                <w:sz w:val="20"/>
                <w:szCs w:val="20"/>
                <w:color w:val="auto"/>
              </w:rPr>
            </w:pPr>
            <w:r>
              <w:rPr>
                <w:rFonts w:ascii="Arial" w:cs="Arial" w:eastAsia="Arial" w:hAnsi="Arial"/>
                <w:sz w:val="16"/>
                <w:szCs w:val="16"/>
                <w:color w:val="auto"/>
              </w:rPr>
              <w:t>(61,266)</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168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color w:val="auto"/>
              </w:rPr>
              <w:t>57,448</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jc w:val="both"/>
        <w:ind w:firstLine="648"/>
        <w:spacing w:after="0" w:line="261"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$0.3 million for the three months ended September 30, 2020 and 2019. Compensation expense for RSAs was $0.7 million and $0.8 million for the nine months ended September 30, 2020 and 2019, respectively. At September 30, 2020, there was $0.4 million of unrecognized compensation cost related to RSAs that is expected to be recognized over the remaining weighted average vesting period of 0.6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Time-Based RSU activity as of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78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78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1,065,305</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6"/>
        </w:trPr>
        <w:tc>
          <w:tcPr>
            <w:tcW w:w="77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632,864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Vested</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(323,678)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(22,728)</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September 30, 2020</w:t>
            </w:r>
          </w:p>
        </w:tc>
        <w:tc>
          <w:tcPr>
            <w:tcW w:w="1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1,351,763</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0"/>
        </w:trPr>
        <w:tc>
          <w:tcPr>
            <w:tcW w:w="7760" w:type="dxa"/>
            <w:vAlign w:val="bottom"/>
            <w:tcBorders>
              <w:top w:val="single" w:sz="8" w:color="E7E7E8"/>
            </w:tcBorders>
          </w:tcPr>
          <w:p>
            <w:pPr>
              <w:spacing w:after="0" w:line="20" w:lineRule="exact"/>
              <w:rPr>
                <w:sz w:val="1"/>
                <w:szCs w:val="1"/>
                <w:color w:val="auto"/>
              </w:rPr>
            </w:pPr>
          </w:p>
        </w:tc>
        <w:tc>
          <w:tcPr>
            <w:tcW w:w="16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$1.6 million and $1.0 million for the three months ended September 30, 2020 and 2019, respectively. Compensation expense for Time-Based RSUs was $3.9 million and $2.9 million for the nine months ended September 30, 2020 and 2019, respectively. At September 30, 2020, unrecognized compensation cost related to Time-Based RSUs totaled $15.2 million and is expected to be recognized over the remaining weighted average vesting period of 2.7 years.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Performance-Based RSU award activity as of September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shd w:val="clear" w:color="auto" w:fill="1D2758"/>
          </w:tcPr>
          <w:p>
            <w:pPr>
              <w:spacing w:after="0"/>
              <w:rPr>
                <w:sz w:val="16"/>
                <w:szCs w:val="16"/>
                <w:color w:val="auto"/>
              </w:rPr>
            </w:pPr>
          </w:p>
        </w:tc>
        <w:tc>
          <w:tcPr>
            <w:tcW w:w="178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1D2758"/>
          </w:tcPr>
          <w:p>
            <w:pPr>
              <w:spacing w:after="0"/>
              <w:rPr>
                <w:sz w:val="16"/>
                <w:szCs w:val="16"/>
                <w:color w:val="auto"/>
              </w:rPr>
            </w:pPr>
          </w:p>
        </w:tc>
        <w:tc>
          <w:tcPr>
            <w:tcW w:w="158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7760" w:type="dxa"/>
            <w:vAlign w:val="bottom"/>
            <w:shd w:val="clear" w:color="auto" w:fill="1D2758"/>
          </w:tcPr>
          <w:p>
            <w:pPr>
              <w:spacing w:after="0"/>
              <w:rPr>
                <w:sz w:val="18"/>
                <w:szCs w:val="18"/>
                <w:color w:val="auto"/>
              </w:rPr>
            </w:pPr>
          </w:p>
        </w:tc>
        <w:tc>
          <w:tcPr>
            <w:tcW w:w="178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288,281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6"/>
        </w:trPr>
        <w:tc>
          <w:tcPr>
            <w:tcW w:w="77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325,256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6"/>
        </w:trPr>
        <w:tc>
          <w:tcPr>
            <w:tcW w:w="7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(12,700)</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600,837</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Performance-Based RSUs recognized in SG&amp;A on the condensed consolidated statements of operations was $0.8 million and $0.3 million for the three months ended September 30, 2020 and 2019, respectively. Compensation expense for Performance-Based RSUs was $1.7 million and $0.7 million for the nine months ended September 30, 2020 and 2019, respectively. At September 30, 2020, unrecognized compensation cost related to Performance-Based RSUs totaled $6.2 million and is expected to be recognized over the remaining vesting period of 2.0 years.</w:t>
      </w:r>
    </w:p>
    <w:p>
      <w:pPr>
        <w:spacing w:after="0" w:line="19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Performance-Based RSUs vest based on the Company’s TSR Percentile Ranking as compared against the TSR for the companies comprising the Russell 3000 Group, measured as of the end of the Performance Period, based on the performance goals set forth in the award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1D2758"/>
          </w:tcPr>
          <w:p>
            <w:pPr>
              <w:spacing w:after="0"/>
              <w:rPr>
                <w:sz w:val="16"/>
                <w:szCs w:val="16"/>
                <w:color w:val="auto"/>
              </w:rPr>
            </w:pPr>
          </w:p>
        </w:tc>
        <w:tc>
          <w:tcPr>
            <w:tcW w:w="1700" w:type="dxa"/>
            <w:vAlign w:val="bottom"/>
            <w:shd w:val="clear" w:color="auto" w:fill="1D2758"/>
          </w:tcPr>
          <w:p>
            <w:pPr>
              <w:spacing w:after="0"/>
              <w:rPr>
                <w:sz w:val="16"/>
                <w:szCs w:val="16"/>
                <w:color w:val="auto"/>
              </w:rPr>
            </w:pPr>
          </w:p>
        </w:tc>
        <w:tc>
          <w:tcPr>
            <w:tcW w:w="200" w:type="dxa"/>
            <w:vAlign w:val="bottom"/>
            <w:shd w:val="clear" w:color="auto" w:fill="1D2758"/>
          </w:tcPr>
          <w:p>
            <w:pPr>
              <w:spacing w:after="0"/>
              <w:rPr>
                <w:sz w:val="16"/>
                <w:szCs w:val="16"/>
                <w:color w:val="auto"/>
              </w:rPr>
            </w:pPr>
          </w:p>
        </w:tc>
        <w:tc>
          <w:tcPr>
            <w:tcW w:w="166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Weighted-Average</w:t>
            </w:r>
          </w:p>
        </w:tc>
        <w:tc>
          <w:tcPr>
            <w:tcW w:w="170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Converted</w:t>
            </w:r>
          </w:p>
        </w:tc>
        <w:tc>
          <w:tcPr>
            <w:tcW w:w="180" w:type="dxa"/>
            <w:vAlign w:val="bottom"/>
            <w:shd w:val="clear" w:color="auto" w:fill="1D2758"/>
          </w:tcPr>
          <w:p>
            <w:pPr>
              <w:spacing w:after="0"/>
              <w:rPr>
                <w:sz w:val="16"/>
                <w:szCs w:val="16"/>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70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WillScot Options</w:t>
            </w:r>
          </w:p>
        </w:tc>
        <w:tc>
          <w:tcPr>
            <w:tcW w:w="200" w:type="dxa"/>
            <w:vAlign w:val="bottom"/>
            <w:shd w:val="clear" w:color="auto" w:fill="1D2758"/>
          </w:tcPr>
          <w:p>
            <w:pPr>
              <w:spacing w:after="0"/>
              <w:rPr>
                <w:sz w:val="14"/>
                <w:szCs w:val="14"/>
                <w:color w:val="auto"/>
              </w:rPr>
            </w:pPr>
          </w:p>
        </w:tc>
        <w:tc>
          <w:tcPr>
            <w:tcW w:w="1660" w:type="dxa"/>
            <w:vAlign w:val="bottom"/>
            <w:gridSpan w:val="2"/>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Exercise Price per</w:t>
            </w:r>
          </w:p>
        </w:tc>
        <w:tc>
          <w:tcPr>
            <w:tcW w:w="1700" w:type="dxa"/>
            <w:vAlign w:val="bottom"/>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580" w:type="dxa"/>
            <w:vAlign w:val="bottom"/>
            <w:shd w:val="clear" w:color="auto" w:fill="1D2758"/>
          </w:tcPr>
          <w:p>
            <w:pPr>
              <w:jc w:val="center"/>
              <w:ind w:right="39"/>
              <w:spacing w:after="0" w:line="162" w:lineRule="exact"/>
              <w:rPr>
                <w:sz w:val="20"/>
                <w:szCs w:val="20"/>
                <w:color w:val="auto"/>
              </w:rPr>
            </w:pPr>
            <w:r>
              <w:rPr>
                <w:rFonts w:ascii="Arial" w:cs="Arial" w:eastAsia="Arial" w:hAnsi="Arial"/>
                <w:sz w:val="16"/>
                <w:szCs w:val="16"/>
                <w:b w:val="1"/>
                <w:bCs w:val="1"/>
                <w:color w:val="FFFFFF"/>
              </w:rPr>
              <w:t>Exercise Price per</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70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66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Share</w:t>
            </w:r>
          </w:p>
        </w:tc>
        <w:tc>
          <w:tcPr>
            <w:tcW w:w="1700" w:type="dxa"/>
            <w:vAlign w:val="bottom"/>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Mobile Mini Options</w:t>
            </w:r>
          </w:p>
        </w:tc>
        <w:tc>
          <w:tcPr>
            <w:tcW w:w="180" w:type="dxa"/>
            <w:vAlign w:val="bottom"/>
            <w:shd w:val="clear" w:color="auto" w:fill="1D2758"/>
          </w:tcPr>
          <w:p>
            <w:pPr>
              <w:spacing w:after="0"/>
              <w:rPr>
                <w:sz w:val="18"/>
                <w:szCs w:val="18"/>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Share</w:t>
            </w:r>
          </w:p>
        </w:tc>
        <w:tc>
          <w:tcPr>
            <w:tcW w:w="0" w:type="dxa"/>
            <w:vAlign w:val="bottom"/>
          </w:tcPr>
          <w:p>
            <w:pPr>
              <w:spacing w:after="0"/>
              <w:rPr>
                <w:sz w:val="1"/>
                <w:szCs w:val="1"/>
                <w:color w:val="auto"/>
              </w:rPr>
            </w:pPr>
          </w:p>
        </w:tc>
      </w:tr>
      <w:tr>
        <w:trPr>
          <w:trHeight w:val="216"/>
        </w:trPr>
        <w:tc>
          <w:tcPr>
            <w:tcW w:w="42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options, December 31, 2019</w:t>
            </w: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534,188</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E7E7E8"/>
          </w:tcPr>
          <w:p>
            <w:pPr>
              <w:spacing w:after="0"/>
              <w:rPr>
                <w:sz w:val="18"/>
                <w:szCs w:val="18"/>
                <w:color w:val="auto"/>
              </w:rPr>
            </w:pP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6"/>
                <w:szCs w:val="16"/>
                <w:color w:val="auto"/>
              </w:rPr>
              <w:t>Converted at Merger</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7,361,516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6"/>
        </w:trPr>
        <w:tc>
          <w:tcPr>
            <w:tcW w:w="42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Exercised</w:t>
            </w:r>
          </w:p>
        </w:tc>
        <w:tc>
          <w:tcPr>
            <w:tcW w:w="1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(259,708)</w:t>
            </w:r>
          </w:p>
        </w:tc>
        <w:tc>
          <w:tcPr>
            <w:tcW w:w="18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Outstanding options, September 30, 2020</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E7E7E8"/>
            </w:tcBorders>
          </w:tcPr>
          <w:p>
            <w:pPr>
              <w:spacing w:after="0"/>
              <w:rPr>
                <w:sz w:val="18"/>
                <w:szCs w:val="18"/>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7,101,808</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Fully vested and exercisable options, September 30, 2020</w:t>
            </w:r>
          </w:p>
        </w:tc>
        <w:tc>
          <w:tcPr>
            <w:tcW w:w="1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267,094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E7E7E8"/>
            </w:tcBorders>
            <w:shd w:val="clear" w:color="auto" w:fill="E7E7E8"/>
          </w:tcPr>
          <w:p>
            <w:pPr>
              <w:spacing w:after="0"/>
              <w:rPr>
                <w:sz w:val="19"/>
                <w:szCs w:val="19"/>
                <w:color w:val="auto"/>
              </w:rPr>
            </w:pPr>
          </w:p>
        </w:tc>
        <w:tc>
          <w:tcPr>
            <w:tcW w:w="1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7,101,808</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0"/>
        </w:trPr>
        <w:tc>
          <w:tcPr>
            <w:tcW w:w="4220" w:type="dxa"/>
            <w:vAlign w:val="bottom"/>
            <w:tcBorders>
              <w:top w:val="single" w:sz="8" w:color="E7E7E8"/>
            </w:tcBorders>
          </w:tcPr>
          <w:p>
            <w:pPr>
              <w:spacing w:after="0" w:line="20" w:lineRule="exact"/>
              <w:rPr>
                <w:sz w:val="1"/>
                <w:szCs w:val="1"/>
                <w:color w:val="auto"/>
              </w:rPr>
            </w:pPr>
          </w:p>
        </w:tc>
        <w:tc>
          <w:tcPr>
            <w:tcW w:w="170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7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WillScot Options</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for the three months ended September 30, 2020 and 2019. Compensation expense for stock option awards was $0.6 million for the nine months ended September 30, 2020 and 2019. At September 30, 2020, unrecognized compensation cost related to stock option awards totaled $1.1 million and is expected to be recognized over the remaining vesting period of 1.5 years.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Conversion of Mobile Mini Options at the Merger</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value of stock options converted was determined utilizing the Black-Scholes option-pricing model, and is affected by several variables, the most significant of which are the life of the equity award, the exercise price of the stock option as compared to the fair market value of the Common Stock on the Merger date, and the estimated volatility of the Common Stock over the term of the equity award. Estimated volatility is based on the historical volatility of the Company’s Common Stock. The risk-free interest rate is based on the U.S. Treasury yield curve in effect at the time of the Merger.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28" w:name="page29"/>
    <w:bookmarkEnd w:id="28"/>
    <w:p>
      <w:pPr>
        <w:spacing w:after="0"/>
        <w:rPr>
          <w:sz w:val="20"/>
          <w:szCs w:val="20"/>
          <w:color w:val="auto"/>
        </w:rPr>
      </w:pPr>
      <w:r>
        <w:rPr>
          <w:rFonts w:ascii="Arial" w:cs="Arial" w:eastAsia="Arial" w:hAnsi="Arial"/>
          <w:sz w:val="23"/>
          <w:szCs w:val="23"/>
          <w:color w:val="1D2758"/>
        </w:rPr>
        <w:t>NOTE 15 - Derivatives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2020 ABL Facility into fixed-rate debt. The Swap Agreement will terminate on May 29, 2022. Under the terms of the Swap Agreement, the Company receives a floating rate equal to 1 month LIBOR and makes payments based on a fixed rate of 3.06% on the notional amount. The receive rate under the terms of the Swap Agreement was 0.15% and 1.74% at September 30, 2020 and December 31, 2019, respectively.</w:t>
      </w:r>
    </w:p>
    <w:p>
      <w:pPr>
        <w:spacing w:after="0" w:line="1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700" w:type="dxa"/>
            <w:vAlign w:val="bottom"/>
            <w:shd w:val="clear" w:color="auto" w:fill="1D2758"/>
          </w:tcPr>
          <w:p>
            <w:pPr>
              <w:ind w:left="880"/>
              <w:spacing w:after="0"/>
              <w:rPr>
                <w:sz w:val="20"/>
                <w:szCs w:val="20"/>
                <w:color w:val="auto"/>
              </w:rPr>
            </w:pPr>
            <w:r>
              <w:rPr>
                <w:rFonts w:ascii="Arial" w:cs="Arial" w:eastAsia="Arial" w:hAnsi="Arial"/>
                <w:sz w:val="16"/>
                <w:szCs w:val="16"/>
                <w:b w:val="1"/>
                <w:bCs w:val="1"/>
                <w:color w:val="FFFFFF"/>
              </w:rPr>
              <w:t>Balance Sheet Location</w:t>
            </w:r>
          </w:p>
        </w:tc>
        <w:tc>
          <w:tcPr>
            <w:tcW w:w="1160" w:type="dxa"/>
            <w:vAlign w:val="bottom"/>
            <w:shd w:val="clear" w:color="auto" w:fill="1D2758"/>
          </w:tcPr>
          <w:p>
            <w:pPr>
              <w:spacing w:after="0"/>
              <w:rPr>
                <w:sz w:val="19"/>
                <w:szCs w:val="19"/>
                <w:color w:val="auto"/>
              </w:rPr>
            </w:pPr>
          </w:p>
        </w:tc>
        <w:tc>
          <w:tcPr>
            <w:tcW w:w="186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September 30, 2020</w:t>
            </w:r>
          </w:p>
        </w:tc>
        <w:tc>
          <w:tcPr>
            <w:tcW w:w="240" w:type="dxa"/>
            <w:vAlign w:val="bottom"/>
            <w:shd w:val="clear" w:color="auto" w:fill="1D2758"/>
          </w:tcPr>
          <w:p>
            <w:pPr>
              <w:spacing w:after="0"/>
              <w:rPr>
                <w:sz w:val="19"/>
                <w:szCs w:val="19"/>
                <w:color w:val="auto"/>
              </w:rPr>
            </w:pPr>
          </w:p>
        </w:tc>
        <w:tc>
          <w:tcPr>
            <w:tcW w:w="1880" w:type="dxa"/>
            <w:vAlign w:val="bottom"/>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December 31, 2019</w:t>
            </w:r>
          </w:p>
        </w:tc>
      </w:tr>
      <w:tr>
        <w:trPr>
          <w:trHeight w:val="229"/>
        </w:trPr>
        <w:tc>
          <w:tcPr>
            <w:tcW w:w="2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37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186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880" w:type="dxa"/>
            <w:vAlign w:val="bottom"/>
            <w:shd w:val="clear" w:color="auto" w:fill="E7E7E8"/>
          </w:tcPr>
          <w:p>
            <w:pPr>
              <w:spacing w:after="0"/>
              <w:rPr>
                <w:sz w:val="19"/>
                <w:szCs w:val="19"/>
                <w:color w:val="auto"/>
              </w:rPr>
            </w:pPr>
          </w:p>
        </w:tc>
      </w:tr>
      <w:tr>
        <w:trPr>
          <w:trHeight w:val="228"/>
        </w:trPr>
        <w:tc>
          <w:tcPr>
            <w:tcW w:w="240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3700" w:type="dxa"/>
            <w:vAlign w:val="bottom"/>
          </w:tcPr>
          <w:p>
            <w:pPr>
              <w:ind w:left="880"/>
              <w:spacing w:after="0"/>
              <w:rPr>
                <w:sz w:val="20"/>
                <w:szCs w:val="20"/>
                <w:color w:val="auto"/>
              </w:rPr>
            </w:pPr>
            <w:r>
              <w:rPr>
                <w:rFonts w:ascii="Arial" w:cs="Arial" w:eastAsia="Arial" w:hAnsi="Arial"/>
                <w:sz w:val="16"/>
                <w:szCs w:val="16"/>
                <w:color w:val="auto"/>
              </w:rPr>
              <w:t>Accrued liabilities</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11,463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5,348</w:t>
            </w:r>
          </w:p>
        </w:tc>
      </w:tr>
      <w:tr>
        <w:trPr>
          <w:trHeight w:val="231"/>
        </w:trPr>
        <w:tc>
          <w:tcPr>
            <w:tcW w:w="2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37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Other long-term liabilities</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8,205</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8,943</w:t>
            </w: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September 30, 2020 and December 31, 2019, respectively, for contracts involving the same attributes and maturity dates.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statements of operations for the nine months ending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940" w:type="dxa"/>
            <w:vAlign w:val="bottom"/>
            <w:shd w:val="clear" w:color="auto" w:fill="1D2758"/>
          </w:tcPr>
          <w:p>
            <w:pPr>
              <w:spacing w:after="0"/>
              <w:rPr>
                <w:sz w:val="19"/>
                <w:szCs w:val="19"/>
                <w:color w:val="auto"/>
              </w:rPr>
            </w:pPr>
          </w:p>
        </w:tc>
        <w:tc>
          <w:tcPr>
            <w:tcW w:w="156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24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recognized in OCI</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(5,061)</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(8,604)</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Location of loss recognized in income</w:t>
            </w:r>
          </w:p>
        </w:tc>
        <w:tc>
          <w:tcPr>
            <w:tcW w:w="1940" w:type="dxa"/>
            <w:vAlign w:val="bottom"/>
          </w:tcPr>
          <w:p>
            <w:pPr>
              <w:spacing w:after="0"/>
              <w:rPr>
                <w:sz w:val="18"/>
                <w:szCs w:val="18"/>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r>
      <w:tr>
        <w:trPr>
          <w:trHeight w:val="21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reclassified from AOCI into income (effective portion)</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(7,147)</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(2,018)</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9" w:name="page30"/>
    <w:bookmarkEnd w:id="29"/>
    <w:p>
      <w:pPr>
        <w:spacing w:after="0"/>
        <w:rPr>
          <w:sz w:val="20"/>
          <w:szCs w:val="20"/>
          <w:color w:val="auto"/>
        </w:rPr>
      </w:pPr>
      <w:r>
        <w:rPr>
          <w:rFonts w:ascii="Arial" w:cs="Arial" w:eastAsia="Arial" w:hAnsi="Arial"/>
          <w:sz w:val="23"/>
          <w:szCs w:val="23"/>
          <w:color w:val="1D2758"/>
        </w:rPr>
        <w:t>NOTE 16 - Commitments and Contingencies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September 30, 2020 and December 31, 2019, commitments for the acquisition of rental equipment and property, plant and equipment were $8.0 million and $4.5 million,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believes that there is no pending claim or lawsuit which, if adversely determined, would have a material effect on the Company’s financial condition, results of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23"/>
          <w:szCs w:val="23"/>
          <w:color w:val="1D2758"/>
        </w:rPr>
        <w:t>NOTE 17 - Segment Reporting</w:t>
      </w:r>
    </w:p>
    <w:p>
      <w:pPr>
        <w:spacing w:after="0" w:line="5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a result of the Merger, the Company has evaluated its operating structure and, accordingly, its segment structure and has determined it operates in four reportable segments as follows: North America Modular Solutions ("NA Modular"), North America Storage Solutions ("NA Storage"), United Kingdom Storage Solutions ("UK Storage") and Tank and Pump Solutions ("Tank and Pump"). The NA Modular segment aligns with the WillScot legacy business prior to the Merger and the NA Storage, UK Storage and Tank and Pump segments align with the Mobile Mini segments prior to the Merger. Total assets for each reportable segment are not available because the Company utilizes a centralized approach to working capital management. Transactions between reportable segments are not significant.</w:t>
      </w:r>
    </w:p>
    <w:p>
      <w:pPr>
        <w:spacing w:after="0" w:line="1"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In connection with the Merger, the Company determined its reportable segments as discussed above and retrospectively adjusted prior year's presentation to conform to the current presentation of reportable segments.</w:t>
      </w:r>
    </w:p>
    <w:p>
      <w:pPr>
        <w:spacing w:after="0" w:line="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Chief Operating Decision Maker ("CODM") evaluates business segment performance utilizing Adjusted EBITDA, which excludes certain items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nine months ended September 30, 2020 and 2019, respectively. Consistent with the financial statements, the segment results only include results from Mobile Mini's operations after July 1, 2020, the Merger date. Please refer to the Management Discussion &amp; Analysis of Financial Condition and Results of Operations included in this document, for pro forma results inclusive of Mobile Mini's financial results for periods prior to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8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920" w:type="dxa"/>
            <w:vAlign w:val="bottom"/>
            <w:gridSpan w:val="9"/>
            <w:shd w:val="clear" w:color="auto" w:fill="1D2758"/>
          </w:tcPr>
          <w:p>
            <w:pPr>
              <w:jc w:val="center"/>
              <w:ind w:right="119"/>
              <w:spacing w:after="0"/>
              <w:rPr>
                <w:sz w:val="20"/>
                <w:szCs w:val="20"/>
                <w:color w:val="auto"/>
              </w:rPr>
            </w:pPr>
            <w:r>
              <w:rPr>
                <w:rFonts w:ascii="Arial" w:cs="Arial" w:eastAsia="Arial" w:hAnsi="Arial"/>
                <w:sz w:val="16"/>
                <w:szCs w:val="16"/>
                <w:b w:val="1"/>
                <w:bCs w:val="1"/>
                <w:color w:val="FFFFFF"/>
              </w:rPr>
              <w:t>Three Months Ended September 30, 2020</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NA Modular</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jc w:val="right"/>
              <w:ind w:right="139"/>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Leasing</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192,243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77,041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15,399</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15,399</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300,082</w:t>
            </w:r>
          </w:p>
        </w:tc>
        <w:tc>
          <w:tcPr>
            <w:tcW w:w="0" w:type="dxa"/>
            <w:vAlign w:val="bottom"/>
          </w:tcPr>
          <w:p>
            <w:pPr>
              <w:spacing w:after="0"/>
              <w:rPr>
                <w:sz w:val="1"/>
                <w:szCs w:val="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6,938</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84,694</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19,360</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9,456</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423</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0" w:type="dxa"/>
            <w:vAlign w:val="bottom"/>
          </w:tcPr>
          <w:p>
            <w:pPr>
              <w:spacing w:after="0"/>
              <w:rPr>
                <w:sz w:val="1"/>
                <w:szCs w:val="1"/>
                <w:color w:val="auto"/>
              </w:rPr>
            </w:pPr>
          </w:p>
        </w:tc>
      </w:tr>
      <w:tr>
        <w:trPr>
          <w:trHeight w:val="209"/>
        </w:trPr>
        <w:tc>
          <w:tcPr>
            <w:tcW w:w="3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23,302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417,315</w:t>
            </w:r>
          </w:p>
        </w:tc>
        <w:tc>
          <w:tcPr>
            <w:tcW w:w="0" w:type="dxa"/>
            <w:vAlign w:val="bottom"/>
          </w:tcPr>
          <w:p>
            <w:pPr>
              <w:spacing w:after="0"/>
              <w:rPr>
                <w:sz w:val="1"/>
                <w:szCs w:val="1"/>
                <w:color w:val="auto"/>
              </w:rPr>
            </w:pPr>
          </w:p>
        </w:tc>
      </w:tr>
      <w:tr>
        <w:trPr>
          <w:trHeight w:val="257"/>
        </w:trPr>
        <w:tc>
          <w:tcPr>
            <w:tcW w:w="386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8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6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24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88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64,788</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Delivery and installation</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44,465</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3,240</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5,529</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66,354</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9,484</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374</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12,935</w:t>
            </w:r>
          </w:p>
        </w:tc>
        <w:tc>
          <w:tcPr>
            <w:tcW w:w="0" w:type="dxa"/>
            <w:vAlign w:val="bottom"/>
          </w:tcPr>
          <w:p>
            <w:pPr>
              <w:spacing w:after="0"/>
              <w:rPr>
                <w:sz w:val="1"/>
                <w:szCs w:val="1"/>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8,837</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45,967</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3,254</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10"/>
        </w:trPr>
        <w:tc>
          <w:tcPr>
            <w:tcW w:w="38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112,079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209,564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7E7E8"/>
            </w:tcBorders>
          </w:tcPr>
          <w:p>
            <w:pPr>
              <w:spacing w:after="0" w:line="20" w:lineRule="exact"/>
              <w:rPr>
                <w:sz w:val="1"/>
                <w:szCs w:val="1"/>
                <w:color w:val="auto"/>
              </w:rPr>
            </w:pPr>
          </w:p>
        </w:tc>
        <w:tc>
          <w:tcPr>
            <w:tcW w:w="124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30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100,281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46,465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8,306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163,559</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 (a)</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58,935</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31,368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6,177</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62,257</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164,270</w:t>
            </w: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line="162" w:lineRule="exact"/>
              <w:rPr>
                <w:sz w:val="20"/>
                <w:szCs w:val="20"/>
                <w:color w:val="auto"/>
              </w:rPr>
            </w:pPr>
            <w:r>
              <w:rPr>
                <w:rFonts w:ascii="Arial" w:cs="Arial" w:eastAsia="Arial" w:hAnsi="Arial"/>
                <w:sz w:val="16"/>
                <w:szCs w:val="16"/>
                <w:color w:val="auto"/>
              </w:rPr>
              <w:t>Purchases of rental equipment and</w:t>
            </w:r>
          </w:p>
        </w:tc>
        <w:tc>
          <w:tcPr>
            <w:tcW w:w="300" w:type="dxa"/>
            <w:vAlign w:val="bottom"/>
          </w:tcPr>
          <w:p>
            <w:pPr>
              <w:jc w:val="right"/>
              <w:ind w:right="99"/>
              <w:spacing w:after="0" w:line="162"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34,249</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7,234</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677</w:t>
            </w:r>
          </w:p>
        </w:tc>
        <w:tc>
          <w:tcPr>
            <w:tcW w:w="100" w:type="dxa"/>
            <w:vAlign w:val="bottom"/>
          </w:tcPr>
          <w:p>
            <w:pPr>
              <w:spacing w:after="0"/>
              <w:rPr>
                <w:sz w:val="14"/>
                <w:szCs w:val="14"/>
                <w:color w:val="auto"/>
              </w:rPr>
            </w:pPr>
          </w:p>
        </w:tc>
        <w:tc>
          <w:tcPr>
            <w:tcW w:w="160" w:type="dxa"/>
            <w:vAlign w:val="bottom"/>
          </w:tcPr>
          <w:p>
            <w:pPr>
              <w:jc w:val="center"/>
              <w:spacing w:after="0" w:line="162"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431</w:t>
            </w:r>
          </w:p>
        </w:tc>
        <w:tc>
          <w:tcPr>
            <w:tcW w:w="2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line="162"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42,591</w:t>
            </w:r>
          </w:p>
        </w:tc>
        <w:tc>
          <w:tcPr>
            <w:tcW w:w="0" w:type="dxa"/>
            <w:vAlign w:val="bottom"/>
          </w:tcPr>
          <w:p>
            <w:pPr>
              <w:spacing w:after="0"/>
              <w:rPr>
                <w:sz w:val="1"/>
                <w:szCs w:val="1"/>
                <w:color w:val="auto"/>
              </w:rPr>
            </w:pPr>
          </w:p>
        </w:tc>
      </w:tr>
      <w:tr>
        <w:trPr>
          <w:trHeight w:val="219"/>
        </w:trPr>
        <w:tc>
          <w:tcPr>
            <w:tcW w:w="3860" w:type="dxa"/>
            <w:vAlign w:val="bottom"/>
          </w:tcPr>
          <w:p>
            <w:pPr>
              <w:ind w:left="220"/>
              <w:spacing w:after="0"/>
              <w:rPr>
                <w:sz w:val="20"/>
                <w:szCs w:val="20"/>
                <w:color w:val="auto"/>
              </w:rPr>
            </w:pPr>
            <w:r>
              <w:rPr>
                <w:rFonts w:ascii="Arial" w:cs="Arial" w:eastAsia="Arial" w:hAnsi="Arial"/>
                <w:sz w:val="16"/>
                <w:szCs w:val="16"/>
                <w:color w:val="auto"/>
              </w:rPr>
              <w:t>refurbishments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both SG&amp;A and Merger transaction costs from the condensed consolidated statement of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940" w:type="dxa"/>
            <w:vAlign w:val="bottom"/>
            <w:gridSpan w:val="9"/>
            <w:shd w:val="clear" w:color="auto" w:fill="1D2758"/>
          </w:tcPr>
          <w:p>
            <w:pPr>
              <w:ind w:left="780"/>
              <w:spacing w:after="0"/>
              <w:rPr>
                <w:sz w:val="20"/>
                <w:szCs w:val="20"/>
                <w:color w:val="auto"/>
              </w:rPr>
            </w:pPr>
            <w:r>
              <w:rPr>
                <w:rFonts w:ascii="Arial" w:cs="Arial" w:eastAsia="Arial" w:hAnsi="Arial"/>
                <w:sz w:val="16"/>
                <w:szCs w:val="16"/>
                <w:b w:val="1"/>
                <w:bCs w:val="1"/>
                <w:color w:val="FFFFFF"/>
              </w:rPr>
              <w:t>Three Months Ended September 30, 2019</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Modular</w:t>
            </w:r>
          </w:p>
        </w:tc>
        <w:tc>
          <w:tcPr>
            <w:tcW w:w="10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ind w:left="60"/>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60" w:type="dxa"/>
            <w:vAlign w:val="bottom"/>
            <w:shd w:val="clear" w:color="auto" w:fill="1D2758"/>
          </w:tcPr>
          <w:p>
            <w:pPr>
              <w:jc w:val="right"/>
              <w:ind w:right="21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ind w:left="180"/>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188,403</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188,403</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61,008</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268,222</w:t>
            </w:r>
          </w:p>
        </w:tc>
        <w:tc>
          <w:tcPr>
            <w:tcW w:w="0" w:type="dxa"/>
            <w:vAlign w:val="bottom"/>
          </w:tcPr>
          <w:p>
            <w:pPr>
              <w:spacing w:after="0"/>
              <w:rPr>
                <w:sz w:val="1"/>
                <w:szCs w:val="1"/>
                <w:color w:val="auto"/>
              </w:rPr>
            </w:pPr>
          </w:p>
        </w:tc>
      </w:tr>
      <w:tr>
        <w:trPr>
          <w:trHeight w:val="257"/>
        </w:trPr>
        <w:tc>
          <w:tcPr>
            <w:tcW w:w="386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8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6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26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88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Leasing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58,168</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Delivery and installation</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54,364</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54,364</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7,421</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43,869</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43,869</w:t>
            </w:r>
          </w:p>
        </w:tc>
        <w:tc>
          <w:tcPr>
            <w:tcW w:w="0" w:type="dxa"/>
            <w:vAlign w:val="bottom"/>
          </w:tcPr>
          <w:p>
            <w:pPr>
              <w:spacing w:after="0"/>
              <w:rPr>
                <w:sz w:val="1"/>
                <w:szCs w:val="1"/>
                <w:color w:val="auto"/>
              </w:rPr>
            </w:pPr>
          </w:p>
        </w:tc>
      </w:tr>
      <w:tr>
        <w:trPr>
          <w:trHeight w:val="210"/>
        </w:trPr>
        <w:tc>
          <w:tcPr>
            <w:tcW w:w="386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99,308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99,308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E7E7E8"/>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7E7E8"/>
            </w:tcBorders>
          </w:tcPr>
          <w:p>
            <w:pPr>
              <w:spacing w:after="0" w:line="20" w:lineRule="exact"/>
              <w:rPr>
                <w:sz w:val="1"/>
                <w:szCs w:val="1"/>
                <w:color w:val="auto"/>
              </w:rPr>
            </w:pPr>
          </w:p>
        </w:tc>
        <w:tc>
          <w:tcPr>
            <w:tcW w:w="12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80" w:type="dxa"/>
            <w:vAlign w:val="bottom"/>
            <w:shd w:val="clear" w:color="auto" w:fill="E7E7E8"/>
          </w:tcPr>
          <w:p>
            <w:pPr>
              <w:spacing w:after="0"/>
              <w:rPr>
                <w:sz w:val="15"/>
                <w:szCs w:val="15"/>
                <w:color w:val="auto"/>
              </w:rPr>
            </w:pPr>
          </w:p>
        </w:tc>
        <w:tc>
          <w:tcPr>
            <w:tcW w:w="84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020" w:type="dxa"/>
            <w:vAlign w:val="bottom"/>
            <w:shd w:val="clear" w:color="auto" w:fill="E7E7E8"/>
          </w:tcPr>
          <w:p>
            <w:pPr>
              <w:spacing w:after="0"/>
              <w:rPr>
                <w:sz w:val="15"/>
                <w:szCs w:val="15"/>
                <w:color w:val="auto"/>
              </w:rPr>
            </w:pPr>
          </w:p>
        </w:tc>
        <w:tc>
          <w:tcPr>
            <w:tcW w:w="8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87,424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87,424</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56,120</w:t>
            </w:r>
          </w:p>
        </w:tc>
        <w:tc>
          <w:tcPr>
            <w:tcW w:w="100" w:type="dxa"/>
            <w:vAlign w:val="bottom"/>
            <w:shd w:val="clear" w:color="auto" w:fill="E7E7E8"/>
          </w:tcPr>
          <w:p>
            <w:pPr>
              <w:spacing w:after="0"/>
              <w:rPr>
                <w:sz w:val="18"/>
                <w:szCs w:val="18"/>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8,872</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64,992</w:t>
            </w: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line="162" w:lineRule="exact"/>
              <w:rPr>
                <w:sz w:val="20"/>
                <w:szCs w:val="20"/>
                <w:color w:val="auto"/>
              </w:rPr>
            </w:pPr>
            <w:r>
              <w:rPr>
                <w:rFonts w:ascii="Arial" w:cs="Arial" w:eastAsia="Arial" w:hAnsi="Arial"/>
                <w:sz w:val="16"/>
                <w:szCs w:val="16"/>
                <w:color w:val="auto"/>
              </w:rPr>
              <w:t>Purchases of rental equipment and</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47,789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47,789</w:t>
            </w:r>
          </w:p>
        </w:tc>
        <w:tc>
          <w:tcPr>
            <w:tcW w:w="0" w:type="dxa"/>
            <w:vAlign w:val="bottom"/>
          </w:tcPr>
          <w:p>
            <w:pPr>
              <w:spacing w:after="0"/>
              <w:rPr>
                <w:sz w:val="1"/>
                <w:szCs w:val="1"/>
                <w:color w:val="auto"/>
              </w:rPr>
            </w:pPr>
          </w:p>
        </w:tc>
      </w:tr>
      <w:tr>
        <w:trPr>
          <w:trHeight w:val="219"/>
        </w:trPr>
        <w:tc>
          <w:tcPr>
            <w:tcW w:w="3860" w:type="dxa"/>
            <w:vAlign w:val="bottom"/>
          </w:tcPr>
          <w:p>
            <w:pPr>
              <w:ind w:left="220"/>
              <w:spacing w:after="0"/>
              <w:rPr>
                <w:sz w:val="20"/>
                <w:szCs w:val="20"/>
                <w:color w:val="auto"/>
              </w:rPr>
            </w:pPr>
            <w:r>
              <w:rPr>
                <w:rFonts w:ascii="Arial" w:cs="Arial" w:eastAsia="Arial" w:hAnsi="Arial"/>
                <w:sz w:val="16"/>
                <w:szCs w:val="16"/>
                <w:color w:val="auto"/>
              </w:rPr>
              <w:t>refurbishments</w:t>
            </w:r>
          </w:p>
        </w:tc>
        <w:tc>
          <w:tcPr>
            <w:tcW w:w="2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8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920" w:type="dxa"/>
            <w:vAlign w:val="bottom"/>
            <w:gridSpan w:val="9"/>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Nine Months Ended September 30, 2020</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NA Modular</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jc w:val="right"/>
              <w:ind w:right="139"/>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Leasing</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570,738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77,041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15,399</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15,399</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678,577</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Delivery and installation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6,938</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187,404</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38,736</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21,558</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423</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780,550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23,302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929,998</w:t>
            </w:r>
          </w:p>
        </w:tc>
        <w:tc>
          <w:tcPr>
            <w:tcW w:w="0" w:type="dxa"/>
            <w:vAlign w:val="bottom"/>
          </w:tcPr>
          <w:p>
            <w:pPr>
              <w:spacing w:after="0"/>
              <w:rPr>
                <w:sz w:val="1"/>
                <w:szCs w:val="1"/>
                <w:color w:val="auto"/>
              </w:rPr>
            </w:pPr>
          </w:p>
        </w:tc>
      </w:tr>
      <w:tr>
        <w:trPr>
          <w:trHeight w:val="270"/>
        </w:trPr>
        <w:tc>
          <w:tcPr>
            <w:tcW w:w="3860" w:type="dxa"/>
            <w:vAlign w:val="bottom"/>
            <w:shd w:val="clear" w:color="auto" w:fill="E7E7E8"/>
          </w:tcPr>
          <w:p>
            <w:pPr>
              <w:spacing w:after="0"/>
              <w:rPr>
                <w:sz w:val="23"/>
                <w:szCs w:val="23"/>
                <w:color w:val="auto"/>
              </w:rPr>
            </w:pPr>
          </w:p>
        </w:tc>
        <w:tc>
          <w:tcPr>
            <w:tcW w:w="300" w:type="dxa"/>
            <w:vAlign w:val="bottom"/>
            <w:shd w:val="clear" w:color="auto" w:fill="E7E7E8"/>
          </w:tcPr>
          <w:p>
            <w:pPr>
              <w:spacing w:after="0"/>
              <w:rPr>
                <w:sz w:val="23"/>
                <w:szCs w:val="23"/>
                <w:color w:val="auto"/>
              </w:rPr>
            </w:pPr>
          </w:p>
        </w:tc>
        <w:tc>
          <w:tcPr>
            <w:tcW w:w="8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0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0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96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124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88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Leasing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162,344</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Delivery and installation</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131,853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3,240</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5,529</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153,742</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30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22,018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374</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25,469</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16,446</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shd w:val="clear" w:color="auto" w:fill="E7E7E8"/>
          </w:tcPr>
          <w:p>
            <w:pPr>
              <w:spacing w:after="0"/>
              <w:rPr>
                <w:sz w:val="18"/>
                <w:szCs w:val="18"/>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137,409</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3,254</w:t>
            </w:r>
          </w:p>
        </w:tc>
        <w:tc>
          <w:tcPr>
            <w:tcW w:w="2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146,279</w:t>
            </w:r>
          </w:p>
        </w:tc>
        <w:tc>
          <w:tcPr>
            <w:tcW w:w="0" w:type="dxa"/>
            <w:vAlign w:val="bottom"/>
          </w:tcPr>
          <w:p>
            <w:pPr>
              <w:spacing w:after="0"/>
              <w:rPr>
                <w:sz w:val="1"/>
                <w:szCs w:val="1"/>
                <w:color w:val="auto"/>
              </w:rPr>
            </w:pPr>
          </w:p>
        </w:tc>
      </w:tr>
      <w:tr>
        <w:trPr>
          <w:trHeight w:val="209"/>
        </w:trPr>
        <w:tc>
          <w:tcPr>
            <w:tcW w:w="386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328,233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425,718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E7E7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7E7E8"/>
            </w:tcBorders>
          </w:tcPr>
          <w:p>
            <w:pPr>
              <w:spacing w:after="0" w:line="20" w:lineRule="exact"/>
              <w:rPr>
                <w:sz w:val="1"/>
                <w:szCs w:val="1"/>
                <w:color w:val="auto"/>
              </w:rPr>
            </w:pPr>
          </w:p>
        </w:tc>
        <w:tc>
          <w:tcPr>
            <w:tcW w:w="124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30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287,345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46,465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8,306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350,623</w:t>
            </w:r>
          </w:p>
        </w:tc>
        <w:tc>
          <w:tcPr>
            <w:tcW w:w="0" w:type="dxa"/>
            <w:vAlign w:val="bottom"/>
          </w:tcPr>
          <w:p>
            <w:pPr>
              <w:spacing w:after="0"/>
              <w:rPr>
                <w:sz w:val="1"/>
                <w:szCs w:val="1"/>
                <w:color w:val="auto"/>
              </w:rPr>
            </w:pPr>
          </w:p>
        </w:tc>
      </w:tr>
      <w:tr>
        <w:trPr>
          <w:trHeight w:val="216"/>
        </w:trPr>
        <w:tc>
          <w:tcPr>
            <w:tcW w:w="3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 (a)</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180,791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31,368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6,177</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80,641</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304,510</w:t>
            </w:r>
          </w:p>
        </w:tc>
        <w:tc>
          <w:tcPr>
            <w:tcW w:w="0" w:type="dxa"/>
            <w:vAlign w:val="bottom"/>
          </w:tcPr>
          <w:p>
            <w:pPr>
              <w:spacing w:after="0"/>
              <w:rPr>
                <w:sz w:val="1"/>
                <w:szCs w:val="1"/>
                <w:color w:val="auto"/>
              </w:rPr>
            </w:pPr>
          </w:p>
        </w:tc>
      </w:tr>
      <w:tr>
        <w:trPr>
          <w:trHeight w:val="219"/>
        </w:trPr>
        <w:tc>
          <w:tcPr>
            <w:tcW w:w="3860" w:type="dxa"/>
            <w:vAlign w:val="bottom"/>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113,931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122,273</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both SG&amp;A and Merger transaction costs from the condensed consolidated statement of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900" w:type="dxa"/>
            <w:vAlign w:val="bottom"/>
            <w:gridSpan w:val="9"/>
            <w:shd w:val="clear" w:color="auto" w:fill="1D2758"/>
          </w:tcPr>
          <w:p>
            <w:pPr>
              <w:ind w:left="800"/>
              <w:spacing w:after="0"/>
              <w:rPr>
                <w:sz w:val="20"/>
                <w:szCs w:val="20"/>
                <w:color w:val="auto"/>
              </w:rPr>
            </w:pPr>
            <w:r>
              <w:rPr>
                <w:rFonts w:ascii="Arial" w:cs="Arial" w:eastAsia="Arial" w:hAnsi="Arial"/>
                <w:sz w:val="16"/>
                <w:szCs w:val="16"/>
                <w:b w:val="1"/>
                <w:bCs w:val="1"/>
                <w:color w:val="FFFFFF"/>
              </w:rPr>
              <w:t>Nine Months Ended September 30, 2019</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Modular</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ind w:left="60"/>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2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8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ind w:left="180"/>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551,513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551,513</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166,974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166,974</w:t>
            </w: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37,686</w:t>
            </w: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29,447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29,447</w:t>
            </w:r>
          </w:p>
        </w:tc>
        <w:tc>
          <w:tcPr>
            <w:tcW w:w="0" w:type="dxa"/>
            <w:vAlign w:val="bottom"/>
          </w:tcPr>
          <w:p>
            <w:pPr>
              <w:spacing w:after="0"/>
              <w:rPr>
                <w:sz w:val="1"/>
                <w:szCs w:val="1"/>
                <w:color w:val="auto"/>
              </w:rPr>
            </w:pPr>
          </w:p>
        </w:tc>
      </w:tr>
      <w:tr>
        <w:trPr>
          <w:trHeight w:val="209"/>
        </w:trPr>
        <w:tc>
          <w:tcPr>
            <w:tcW w:w="388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785,620</w:t>
            </w:r>
          </w:p>
        </w:tc>
        <w:tc>
          <w:tcPr>
            <w:tcW w:w="0" w:type="dxa"/>
            <w:vAlign w:val="bottom"/>
          </w:tcPr>
          <w:p>
            <w:pPr>
              <w:spacing w:after="0"/>
              <w:rPr>
                <w:sz w:val="1"/>
                <w:szCs w:val="1"/>
                <w:color w:val="auto"/>
              </w:rPr>
            </w:pPr>
          </w:p>
        </w:tc>
      </w:tr>
      <w:tr>
        <w:trPr>
          <w:trHeight w:val="257"/>
        </w:trPr>
        <w:tc>
          <w:tcPr>
            <w:tcW w:w="388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8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6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22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88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6"/>
                <w:szCs w:val="16"/>
                <w:color w:val="auto"/>
              </w:rPr>
              <w:t>Leasing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160,476</w:t>
            </w: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Delivery and installation</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146,175</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146,175</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26,298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26,298</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19,608</w:t>
            </w: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8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128,940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128,940</w:t>
            </w:r>
          </w:p>
        </w:tc>
        <w:tc>
          <w:tcPr>
            <w:tcW w:w="0" w:type="dxa"/>
            <w:vAlign w:val="bottom"/>
          </w:tcPr>
          <w:p>
            <w:pPr>
              <w:spacing w:after="0"/>
              <w:rPr>
                <w:sz w:val="1"/>
                <w:szCs w:val="1"/>
                <w:color w:val="auto"/>
              </w:rPr>
            </w:pPr>
          </w:p>
        </w:tc>
      </w:tr>
      <w:tr>
        <w:trPr>
          <w:trHeight w:val="210"/>
        </w:trPr>
        <w:tc>
          <w:tcPr>
            <w:tcW w:w="388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304,123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E7E7E8"/>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7E7E8"/>
            </w:tcBorders>
          </w:tcPr>
          <w:p>
            <w:pPr>
              <w:spacing w:after="0" w:line="20" w:lineRule="exact"/>
              <w:rPr>
                <w:sz w:val="1"/>
                <w:szCs w:val="1"/>
                <w:color w:val="auto"/>
              </w:rPr>
            </w:pPr>
          </w:p>
        </w:tc>
        <w:tc>
          <w:tcPr>
            <w:tcW w:w="122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80" w:type="dxa"/>
            <w:vAlign w:val="bottom"/>
            <w:shd w:val="clear" w:color="auto" w:fill="E7E7E8"/>
          </w:tcPr>
          <w:p>
            <w:pPr>
              <w:spacing w:after="0"/>
              <w:rPr>
                <w:sz w:val="15"/>
                <w:szCs w:val="15"/>
                <w:color w:val="auto"/>
              </w:rPr>
            </w:pPr>
          </w:p>
        </w:tc>
        <w:tc>
          <w:tcPr>
            <w:tcW w:w="84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22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258,332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258,332</w:t>
            </w:r>
          </w:p>
        </w:tc>
        <w:tc>
          <w:tcPr>
            <w:tcW w:w="0" w:type="dxa"/>
            <w:vAlign w:val="bottom"/>
          </w:tcPr>
          <w:p>
            <w:pPr>
              <w:spacing w:after="0"/>
              <w:rPr>
                <w:sz w:val="1"/>
                <w:szCs w:val="1"/>
                <w:color w:val="auto"/>
              </w:rPr>
            </w:pPr>
          </w:p>
        </w:tc>
      </w:tr>
      <w:tr>
        <w:trPr>
          <w:trHeight w:val="216"/>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177,912</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E7E7E8"/>
          </w:tcPr>
          <w:p>
            <w:pPr>
              <w:ind w:left="7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30,784</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208,696</w:t>
            </w:r>
          </w:p>
        </w:tc>
        <w:tc>
          <w:tcPr>
            <w:tcW w:w="0" w:type="dxa"/>
            <w:vAlign w:val="bottom"/>
          </w:tcPr>
          <w:p>
            <w:pPr>
              <w:spacing w:after="0"/>
              <w:rPr>
                <w:sz w:val="1"/>
                <w:szCs w:val="1"/>
                <w:color w:val="auto"/>
              </w:rPr>
            </w:pPr>
          </w:p>
        </w:tc>
      </w:tr>
      <w:tr>
        <w:trPr>
          <w:trHeight w:val="219"/>
        </w:trPr>
        <w:tc>
          <w:tcPr>
            <w:tcW w:w="3880" w:type="dxa"/>
            <w:vAlign w:val="bottom"/>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160,877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The following tables present a reconciliation of the Company’s income (loss) from operations to Adjusted EBITDA for the three and nine months ended September 30, 2020 and 2019,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2360" w:type="dxa"/>
            <w:vAlign w:val="bottom"/>
            <w:gridSpan w:val="3"/>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Three Months Ended</w:t>
            </w:r>
          </w:p>
        </w:tc>
        <w:tc>
          <w:tcPr>
            <w:tcW w:w="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660" w:type="dxa"/>
            <w:vAlign w:val="bottom"/>
            <w:gridSpan w:val="4"/>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48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2360" w:type="dxa"/>
            <w:vAlign w:val="bottom"/>
            <w:gridSpan w:val="3"/>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September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74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102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tcPr>
          <w:p>
            <w:pPr>
              <w:spacing w:after="0"/>
              <w:rPr>
                <w:sz w:val="18"/>
                <w:szCs w:val="18"/>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7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(66,675)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(66,170)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30,005</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89,810</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92,788</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71,704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47,358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169,103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138,162</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162"/>
        </w:trPr>
        <w:tc>
          <w:tcPr>
            <w:tcW w:w="482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Restructuring costs, lease impairment expense and other</w:t>
            </w:r>
          </w:p>
        </w:tc>
        <w:tc>
          <w:tcPr>
            <w:tcW w:w="380" w:type="dxa"/>
            <w:vAlign w:val="bottom"/>
            <w:shd w:val="clear" w:color="auto" w:fill="E7E7E8"/>
          </w:tcPr>
          <w:p>
            <w:pPr>
              <w:spacing w:after="0"/>
              <w:rPr>
                <w:sz w:val="14"/>
                <w:szCs w:val="14"/>
                <w:color w:val="auto"/>
              </w:rPr>
            </w:pPr>
          </w:p>
        </w:tc>
        <w:tc>
          <w:tcPr>
            <w:tcW w:w="12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4,798</w:t>
            </w:r>
          </w:p>
        </w:tc>
        <w:tc>
          <w:tcPr>
            <w:tcW w:w="10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8,542</w:t>
            </w:r>
          </w:p>
        </w:tc>
        <w:tc>
          <w:tcPr>
            <w:tcW w:w="100" w:type="dxa"/>
            <w:vAlign w:val="bottom"/>
            <w:shd w:val="clear" w:color="auto" w:fill="E7E7E8"/>
          </w:tcPr>
          <w:p>
            <w:pPr>
              <w:spacing w:after="0"/>
              <w:rPr>
                <w:sz w:val="14"/>
                <w:szCs w:val="14"/>
                <w:color w:val="auto"/>
              </w:rPr>
            </w:pPr>
          </w:p>
        </w:tc>
        <w:tc>
          <w:tcPr>
            <w:tcW w:w="520" w:type="dxa"/>
            <w:vAlign w:val="bottom"/>
            <w:shd w:val="clear" w:color="auto" w:fill="E7E7E8"/>
          </w:tcPr>
          <w:p>
            <w:pPr>
              <w:spacing w:after="0"/>
              <w:rPr>
                <w:sz w:val="14"/>
                <w:szCs w:val="14"/>
                <w:color w:val="auto"/>
              </w:rPr>
            </w:pP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9,756</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related charges</w:t>
            </w:r>
          </w:p>
        </w:tc>
        <w:tc>
          <w:tcPr>
            <w:tcW w:w="380" w:type="dxa"/>
            <w:vAlign w:val="bottom"/>
            <w:shd w:val="clear" w:color="auto" w:fill="E7E7E8"/>
          </w:tcPr>
          <w:p>
            <w:pPr>
              <w:spacing w:after="0"/>
              <w:rPr>
                <w:sz w:val="18"/>
                <w:szCs w:val="18"/>
                <w:color w:val="auto"/>
              </w:rPr>
            </w:pPr>
          </w:p>
        </w:tc>
        <w:tc>
          <w:tcPr>
            <w:tcW w:w="124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6"/>
                <w:szCs w:val="16"/>
                <w:color w:val="auto"/>
              </w:rPr>
              <w:t>Merger transaction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63,241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7,083</w:t>
            </w:r>
          </w:p>
        </w:tc>
        <w:tc>
          <w:tcPr>
            <w:tcW w:w="10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5,483</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10,921</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16"/>
        </w:trPr>
        <w:tc>
          <w:tcPr>
            <w:tcW w:w="4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E7E7E8"/>
          </w:tcPr>
          <w:p>
            <w:pPr>
              <w:spacing w:after="0"/>
              <w:rPr>
                <w:sz w:val="18"/>
                <w:szCs w:val="18"/>
                <w:color w:val="auto"/>
              </w:rPr>
            </w:pPr>
          </w:p>
        </w:tc>
        <w:tc>
          <w:tcPr>
            <w:tcW w:w="1020" w:type="dxa"/>
            <w:vAlign w:val="bottom"/>
            <w:tcBorders>
              <w:bottom w:val="single" w:sz="8" w:color="auto"/>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E7E7E8"/>
          </w:tcPr>
          <w:p>
            <w:pPr>
              <w:spacing w:after="0"/>
              <w:rPr>
                <w:sz w:val="18"/>
                <w:szCs w:val="18"/>
                <w:color w:val="auto"/>
              </w:rPr>
            </w:pPr>
          </w:p>
        </w:tc>
        <w:tc>
          <w:tcPr>
            <w:tcW w:w="32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E7E7E8"/>
          </w:tcPr>
          <w:p>
            <w:pPr>
              <w:spacing w:after="0"/>
              <w:rPr>
                <w:sz w:val="18"/>
                <w:szCs w:val="18"/>
                <w:color w:val="auto"/>
              </w:rPr>
            </w:pPr>
          </w:p>
        </w:tc>
        <w:tc>
          <w:tcPr>
            <w:tcW w:w="520" w:type="dxa"/>
            <w:vAlign w:val="bottom"/>
            <w:tcBorders>
              <w:bottom w:val="single" w:sz="8" w:color="auto"/>
            </w:tcBorders>
            <w:shd w:val="clear" w:color="auto" w:fill="E7E7E8"/>
          </w:tcPr>
          <w:p>
            <w:pPr>
              <w:spacing w:after="0"/>
              <w:rPr>
                <w:sz w:val="18"/>
                <w:szCs w:val="18"/>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163,559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350,623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258,332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spacing w:after="0"/>
        <w:rPr>
          <w:sz w:val="20"/>
          <w:szCs w:val="20"/>
          <w:color w:val="auto"/>
        </w:rPr>
      </w:pPr>
      <w:r>
        <w:rPr>
          <w:rFonts w:ascii="Arial" w:cs="Arial" w:eastAsia="Arial" w:hAnsi="Arial"/>
          <w:sz w:val="23"/>
          <w:szCs w:val="23"/>
          <w:color w:val="1D2758"/>
        </w:rPr>
        <w:t>NOTE 18 - Income (Loss) Per Share</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Basic income (loss) per share (“EPS”) is calculated by dividing net income (or loss) attributable to WillScot Mobile Mini by the weighted average number of shares of Common Stock outstanding during the period. The shares of Common Stock issued as a result of the vesting of RSUs and for warrants exercised or redeemed during the three and nine months ended September 30, 2020, were included in EPS based on the weighted average number of days in which they were vested and outstanding during the period.</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EPS is computed similarly to basic EPS, except that it includes the potential dilution that would occur if dilutive securities were exercised.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328" w:lineRule="exact"/>
        <w:rPr>
          <w:sz w:val="20"/>
          <w:szCs w:val="20"/>
          <w:color w:val="auto"/>
        </w:rPr>
      </w:pPr>
    </w:p>
    <w:p>
      <w:pPr>
        <w:spacing w:after="0"/>
        <w:rPr>
          <w:sz w:val="20"/>
          <w:szCs w:val="20"/>
          <w:color w:val="auto"/>
        </w:rPr>
      </w:pPr>
      <w:r>
        <w:rPr>
          <w:rFonts w:ascii="Arial" w:cs="Arial" w:eastAsia="Arial" w:hAnsi="Arial"/>
          <w:sz w:val="23"/>
          <w:szCs w:val="23"/>
          <w:color w:val="1D2758"/>
        </w:rPr>
        <w:t>NOTE 19 - Related Parties</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Related party balances included in the Company’s consolidated balance sheets at September 30, 2020 and December 31, 2019,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980" w:type="dxa"/>
            <w:vAlign w:val="bottom"/>
            <w:shd w:val="clear" w:color="auto" w:fill="1D2758"/>
          </w:tcPr>
          <w:p>
            <w:pPr>
              <w:ind w:left="1740"/>
              <w:spacing w:after="0"/>
              <w:rPr>
                <w:sz w:val="20"/>
                <w:szCs w:val="20"/>
                <w:color w:val="auto"/>
              </w:rPr>
            </w:pPr>
            <w:r>
              <w:rPr>
                <w:rFonts w:ascii="Arial" w:cs="Arial" w:eastAsia="Arial" w:hAnsi="Arial"/>
                <w:sz w:val="16"/>
                <w:szCs w:val="16"/>
                <w:b w:val="1"/>
                <w:bCs w:val="1"/>
                <w:color w:val="FFFFFF"/>
              </w:rPr>
              <w:t>Financial statement line Item</w:t>
            </w:r>
          </w:p>
        </w:tc>
        <w:tc>
          <w:tcPr>
            <w:tcW w:w="1660" w:type="dxa"/>
            <w:vAlign w:val="bottom"/>
            <w:gridSpan w:val="3"/>
            <w:shd w:val="clear" w:color="auto" w:fill="1D2758"/>
          </w:tcPr>
          <w:p>
            <w:pPr>
              <w:jc w:val="right"/>
              <w:ind w:right="120"/>
              <w:spacing w:after="0"/>
              <w:rPr>
                <w:sz w:val="20"/>
                <w:szCs w:val="20"/>
                <w:color w:val="auto"/>
              </w:rPr>
            </w:pPr>
            <w:r>
              <w:rPr>
                <w:rFonts w:ascii="Arial" w:cs="Arial" w:eastAsia="Arial" w:hAnsi="Arial"/>
                <w:sz w:val="16"/>
                <w:szCs w:val="16"/>
                <w:b w:val="1"/>
                <w:bCs w:val="1"/>
                <w:color w:val="FFFFFF"/>
              </w:rPr>
              <w:t>September 30, 2020</w:t>
            </w:r>
          </w:p>
        </w:tc>
        <w:tc>
          <w:tcPr>
            <w:tcW w:w="158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 2019</w:t>
            </w:r>
          </w:p>
        </w:tc>
      </w:tr>
      <w:tr>
        <w:trPr>
          <w:trHeight w:val="216"/>
        </w:trPr>
        <w:tc>
          <w:tcPr>
            <w:tcW w:w="3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4980" w:type="dxa"/>
            <w:vAlign w:val="bottom"/>
            <w:shd w:val="clear" w:color="auto" w:fill="E7E7E8"/>
          </w:tcPr>
          <w:p>
            <w:pPr>
              <w:ind w:left="740"/>
              <w:spacing w:after="0"/>
              <w:rPr>
                <w:sz w:val="20"/>
                <w:szCs w:val="20"/>
                <w:color w:val="auto"/>
              </w:rPr>
            </w:pPr>
            <w:r>
              <w:rPr>
                <w:rFonts w:ascii="Arial" w:cs="Arial" w:eastAsia="Arial" w:hAnsi="Arial"/>
                <w:sz w:val="16"/>
                <w:szCs w:val="16"/>
                <w:color w:val="auto"/>
              </w:rPr>
              <w:t>Trade receivables, net of allowances for credit losses</w:t>
            </w: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E7E7E8"/>
          </w:tcPr>
          <w:p>
            <w:pPr>
              <w:spacing w:after="0"/>
              <w:rPr>
                <w:sz w:val="18"/>
                <w:szCs w:val="18"/>
                <w:color w:val="auto"/>
              </w:rPr>
            </w:pPr>
          </w:p>
        </w:tc>
        <w:tc>
          <w:tcPr>
            <w:tcW w:w="64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30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4980" w:type="dxa"/>
            <w:vAlign w:val="bottom"/>
            <w:tcBorders>
              <w:bottom w:val="single" w:sz="8" w:color="E7E7E8"/>
            </w:tcBorders>
          </w:tcPr>
          <w:p>
            <w:pPr>
              <w:ind w:left="740"/>
              <w:spacing w:after="0"/>
              <w:rPr>
                <w:sz w:val="20"/>
                <w:szCs w:val="20"/>
                <w:color w:val="auto"/>
              </w:rPr>
            </w:pPr>
            <w:r>
              <w:rPr>
                <w:rFonts w:ascii="Arial" w:cs="Arial" w:eastAsia="Arial" w:hAnsi="Arial"/>
                <w:sz w:val="16"/>
                <w:szCs w:val="16"/>
                <w:color w:val="auto"/>
              </w:rPr>
              <w:t>Accrued liabilities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E7E7E8"/>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r>
      <w:tr>
        <w:trPr>
          <w:trHeight w:val="234"/>
        </w:trPr>
        <w:tc>
          <w:tcPr>
            <w:tcW w:w="30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related party liabilities, net</w:t>
            </w:r>
          </w:p>
        </w:tc>
        <w:tc>
          <w:tcPr>
            <w:tcW w:w="4980" w:type="dxa"/>
            <w:vAlign w:val="bottom"/>
            <w:tcBorders>
              <w:bottom w:val="single" w:sz="8" w:color="E7E7E8"/>
            </w:tcBorders>
            <w:shd w:val="clear" w:color="auto" w:fill="E7E7E8"/>
          </w:tcPr>
          <w:p>
            <w:pPr>
              <w:spacing w:after="0"/>
              <w:rPr>
                <w:sz w:val="19"/>
                <w:szCs w:val="19"/>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Borders>
              <w:bottom w:val="single" w:sz="8" w:color="E7E7E8"/>
            </w:tcBorders>
            <w:shd w:val="clear" w:color="auto" w:fill="E7E7E8"/>
          </w:tcPr>
          <w:p>
            <w:pPr>
              <w:spacing w:after="0"/>
              <w:rPr>
                <w:sz w:val="19"/>
                <w:szCs w:val="19"/>
                <w:color w:val="auto"/>
              </w:rPr>
            </w:pPr>
          </w:p>
        </w:tc>
        <w:tc>
          <w:tcPr>
            <w:tcW w:w="640" w:type="dxa"/>
            <w:vAlign w:val="bottom"/>
            <w:tcBorders>
              <w:bottom w:val="single" w:sz="8" w:color="auto"/>
            </w:tcBorders>
            <w:shd w:val="clear" w:color="auto" w:fill="E7E7E8"/>
          </w:tcPr>
          <w:p>
            <w:pPr>
              <w:jc w:val="right"/>
              <w:ind w:right="4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(857)</w:t>
            </w:r>
          </w:p>
        </w:tc>
      </w:tr>
      <w:tr>
        <w:trPr>
          <w:trHeight w:val="20"/>
        </w:trPr>
        <w:tc>
          <w:tcPr>
            <w:tcW w:w="3020" w:type="dxa"/>
            <w:vAlign w:val="bottom"/>
            <w:tcBorders>
              <w:top w:val="single" w:sz="8" w:color="E7E7E8"/>
            </w:tcBorders>
          </w:tcPr>
          <w:p>
            <w:pPr>
              <w:spacing w:after="0" w:line="20" w:lineRule="exact"/>
              <w:rPr>
                <w:sz w:val="1"/>
                <w:szCs w:val="1"/>
                <w:color w:val="auto"/>
              </w:rPr>
            </w:pPr>
          </w:p>
        </w:tc>
        <w:tc>
          <w:tcPr>
            <w:tcW w:w="498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transactions included in the Company’s condensed consolidated statements of operations for the three and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and 2019, respectively,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1D2758"/>
          </w:tcPr>
          <w:p>
            <w:pPr>
              <w:spacing w:after="0"/>
              <w:rPr>
                <w:sz w:val="14"/>
                <w:szCs w:val="14"/>
                <w:color w:val="auto"/>
              </w:rPr>
            </w:pPr>
          </w:p>
        </w:tc>
        <w:tc>
          <w:tcPr>
            <w:tcW w:w="38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2000" w:type="dxa"/>
            <w:vAlign w:val="bottom"/>
            <w:gridSpan w:val="5"/>
            <w:shd w:val="clear" w:color="auto" w:fill="1D2758"/>
          </w:tcPr>
          <w:p>
            <w:pPr>
              <w:ind w:left="120"/>
              <w:spacing w:after="0"/>
              <w:rPr>
                <w:sz w:val="20"/>
                <w:szCs w:val="20"/>
                <w:color w:val="auto"/>
              </w:rPr>
            </w:pPr>
            <w:r>
              <w:rPr>
                <w:rFonts w:ascii="Arial" w:cs="Arial" w:eastAsia="Arial" w:hAnsi="Arial"/>
                <w:sz w:val="14"/>
                <w:szCs w:val="14"/>
                <w:b w:val="1"/>
                <w:bCs w:val="1"/>
                <w:color w:val="FFFFFF"/>
              </w:rPr>
              <w:t>Three Months Ended</w:t>
            </w:r>
          </w:p>
        </w:tc>
        <w:tc>
          <w:tcPr>
            <w:tcW w:w="180" w:type="dxa"/>
            <w:vAlign w:val="bottom"/>
            <w:shd w:val="clear" w:color="auto" w:fill="1D2758"/>
          </w:tcPr>
          <w:p>
            <w:pPr>
              <w:spacing w:after="0"/>
              <w:rPr>
                <w:sz w:val="14"/>
                <w:szCs w:val="14"/>
                <w:color w:val="auto"/>
              </w:rPr>
            </w:pPr>
          </w:p>
        </w:tc>
        <w:tc>
          <w:tcPr>
            <w:tcW w:w="1720" w:type="dxa"/>
            <w:vAlign w:val="bottom"/>
            <w:gridSpan w:val="4"/>
            <w:shd w:val="clear" w:color="auto" w:fill="1D2758"/>
          </w:tcPr>
          <w:p>
            <w:pPr>
              <w:ind w:left="100"/>
              <w:spacing w:after="0"/>
              <w:rPr>
                <w:sz w:val="20"/>
                <w:szCs w:val="20"/>
                <w:color w:val="auto"/>
              </w:rPr>
            </w:pPr>
            <w:r>
              <w:rPr>
                <w:rFonts w:ascii="Arial" w:cs="Arial" w:eastAsia="Arial" w:hAnsi="Arial"/>
                <w:sz w:val="14"/>
                <w:szCs w:val="14"/>
                <w:b w:val="1"/>
                <w:bCs w:val="1"/>
                <w:color w:val="FFFFFF"/>
              </w:rPr>
              <w:t>Nine Months Ended</w:t>
            </w:r>
          </w:p>
        </w:tc>
      </w:tr>
      <w:tr>
        <w:trPr>
          <w:trHeight w:val="175"/>
        </w:trPr>
        <w:tc>
          <w:tcPr>
            <w:tcW w:w="3280" w:type="dxa"/>
            <w:vAlign w:val="bottom"/>
            <w:shd w:val="clear" w:color="auto" w:fill="1D2758"/>
          </w:tcPr>
          <w:p>
            <w:pPr>
              <w:spacing w:after="0"/>
              <w:rPr>
                <w:sz w:val="15"/>
                <w:szCs w:val="15"/>
                <w:color w:val="auto"/>
              </w:rPr>
            </w:pPr>
          </w:p>
        </w:tc>
        <w:tc>
          <w:tcPr>
            <w:tcW w:w="38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2000" w:type="dxa"/>
            <w:vAlign w:val="bottom"/>
            <w:gridSpan w:val="5"/>
            <w:shd w:val="clear" w:color="auto" w:fill="1D2758"/>
          </w:tcPr>
          <w:p>
            <w:pPr>
              <w:ind w:left="340"/>
              <w:spacing w:after="0"/>
              <w:rPr>
                <w:sz w:val="20"/>
                <w:szCs w:val="20"/>
                <w:color w:val="auto"/>
              </w:rPr>
            </w:pPr>
            <w:r>
              <w:rPr>
                <w:rFonts w:ascii="Arial" w:cs="Arial" w:eastAsia="Arial" w:hAnsi="Arial"/>
                <w:sz w:val="14"/>
                <w:szCs w:val="14"/>
                <w:b w:val="1"/>
                <w:bCs w:val="1"/>
                <w:color w:val="FFFFFF"/>
              </w:rPr>
              <w:t>September 30,</w:t>
            </w:r>
          </w:p>
        </w:tc>
        <w:tc>
          <w:tcPr>
            <w:tcW w:w="180" w:type="dxa"/>
            <w:vAlign w:val="bottom"/>
            <w:shd w:val="clear" w:color="auto" w:fill="1D2758"/>
          </w:tcPr>
          <w:p>
            <w:pPr>
              <w:spacing w:after="0"/>
              <w:rPr>
                <w:sz w:val="15"/>
                <w:szCs w:val="15"/>
                <w:color w:val="auto"/>
              </w:rPr>
            </w:pPr>
          </w:p>
        </w:tc>
        <w:tc>
          <w:tcPr>
            <w:tcW w:w="1720" w:type="dxa"/>
            <w:vAlign w:val="bottom"/>
            <w:gridSpan w:val="4"/>
            <w:shd w:val="clear" w:color="auto" w:fill="1D2758"/>
          </w:tcPr>
          <w:p>
            <w:pPr>
              <w:ind w:left="280"/>
              <w:spacing w:after="0"/>
              <w:rPr>
                <w:sz w:val="20"/>
                <w:szCs w:val="20"/>
                <w:color w:val="auto"/>
              </w:rPr>
            </w:pPr>
            <w:r>
              <w:rPr>
                <w:rFonts w:ascii="Arial" w:cs="Arial" w:eastAsia="Arial" w:hAnsi="Arial"/>
                <w:sz w:val="14"/>
                <w:szCs w:val="14"/>
                <w:b w:val="1"/>
                <w:bCs w:val="1"/>
                <w:color w:val="FFFFFF"/>
              </w:rPr>
              <w:t>September 30,</w:t>
            </w:r>
          </w:p>
        </w:tc>
      </w:tr>
      <w:tr>
        <w:trPr>
          <w:trHeight w:val="216"/>
        </w:trPr>
        <w:tc>
          <w:tcPr>
            <w:tcW w:w="32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20" w:type="dxa"/>
            <w:vAlign w:val="bottom"/>
            <w:shd w:val="clear" w:color="auto" w:fill="1D2758"/>
          </w:tcPr>
          <w:p>
            <w:pPr>
              <w:ind w:left="820"/>
              <w:spacing w:after="0"/>
              <w:rPr>
                <w:sz w:val="20"/>
                <w:szCs w:val="20"/>
                <w:color w:val="auto"/>
              </w:rPr>
            </w:pPr>
            <w:r>
              <w:rPr>
                <w:rFonts w:ascii="Arial" w:cs="Arial" w:eastAsia="Arial" w:hAnsi="Arial"/>
                <w:sz w:val="16"/>
                <w:szCs w:val="16"/>
                <w:b w:val="1"/>
                <w:bCs w:val="1"/>
                <w:color w:val="FFFFFF"/>
              </w:rPr>
              <w:t>Financial statement line item</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ind w:left="140"/>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70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720" w:type="dxa"/>
            <w:vAlign w:val="bottom"/>
            <w:shd w:val="clear" w:color="auto" w:fill="1D2758"/>
          </w:tcPr>
          <w:p>
            <w:pPr>
              <w:ind w:left="80"/>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720" w:type="dxa"/>
            <w:vAlign w:val="bottom"/>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3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 from related parties</w:t>
            </w:r>
          </w:p>
        </w:tc>
        <w:tc>
          <w:tcPr>
            <w:tcW w:w="3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7E7E8"/>
          </w:tcPr>
          <w:p>
            <w:pPr>
              <w:jc w:val="center"/>
              <w:ind w:left="82"/>
              <w:spacing w:after="0"/>
              <w:rPr>
                <w:sz w:val="20"/>
                <w:szCs w:val="20"/>
                <w:color w:val="auto"/>
              </w:rPr>
            </w:pPr>
            <w:r>
              <w:rPr>
                <w:rFonts w:ascii="Arial" w:cs="Arial" w:eastAsia="Arial" w:hAnsi="Arial"/>
                <w:sz w:val="16"/>
                <w:szCs w:val="16"/>
                <w:color w:val="auto"/>
                <w:w w:val="99"/>
              </w:rPr>
              <w:t>1,330</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7E7E8"/>
          </w:tcPr>
          <w:p>
            <w:pPr>
              <w:jc w:val="center"/>
              <w:ind w:left="219"/>
              <w:spacing w:after="0"/>
              <w:rPr>
                <w:sz w:val="20"/>
                <w:szCs w:val="20"/>
                <w:color w:val="auto"/>
              </w:rPr>
            </w:pPr>
            <w:r>
              <w:rPr>
                <w:rFonts w:ascii="Arial" w:cs="Arial" w:eastAsia="Arial" w:hAnsi="Arial"/>
                <w:sz w:val="16"/>
                <w:szCs w:val="16"/>
                <w:color w:val="auto"/>
                <w:w w:val="97"/>
              </w:rPr>
              <w:t>232</w:t>
            </w:r>
          </w:p>
        </w:tc>
      </w:tr>
      <w:tr>
        <w:trPr>
          <w:trHeight w:val="216"/>
        </w:trPr>
        <w:tc>
          <w:tcPr>
            <w:tcW w:w="32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Consulting expense to related party</w:t>
            </w:r>
          </w:p>
        </w:tc>
        <w:tc>
          <w:tcPr>
            <w:tcW w:w="3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Selling, general &amp; administrative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rPr>
              <w:t>(4,733)</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(847)</w:t>
            </w:r>
          </w:p>
        </w:tc>
      </w:tr>
      <w:tr>
        <w:trPr>
          <w:trHeight w:val="235"/>
        </w:trPr>
        <w:tc>
          <w:tcPr>
            <w:tcW w:w="32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related party expense, net</w:t>
            </w:r>
          </w:p>
        </w:tc>
        <w:tc>
          <w:tcPr>
            <w:tcW w:w="3820" w:type="dxa"/>
            <w:vAlign w:val="bottom"/>
            <w:tcBorders>
              <w:bottom w:val="single" w:sz="8" w:color="E7E7E8"/>
            </w:tcBorders>
            <w:shd w:val="clear" w:color="auto" w:fill="E7E7E8"/>
          </w:tcPr>
          <w:p>
            <w:pPr>
              <w:spacing w:after="0"/>
              <w:rPr>
                <w:sz w:val="19"/>
                <w:szCs w:val="19"/>
                <w:color w:val="auto"/>
              </w:rPr>
            </w:pP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7E7E8"/>
          </w:tcPr>
          <w:p>
            <w:pPr>
              <w:ind w:left="340"/>
              <w:spacing w:after="0"/>
              <w:rPr>
                <w:sz w:val="20"/>
                <w:szCs w:val="20"/>
                <w:color w:val="auto"/>
              </w:rPr>
            </w:pPr>
            <w:r>
              <w:rPr>
                <w:rFonts w:ascii="Arial" w:cs="Arial" w:eastAsia="Arial" w:hAnsi="Arial"/>
                <w:sz w:val="16"/>
                <w:szCs w:val="16"/>
                <w:color w:val="auto"/>
              </w:rPr>
              <w:t>(1,234)</w:t>
            </w:r>
          </w:p>
        </w:tc>
        <w:tc>
          <w:tcPr>
            <w:tcW w:w="100" w:type="dxa"/>
            <w:vAlign w:val="bottom"/>
            <w:tcBorders>
              <w:bottom w:val="single" w:sz="8" w:color="E7E7E8"/>
            </w:tcBorders>
            <w:shd w:val="clear" w:color="auto" w:fill="E7E7E8"/>
          </w:tcPr>
          <w:p>
            <w:pPr>
              <w:spacing w:after="0"/>
              <w:rPr>
                <w:sz w:val="19"/>
                <w:szCs w:val="19"/>
                <w:color w:val="auto"/>
              </w:rPr>
            </w:pP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7E7E8"/>
          </w:tcPr>
          <w:p>
            <w:pPr>
              <w:jc w:val="center"/>
              <w:ind w:left="82"/>
              <w:spacing w:after="0"/>
              <w:rPr>
                <w:sz w:val="20"/>
                <w:szCs w:val="20"/>
                <w:color w:val="auto"/>
              </w:rPr>
            </w:pPr>
            <w:r>
              <w:rPr>
                <w:rFonts w:ascii="Arial" w:cs="Arial" w:eastAsia="Arial" w:hAnsi="Arial"/>
                <w:sz w:val="16"/>
                <w:szCs w:val="16"/>
                <w:color w:val="auto"/>
              </w:rPr>
              <w:t>(3,403)</w:t>
            </w:r>
          </w:p>
        </w:tc>
        <w:tc>
          <w:tcPr>
            <w:tcW w:w="10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7E7E8"/>
          </w:tcPr>
          <w:p>
            <w:pPr>
              <w:jc w:val="center"/>
              <w:ind w:left="219"/>
              <w:spacing w:after="0"/>
              <w:rPr>
                <w:sz w:val="20"/>
                <w:szCs w:val="20"/>
                <w:color w:val="auto"/>
              </w:rPr>
            </w:pPr>
            <w:r>
              <w:rPr>
                <w:rFonts w:ascii="Arial" w:cs="Arial" w:eastAsia="Arial" w:hAnsi="Arial"/>
                <w:sz w:val="16"/>
                <w:szCs w:val="16"/>
                <w:color w:val="auto"/>
              </w:rPr>
              <w:t>(615)</w:t>
            </w:r>
          </w:p>
        </w:tc>
      </w:tr>
      <w:tr>
        <w:trPr>
          <w:trHeight w:val="20"/>
        </w:trPr>
        <w:tc>
          <w:tcPr>
            <w:tcW w:w="3280" w:type="dxa"/>
            <w:vAlign w:val="bottom"/>
            <w:tcBorders>
              <w:top w:val="single" w:sz="8" w:color="E7E7E8"/>
            </w:tcBorders>
          </w:tcPr>
          <w:p>
            <w:pPr>
              <w:spacing w:after="0" w:line="20" w:lineRule="exact"/>
              <w:rPr>
                <w:sz w:val="1"/>
                <w:szCs w:val="1"/>
                <w:color w:val="auto"/>
              </w:rPr>
            </w:pPr>
          </w:p>
        </w:tc>
        <w:tc>
          <w:tcPr>
            <w:tcW w:w="382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7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720" w:type="dxa"/>
            <w:vAlign w:val="bottom"/>
            <w:tcBorders>
              <w:top w:val="single" w:sz="8" w:color="E7E7E8"/>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June 30, 2020, the Company completed the Sapphire Exchange, whereby Sapphire Holdings, an affiliate of TDR,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August 22, 2018, WillScot’s majority stockholder, Sapphire Holdings,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customary obligations relating to the shares pledged by Sapphire Holdings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Management LLC, an affiliate controlled by Sapphire Holdings, under which, subject to limited exceptions, WSII acquired the exclusive right to supply modular units, portable storage units, and other ancillary products ordered by the affiliate in the US.</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21, 2020, Sapphire Holdings entered into an amended and restated margin loan agreement which, among other things, extends the maturity date of the Margin Loan to August 29, 2022. As of September 30, 2020, 59,725,558 shares of WillScot Mobile Mini Common Stock, representing approximately 26% of WillScot Mobile Mini’s issued and outstanding Common Stock, and 4,850,000 warrants exercisable for one half share of Common Stock were pledged by Sapphire Holdings under the Margin Loan. The two-year supply agreement with Target Logistics Management LLC was not renewed.</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purchased rental equipment from related party affiliates of $1.0 million and $1.1 million for the three months ended September 30, 2020 and 2019, respectively. The Company purchased rental equipment from related party affiliates of $2.6 million and $4.3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35" w:name="page36"/>
    <w:bookmarkEnd w:id="35"/>
    <w:p>
      <w:pPr>
        <w:ind w:left="1840" w:right="580" w:hanging="1943"/>
        <w:spacing w:after="0" w:line="269" w:lineRule="auto"/>
        <w:tabs>
          <w:tab w:leader="none" w:pos="1820" w:val="left"/>
        </w:tabs>
        <w:rPr>
          <w:sz w:val="20"/>
          <w:szCs w:val="20"/>
          <w:color w:val="auto"/>
        </w:rPr>
      </w:pPr>
      <w:r>
        <w:rPr>
          <w:rFonts w:ascii="Arial" w:cs="Arial" w:eastAsia="Arial" w:hAnsi="Arial"/>
          <w:sz w:val="40"/>
          <w:szCs w:val="40"/>
          <w:b w:val="1"/>
          <w:bCs w:val="1"/>
          <w:color w:val="auto"/>
        </w:rPr>
        <w:t>ITEM 2.</w:t>
        <w:tab/>
        <w:t>Management’s Discussion and Analysis of Financial Condition and Results of Operations</w:t>
      </w:r>
    </w:p>
    <w:p>
      <w:pPr>
        <w:spacing w:after="0" w:line="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2020 or prior periods. As the Merger was completed on July 1, 2020, unless the context otherwise requires, the terms “we”, “us”, “our” “Company” and “WillScot Mobile Mini” as used in these financial statements mean WillScot Corporation and its subsidiaries when referring to periods prior to July 1, 2020 (prior to the Merger) and to WillScot Mobile Mini when referring to periods on or after July 1, 2020 (after the Merger).</w:t>
      </w:r>
    </w:p>
    <w:p>
      <w:pPr>
        <w:spacing w:after="0" w:line="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31, 2019, the 2019 financial statement amounts were adjusted for the adoption ASU 2016-02, Leases (Topic 842) ("ASC 842"), effective retroactively to January 1, 2019, and therefore may not agree to the Quarterly Reports filed on Form 10-Q for the respective periods of 2019.</w:t>
      </w: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color w:val="1D2758"/>
        </w:rPr>
        <w:t>Executive Summary and Outlook</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a market leader in the North America specialty rental services industry. We provide innovative turnkey modular space and portable storage solutions to diverse end markets throughout the United States, Canada, Mexico and the United Kingdom. We are also a leading provider of specialty containment solutions in the United States. As of September 30, 2020, our branch network included approximately 275 locations and additional drop lots to service our approximately 85,000 customers. We offer our customers an extensive selection of “Ready to Work” modular space and portable storage solutions with over 157,000 modular space units and over 196,000 portable storage units in our fleet.</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Equipment leasing is our core business.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reoccurring nature and the underlying stability and diversification of our lease portfolio. However, given our customers value flexibility, they consistently extend their leases or renew on a month-to-month basis such that the average effective duration of our lease portfolio excluding seasonal portable storage units is approximately 31 months. We complement our core leasing business by selling both new and used units, allowing us to leverage scale, achieve purchasing benefits and redeploy capital employed in our lease fleet.</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and we have recently serviced emerging demand in the healthcare and government sectors related to COVID-19, as well as expanded space requirements related to social distancing. We track several market leading indicators including those related to our two largest end markets, the commercial and industrial segment and the construction segment, which collectively accounted for approximately 85% of our revenues for the three months ended September 30, 2020.</w:t>
      </w:r>
    </w:p>
    <w:p>
      <w:pPr>
        <w:spacing w:after="0" w:line="2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Mobile Mini Merger</w:t>
      </w:r>
    </w:p>
    <w:p>
      <w:pPr>
        <w:spacing w:after="0" w:line="1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2, 2020, we announced that we entered into an Agreement and Plan of Merger (the "Merger") with Mobile Mini, Inc. (“Mobile Mini”). During the second quarter, we obtained all required regulatory approvals and stockholder approvals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6"/>
          <w:szCs w:val="16"/>
          <w:color w:val="auto"/>
        </w:rPr>
        <w:t>from the Company's and Mobile Mini’s stockholders and we closed the Merger on July 1, 2020 at which time Mobile Mini became a wholly-owned subsidiary of WillScot. Concurrent with the closing of the Merger, we changed our name to WillScot Mobile Mini Holdings Corp. ("WillScot Mobile Mini"). We believe that the Merger will result in strategic and financial benefits by combining the two industry leaders in the complementary modular space and portable storage solutions markets.</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Since the announcement of the Merger on March 2, 2020, colleagues from Mobile Mini and WillScot have been collaborating together to plan and execute the integration of these two companies, with a significant portion of these efforts being focused currently on the conversion of the combined company onto a single Enterprise Resource Planning system, which is expected to take place in the first half of 2021.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Reportable Segments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Following the Merger, we modified our management structure and expanded from two reporting segments to four segments: North America Modular Solutions ("NA Modular"), North America Storage Solutions ("NA Storage"), United Kingdom Storage Solutions ("UK Storage") and Tank and Pump Solutions ("Tank and Pump"). Prior to the Merger, we had two reportable segments, US Modular and Other North America Modular. These two segments were combined to create the new NA Modular segment, which represents the legacy WillScot operations. The other new segments, NA Storage, UK Storage, and Tank and Pump align to the legacy operations and segments reported by Mobile Mini. The new reporting segments are aligned with how we operate and analyze our business results.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anticipation of the Merger, on June 15, 2020, we completed a private offering of $650.0 million in aggregate principal amount of 6.125% senior secured notes due 2025 (the “2025 Secured Notes”). The gross offering proceeds from the 2025 Secured Notes of $650.0 million and $5.1 million of interest due through August 1, 2020 were deposited into an escrow account, pending the closing of the Merger. In connection with completion of the Merger, the net offering proceeds were released and the proceeds were used to repay the 2022 Secured Notes, repay Mobile Mini senior notes and pay certain fees and expenses related to the Merger and financing transactions.</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July 1, 2020, in connection with the completion of the Merger, Williams Scotsman Holdings Corp. (“Holdings”), WSII, and certain of its subsidiaries, including Mobile Mini and certain of its consolidated subsidiaries (the “Mobile Mini Entities”), entered into a new asset-based credit agreement (the "2020 ABL Facility"), that provides for revolving credit facilities in the aggregate principal amount of up to $2.4 billion. On July 1, 2020, in connection with the completion of the Merger, $1.47 billion of proceeds from the 2020 ABL Facility were used to finance the repayment of the WillScot ABL facility, the Mobile Mini line of credit, fees and expenses related to the Merger and the financing transactions. The 2020 ABL Facility matures July 1, 2025 (see Note 9 to the condensed consolidated financial statements).</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August 11, 2020, we redeemed $49.0 million of our 6.875% senior secured notes (the “2023 Secured Notes”) at a redemption price of 103.0% plus accrued and unpaid interest. This repayment was funded by the 2020 ABL facility. On August 25, 2020, we completed a private offering of $500.0 million in aggregate principal amount of 4.625% senior secured notes due 2028 (the “2028 Secured Notes”). Proceeds from the 2028 Secured Notes were used to repay, along with expenses, the $441.0 million remaining outstanding principal of the 2023 Secured Notes at a redemption price of 103.438% plus accrued and unpaid interest.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COVID-19 Impact on Business</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During the three and nine months ended September 30, 2020, financial results for our operations were impacted by the COVID-19 outbreak as we experienced reduced demand as a portion of new project deliveries from our customers were either cancelled or delayed as a result of the COVID-19 pandemic and we expect our financial results may continue to be adversely impacted in the future. During the third quarter of 2020, deliveries in our NA Modular segment were down 13% year over year and deliveries in our NA Storage segment were down approximately 12% year over year due to reduced demand primarily attributable to the current global economic situation as a consequence of the COVID-19 pandemic. The reduced delivery demand has impacted our leasing revenues as well as our delivery and installation revenues. During the second and third quarter of 2020, we implemented significant actions to reduce variable costs and capital spending. Due to the long lease durations in our business, the predictability of our cash inflows, and the fact that the majority of our gross profit is from units already out on rent at the beginning of the period, we believe we have forward visibility into our cash flows and are able to plan ahead to adjust for varying demand levels.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Since the outbreak of COVID-19 was designated as a global pandemic by the World Health Organization in March 2020, our operations have generally continued to operate normally, albeit at lower activity levels, with additional safety protocols in place as we have been considered an essential business in most jurisdictions. However, there have been significant changes to the global economic situation as a consequence of the COVID-19 pandemic. The global pandemic has resulted in significant global social and business disruption, and in response we have modified the way we communicate and conduct business with our customers, suppliers and employees. The following summarizes many of the key actions we have taken in response to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Employee Safety and Health</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implemented various employee safety measures to contain the spread of COVID-19, including domestic and international travel restrictions, the promotion of social distancing and work-from-home practices, extensive cleaning protocols, daily symptom assessments, and enhanced use of personal protective equipment such as masks. We continue to closely monitor all guidance provided by public agencies such as the Centers for Disease Control and Prevention in the US or the Public Health Agency of Canada to ensure the safety of our employees, vendors, and customers as our top priority.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Sales and Leasing Operations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continues to monitor government orders, which vary significantly across our geographic markets. As a result of the shelter-in-place orders and increased social distancing measures, some of our markets, such as special events and sports and entertainment, experienced sustained reductions in demand for new projects during 2020. Other sectors such as health care have seen increased demand, and other sectors such as construction have remained active but with varying degrees of project disruption, some of which are quite significant. We are also responding to demand across our end markets from customers in need of additional office space to facilitate social distancing. Throughout this pandemic, our branch locations have continued to operate normally with the aforementioned safety protocols in place, while our customer service and sales teams are working closely with customers to meet current demand. The impact on future demand for new projects will depend greatly on the degree and duration to which governments restrict business and personal activities going forward and the overall macroeconomic environment.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2020, key drivers of our financial performance included:</w:t>
      </w:r>
    </w:p>
    <w:p>
      <w:pPr>
        <w:spacing w:after="0" w:line="356" w:lineRule="exact"/>
        <w:rPr>
          <w:sz w:val="20"/>
          <w:szCs w:val="20"/>
          <w:color w:val="auto"/>
        </w:rPr>
      </w:pPr>
    </w:p>
    <w:p>
      <w:pPr>
        <w:ind w:left="660" w:right="20" w:hanging="328"/>
        <w:spacing w:after="0" w:line="281" w:lineRule="auto"/>
        <w:tabs>
          <w:tab w:leader="none" w:pos="649"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increased by $149.1 million, or 55.6%, driven primarily by the addition of Mobile Mini's revenues to our consolidated results. The Merger closed on July 1, 2020, and drove $149.4 million of the year over year increase.</w:t>
      </w:r>
    </w:p>
    <w:p>
      <w:pPr>
        <w:spacing w:after="0" w:line="1" w:lineRule="exact"/>
        <w:rPr>
          <w:rFonts w:ascii="Arial" w:cs="Arial" w:eastAsia="Arial" w:hAnsi="Arial"/>
          <w:sz w:val="16"/>
          <w:szCs w:val="16"/>
          <w:b w:val="1"/>
          <w:bCs w:val="1"/>
          <w:i w:val="1"/>
          <w:iCs w:val="1"/>
          <w:color w:val="auto"/>
        </w:rPr>
      </w:pPr>
    </w:p>
    <w:p>
      <w:pPr>
        <w:ind w:left="1300" w:hanging="324"/>
        <w:spacing w:after="0" w:line="281" w:lineRule="auto"/>
        <w:rPr>
          <w:rFonts w:ascii="Arial" w:cs="Arial" w:eastAsia="Arial" w:hAnsi="Arial"/>
          <w:sz w:val="16"/>
          <w:szCs w:val="16"/>
          <w:b w:val="1"/>
          <w:bCs w:val="1"/>
          <w:i w:val="1"/>
          <w:iCs w:val="1"/>
          <w:color w:val="auto"/>
        </w:rPr>
      </w:pPr>
      <w:r>
        <w:rPr>
          <w:rFonts w:ascii="Arial" w:cs="Arial" w:eastAsia="Arial" w:hAnsi="Arial"/>
          <w:sz w:val="16"/>
          <w:szCs w:val="16"/>
          <w:color w:val="auto"/>
        </w:rPr>
        <w:t>– Leasing revenue increased $111.7 million, or 59.3%, delivery and installation revenue increased $23.7 million, or 38.9%, rental unit sales increased $5.7 million, or 76.0%, and new sales revenue increased $8.1 million, or 71.7%.</w:t>
      </w:r>
    </w:p>
    <w:p>
      <w:pPr>
        <w:spacing w:after="0" w:line="1" w:lineRule="exact"/>
        <w:rPr>
          <w:rFonts w:ascii="Arial" w:cs="Arial" w:eastAsia="Arial" w:hAnsi="Arial"/>
          <w:sz w:val="16"/>
          <w:szCs w:val="16"/>
          <w:b w:val="1"/>
          <w:bCs w:val="1"/>
          <w:i w:val="1"/>
          <w:iCs w:val="1"/>
          <w:color w:val="auto"/>
        </w:rPr>
      </w:pPr>
    </w:p>
    <w:p>
      <w:pPr>
        <w:ind w:left="98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   Key leasing revenue drivers include:</w:t>
      </w:r>
    </w:p>
    <w:p>
      <w:pPr>
        <w:spacing w:after="0" w:line="59" w:lineRule="exact"/>
        <w:rPr>
          <w:rFonts w:ascii="Arial" w:cs="Arial" w:eastAsia="Arial" w:hAnsi="Arial"/>
          <w:sz w:val="16"/>
          <w:szCs w:val="16"/>
          <w:b w:val="1"/>
          <w:bCs w:val="1"/>
          <w:i w:val="1"/>
          <w:iCs w:val="1"/>
          <w:color w:val="auto"/>
        </w:rPr>
      </w:pPr>
    </w:p>
    <w:p>
      <w:pPr>
        <w:ind w:left="1960" w:hanging="324"/>
        <w:spacing w:after="0" w:line="28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Average modular space units on rent increased 19,994 units, or 21.9%, and average portable storage units on rent increased 127,424 units, or 776.2%. Both increases were driven by the Mobile Mini Merger.</w:t>
      </w:r>
    </w:p>
    <w:p>
      <w:pPr>
        <w:spacing w:after="0" w:line="1" w:lineRule="exact"/>
        <w:rPr>
          <w:rFonts w:ascii="Arial" w:cs="Arial" w:eastAsia="Arial" w:hAnsi="Arial"/>
          <w:sz w:val="16"/>
          <w:szCs w:val="16"/>
          <w:b w:val="1"/>
          <w:bCs w:val="1"/>
          <w:i w:val="1"/>
          <w:iCs w:val="1"/>
          <w:color w:val="auto"/>
        </w:rPr>
      </w:pPr>
    </w:p>
    <w:p>
      <w:pPr>
        <w:ind w:left="1960" w:right="20" w:hanging="324"/>
        <w:spacing w:after="0" w:line="28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Average modular space monthly rental rate increased $10, or 1.6% to $640 driven by a $63, or 10.0% increase in the NA Modular segment, offset by the dilutive impact of lower rates due to mix on the Mobile Mini modular space units.</w:t>
      </w:r>
    </w:p>
    <w:p>
      <w:pPr>
        <w:spacing w:after="0" w:line="1" w:lineRule="exact"/>
        <w:rPr>
          <w:rFonts w:ascii="Arial" w:cs="Arial" w:eastAsia="Arial" w:hAnsi="Arial"/>
          <w:sz w:val="16"/>
          <w:szCs w:val="16"/>
          <w:b w:val="1"/>
          <w:bCs w:val="1"/>
          <w:i w:val="1"/>
          <w:iCs w:val="1"/>
          <w:color w:val="auto"/>
        </w:rPr>
      </w:pPr>
    </w:p>
    <w:p>
      <w:pPr>
        <w:ind w:left="1960" w:hanging="324"/>
        <w:spacing w:after="0" w:line="281" w:lineRule="auto"/>
        <w:rPr>
          <w:rFonts w:ascii="Arial" w:cs="Arial" w:eastAsia="Arial" w:hAnsi="Arial"/>
          <w:sz w:val="16"/>
          <w:szCs w:val="16"/>
          <w:b w:val="1"/>
          <w:bCs w:val="1"/>
          <w:i w:val="1"/>
          <w:iCs w:val="1"/>
          <w:color w:val="auto"/>
        </w:rPr>
      </w:pPr>
      <w:r>
        <w:rPr>
          <w:rFonts w:ascii="Arial" w:cs="Arial" w:eastAsia="Arial" w:hAnsi="Arial"/>
          <w:sz w:val="16"/>
          <w:szCs w:val="16"/>
          <w:color w:val="auto"/>
        </w:rPr>
        <w:t>– Average portable storage monthly rental rate increased $8, or 6.5% to $131 driven by the accretive impact of higher rates from the Mobile Mini portable storage fleet.</w:t>
      </w:r>
    </w:p>
    <w:p>
      <w:pPr>
        <w:spacing w:after="0" w:line="1" w:lineRule="exact"/>
        <w:rPr>
          <w:rFonts w:ascii="Arial" w:cs="Arial" w:eastAsia="Arial" w:hAnsi="Arial"/>
          <w:sz w:val="16"/>
          <w:szCs w:val="16"/>
          <w:b w:val="1"/>
          <w:bCs w:val="1"/>
          <w:i w:val="1"/>
          <w:iCs w:val="1"/>
          <w:color w:val="auto"/>
        </w:rPr>
      </w:pPr>
    </w:p>
    <w:p>
      <w:pPr>
        <w:ind w:left="1960" w:hanging="324"/>
        <w:spacing w:after="0" w:line="281" w:lineRule="auto"/>
        <w:rPr>
          <w:rFonts w:ascii="Arial" w:cs="Arial" w:eastAsia="Arial" w:hAnsi="Arial"/>
          <w:sz w:val="16"/>
          <w:szCs w:val="16"/>
          <w:b w:val="1"/>
          <w:bCs w:val="1"/>
          <w:i w:val="1"/>
          <w:iCs w:val="1"/>
          <w:color w:val="auto"/>
        </w:rPr>
      </w:pPr>
      <w:r>
        <w:rPr>
          <w:rFonts w:ascii="Arial" w:cs="Arial" w:eastAsia="Arial" w:hAnsi="Arial"/>
          <w:sz w:val="16"/>
          <w:szCs w:val="16"/>
          <w:color w:val="auto"/>
        </w:rPr>
        <w:t>– Utilization for modular space units decreased 60 basis points ("bps") to 70.6% and utilization for portable storage units increased to 73.2% from 63.0% for the same period in 2019 driven by higher utilization of the Mobile Mini portable storage units.</w:t>
      </w:r>
    </w:p>
    <w:p>
      <w:pPr>
        <w:spacing w:after="0" w:line="1" w:lineRule="exact"/>
        <w:rPr>
          <w:rFonts w:ascii="Arial" w:cs="Arial" w:eastAsia="Arial" w:hAnsi="Arial"/>
          <w:sz w:val="16"/>
          <w:szCs w:val="16"/>
          <w:b w:val="1"/>
          <w:bCs w:val="1"/>
          <w:i w:val="1"/>
          <w:iCs w:val="1"/>
          <w:color w:val="auto"/>
        </w:rPr>
      </w:pPr>
    </w:p>
    <w:p>
      <w:pPr>
        <w:jc w:val="both"/>
        <w:ind w:left="660" w:hanging="328"/>
        <w:spacing w:after="0" w:line="257" w:lineRule="auto"/>
        <w:tabs>
          <w:tab w:leader="none" w:pos="649" w:val="left"/>
        </w:tabs>
        <w:numPr>
          <w:ilvl w:val="0"/>
          <w:numId w:val="9"/>
        </w:numPr>
        <w:rPr>
          <w:rFonts w:ascii="Arial" w:cs="Arial" w:eastAsia="Arial" w:hAnsi="Arial"/>
          <w:sz w:val="16"/>
          <w:szCs w:val="16"/>
          <w:i w:val="1"/>
          <w:iCs w:val="1"/>
          <w:color w:val="auto"/>
        </w:rPr>
      </w:pPr>
      <w:r>
        <w:rPr>
          <w:rFonts w:ascii="Arial" w:cs="Arial" w:eastAsia="Arial" w:hAnsi="Arial"/>
          <w:sz w:val="16"/>
          <w:szCs w:val="16"/>
          <w:color w:val="auto"/>
        </w:rPr>
        <w:t>NA Modular segment revenue, which represents the activities of WillScot prior to the Merger with Mobile Mini and represented 64.2% of consolidated revenue for the three months ended September 30, 2020, decreased $0.4 million, or 0.1%, to $267.8 million driven by an $8.9 million, or 14.6% reduction in delivery and installation revenues as a result of reductions in demand for new project deliveries. However, the reduction to delivery and installation revenues was nearly offset by an increase to leasing revenue of $3.8 million, or 2.0% due to continued growth of pricing and value added products, and increased sales volumes of $4.7 million, or 25.0%. Key leasing revenue drivers include:</w:t>
      </w:r>
    </w:p>
    <w:p>
      <w:pPr>
        <w:spacing w:after="0" w:line="13" w:lineRule="exact"/>
        <w:rPr>
          <w:rFonts w:ascii="Arial" w:cs="Arial" w:eastAsia="Arial" w:hAnsi="Arial"/>
          <w:sz w:val="16"/>
          <w:szCs w:val="16"/>
          <w:i w:val="1"/>
          <w:iCs w:val="1"/>
          <w:color w:val="auto"/>
        </w:rPr>
      </w:pPr>
    </w:p>
    <w:p>
      <w:pPr>
        <w:ind w:left="1300" w:right="20" w:hanging="324"/>
        <w:spacing w:after="0" w:line="281" w:lineRule="auto"/>
        <w:rPr>
          <w:rFonts w:ascii="Arial" w:cs="Arial" w:eastAsia="Arial" w:hAnsi="Arial"/>
          <w:sz w:val="16"/>
          <w:szCs w:val="16"/>
          <w:i w:val="1"/>
          <w:iCs w:val="1"/>
          <w:color w:val="auto"/>
        </w:rPr>
      </w:pPr>
      <w:r>
        <w:rPr>
          <w:rFonts w:ascii="Arial" w:cs="Arial" w:eastAsia="Arial" w:hAnsi="Arial"/>
          <w:sz w:val="16"/>
          <w:szCs w:val="16"/>
          <w:color w:val="auto"/>
        </w:rPr>
        <w:t>– Modular space average monthly rental rate of $693, increased 10.0% year over year representing a continuation of the long-term price optimization and VAPS penetration opportunities across our portfolio.</w:t>
      </w:r>
    </w:p>
    <w:p>
      <w:pPr>
        <w:spacing w:after="0" w:line="1" w:lineRule="exact"/>
        <w:rPr>
          <w:rFonts w:ascii="Arial" w:cs="Arial" w:eastAsia="Arial" w:hAnsi="Arial"/>
          <w:sz w:val="16"/>
          <w:szCs w:val="16"/>
          <w:i w:val="1"/>
          <w:iCs w:val="1"/>
          <w:color w:val="auto"/>
        </w:rPr>
      </w:pPr>
    </w:p>
    <w:p>
      <w:pPr>
        <w:ind w:left="1300" w:hanging="324"/>
        <w:spacing w:after="0" w:line="269" w:lineRule="auto"/>
        <w:rPr>
          <w:rFonts w:ascii="Arial" w:cs="Arial" w:eastAsia="Arial" w:hAnsi="Arial"/>
          <w:sz w:val="16"/>
          <w:szCs w:val="16"/>
          <w:i w:val="1"/>
          <w:iCs w:val="1"/>
          <w:color w:val="auto"/>
        </w:rPr>
      </w:pPr>
      <w:r>
        <w:rPr>
          <w:rFonts w:ascii="Arial" w:cs="Arial" w:eastAsia="Arial" w:hAnsi="Arial"/>
          <w:sz w:val="16"/>
          <w:szCs w:val="16"/>
          <w:color w:val="auto"/>
        </w:rPr>
        <w:t>– Average modular space units on rent decreased 4,833, or 5.3% year over year driven by lower deliveries, including reduced demand for new project deliveries as a result of the COVID-19 pandemic in 2020. Average modular space units on rent dropped 0.8% sequentially from Q2 into Q3 to 86,400, although increased sequentially from August to September as markets stabilized.</w:t>
      </w:r>
    </w:p>
    <w:p>
      <w:pPr>
        <w:spacing w:after="0" w:line="2" w:lineRule="exact"/>
        <w:rPr>
          <w:rFonts w:ascii="Arial" w:cs="Arial" w:eastAsia="Arial" w:hAnsi="Arial"/>
          <w:sz w:val="16"/>
          <w:szCs w:val="16"/>
          <w:i w:val="1"/>
          <w:iCs w:val="1"/>
          <w:color w:val="auto"/>
        </w:rPr>
      </w:pPr>
    </w:p>
    <w:p>
      <w:pPr>
        <w:ind w:left="1300" w:hanging="324"/>
        <w:spacing w:after="0" w:line="291" w:lineRule="auto"/>
        <w:rPr>
          <w:rFonts w:ascii="Arial" w:cs="Arial" w:eastAsia="Arial" w:hAnsi="Arial"/>
          <w:sz w:val="16"/>
          <w:szCs w:val="16"/>
          <w:i w:val="1"/>
          <w:iCs w:val="1"/>
          <w:color w:val="auto"/>
        </w:rPr>
      </w:pPr>
      <w:r>
        <w:rPr>
          <w:rFonts w:ascii="Arial" w:cs="Arial" w:eastAsia="Arial" w:hAnsi="Arial"/>
          <w:sz w:val="16"/>
          <w:szCs w:val="16"/>
          <w:color w:val="auto"/>
        </w:rPr>
        <w:t>– Average modular space monthly utilization decreased 290 basis points to 68.3% for the three months ended September 30, 2020, as compared to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ind w:left="328" w:hanging="328"/>
        <w:spacing w:after="0" w:line="254" w:lineRule="auto"/>
        <w:tabs>
          <w:tab w:leader="none" w:pos="317"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$16.3 million for the three months ended September 30, 2020, which included a $42.4 million loss on extinguishment of debt related to our recent refinancing activities and $64.1 million of discrete costs expensed in the period related to transaction and integration activities, partly offset by a $66.7 million non-cash income tax benefit. Discrete costs in the period included $52.2 million of Merger transaction costs, $7.1 million of integration costs, and $4.8 million of restructuring costs, lease impairment expense and other related charges. As discussed in Note 11 to the condensed consolidated financial statements, the $66.7 million income tax offset was primarily driven by the reversal of $54.6 million of valuation allowances as a discrete benefit in the three months ended September 30, 2020 due to a change in judgment which partly offset these other non-recurring costs.</w:t>
      </w:r>
    </w:p>
    <w:p>
      <w:pPr>
        <w:spacing w:after="0" w:line="13" w:lineRule="exact"/>
        <w:rPr>
          <w:rFonts w:ascii="Arial" w:cs="Arial" w:eastAsia="Arial" w:hAnsi="Arial"/>
          <w:sz w:val="16"/>
          <w:szCs w:val="16"/>
          <w:b w:val="1"/>
          <w:bCs w:val="1"/>
          <w:i w:val="1"/>
          <w:iCs w:val="1"/>
          <w:color w:val="auto"/>
        </w:rPr>
      </w:pPr>
    </w:p>
    <w:p>
      <w:pPr>
        <w:jc w:val="both"/>
        <w:ind w:left="328" w:hanging="328"/>
        <w:spacing w:after="0" w:line="268" w:lineRule="auto"/>
        <w:tabs>
          <w:tab w:leader="none" w:pos="317" w:val="left"/>
        </w:tabs>
        <w:numPr>
          <w:ilvl w:val="0"/>
          <w:numId w:val="10"/>
        </w:numPr>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color w:val="auto"/>
        </w:rPr>
        <w:t>Generated Adjusted EBITDA of $163.6 million for the three months ended September 30, 2020, representing an increase of $76.2 million, or 87.2%, as compared to the same period in 2019. Of this increase, $63.3 million was driven by the addition of Mobile Mini to our consolidated results and the remainder was driven by strong organic growth in our NA Modular segment.</w:t>
      </w:r>
    </w:p>
    <w:p>
      <w:pPr>
        <w:spacing w:after="0" w:line="3" w:lineRule="exact"/>
        <w:rPr>
          <w:rFonts w:ascii="Times New Roman" w:cs="Times New Roman" w:eastAsia="Times New Roman" w:hAnsi="Times New Roman"/>
          <w:sz w:val="16"/>
          <w:szCs w:val="16"/>
          <w:b w:val="1"/>
          <w:bCs w:val="1"/>
          <w:i w:val="1"/>
          <w:iCs w:val="1"/>
          <w:color w:val="auto"/>
        </w:rPr>
      </w:pPr>
    </w:p>
    <w:p>
      <w:pPr>
        <w:ind w:left="968" w:hanging="324"/>
        <w:spacing w:after="0" w:line="269" w:lineRule="auto"/>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color w:val="auto"/>
        </w:rPr>
        <w:t>– Adjusted EBITDA in our NA Modular segment, which represents the activities of WillScot prior to the Merger, increased $12.9 million, or 14.8% primarily driven by increases in leasing gross profit driven by increased pricing, including VAPS, and significant cost reductions as a result of actions taken to reduce variable cost in a reduced demand environment as a consequence of the COVID-19 pandemic.</w:t>
      </w:r>
    </w:p>
    <w:p>
      <w:pPr>
        <w:spacing w:after="0" w:line="2" w:lineRule="exact"/>
        <w:rPr>
          <w:rFonts w:ascii="Times New Roman" w:cs="Times New Roman" w:eastAsia="Times New Roman" w:hAnsi="Times New Roman"/>
          <w:sz w:val="16"/>
          <w:szCs w:val="16"/>
          <w:b w:val="1"/>
          <w:bCs w:val="1"/>
          <w:i w:val="1"/>
          <w:iCs w:val="1"/>
          <w:color w:val="auto"/>
        </w:rPr>
      </w:pPr>
    </w:p>
    <w:p>
      <w:pPr>
        <w:ind w:left="968" w:right="20" w:hanging="324"/>
        <w:spacing w:after="0" w:line="28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 </w:t>
      </w:r>
      <w:r>
        <w:rPr>
          <w:rFonts w:ascii="Arial" w:cs="Arial" w:eastAsia="Arial" w:hAnsi="Arial"/>
          <w:sz w:val="16"/>
          <w:szCs w:val="16"/>
          <w:color w:val="auto"/>
        </w:rPr>
        <w:t>Consolidated Adjusted EBITDA Margin was 39.2% in the third quarter and increased 660 bps versus prior year driven by a 490 bps</w:t>
      </w:r>
      <w:r>
        <w:rPr>
          <w:rFonts w:ascii="Times New Roman" w:cs="Times New Roman" w:eastAsia="Times New Roman" w:hAnsi="Times New Roman"/>
          <w:sz w:val="16"/>
          <w:szCs w:val="16"/>
          <w:b w:val="1"/>
          <w:bCs w:val="1"/>
          <w:i w:val="1"/>
          <w:iCs w:val="1"/>
          <w:color w:val="auto"/>
        </w:rPr>
        <w:t xml:space="preserve"> </w:t>
      </w:r>
      <w:r>
        <w:rPr>
          <w:rFonts w:ascii="Arial" w:cs="Arial" w:eastAsia="Arial" w:hAnsi="Arial"/>
          <w:sz w:val="16"/>
          <w:szCs w:val="16"/>
          <w:color w:val="auto"/>
        </w:rPr>
        <w:t>increased in the NA Modular segment, as well as the addition of the higher margin Mobil Mini operations</w:t>
      </w:r>
    </w:p>
    <w:p>
      <w:pPr>
        <w:jc w:val="both"/>
        <w:ind w:left="328" w:hanging="328"/>
        <w:spacing w:after="0" w:line="254" w:lineRule="auto"/>
        <w:tabs>
          <w:tab w:leader="none" w:pos="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Generated Free Cash Flow of $28.0 million for the three months ended September 30, 2020, representing an increase of $26.7 million as compared to the same period in 2019. Net cash provided by operating activities increased $22.4 million to $61.4 million. Additionally, net cash used in investing activities, excluding cash acquired from the Merger, decreased $4.5 million as a result of reduced capital spending needs given reduced demand for new project deliveries. Excluding the impact of $63.2 million of Merger transaction costs paid during the third quarter, we generated $91.3 million of free cash flow in the quarter and repaid approximately $117 million of our ABL balance, due to our resilient lease revenues and strong margin expansion and capital expenditure reductions across the NA Modular, NA Storage, and UK segments, as well as reduced interest costs due to our refinancing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093" w:right="339" w:bottom="1440" w:gutter="0" w:footer="0" w:header="0"/>
        </w:sectPr>
      </w:pPr>
    </w:p>
    <w:bookmarkStart w:id="39" w:name="page40"/>
    <w:bookmarkEnd w:id="39"/>
    <w:p>
      <w:pPr>
        <w:spacing w:after="0"/>
        <w:rPr>
          <w:sz w:val="20"/>
          <w:szCs w:val="20"/>
          <w:color w:val="auto"/>
        </w:rPr>
      </w:pPr>
      <w:r>
        <w:rPr>
          <w:rFonts w:ascii="Arial" w:cs="Arial" w:eastAsia="Arial" w:hAnsi="Arial"/>
          <w:sz w:val="23"/>
          <w:szCs w:val="23"/>
          <w:color w:val="1D2758"/>
        </w:rPr>
        <w:t>Consolidated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the Three Months Ended September 30, 2019</w:t>
      </w:r>
    </w:p>
    <w:p>
      <w:pPr>
        <w:spacing w:after="0" w:line="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consolidated statements of operations for the three months ended September 30, 2020 and 2019 are presented below. The below results only include Mobile Mini for the periods subsequent to the Merger: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20" w:type="dxa"/>
            <w:vAlign w:val="bottom"/>
            <w:gridSpan w:val="6"/>
            <w:shd w:val="clear" w:color="auto" w:fill="1D2758"/>
          </w:tcPr>
          <w:p>
            <w:pPr>
              <w:ind w:left="440"/>
              <w:spacing w:after="0"/>
              <w:rPr>
                <w:sz w:val="20"/>
                <w:szCs w:val="20"/>
                <w:color w:val="auto"/>
              </w:rPr>
            </w:pPr>
            <w:r>
              <w:rPr>
                <w:rFonts w:ascii="Arial" w:cs="Arial" w:eastAsia="Arial" w:hAnsi="Arial"/>
                <w:sz w:val="16"/>
                <w:szCs w:val="16"/>
                <w:b w:val="1"/>
                <w:bCs w:val="1"/>
                <w:color w:val="FFFFFF"/>
              </w:rPr>
              <w:t>Three Months Ended September 30,</w:t>
            </w:r>
          </w:p>
        </w:tc>
        <w:tc>
          <w:tcPr>
            <w:tcW w:w="180" w:type="dxa"/>
            <w:vAlign w:val="bottom"/>
            <w:shd w:val="clear" w:color="auto" w:fill="1D2758"/>
          </w:tcPr>
          <w:p>
            <w:pPr>
              <w:spacing w:after="0"/>
              <w:rPr>
                <w:sz w:val="22"/>
                <w:szCs w:val="22"/>
                <w:color w:val="auto"/>
              </w:rPr>
            </w:pPr>
          </w:p>
        </w:tc>
        <w:tc>
          <w:tcPr>
            <w:tcW w:w="150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2020 vs. 2019 $</w:t>
            </w:r>
          </w:p>
        </w:tc>
        <w:tc>
          <w:tcPr>
            <w:tcW w:w="0" w:type="dxa"/>
            <w:vAlign w:val="bottom"/>
          </w:tcPr>
          <w:p>
            <w:pPr>
              <w:spacing w:after="0"/>
              <w:rPr>
                <w:sz w:val="1"/>
                <w:szCs w:val="1"/>
                <w:color w:val="auto"/>
              </w:rPr>
            </w:pPr>
          </w:p>
        </w:tc>
      </w:tr>
      <w:tr>
        <w:trPr>
          <w:trHeight w:val="229"/>
        </w:trPr>
        <w:tc>
          <w:tcPr>
            <w:tcW w:w="5940" w:type="dxa"/>
            <w:vAlign w:val="bottom"/>
            <w:vMerge w:val="continue"/>
            <w:shd w:val="clear" w:color="auto" w:fill="1D2758"/>
          </w:tcPr>
          <w:p>
            <w:pPr>
              <w:spacing w:after="0"/>
              <w:rPr>
                <w:sz w:val="19"/>
                <w:szCs w:val="19"/>
                <w:color w:val="auto"/>
              </w:rPr>
            </w:pPr>
          </w:p>
        </w:tc>
        <w:tc>
          <w:tcPr>
            <w:tcW w:w="106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66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380" w:type="dxa"/>
            <w:vAlign w:val="bottom"/>
            <w:shd w:val="clear" w:color="auto" w:fill="1D2758"/>
          </w:tcPr>
          <w:p>
            <w:pPr>
              <w:spacing w:after="0"/>
              <w:rPr>
                <w:sz w:val="19"/>
                <w:szCs w:val="19"/>
                <w:color w:val="auto"/>
              </w:rPr>
            </w:pPr>
          </w:p>
        </w:tc>
        <w:tc>
          <w:tcPr>
            <w:tcW w:w="132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150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82"/>
        </w:trPr>
        <w:tc>
          <w:tcPr>
            <w:tcW w:w="5940" w:type="dxa"/>
            <w:vAlign w:val="bottom"/>
            <w:shd w:val="clear" w:color="auto" w:fill="1D2758"/>
          </w:tcPr>
          <w:p>
            <w:pPr>
              <w:spacing w:after="0"/>
              <w:rPr>
                <w:sz w:val="7"/>
                <w:szCs w:val="7"/>
                <w:color w:val="auto"/>
              </w:rPr>
            </w:pPr>
          </w:p>
        </w:tc>
        <w:tc>
          <w:tcPr>
            <w:tcW w:w="1060" w:type="dxa"/>
            <w:vAlign w:val="bottom"/>
            <w:vMerge w:val="continue"/>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50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1060" w:type="dxa"/>
            <w:vAlign w:val="bottom"/>
            <w:shd w:val="clear" w:color="auto" w:fill="E7E7E8"/>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300,082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188,403</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111,679</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84,694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23,686</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8,022</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060" w:type="dxa"/>
            <w:vAlign w:val="bottom"/>
            <w:tcBorders>
              <w:bottom w:val="single" w:sz="8" w:color="auto"/>
            </w:tcBorders>
            <w:shd w:val="clear" w:color="auto" w:fill="E7E7E8"/>
          </w:tcPr>
          <w:p>
            <w:pPr>
              <w:spacing w:after="0"/>
              <w:rPr>
                <w:sz w:val="18"/>
                <w:szCs w:val="18"/>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09"/>
        </w:trPr>
        <w:tc>
          <w:tcPr>
            <w:tcW w:w="59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149,093</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64,788</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58,168</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6,620</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11,990</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5,514</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54,837</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43,869</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10,968</w:t>
            </w:r>
          </w:p>
        </w:tc>
        <w:tc>
          <w:tcPr>
            <w:tcW w:w="0" w:type="dxa"/>
            <w:vAlign w:val="bottom"/>
          </w:tcPr>
          <w:p>
            <w:pPr>
              <w:spacing w:after="0"/>
              <w:rPr>
                <w:sz w:val="1"/>
                <w:szCs w:val="1"/>
                <w:color w:val="auto"/>
              </w:rPr>
            </w:pPr>
          </w:p>
        </w:tc>
      </w:tr>
      <w:tr>
        <w:trPr>
          <w:trHeight w:val="209"/>
        </w:trPr>
        <w:tc>
          <w:tcPr>
            <w:tcW w:w="59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209,564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99,308</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110,256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112,079</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64,992</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47,087</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Merger transaction costs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52,191</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16,867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13,378</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1060" w:type="dxa"/>
            <w:vAlign w:val="bottom"/>
            <w:tcBorders>
              <w:bottom w:val="single" w:sz="8" w:color="auto"/>
            </w:tcBorders>
            <w:shd w:val="clear" w:color="auto" w:fill="E7E7E8"/>
          </w:tcPr>
          <w:p>
            <w:pPr>
              <w:spacing w:after="0"/>
              <w:rPr>
                <w:sz w:val="18"/>
                <w:szCs w:val="18"/>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594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216"/>
        </w:trPr>
        <w:tc>
          <w:tcPr>
            <w:tcW w:w="59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30,005</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16"/>
        </w:trPr>
        <w:tc>
          <w:tcPr>
            <w:tcW w:w="5940" w:type="dxa"/>
            <w:vAlign w:val="bottom"/>
          </w:tcPr>
          <w:p>
            <w:pPr>
              <w:ind w:left="260"/>
              <w:spacing w:after="0"/>
              <w:rPr>
                <w:sz w:val="20"/>
                <w:szCs w:val="20"/>
                <w:color w:val="auto"/>
              </w:rPr>
            </w:pPr>
            <w:r>
              <w:rPr>
                <w:rFonts w:ascii="Arial" w:cs="Arial" w:eastAsia="Arial" w:hAnsi="Arial"/>
                <w:sz w:val="16"/>
                <w:szCs w:val="16"/>
                <w:color w:val="auto"/>
              </w:rPr>
              <w:t>Loss on extinguishment of debt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42,401</w:t>
            </w:r>
          </w:p>
        </w:tc>
        <w:tc>
          <w:tcPr>
            <w:tcW w:w="0" w:type="dxa"/>
            <w:vAlign w:val="bottom"/>
          </w:tcPr>
          <w:p>
            <w:pPr>
              <w:spacing w:after="0"/>
              <w:rPr>
                <w:sz w:val="1"/>
                <w:szCs w:val="1"/>
                <w:color w:val="auto"/>
              </w:rPr>
            </w:pPr>
          </w:p>
        </w:tc>
      </w:tr>
      <w:tr>
        <w:trPr>
          <w:trHeight w:val="209"/>
        </w:trPr>
        <w:tc>
          <w:tcPr>
            <w:tcW w:w="59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w:t>
            </w:r>
          </w:p>
        </w:tc>
        <w:tc>
          <w:tcPr>
            <w:tcW w:w="1060" w:type="dxa"/>
            <w:vAlign w:val="bottom"/>
            <w:tcBorders>
              <w:top w:val="single" w:sz="8" w:color="auto"/>
            </w:tcBorders>
            <w:shd w:val="clear" w:color="auto" w:fill="E7E7E8"/>
          </w:tcPr>
          <w:p>
            <w:pPr>
              <w:spacing w:after="0"/>
              <w:rPr>
                <w:sz w:val="18"/>
                <w:szCs w:val="18"/>
                <w:color w:val="auto"/>
              </w:rPr>
            </w:pPr>
          </w:p>
        </w:tc>
        <w:tc>
          <w:tcPr>
            <w:tcW w:w="6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(50,423)</w:t>
            </w:r>
          </w:p>
        </w:tc>
        <w:tc>
          <w:tcPr>
            <w:tcW w:w="100" w:type="dxa"/>
            <w:vAlign w:val="bottom"/>
            <w:tcBorders>
              <w:top w:val="single" w:sz="8" w:color="E7E7E8"/>
            </w:tcBorders>
            <w:shd w:val="clear" w:color="auto" w:fill="E7E7E8"/>
          </w:tcPr>
          <w:p>
            <w:pPr>
              <w:spacing w:after="0"/>
              <w:rPr>
                <w:sz w:val="18"/>
                <w:szCs w:val="18"/>
                <w:color w:val="auto"/>
              </w:rPr>
            </w:pPr>
          </w:p>
        </w:tc>
        <w:tc>
          <w:tcPr>
            <w:tcW w:w="380" w:type="dxa"/>
            <w:vAlign w:val="bottom"/>
            <w:tcBorders>
              <w:top w:val="single" w:sz="8" w:color="auto"/>
            </w:tcBorders>
            <w:shd w:val="clear" w:color="auto" w:fill="E7E7E8"/>
          </w:tcPr>
          <w:p>
            <w:pPr>
              <w:spacing w:after="0"/>
              <w:rPr>
                <w:sz w:val="18"/>
                <w:szCs w:val="18"/>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top w:val="single" w:sz="8" w:color="E7E7E8"/>
            </w:tcBorders>
            <w:shd w:val="clear" w:color="auto" w:fill="E7E7E8"/>
          </w:tcPr>
          <w:p>
            <w:pPr>
              <w:spacing w:after="0"/>
              <w:rPr>
                <w:sz w:val="18"/>
                <w:szCs w:val="18"/>
                <w:color w:val="auto"/>
              </w:rPr>
            </w:pPr>
          </w:p>
        </w:tc>
        <w:tc>
          <w:tcPr>
            <w:tcW w:w="180" w:type="dxa"/>
            <w:vAlign w:val="bottom"/>
            <w:tcBorders>
              <w:top w:val="single" w:sz="8" w:color="auto"/>
            </w:tcBorders>
            <w:shd w:val="clear" w:color="auto" w:fill="E7E7E8"/>
          </w:tcPr>
          <w:p>
            <w:pPr>
              <w:spacing w:after="0"/>
              <w:rPr>
                <w:sz w:val="18"/>
                <w:szCs w:val="18"/>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(50,200)</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(66,675)</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(65,455)</w:t>
            </w:r>
          </w:p>
        </w:tc>
        <w:tc>
          <w:tcPr>
            <w:tcW w:w="0" w:type="dxa"/>
            <w:vAlign w:val="bottom"/>
          </w:tcPr>
          <w:p>
            <w:pPr>
              <w:spacing w:after="0"/>
              <w:rPr>
                <w:sz w:val="1"/>
                <w:szCs w:val="1"/>
                <w:color w:val="auto"/>
              </w:rPr>
            </w:pPr>
          </w:p>
        </w:tc>
      </w:tr>
      <w:tr>
        <w:trPr>
          <w:trHeight w:val="210"/>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E7E7E8"/>
          </w:tcPr>
          <w:p>
            <w:pPr>
              <w:spacing w:after="0"/>
              <w:rPr>
                <w:sz w:val="18"/>
                <w:szCs w:val="18"/>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15,255</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 net of tax</w:t>
            </w:r>
          </w:p>
        </w:tc>
        <w:tc>
          <w:tcPr>
            <w:tcW w:w="10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5"/>
        </w:trPr>
        <w:tc>
          <w:tcPr>
            <w:tcW w:w="59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income attributable to WillScot Mobile Mini</w:t>
            </w:r>
          </w:p>
        </w:tc>
        <w:tc>
          <w:tcPr>
            <w:tcW w:w="1060" w:type="dxa"/>
            <w:vAlign w:val="bottom"/>
            <w:tcBorders>
              <w:top w:val="single" w:sz="8" w:color="auto"/>
              <w:bottom w:val="single" w:sz="8" w:color="auto"/>
            </w:tcBorders>
            <w:shd w:val="clear" w:color="auto" w:fill="E7E7E8"/>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15,550</w:t>
            </w:r>
          </w:p>
        </w:tc>
        <w:tc>
          <w:tcPr>
            <w:tcW w:w="0" w:type="dxa"/>
            <w:vAlign w:val="bottom"/>
          </w:tcPr>
          <w:p>
            <w:pPr>
              <w:spacing w:after="0"/>
              <w:rPr>
                <w:sz w:val="1"/>
                <w:szCs w:val="1"/>
                <w:color w:val="auto"/>
              </w:rPr>
            </w:pPr>
          </w:p>
        </w:tc>
      </w:tr>
      <w:tr>
        <w:trPr>
          <w:trHeight w:val="20"/>
        </w:trPr>
        <w:tc>
          <w:tcPr>
            <w:tcW w:w="5940" w:type="dxa"/>
            <w:vAlign w:val="bottom"/>
            <w:tcBorders>
              <w:top w:val="single" w:sz="8" w:color="E7E7E8"/>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6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70"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$149.1 million, or 55.6%, to $417.3 million for the three months ended September 30, 2020 from $268.2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September 30, 2019. The increase was driven primarily by the addition of Mobile Mini's revenues to our consolidated results. The Merger closed on July 1, 2020, and drove $149.4 million of the year over year increase. Leasing revenue increased $111.7 million, or 59.3%, as compared to the same period in 2019 driven by an increase of 147,418 average units on rent as a result of the Merger, and improved pricing and value-added products in our NA Modular segment. Rental unit sales increased $5.7 million, or 76.0%, new unit sales increased $8.1 million, or 71.7%, and delivery and installation revenues increased $23.7 million, or 38.9%, due to increased overall activity as a result of the Merger. These increases were partially offset by delivery and installation revenue decreases in our NA Modular segment for the three months ended September 30, 2020 as compared to the same period in 2019. The decline in NA Modular delivery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0" w:name="page41"/>
    <w:bookmarkEnd w:id="40"/>
    <w:p>
      <w:pPr>
        <w:jc w:val="both"/>
        <w:ind w:right="20"/>
        <w:spacing w:after="0" w:line="281" w:lineRule="auto"/>
        <w:rPr>
          <w:sz w:val="20"/>
          <w:szCs w:val="20"/>
          <w:color w:val="auto"/>
        </w:rPr>
      </w:pPr>
      <w:r>
        <w:rPr>
          <w:rFonts w:ascii="Arial" w:cs="Arial" w:eastAsia="Arial" w:hAnsi="Arial"/>
          <w:sz w:val="16"/>
          <w:szCs w:val="16"/>
          <w:color w:val="auto"/>
        </w:rPr>
        <w:t>and installation revenues was primarily driven by lower delivery volumes during the quarter related to the impact of new project cancellations and delays as a result of the COVID-19 pandemic.</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Total average units on rent for the three months ended September 30, 2020 and 2019 were 255,067 and 107,649, respectively. The increase was due primarily to the units acquired as part of the Merger, partially offset by lower delivery volumes. In total, modular space average units on rent increased 19,994 units, or 21.9%, for the three months ended September 30, 2020 as compared to the three months ended September 30, 2019. Modular space average monthly rental rates increased 1.6% to $640 for the three months ended September 30, 2020. Improved pricing was driven by a $63, or 10.0% increase in the NA Modular segment, offset by the dilutive impact of lower rates on the Mobile Mini modular space units due to product mix. NA Modular segment increases were driven by a continuation of the long-term price optimization and VAPS penetration opportunities across our portfolio. Portable storage average units on rent increased by 127,424 units, or 776.2%, for the three months ended September 30, 2020 driven by units acquired as part of the Merger. Average portable storage monthly rental rates increased 6.5% to $131 for the three months ended September 30, 2020 driven by the accretive impact of higher rates from the Mobile Mini portable storage fleet. The average modular space unit utilization rate during the three months ended September 30, 2020 was 70.6%, as compared to 71.2% during the same period in 2019. This decrease was driven by lower average modular space units on rent driven by lower demand as a result of the COVID-19 pandemic, partially offset by higher utilization on units acquired as part of the Merger. The average portable storage unit utilization rate during the three months ended September 30, 2020 was 73.2%, as compared to 63.0% during the same period in 2019. The increase in average portable storage utilization rate was driven by higher utilization on the acquired Mobile Mini units.</w:t>
      </w:r>
    </w:p>
    <w:p>
      <w:pPr>
        <w:spacing w:after="0" w:line="3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50.2% and 37.0% for the three months ended September 30, 2020 and 2019, respectively.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percentage, excluding the effects of depreciation, was 63.4% and 53.4% for the three months ended September 30, 2020 and 2019, respectively.</w:t>
      </w:r>
    </w:p>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Gross profit increased $110.3 million, or 111.1%, to $209.6 million for the three months ended September 30, 2020 from $99.3 million for the three months ended September 30, 2019. The increase in gross profit is a result of an $105.1 million increase in leasing gross profit, increased delivery and installation gross profit of $11.7 million, and increased new and rental unit sale margins of $4.6 million. Increases in all were primarily a result of increased revenues due to the Merger and to favorable average monthly rental rates in the NA Modular segment on modular space units, as well as modular leasing cost savings due to lower delivery volumes that were achieved as a result of actions taken by the Company to scale back variable labor and material costs in response to lower demand for new project deliveries. Increased delivery and installation margins were also driven by higher margins achieved in the NA Storage and UK Storage segments as compared to the NA Modular segment. These increases were offset partially by lower delivery and installation activity volumes in the NA Modular segment in the second and third quarter due to reduced delivery demand and by increased depreciation of $10.9 million as a result of fleet acquired in the Merger and capital investments made over the past twelve months in our existing rental equipment.</w:t>
      </w:r>
    </w:p>
    <w:p>
      <w:pPr>
        <w:spacing w:after="0" w:line="3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increased $47.1 million, or 72.5%, to $112.1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$65.0 million for the three months ended September 30, 2019. The primary driver of the increase is related to additional SG&amp;A costs related to operating a larger business as a result of the Merger. SG&amp;A costs for the NA Storage, UK Storage, and Tank and Pump segments totaled $43.1 million for the three months ended September 30, 2020,</w:t>
      </w:r>
    </w:p>
    <w:p>
      <w:pPr>
        <w:spacing w:after="0" w:line="3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Merger Transaction Costs: </w:t>
      </w:r>
      <w:r>
        <w:rPr>
          <w:rFonts w:ascii="Arial" w:cs="Arial" w:eastAsia="Arial" w:hAnsi="Arial"/>
          <w:sz w:val="16"/>
          <w:szCs w:val="16"/>
          <w:color w:val="auto"/>
        </w:rPr>
        <w:t>Transaction costs increased $52.2 million for the three months ended September 30, 2020. Transaction costs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Merger that closed on July 1, 2020.</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$13.4 million to $16.9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compared to $3.5 million for the three months ended September 30, 2019. Other depreciation increased $8.7 million as a result of the inclusion of Mobile Mini beginning in the third quarter of 2020 and amortization increased $5.1 million due to the amortization of the customer relationship intangible asset acquired in the Merger. The increases as a result of the Merger were offset by a decrease of $0.4 million associated with the NA Modular segment.</w:t>
      </w:r>
    </w:p>
    <w:p>
      <w:pPr>
        <w:spacing w:after="0" w:line="3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$0.9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2020 as compared to $1.2 million for the three months ended September 30, 2019.</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In the three months ended September 30, 2020, the Company had $3.9 million of restructuring costs primarily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termination costs resulting from the Merger. In the three months ended September 30, 2019, $0.6 million of restructuring costs was recorded primarily related to employee termination costs as a result of the ModSpace integration.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gains, net for the three months ended September 30, 2020 were $0.4 million which represents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$0.6 million from currency losses of $0.2 million for the three months ended September 30, 2019. This increase was primarily attributable to the impact of foreign currency exchanges rate changes on loans and borrowings as well as intercompany receivables and payables denominated in a currency other than the subsidiary's functional currency.</w:t>
      </w:r>
    </w:p>
    <w:p>
      <w:pPr>
        <w:spacing w:after="0" w:line="3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$1.0 million for the three months ended September 30, 2020 compared to income of $1.1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2019. Other income, net of $1.0 million for the three months ended September 30, 2020 reflects the reversal of a non-income tax liability of $1.2 million. Other income, net of $1.1 million for the three months ended September 30, 2019 was primarily driven by the gain on the sale of property, plant and equipment of $0.9 million.</w:t>
      </w:r>
    </w:p>
    <w:p>
      <w:pPr>
        <w:spacing w:after="0" w:line="3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$3.0 million, or 10.0%, to $33.0 million for the three months ended September 30, 2020 from $30.0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2019. The increase in interest expense is a result of the Merger which increased debt outstanding at September 30, 2020 by approximately $800 million compared to September 30, 2019, offset by lower overall weighted average interest rates which were the result of the issuance of the 2025 Secured Notes and the 2028 Secured Notes. See Note 9 to the condensed consolidated financial statements for further discussion of our debt.</w:t>
      </w:r>
    </w:p>
    <w:p>
      <w:pPr>
        <w:spacing w:after="0" w:line="3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As a result of the Merger and the related financing transactions, we recorded a loss on extinguishment of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$42.4 million in the three months ended September 30,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w:t>
      </w:r>
    </w:p>
    <w:p>
      <w:pPr>
        <w:spacing w:after="0" w:line="3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increased $65.5 million to $66.7 million for the three months ended September 30, 2020 compared to $1.2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2019. The increase in income tax benefit was driven by a reversal of the Company’s valuation allowance of $54.1 million based on our assessment of the realizability of deferred tax assets and a reduction of reserves for uncertain tax positions of $9.5 million in the three months ended September 30, 2020 as compared to discrete benefits recorded in the three months ended September 30, 2019 that were not recurring at September 30, 2020.</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Nine Months Ended September 30, 2020 Compared to the Nine Months Ended September 30, 2019</w:t>
      </w:r>
    </w:p>
    <w:p>
      <w:pPr>
        <w:spacing w:after="0" w:line="31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Our consolidated statements of operations for the nine months ended September 30, 2020 and 2019 are presented below. The below results only include Mobile Mini for the periods subsequent to the Merger: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860" w:type="dxa"/>
            <w:vAlign w:val="bottom"/>
            <w:gridSpan w:val="5"/>
            <w:shd w:val="clear" w:color="auto" w:fill="1D2758"/>
          </w:tcPr>
          <w:p>
            <w:pPr>
              <w:ind w:left="500"/>
              <w:spacing w:after="0"/>
              <w:rPr>
                <w:sz w:val="20"/>
                <w:szCs w:val="20"/>
                <w:color w:val="auto"/>
              </w:rPr>
            </w:pPr>
            <w:r>
              <w:rPr>
                <w:rFonts w:ascii="Arial" w:cs="Arial" w:eastAsia="Arial" w:hAnsi="Arial"/>
                <w:sz w:val="16"/>
                <w:szCs w:val="16"/>
                <w:b w:val="1"/>
                <w:bCs w:val="1"/>
                <w:color w:val="FFFFFF"/>
              </w:rPr>
              <w:t>Nine Months Ended</w:t>
            </w:r>
          </w:p>
        </w:tc>
        <w:tc>
          <w:tcPr>
            <w:tcW w:w="14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82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2020 vs. 2019 $</w:t>
            </w:r>
          </w:p>
        </w:tc>
        <w:tc>
          <w:tcPr>
            <w:tcW w:w="0" w:type="dxa"/>
            <w:vAlign w:val="bottom"/>
          </w:tcPr>
          <w:p>
            <w:pPr>
              <w:spacing w:after="0"/>
              <w:rPr>
                <w:sz w:val="1"/>
                <w:szCs w:val="1"/>
                <w:color w:val="auto"/>
              </w:rPr>
            </w:pPr>
          </w:p>
        </w:tc>
      </w:tr>
      <w:tr>
        <w:trPr>
          <w:trHeight w:val="229"/>
        </w:trPr>
        <w:tc>
          <w:tcPr>
            <w:tcW w:w="6480" w:type="dxa"/>
            <w:vAlign w:val="bottom"/>
            <w:vMerge w:val="continue"/>
            <w:shd w:val="clear" w:color="auto" w:fill="1D2758"/>
          </w:tcPr>
          <w:p>
            <w:pPr>
              <w:spacing w:after="0"/>
              <w:rPr>
                <w:sz w:val="19"/>
                <w:szCs w:val="19"/>
                <w:color w:val="auto"/>
              </w:rPr>
            </w:pPr>
          </w:p>
        </w:tc>
        <w:tc>
          <w:tcPr>
            <w:tcW w:w="34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560" w:type="dxa"/>
            <w:vAlign w:val="bottom"/>
            <w:shd w:val="clear" w:color="auto" w:fill="1D2758"/>
          </w:tcPr>
          <w:p>
            <w:pPr>
              <w:spacing w:after="0"/>
              <w:rPr>
                <w:sz w:val="19"/>
                <w:szCs w:val="19"/>
                <w:color w:val="auto"/>
              </w:rPr>
            </w:pPr>
          </w:p>
        </w:tc>
        <w:tc>
          <w:tcPr>
            <w:tcW w:w="94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9"/>
                <w:szCs w:val="19"/>
                <w:color w:val="auto"/>
              </w:rPr>
            </w:pPr>
          </w:p>
        </w:tc>
        <w:tc>
          <w:tcPr>
            <w:tcW w:w="14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82"/>
        </w:trPr>
        <w:tc>
          <w:tcPr>
            <w:tcW w:w="648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560" w:type="dxa"/>
            <w:vAlign w:val="bottom"/>
            <w:shd w:val="clear" w:color="auto" w:fill="1D2758"/>
          </w:tcPr>
          <w:p>
            <w:pPr>
              <w:spacing w:after="0"/>
              <w:rPr>
                <w:sz w:val="7"/>
                <w:szCs w:val="7"/>
                <w:color w:val="auto"/>
              </w:rPr>
            </w:pPr>
          </w:p>
        </w:tc>
        <w:tc>
          <w:tcPr>
            <w:tcW w:w="94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38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678,577</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551,513</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127,064</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166,974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20,430</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38,736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29,447</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09"/>
        </w:trPr>
        <w:tc>
          <w:tcPr>
            <w:tcW w:w="64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929,998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785,620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144,378</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162,344</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160,476</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1,868</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153,742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7,567</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19,608</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146,279</w:t>
            </w:r>
          </w:p>
        </w:tc>
        <w:tc>
          <w:tcPr>
            <w:tcW w:w="100" w:type="dxa"/>
            <w:vAlign w:val="bottom"/>
            <w:tcBorders>
              <w:bottom w:val="single" w:sz="8" w:color="E7E7E8"/>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128,940</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17,339</w:t>
            </w:r>
          </w:p>
        </w:tc>
        <w:tc>
          <w:tcPr>
            <w:tcW w:w="0" w:type="dxa"/>
            <w:vAlign w:val="bottom"/>
          </w:tcPr>
          <w:p>
            <w:pPr>
              <w:spacing w:after="0"/>
              <w:rPr>
                <w:sz w:val="1"/>
                <w:szCs w:val="1"/>
                <w:color w:val="auto"/>
              </w:rPr>
            </w:pPr>
          </w:p>
        </w:tc>
      </w:tr>
      <w:tr>
        <w:trPr>
          <w:trHeight w:val="209"/>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425,718</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304,123</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121,595</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241,269</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208,696</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32,573</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Merger transaction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63,241</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22,824</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9,222</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13,602</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5,819</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E7E7E8"/>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09"/>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E7E7E8"/>
          </w:tcPr>
          <w:p>
            <w:pPr>
              <w:spacing w:after="0"/>
              <w:rPr>
                <w:sz w:val="18"/>
                <w:szCs w:val="18"/>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91,452</w:t>
            </w:r>
          </w:p>
        </w:tc>
        <w:tc>
          <w:tcPr>
            <w:tcW w:w="10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77,540</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13,912</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89,810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(2,978)</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35,157</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(18,267)</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(66,170)</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(64,148)</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45,881</w:t>
            </w:r>
          </w:p>
        </w:tc>
        <w:tc>
          <w:tcPr>
            <w:tcW w:w="0" w:type="dxa"/>
            <w:vAlign w:val="bottom"/>
          </w:tcPr>
          <w:p>
            <w:pPr>
              <w:spacing w:after="0"/>
              <w:rPr>
                <w:sz w:val="1"/>
                <w:szCs w:val="1"/>
                <w:color w:val="auto"/>
              </w:rPr>
            </w:pPr>
          </w:p>
        </w:tc>
      </w:tr>
      <w:tr>
        <w:trPr>
          <w:trHeight w:val="216"/>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34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 Mobile Mini</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2020 and 2019</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$144.4 million, or 18.4%, to $930.0 million for the nine months ended September 30, 2020 from $785.6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September 30, 2019. The increase was driven primarily by the addition of Mobile Mini's revenues to our consolidated results. The Merger closed on July 1, 2020, and drove $149.4 million of the year over year increase. Leasing revenue increased $127.1 million, or 23.0%, as compared to the same period in 2019 driven by an increase of 44,984 average units on rent as a result of the Merger, and improved pricing and value-added products in our NA Modular segment. Delivery and installation revenues increased $20.4 million, or 12.2% due to increased overall activity as a result of the Merger, but was partially offset by lower delivery volumes due to the impact of new project cancellations and delays in the second and third quarter of 2020 as a result of the COVID-19 pandemic. New unit sales increased $1.0 million, or 2.7% and rental unit sales decreased $4.1 million, or 13.9% as a result of lower demand in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43" w:name="page44"/>
    <w:bookmarkEnd w:id="43"/>
    <w:p>
      <w:pPr>
        <w:jc w:val="both"/>
        <w:ind w:firstLine="648"/>
        <w:spacing w:after="0" w:line="250" w:lineRule="auto"/>
        <w:rPr>
          <w:sz w:val="20"/>
          <w:szCs w:val="20"/>
          <w:color w:val="auto"/>
        </w:rPr>
      </w:pPr>
      <w:r>
        <w:rPr>
          <w:rFonts w:ascii="Arial" w:cs="Arial" w:eastAsia="Arial" w:hAnsi="Arial"/>
          <w:sz w:val="16"/>
          <w:szCs w:val="16"/>
          <w:color w:val="auto"/>
        </w:rPr>
        <w:t>Total average units on rent for the nine months ended September 30, 2020 and 2019 were 154,122 and 109,138, respectively. The increase was due primarily to the units acquired as part of the Merger, partially offset by lower delivery volumes, including reduced demand for new projects as a result of COVID-19. In total, modular space average units on rent increased 3,138 units, or 3.4%, for the nine months ended September 30, 2020 as compared to the nine months ended September 30, 2019. Modular space average monthly rental rates increased 7.9% to $653 for the nine months ended September 30, 2020.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41,846 units, or 248.5%, for the nine months ended September 30, 2020. Average portable storage monthly rental rates of $129 represented an increase of $8, or 6.6% compared to the nine months ended September 30, 2019. This increase was driven by the accretive impact of higher rates from the Mobile Mini portable storage fleet. The average modular space unit utilization rate during the nine months ended September 30, 2020 was 69.8%, as compared to 72.1% during the same period in 2019. This decrease was driven by lower demand as a result of the COVID-19 pandemic, partially offset by higher utilization on units acquired as part of the Merger. The average portable storage unit utilization rate during the nine months ended September 30, 2020 was 71.3%, as compared to 64.6% during the same period in 2019. The increase in average portable storage utilization rate was driven by higher utilization on the acquired Mobile Mini units.</w:t>
      </w:r>
    </w:p>
    <w:p>
      <w:pPr>
        <w:spacing w:after="0" w:line="200" w:lineRule="exact"/>
        <w:rPr>
          <w:sz w:val="20"/>
          <w:szCs w:val="20"/>
          <w:color w:val="auto"/>
        </w:rPr>
      </w:pPr>
    </w:p>
    <w:p>
      <w:pPr>
        <w:spacing w:after="0" w:line="308"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45.8% and 38.7% for the nine months ended September 30, 2020 and 2019,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61.5% and 55.1% for the nine months ended September 30, 2020 and 2019, respectively.</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Gross profit increased $121.6 million, or 40.0%, to $425.7 million for the nine months ended September 30, 2020 from $304.1 million for the nine months ended September 30, 2019. The increase in gross profit is a result of a $125.3 million increase in leasing gross profit, increased delivery and installation gross profit of $12.9 million, and increased new and rental unit sale margins of $0.9 million. Increases in all were primarily a result of increased revenues due to the Merger and to favorable average monthly rental rates in the NA Modular segment on modular space units, as well as modular leasing cost savings due to lower delivery volumes that were achieved as a result of actions taken by the Company to scale back variable labor and material costs in response to lower demand for new project deliveries. These increases were offset partially by lower delivery and installation activity volumes in the NA Modular segment in the second and third quarters of 2020 due to reduced delivery demand and by increased depreciation of $17.4 million as a result of fleet acquired in the Merger and capital investments made over the past twelve months in our existing rental equipment.</w:t>
      </w:r>
    </w:p>
    <w:p>
      <w:pPr>
        <w:spacing w:after="0" w:line="3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increased $32.6 million, or 15.6%, to $241.3 million for the nine months ended September 30, 2020, compared to $208.7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2019. The primary driver of the increase is related to additional SG&amp;A costs related to operating a larger business as a result of the Merger. SG&amp;A costs for the NA Storage, UK Storage, and Tank and Pump segments totaled $43.1 million for the nine months ended September 30, 2020. These increases were partially offset by reduced integration costs of $12.9 million for nine months ended September 30, 2020 driven by integration activities performed during 2019 related to the ModSpace acquisition.</w:t>
      </w:r>
    </w:p>
    <w:p>
      <w:pPr>
        <w:spacing w:after="0" w:line="31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b w:val="1"/>
          <w:bCs w:val="1"/>
          <w:i w:val="1"/>
          <w:iCs w:val="1"/>
          <w:color w:val="auto"/>
        </w:rPr>
        <w:t xml:space="preserve">Merger Transaction Costs: </w:t>
      </w:r>
      <w:r>
        <w:rPr>
          <w:rFonts w:ascii="Arial" w:cs="Arial" w:eastAsia="Arial" w:hAnsi="Arial"/>
          <w:sz w:val="16"/>
          <w:szCs w:val="16"/>
          <w:color w:val="auto"/>
        </w:rPr>
        <w:t>Transaction costs increased $63.2 million for the nine months ended September 30, 2019. Transaction costs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Merger that closed on July 1, 2020.</w:t>
      </w:r>
    </w:p>
    <w:p>
      <w:pPr>
        <w:spacing w:after="0" w:line="2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$13.6 million, or 147.8%, to $22.8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2020, compared to $9.2 million for the nine months ended September 30, 2019. Other depreciation increased $8.7 million as a result of the inclusion of Mobile Mini beginning in the third quarter of 2020 and amortization increased $5.1 million due to the amortization of the customer relationship intangible asset acquired in the Merger.</w:t>
      </w:r>
    </w:p>
    <w:p>
      <w:pPr>
        <w:spacing w:after="0" w:line="3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$2.6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related to the valuation of properties classified as assets held for sale as a result of the ModSpace acquisition. No similar impairments occurred during the nine months ended September 30, 2020.</w:t>
      </w:r>
    </w:p>
    <w:p>
      <w:pPr>
        <w:spacing w:after="0" w:line="2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were $4.0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2020 as compared to $5.8 million for the nine months ended September 30, 2019.</w:t>
      </w:r>
    </w:p>
    <w:p>
      <w:pPr>
        <w:spacing w:after="0" w:line="2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$4.5 million for the nine months ended September 30, 2020 as compared to $3.9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2019. The restructuring charges in the nine months ended September 30, 2020 were primarily due to employee terminations costs as a result of the Merger and, to a lesser extent, reductions in force across our branch network in response to COVID-19 economic conditions. The restructuring charges in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nine months ended September 30, 2019 related primarily to employee termination costs related to the ModSpace and Acton acquisitions and integrations.</w:t>
      </w:r>
    </w:p>
    <w:p>
      <w:pPr>
        <w:spacing w:after="0" w:line="3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fluctuated by $0.5 million to a $0.1 million loss for the nine months ended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2020 compared to a $0.4 million gain for the nine months ended September 30, 2019. The increase in currency (gains) losses, net, in 2020 was primarily attributable to the impact of foreign currency exchange rate changes on loans and borrowings and intercompany receivables and payables denominated in a currency other than the subsidiaries’ functional currency.</w:t>
      </w:r>
    </w:p>
    <w:p>
      <w:pPr>
        <w:spacing w:after="0" w:line="3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income, net was $1.8 million and $3.3 million for the nine months ended September 30, 2020 and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Other income, net of $1.8 million for the nine months ended September 30, 2020 was primarily related to the reversal of a non-income tax liability of $2.5 million. Other income, net of $3.3 million for the nine months ended September 30, 2019 was driven primarily by the receipt of $3.2 million of insurance proceeds related to assets damaged during Hurricane Harvey.</w:t>
      </w:r>
    </w:p>
    <w:p>
      <w:pPr>
        <w:spacing w:after="0" w:line="3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$3.0 million, or 3.2%, to $89.8 million for the nine months ended September 30, 2020 from $92.8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2019. The decrease was driven by lower interest rates on our ABL facilities, the repayment of our 10% unsecured notes in 2019 and the lower interest rates on our 2025 Secured Notes and 2028 Secured Notes, partially offset by an $800 million increase in debt outstanding as a result of the Merger.</w:t>
      </w:r>
    </w:p>
    <w:p>
      <w:pPr>
        <w:spacing w:after="0" w:line="3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As a result of the Merger and the related financing transactions, we recorded a loss on extinguishment of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$42.4 million in the nine months ended September 30,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 We redeemed $200.0 million in aggregate outstanding principal amount of our senior unsecured notes in the second quarter of 2019 at a redemption price of 102.0%, plus a make-whole premium of 1.1%, for total premiums of 3.1%. As a result, we recorded a loss on extinguishment of debt of $7.2 million.</w:t>
      </w:r>
    </w:p>
    <w:p>
      <w:pPr>
        <w:spacing w:after="0" w:line="29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6"/>
          <w:szCs w:val="16"/>
          <w:b w:val="1"/>
          <w:bCs w:val="1"/>
          <w:i w:val="1"/>
          <w:iCs w:val="1"/>
          <w:color w:val="auto"/>
        </w:rPr>
        <w:t>Income Tax Benefit</w:t>
      </w:r>
      <w:r>
        <w:rPr>
          <w:rFonts w:ascii="Arial" w:cs="Arial" w:eastAsia="Arial" w:hAnsi="Arial"/>
          <w:sz w:val="16"/>
          <w:szCs w:val="16"/>
          <w:color w:val="auto"/>
        </w:rPr>
        <w:t>: Income tax benefit increased $64.2 million to $66.2 million for the nine months ended September 30, 2020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 million benefit for the nine months ended September 30, 2019. The increase in income tax benefit was driven by a reversal of the Company’s valuation allowance of $54.1 million based on our assessment of deferred tax assets and a reduction of reserves for uncertain tax positions of $9.5 million in the nine months ended September 30, 2020 compared to discrete benefits recorded in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Arial" w:cs="Arial" w:eastAsia="Arial" w:hAnsi="Arial"/>
          <w:sz w:val="23"/>
          <w:szCs w:val="23"/>
          <w:color w:val="1D2758"/>
        </w:rPr>
        <w:t>Business Segment Results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result of the Merger, the Company has evaluated its operating structure and, accordingly, its segment structure and has determined it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w:t>
      </w:r>
    </w:p>
    <w:p>
      <w:pPr>
        <w:jc w:val="both"/>
        <w:ind w:firstLine="648"/>
        <w:spacing w:after="0" w:line="252"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nine months ended September 30, 2020 and 2019. The below results only include Mobile Mini for the periods subsequent to the Merger. 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2019 reported results.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79"/>
              <w:spacing w:after="0"/>
              <w:rPr>
                <w:sz w:val="20"/>
                <w:szCs w:val="20"/>
                <w:color w:val="auto"/>
              </w:rPr>
            </w:pPr>
            <w:r>
              <w:rPr>
                <w:rFonts w:ascii="Arial" w:cs="Arial" w:eastAsia="Arial" w:hAnsi="Arial"/>
                <w:sz w:val="16"/>
                <w:szCs w:val="16"/>
                <w:b w:val="1"/>
                <w:bCs w:val="1"/>
                <w:color w:val="FFFFFF"/>
              </w:rPr>
              <w:t>Three Months Ended September 30, 2020</w:t>
            </w: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20" w:type="dxa"/>
            <w:vAlign w:val="bottom"/>
            <w:vMerge w:val="continue"/>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10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9"/>
                <w:szCs w:val="19"/>
                <w:color w:val="auto"/>
              </w:rPr>
            </w:pPr>
          </w:p>
        </w:tc>
        <w:tc>
          <w:tcPr>
            <w:tcW w:w="130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9"/>
                <w:szCs w:val="19"/>
                <w:color w:val="auto"/>
              </w:rPr>
            </w:pPr>
          </w:p>
        </w:tc>
        <w:tc>
          <w:tcPr>
            <w:tcW w:w="13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9"/>
                <w:szCs w:val="19"/>
                <w:color w:val="auto"/>
              </w:rPr>
            </w:pPr>
          </w:p>
        </w:tc>
        <w:tc>
          <w:tcPr>
            <w:tcW w:w="1280" w:type="dxa"/>
            <w:vAlign w:val="bottom"/>
            <w:vMerge w:val="restart"/>
            <w:shd w:val="clear" w:color="auto" w:fill="1D2758"/>
          </w:tcPr>
          <w:p>
            <w:pPr>
              <w:jc w:val="center"/>
              <w:ind w:right="159"/>
              <w:spacing w:after="0"/>
              <w:rPr>
                <w:sz w:val="20"/>
                <w:szCs w:val="20"/>
                <w:color w:val="auto"/>
              </w:rPr>
            </w:pPr>
            <w:r>
              <w:rPr>
                <w:rFonts w:ascii="Arial" w:cs="Arial" w:eastAsia="Arial" w:hAnsi="Arial"/>
                <w:sz w:val="16"/>
                <w:szCs w:val="16"/>
                <w:b w:val="1"/>
                <w:bCs w:val="1"/>
                <w:color w:val="FFFFFF"/>
              </w:rPr>
              <w:t>UK Storage</w:t>
            </w:r>
          </w:p>
        </w:tc>
        <w:tc>
          <w:tcPr>
            <w:tcW w:w="1500" w:type="dxa"/>
            <w:vAlign w:val="bottom"/>
            <w:gridSpan w:val="2"/>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9"/>
                <w:szCs w:val="19"/>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84"/>
        </w:trPr>
        <w:tc>
          <w:tcPr>
            <w:tcW w:w="3720" w:type="dxa"/>
            <w:vAlign w:val="bottom"/>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1500" w:type="dxa"/>
            <w:vAlign w:val="bottom"/>
            <w:gridSpan w:val="2"/>
            <w:vMerge w:val="continue"/>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1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267,867</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104,493</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21,653</w:t>
            </w:r>
          </w:p>
        </w:tc>
        <w:tc>
          <w:tcPr>
            <w:tcW w:w="4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23,302</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417,315</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112,079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73,384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12,671</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11,430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209,564</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100,281</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46,465</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8,306</w:t>
            </w:r>
          </w:p>
        </w:tc>
        <w:tc>
          <w:tcPr>
            <w:tcW w:w="4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8,507</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163,559</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34,249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7,234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677</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42,591</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86,400</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16,383</w:t>
            </w:r>
          </w:p>
        </w:tc>
        <w:tc>
          <w:tcPr>
            <w:tcW w:w="220" w:type="dxa"/>
            <w:vAlign w:val="bottom"/>
            <w:shd w:val="clear" w:color="auto" w:fill="E7E7E8"/>
          </w:tcPr>
          <w:p>
            <w:pPr>
              <w:spacing w:after="0"/>
              <w:rPr>
                <w:sz w:val="18"/>
                <w:szCs w:val="18"/>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8,444</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111,227</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80.4 %</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79.1 %</w:t>
            </w:r>
          </w:p>
        </w:tc>
        <w:tc>
          <w:tcPr>
            <w:tcW w:w="460" w:type="dxa"/>
            <w:vAlign w:val="bottom"/>
          </w:tcPr>
          <w:p>
            <w:pPr>
              <w:spacing w:after="0"/>
              <w:rPr>
                <w:sz w:val="18"/>
                <w:szCs w:val="18"/>
                <w:color w:val="auto"/>
              </w:rPr>
            </w:pPr>
          </w:p>
        </w:tc>
        <w:tc>
          <w:tcPr>
            <w:tcW w:w="1040" w:type="dxa"/>
            <w:vAlign w:val="bottom"/>
          </w:tcPr>
          <w:p>
            <w:pPr>
              <w:ind w:left="6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70.6 %</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693</w:t>
            </w:r>
          </w:p>
        </w:tc>
        <w:tc>
          <w:tcPr>
            <w:tcW w:w="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505</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356</w:t>
            </w:r>
          </w:p>
        </w:tc>
        <w:tc>
          <w:tcPr>
            <w:tcW w:w="4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15,473</w:t>
            </w:r>
          </w:p>
        </w:tc>
        <w:tc>
          <w:tcPr>
            <w:tcW w:w="24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105,221</w:t>
            </w:r>
          </w:p>
        </w:tc>
        <w:tc>
          <w:tcPr>
            <w:tcW w:w="22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23,146</w:t>
            </w:r>
          </w:p>
        </w:tc>
        <w:tc>
          <w:tcPr>
            <w:tcW w:w="46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143,840</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61.3 %</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73.4 %</w:t>
            </w:r>
          </w:p>
        </w:tc>
        <w:tc>
          <w:tcPr>
            <w:tcW w:w="22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83.2 %</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73.2 %</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75</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62"/>
        </w:trPr>
        <w:tc>
          <w:tcPr>
            <w:tcW w:w="372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2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14"/>
                <w:szCs w:val="14"/>
                <w:color w:val="auto"/>
              </w:rPr>
            </w:pP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58.2 %</w:t>
            </w:r>
          </w:p>
        </w:tc>
        <w:tc>
          <w:tcPr>
            <w:tcW w:w="36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58.2 %</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Three Months Ended September 30, 2019</w:t>
            </w: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20" w:type="dxa"/>
            <w:vAlign w:val="bottom"/>
            <w:vMerge w:val="continue"/>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UK Storage</w:t>
            </w:r>
          </w:p>
        </w:tc>
        <w:tc>
          <w:tcPr>
            <w:tcW w:w="1500" w:type="dxa"/>
            <w:vAlign w:val="bottom"/>
            <w:gridSpan w:val="2"/>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1500" w:type="dxa"/>
            <w:vAlign w:val="bottom"/>
            <w:gridSpan w:val="2"/>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268,222</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268,222</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99,308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99,308</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87,424</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87,424</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47,789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47,789</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91,233</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8"/>
                <w:szCs w:val="18"/>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91,233</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71.2 %</w:t>
            </w:r>
          </w:p>
        </w:tc>
        <w:tc>
          <w:tcPr>
            <w:tcW w:w="240" w:type="dxa"/>
            <w:vAlign w:val="bottom"/>
          </w:tcPr>
          <w:p>
            <w:pPr>
              <w:spacing w:after="0"/>
              <w:rPr>
                <w:sz w:val="18"/>
                <w:szCs w:val="18"/>
                <w:color w:val="auto"/>
              </w:rPr>
            </w:pPr>
          </w:p>
        </w:tc>
        <w:tc>
          <w:tcPr>
            <w:tcW w:w="1300" w:type="dxa"/>
            <w:vAlign w:val="bottom"/>
          </w:tcPr>
          <w:p>
            <w:pPr>
              <w:ind w:left="88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1040" w:type="dxa"/>
            <w:vAlign w:val="bottom"/>
          </w:tcPr>
          <w:p>
            <w:pPr>
              <w:ind w:left="6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71.2 %</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630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16,416</w:t>
            </w:r>
          </w:p>
        </w:tc>
        <w:tc>
          <w:tcPr>
            <w:tcW w:w="240" w:type="dxa"/>
            <w:vAlign w:val="bottom"/>
          </w:tcPr>
          <w:p>
            <w:pPr>
              <w:spacing w:after="0"/>
              <w:rPr>
                <w:sz w:val="18"/>
                <w:szCs w:val="18"/>
                <w:color w:val="auto"/>
              </w:rPr>
            </w:pP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16,416</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63.0 %</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ind w:left="8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E7E7E8"/>
          </w:tcPr>
          <w:p>
            <w:pPr>
              <w:spacing w:after="0"/>
              <w:rPr>
                <w:sz w:val="18"/>
                <w:szCs w:val="18"/>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63.0 %</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ind w:left="6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62"/>
        </w:trPr>
        <w:tc>
          <w:tcPr>
            <w:tcW w:w="372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ind w:left="8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14"/>
                <w:szCs w:val="14"/>
                <w:color w:val="auto"/>
              </w:rPr>
            </w:pPr>
          </w:p>
        </w:tc>
        <w:tc>
          <w:tcPr>
            <w:tcW w:w="1040" w:type="dxa"/>
            <w:vAlign w:val="bottom"/>
            <w:vMerge w:val="restart"/>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Modular</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$0.4 million, or 0.1%, to $267.8 million for the three months ended September 30, 2020 from $268.2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2019. The decrease was primarily the result of an $8.9 million, or 14.6% decrease in modular delivery and installation revenues driven by lower delivery volumes during the third quarter of 2020 related to the impact of new project cancellations and delays as a result of the COVID-19 pandemic. This decline was nearly offset by increases in leasing revenue of $3.8 million, or 2.0%, a $2.7 million, or 23.9%, increase in new unit sales, and a $2.0 million, or 26.7%, increase in rental unit sales revenue. Average modular space monthly rental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6"/>
          <w:szCs w:val="16"/>
          <w:color w:val="auto"/>
        </w:rPr>
        <w:t>increased 10.0% for the three months ended September 30, 2020 to $693 driven by the continuation of the long-term price optimization and VAPS penetration opportunities across our portfolio. Improved pricing was partially offset by lower volumes as average modular space units on rent decreased by 4,833 units, or 5.3% year over year. The decrease was driven primarily by lower delivery volumes, including reduced demand for new projects since mid-March of 2020 as a result of COVID-19.</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$12.8 million, or 12.9%, to $112.1 million for the three months ended September 30, 2020 from $99.3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September 30, 2019. The increase in gross profit was driven by higher leasing gross profit, which increased $12.5 million, or 9.6%, driven from improved pricing including VAPS and leasing cost savings due to lower delivery volumes that were achieved as a result of actions taken by the Company to scale back variable labor and material costs in response to lower demand for new project deliveries. The increase in gross profit from leasing for the three months ended September 30, 2020 was further complemented by a $1.3 million increase in sales gross profit, and a $1.0 million increase in delivery and installation gross profit driven by increased profitability on delivery and installation activity even in a lower demand environment. These increases were partially offset by a $2.1 million increase in depreciation of rental equipment related to capital investments made in our existing rental equipment over the past twelve months.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$12.9 million, or 14.8%, to $100.3 million for the three months ended September 30,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$87.4 million for the three months ended September 30, 2019. The increase was driven by higher leasing gross profit discussed above. SG&amp;A, excluding discrete items, increased $2.7 million, or 4.8%, for the three months ended September 30, 2020, as compared to the three months ended September 30, 2019. Increases were primarily related to a $2.3 million increase in bad debt expense, a $0.8 million increase in occupancy costs, an $0.8 million increase in insurance costs, and a $0.7 million increase in professional fees. These increases were partially offset by a $1.3 million decrease in travel and entertainment and a $1.2 million decrease in employee costs compared to the prior year.</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decreased $13.6 million, or 28.5%,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$34.2 million for the three months ended September 30, 2020 from $47.8 million for the three months ended September 30, 2019. Net CAPEX, as defined below in Item 2. Other Non-GAAP Financial Data and Reconciliations, also decreased $14.1 million, or 37.4%, to $23.6 million. The decreases for both were driven by decreased spending on refurbishments and VAPS due to less constrained fleet and reduced demand as a result of the COVID-19 pandemic, and cost improvements experienced over the prior year related to better unit selection and scoping on refurbishments.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2020 and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Nine Months Ended September 30, 2020</w:t>
            </w: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10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180" w:type="dxa"/>
            <w:vAlign w:val="bottom"/>
            <w:shd w:val="clear" w:color="auto" w:fill="1D2758"/>
          </w:tcPr>
          <w:p>
            <w:pPr>
              <w:spacing w:after="0"/>
              <w:rPr>
                <w:sz w:val="19"/>
                <w:szCs w:val="19"/>
                <w:color w:val="auto"/>
              </w:rPr>
            </w:pPr>
          </w:p>
        </w:tc>
        <w:tc>
          <w:tcPr>
            <w:tcW w:w="128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60" w:type="dxa"/>
            <w:vAlign w:val="bottom"/>
            <w:shd w:val="clear" w:color="auto" w:fill="1D2758"/>
          </w:tcPr>
          <w:p>
            <w:pPr>
              <w:spacing w:after="0"/>
              <w:rPr>
                <w:sz w:val="19"/>
                <w:szCs w:val="19"/>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9"/>
                <w:szCs w:val="19"/>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UK Storage</w:t>
            </w:r>
          </w:p>
        </w:tc>
        <w:tc>
          <w:tcPr>
            <w:tcW w:w="1500" w:type="dxa"/>
            <w:vAlign w:val="bottom"/>
            <w:gridSpan w:val="2"/>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9"/>
                <w:szCs w:val="19"/>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84"/>
        </w:trPr>
        <w:tc>
          <w:tcPr>
            <w:tcW w:w="374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1500" w:type="dxa"/>
            <w:vAlign w:val="bottom"/>
            <w:gridSpan w:val="2"/>
            <w:vMerge w:val="continue"/>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1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780,550</w:t>
            </w:r>
          </w:p>
        </w:tc>
        <w:tc>
          <w:tcPr>
            <w:tcW w:w="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104,493</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21,653</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23,302</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929,998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328,233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73,384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12,671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11,430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425,718</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287,345</w:t>
            </w:r>
          </w:p>
        </w:tc>
        <w:tc>
          <w:tcPr>
            <w:tcW w:w="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46,465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8,306</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8,507</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350,623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113,931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7,234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677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122,273</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87,161</w:t>
            </w:r>
          </w:p>
        </w:tc>
        <w:tc>
          <w:tcPr>
            <w:tcW w:w="260" w:type="dxa"/>
            <w:vAlign w:val="bottom"/>
            <w:shd w:val="clear" w:color="auto" w:fill="E7E7E8"/>
          </w:tcPr>
          <w:p>
            <w:pPr>
              <w:spacing w:after="0"/>
              <w:rPr>
                <w:sz w:val="18"/>
                <w:szCs w:val="18"/>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5,461</w:t>
            </w:r>
          </w:p>
        </w:tc>
        <w:tc>
          <w:tcPr>
            <w:tcW w:w="240" w:type="dxa"/>
            <w:vAlign w:val="bottom"/>
            <w:shd w:val="clear" w:color="auto" w:fill="E7E7E8"/>
          </w:tcPr>
          <w:p>
            <w:pPr>
              <w:spacing w:after="0"/>
              <w:rPr>
                <w:sz w:val="18"/>
                <w:szCs w:val="18"/>
                <w:color w:val="auto"/>
              </w:rPr>
            </w:pP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2,815</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95,437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68.9 %</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80.4 %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79.1 %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69.8 %</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672</w:t>
            </w:r>
          </w:p>
        </w:tc>
        <w:tc>
          <w:tcPr>
            <w:tcW w:w="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505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356</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15,896</w:t>
            </w:r>
          </w:p>
        </w:tc>
        <w:tc>
          <w:tcPr>
            <w:tcW w:w="2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35,074</w:t>
            </w:r>
          </w:p>
        </w:tc>
        <w:tc>
          <w:tcPr>
            <w:tcW w:w="2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7,715</w:t>
            </w:r>
          </w:p>
        </w:tc>
        <w:tc>
          <w:tcPr>
            <w:tcW w:w="46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58,685</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63.0 %</w:t>
            </w:r>
          </w:p>
        </w:tc>
        <w:tc>
          <w:tcPr>
            <w:tcW w:w="26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73.4 %</w:t>
            </w:r>
          </w:p>
        </w:tc>
        <w:tc>
          <w:tcPr>
            <w:tcW w:w="24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83.2 %</w:t>
            </w:r>
          </w:p>
        </w:tc>
        <w:tc>
          <w:tcPr>
            <w:tcW w:w="4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71.3 %</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62"/>
        </w:trPr>
        <w:tc>
          <w:tcPr>
            <w:tcW w:w="374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w:t>
            </w:r>
          </w:p>
        </w:tc>
        <w:tc>
          <w:tcPr>
            <w:tcW w:w="18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6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14"/>
                <w:szCs w:val="14"/>
                <w:color w:val="auto"/>
              </w:rPr>
            </w:pP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58.2 %</w:t>
            </w:r>
          </w:p>
        </w:tc>
        <w:tc>
          <w:tcPr>
            <w:tcW w:w="36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58.2 %</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18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37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8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720" w:type="dxa"/>
            <w:vAlign w:val="bottom"/>
            <w:gridSpan w:val="4"/>
            <w:shd w:val="clear" w:color="auto" w:fill="1D2758"/>
          </w:tcPr>
          <w:p>
            <w:pPr>
              <w:ind w:left="480"/>
              <w:spacing w:after="0"/>
              <w:rPr>
                <w:sz w:val="20"/>
                <w:szCs w:val="20"/>
                <w:color w:val="auto"/>
              </w:rPr>
            </w:pPr>
            <w:r>
              <w:rPr>
                <w:rFonts w:ascii="Arial" w:cs="Arial" w:eastAsia="Arial" w:hAnsi="Arial"/>
                <w:sz w:val="16"/>
                <w:szCs w:val="16"/>
                <w:b w:val="1"/>
                <w:bCs w:val="1"/>
                <w:color w:val="FFFFFF"/>
              </w:rPr>
              <w:t>Nine Months Ended September 30, 2019</w:t>
            </w:r>
          </w:p>
        </w:tc>
        <w:tc>
          <w:tcPr>
            <w:tcW w:w="56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UK Storage</w:t>
            </w:r>
          </w:p>
        </w:tc>
        <w:tc>
          <w:tcPr>
            <w:tcW w:w="1460" w:type="dxa"/>
            <w:vAlign w:val="bottom"/>
            <w:gridSpan w:val="2"/>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18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1460" w:type="dxa"/>
            <w:vAlign w:val="bottom"/>
            <w:gridSpan w:val="2"/>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785,620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785,620</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304,123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304,123</w:t>
            </w: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258,332</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258,332</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160,877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160,877</w:t>
            </w: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8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92,299</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spacing w:after="0"/>
              <w:rPr>
                <w:sz w:val="18"/>
                <w:szCs w:val="18"/>
                <w:color w:val="auto"/>
              </w:rPr>
            </w:pPr>
          </w:p>
        </w:tc>
        <w:tc>
          <w:tcPr>
            <w:tcW w:w="5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92,299</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72.1 %</w:t>
            </w:r>
          </w:p>
        </w:tc>
        <w:tc>
          <w:tcPr>
            <w:tcW w:w="24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72.1 %</w:t>
            </w: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605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8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16,839</w:t>
            </w:r>
          </w:p>
        </w:tc>
        <w:tc>
          <w:tcPr>
            <w:tcW w:w="24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16,839</w:t>
            </w: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64.6 %</w:t>
            </w:r>
          </w:p>
        </w:tc>
        <w:tc>
          <w:tcPr>
            <w:tcW w:w="240" w:type="dxa"/>
            <w:vAlign w:val="bottom"/>
            <w:shd w:val="clear" w:color="auto" w:fill="E7E7E8"/>
          </w:tcPr>
          <w:p>
            <w:pPr>
              <w:spacing w:after="0"/>
              <w:rPr>
                <w:sz w:val="18"/>
                <w:szCs w:val="18"/>
                <w:color w:val="auto"/>
              </w:rPr>
            </w:pPr>
          </w:p>
        </w:tc>
        <w:tc>
          <w:tcPr>
            <w:tcW w:w="130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8"/>
                <w:szCs w:val="18"/>
                <w:color w:val="auto"/>
              </w:rPr>
            </w:pPr>
          </w:p>
        </w:tc>
        <w:tc>
          <w:tcPr>
            <w:tcW w:w="12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900" w:type="dxa"/>
            <w:vAlign w:val="bottom"/>
            <w:shd w:val="clear" w:color="auto" w:fill="E7E7E8"/>
          </w:tcPr>
          <w:p>
            <w:pPr>
              <w:spacing w:after="0"/>
              <w:rPr>
                <w:sz w:val="18"/>
                <w:szCs w:val="18"/>
                <w:color w:val="auto"/>
              </w:rPr>
            </w:pPr>
          </w:p>
        </w:tc>
        <w:tc>
          <w:tcPr>
            <w:tcW w:w="5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2"/>
        </w:trPr>
        <w:tc>
          <w:tcPr>
            <w:tcW w:w="37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w:t>
            </w:r>
          </w:p>
        </w:tc>
        <w:tc>
          <w:tcPr>
            <w:tcW w:w="18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4"/>
                <w:szCs w:val="14"/>
                <w:color w:val="auto"/>
              </w:rPr>
            </w:pPr>
          </w:p>
        </w:tc>
        <w:tc>
          <w:tcPr>
            <w:tcW w:w="1300" w:type="dxa"/>
            <w:vAlign w:val="bottom"/>
            <w:vMerge w:val="restart"/>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E7E7E8"/>
          </w:tcPr>
          <w:p>
            <w:pPr>
              <w:spacing w:after="0"/>
              <w:rPr>
                <w:sz w:val="14"/>
                <w:szCs w:val="14"/>
                <w:color w:val="auto"/>
              </w:rPr>
            </w:pPr>
          </w:p>
        </w:tc>
        <w:tc>
          <w:tcPr>
            <w:tcW w:w="1280" w:type="dxa"/>
            <w:vAlign w:val="bottom"/>
            <w:vMerge w:val="restart"/>
            <w:shd w:val="clear" w:color="auto" w:fill="E7E7E8"/>
          </w:tcPr>
          <w:p>
            <w:pPr>
              <w:ind w:left="860"/>
              <w:spacing w:after="0"/>
              <w:rPr>
                <w:sz w:val="20"/>
                <w:szCs w:val="20"/>
                <w:color w:val="auto"/>
              </w:rPr>
            </w:pPr>
            <w:r>
              <w:rPr>
                <w:rFonts w:ascii="Arial" w:cs="Arial" w:eastAsia="Arial" w:hAnsi="Arial"/>
                <w:sz w:val="16"/>
                <w:szCs w:val="16"/>
                <w:color w:val="auto"/>
              </w:rPr>
              <w:t>— %</w:t>
            </w:r>
          </w:p>
        </w:tc>
        <w:tc>
          <w:tcPr>
            <w:tcW w:w="900" w:type="dxa"/>
            <w:vAlign w:val="bottom"/>
            <w:shd w:val="clear" w:color="auto" w:fill="E7E7E8"/>
          </w:tcPr>
          <w:p>
            <w:pPr>
              <w:spacing w:after="0"/>
              <w:rPr>
                <w:sz w:val="14"/>
                <w:szCs w:val="14"/>
                <w:color w:val="auto"/>
              </w:rPr>
            </w:pPr>
          </w:p>
        </w:tc>
        <w:tc>
          <w:tcPr>
            <w:tcW w:w="560" w:type="dxa"/>
            <w:vAlign w:val="bottom"/>
            <w:vMerge w:val="restart"/>
            <w:shd w:val="clear" w:color="auto" w:fill="E7E7E8"/>
          </w:tcPr>
          <w:p>
            <w:pPr>
              <w:ind w:left="140"/>
              <w:spacing w:after="0"/>
              <w:rPr>
                <w:sz w:val="20"/>
                <w:szCs w:val="20"/>
                <w:color w:val="auto"/>
              </w:rPr>
            </w:pPr>
            <w:r>
              <w:rPr>
                <w:rFonts w:ascii="Arial" w:cs="Arial" w:eastAsia="Arial" w:hAnsi="Arial"/>
                <w:sz w:val="16"/>
                <w:szCs w:val="16"/>
                <w:color w:val="auto"/>
              </w:rPr>
              <w:t>— %</w:t>
            </w:r>
          </w:p>
        </w:tc>
        <w:tc>
          <w:tcPr>
            <w:tcW w:w="36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18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00" w:type="dxa"/>
            <w:vAlign w:val="bottom"/>
            <w:vMerge w:val="continue"/>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80" w:type="dxa"/>
            <w:vAlign w:val="bottom"/>
            <w:vMerge w:val="continue"/>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560" w:type="dxa"/>
            <w:vAlign w:val="bottom"/>
            <w:vMerge w:val="continue"/>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Modular</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$5.0 million, or 0.6%, to $780.6 million for the nine months ended September 30, 2020 from $785.6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2019. The decrease was driven by decreases in delivery and installation revenues driven by lower delivery volumes during the second and third quarters of 2020 and lower sales revenues. Delivery and installation revenue decreased $12.1 million, or 7.2%, new unit sales revenue decreased $4.3 million, or 11.4% and rental unit sales revenue decreased $7.8 million, or 26.5%. These decreases were partially offset by increased leasing revenues, which increased $19.2 million, or 3.5%, driven by improved pricing. Average modular space monthly rental rates increased 11.1% for the nine months ended September 30, 2020. Improved pricing was driven by the continuation of the long-term price optimization and VAPS penetration opportunities across our portfolio. Increases in pricing were partially offset by decreased average modular space units on rent, which decreased 5,138 units, or 5.6%. The decrease in units on rent was due primarily to lower delivery volumes, including reduced demand for new projects since mid-March of 2020 as a result of new project cancellations and delays as a result of the COVID-19 pandemic.</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$24.1 million, or 7.9%, to $328.2 million for the nine months ended September 30, 2020 from $304.1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2019. The increase in gross profit was driven by a $32.6 million increase in leasing gross profit driven by improved pricing and VAPS, as well as by lower modular leasing cost due to lower delivery demand in the second and third quarter of 2020 and reduced variable costs. The increase in gross profit from leasing revenues was partially offset by an $8.5 million increase in depreciation of rental equipment primarily as a result of capital investments made over the past twelve months in our existing rental equipment for the nine months ended September 30, 2020.</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$29.0 million, or 11.2%, to $287.3 million for the nine months ended September 30,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$258.3 million for the nine months ended September 30, 2019. The increase was driven by higher leasing gross profits discussed above, partially offset by increases in SG&amp;A, excluding discrete and other items, of $2.3 million. Increases were primarily related to a $3.3 million increase in bad debt expense, a $1.0 million increase in office costs, and approximately $2.3 million of costs related to the bi-annual company meeting held in January 2020. These increases were partially offset by a $2.6 million decrease in travel and entertainment, decreased computer costs of $0.7 million and a $0.6 million decrease in non-income tax expense.</w:t>
      </w:r>
    </w:p>
    <w:p>
      <w:pPr>
        <w:spacing w:after="0" w:line="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decreased $47.0 million, or 29.2%, to $113.9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nine months ended September 30, 2020 from $160.9 million for the nine months ended September 30, 2019. Net CAPEX, as defined below in </w:t>
      </w:r>
      <w:r>
        <w:rPr>
          <w:rFonts w:ascii="Arial" w:cs="Arial" w:eastAsia="Arial" w:hAnsi="Arial"/>
          <w:sz w:val="16"/>
          <w:szCs w:val="16"/>
          <w:i w:val="1"/>
          <w:iCs w:val="1"/>
          <w:color w:val="auto"/>
        </w:rPr>
        <w:t>Item 2.</w:t>
      </w:r>
      <w:r>
        <w:rPr>
          <w:rFonts w:ascii="Arial" w:cs="Arial" w:eastAsia="Arial" w:hAnsi="Arial"/>
          <w:sz w:val="16"/>
          <w:szCs w:val="16"/>
          <w:color w:val="auto"/>
        </w:rPr>
        <w:t xml:space="preserve"> </w:t>
      </w:r>
      <w:r>
        <w:rPr>
          <w:rFonts w:ascii="Arial" w:cs="Arial" w:eastAsia="Arial" w:hAnsi="Arial"/>
          <w:sz w:val="16"/>
          <w:szCs w:val="16"/>
          <w:i w:val="1"/>
          <w:iCs w:val="1"/>
          <w:color w:val="auto"/>
        </w:rPr>
        <w:t>Other Non-GAAP Financial Data and Reconciliations</w:t>
      </w:r>
      <w:r>
        <w:rPr>
          <w:rFonts w:ascii="Arial" w:cs="Arial" w:eastAsia="Arial" w:hAnsi="Arial"/>
          <w:sz w:val="16"/>
          <w:szCs w:val="16"/>
          <w:color w:val="auto"/>
        </w:rPr>
        <w:t>, also decreased $32.2 million, or 26.2%, to $90.6 million. The decreases for both were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spend for refurbishments and VAPS due to less constrained fleet and reduced demand as a result of the COVID-19 pandemic, and cost improvements experienced over the prior year related to better unit selection and scoping on refurbishments.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48" w:name="page49"/>
    <w:bookmarkEnd w:id="48"/>
    <w:p>
      <w:pPr>
        <w:spacing w:after="0"/>
        <w:rPr>
          <w:sz w:val="20"/>
          <w:szCs w:val="20"/>
          <w:color w:val="auto"/>
        </w:rPr>
      </w:pPr>
      <w:r>
        <w:rPr>
          <w:rFonts w:ascii="Arial" w:cs="Arial" w:eastAsia="Arial" w:hAnsi="Arial"/>
          <w:sz w:val="23"/>
          <w:szCs w:val="23"/>
          <w:color w:val="1D2758"/>
        </w:rPr>
        <w:t>Other Non-GAAP Financial Data and Reconciliations</w:t>
      </w:r>
    </w:p>
    <w:p>
      <w:pPr>
        <w:spacing w:after="0" w:line="6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the intrinsic operating results of the Company.</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2" w:lineRule="exact"/>
        <w:rPr>
          <w:sz w:val="20"/>
          <w:szCs w:val="20"/>
          <w:color w:val="auto"/>
        </w:rPr>
      </w:pPr>
    </w:p>
    <w:p>
      <w:pPr>
        <w:ind w:left="1300" w:hanging="320"/>
        <w:spacing w:after="0" w:line="259"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losses (gains), net: on monetary assets and liabilities denominated in foreign currencies other than the subsidiaries’ functional currency. Substantially all such currency losses (gains) are unrealized and attributable to financings due to and from affiliated companies.</w:t>
      </w:r>
    </w:p>
    <w:p>
      <w:pPr>
        <w:ind w:left="1300" w:hanging="320"/>
        <w:spacing w:after="0" w:line="265"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5"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1"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right="20" w:hanging="320"/>
        <w:spacing w:after="0" w:line="28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1"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9" w:name="page50"/>
    <w:bookmarkEnd w:id="49"/>
    <w:p>
      <w:pPr>
        <w:jc w:val="both"/>
        <w:ind w:right="20" w:firstLine="648"/>
        <w:spacing w:after="0" w:line="268"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income (loss) to Adjusted EBITDA:</w:t>
      </w:r>
    </w:p>
    <w:tbl>
      <w:tblPr>
        <w:tblLayout w:type="fixed"/>
        <w:tblInd w:w="0" w:type="dxa"/>
        <w:tblCellMar>
          <w:top w:w="0" w:type="dxa"/>
          <w:left w:w="0" w:type="dxa"/>
          <w:bottom w:w="0" w:type="dxa"/>
          <w:right w:w="0" w:type="dxa"/>
        </w:tblCellMar>
      </w:tblPr>
      <w:tr>
        <w:trPr>
          <w:trHeight w:val="158"/>
        </w:trPr>
        <w:tc>
          <w:tcPr>
            <w:tcW w:w="47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2380" w:type="dxa"/>
            <w:vAlign w:val="bottom"/>
            <w:gridSpan w:val="3"/>
            <w:shd w:val="clear" w:color="auto" w:fill="1D2758"/>
          </w:tcPr>
          <w:p>
            <w:pPr>
              <w:jc w:val="right"/>
              <w:ind w:right="199"/>
              <w:spacing w:after="0" w:line="158" w:lineRule="exact"/>
              <w:rPr>
                <w:sz w:val="20"/>
                <w:szCs w:val="20"/>
                <w:color w:val="auto"/>
              </w:rPr>
            </w:pPr>
            <w:r>
              <w:rPr>
                <w:rFonts w:ascii="Arial" w:cs="Arial" w:eastAsia="Arial" w:hAnsi="Arial"/>
                <w:sz w:val="16"/>
                <w:szCs w:val="16"/>
                <w:b w:val="1"/>
                <w:bCs w:val="1"/>
                <w:color w:val="FFFFFF"/>
              </w:rPr>
              <w:t>Three Months Ended</w:t>
            </w:r>
          </w:p>
        </w:tc>
        <w:tc>
          <w:tcPr>
            <w:tcW w:w="60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320" w:type="dxa"/>
            <w:vAlign w:val="bottom"/>
            <w:shd w:val="clear" w:color="auto" w:fill="1D2758"/>
          </w:tcPr>
          <w:p>
            <w:pPr>
              <w:spacing w:after="0"/>
              <w:rPr>
                <w:sz w:val="13"/>
                <w:szCs w:val="13"/>
                <w:color w:val="auto"/>
              </w:rPr>
            </w:pPr>
          </w:p>
        </w:tc>
        <w:tc>
          <w:tcPr>
            <w:tcW w:w="2680" w:type="dxa"/>
            <w:vAlign w:val="bottom"/>
            <w:gridSpan w:val="4"/>
            <w:shd w:val="clear" w:color="auto" w:fill="1D2758"/>
          </w:tcPr>
          <w:p>
            <w:pPr>
              <w:jc w:val="right"/>
              <w:ind w:right="659"/>
              <w:spacing w:after="0" w:line="158" w:lineRule="exact"/>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47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2380" w:type="dxa"/>
            <w:vAlign w:val="bottom"/>
            <w:gridSpan w:val="3"/>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September 30,</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76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102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6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16,252</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25,411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2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7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2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(66,675)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(66,170)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33,034</w:t>
            </w:r>
          </w:p>
        </w:tc>
        <w:tc>
          <w:tcPr>
            <w:tcW w:w="12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30,005</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89,810</w:t>
            </w:r>
          </w:p>
        </w:tc>
        <w:tc>
          <w:tcPr>
            <w:tcW w:w="12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92,788</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71,704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47,358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169,103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138,162</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162"/>
        </w:trPr>
        <w:tc>
          <w:tcPr>
            <w:tcW w:w="4780" w:type="dxa"/>
            <w:vAlign w:val="bottom"/>
            <w:shd w:val="clear" w:color="auto" w:fill="E7E7E8"/>
          </w:tcPr>
          <w:p>
            <w:pPr>
              <w:ind w:left="220"/>
              <w:spacing w:after="0" w:line="162" w:lineRule="exact"/>
              <w:rPr>
                <w:sz w:val="20"/>
                <w:szCs w:val="20"/>
                <w:color w:val="auto"/>
              </w:rPr>
            </w:pPr>
            <w:r>
              <w:rPr>
                <w:rFonts w:ascii="Arial" w:cs="Arial" w:eastAsia="Arial" w:hAnsi="Arial"/>
                <w:sz w:val="16"/>
                <w:szCs w:val="16"/>
                <w:color w:val="auto"/>
              </w:rPr>
              <w:t>Restructuring costs, lease impairment expense and other</w:t>
            </w:r>
          </w:p>
        </w:tc>
        <w:tc>
          <w:tcPr>
            <w:tcW w:w="380" w:type="dxa"/>
            <w:vAlign w:val="bottom"/>
            <w:shd w:val="clear" w:color="auto" w:fill="E7E7E8"/>
          </w:tcPr>
          <w:p>
            <w:pPr>
              <w:spacing w:after="0"/>
              <w:rPr>
                <w:sz w:val="14"/>
                <w:szCs w:val="14"/>
                <w:color w:val="auto"/>
              </w:rPr>
            </w:pPr>
          </w:p>
        </w:tc>
        <w:tc>
          <w:tcPr>
            <w:tcW w:w="12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4,798</w:t>
            </w:r>
          </w:p>
        </w:tc>
        <w:tc>
          <w:tcPr>
            <w:tcW w:w="12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11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8,542</w:t>
            </w:r>
          </w:p>
        </w:tc>
        <w:tc>
          <w:tcPr>
            <w:tcW w:w="120" w:type="dxa"/>
            <w:vAlign w:val="bottom"/>
            <w:shd w:val="clear" w:color="auto" w:fill="E7E7E8"/>
          </w:tcPr>
          <w:p>
            <w:pPr>
              <w:spacing w:after="0"/>
              <w:rPr>
                <w:sz w:val="14"/>
                <w:szCs w:val="14"/>
                <w:color w:val="auto"/>
              </w:rPr>
            </w:pPr>
          </w:p>
        </w:tc>
        <w:tc>
          <w:tcPr>
            <w:tcW w:w="520" w:type="dxa"/>
            <w:vAlign w:val="bottom"/>
            <w:shd w:val="clear" w:color="auto" w:fill="E7E7E8"/>
          </w:tcPr>
          <w:p>
            <w:pPr>
              <w:spacing w:after="0"/>
              <w:rPr>
                <w:sz w:val="14"/>
                <w:szCs w:val="14"/>
                <w:color w:val="auto"/>
              </w:rPr>
            </w:pP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9,756</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related charges</w:t>
            </w:r>
          </w:p>
        </w:tc>
        <w:tc>
          <w:tcPr>
            <w:tcW w:w="380" w:type="dxa"/>
            <w:vAlign w:val="bottom"/>
            <w:shd w:val="clear" w:color="auto" w:fill="E7E7E8"/>
          </w:tcPr>
          <w:p>
            <w:pPr>
              <w:spacing w:after="0"/>
              <w:rPr>
                <w:sz w:val="18"/>
                <w:szCs w:val="18"/>
                <w:color w:val="auto"/>
              </w:rPr>
            </w:pPr>
          </w:p>
        </w:tc>
        <w:tc>
          <w:tcPr>
            <w:tcW w:w="124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vMerge w:val="continue"/>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Merger transaction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52,191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63,241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7,083</w:t>
            </w:r>
          </w:p>
        </w:tc>
        <w:tc>
          <w:tcPr>
            <w:tcW w:w="12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5,483</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10,921</w:t>
            </w:r>
          </w:p>
        </w:tc>
        <w:tc>
          <w:tcPr>
            <w:tcW w:w="12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6,958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E7E7E8"/>
          </w:tcPr>
          <w:p>
            <w:pPr>
              <w:spacing w:after="0"/>
              <w:rPr>
                <w:sz w:val="18"/>
                <w:szCs w:val="18"/>
                <w:color w:val="auto"/>
              </w:rPr>
            </w:pPr>
          </w:p>
        </w:tc>
        <w:tc>
          <w:tcPr>
            <w:tcW w:w="1020" w:type="dxa"/>
            <w:vAlign w:val="bottom"/>
            <w:tcBorders>
              <w:bottom w:val="single" w:sz="8" w:color="auto"/>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E7E7E8"/>
          </w:tcPr>
          <w:p>
            <w:pPr>
              <w:spacing w:after="0"/>
              <w:rPr>
                <w:sz w:val="18"/>
                <w:szCs w:val="18"/>
                <w:color w:val="auto"/>
              </w:rPr>
            </w:pPr>
          </w:p>
        </w:tc>
        <w:tc>
          <w:tcPr>
            <w:tcW w:w="32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E7E7E8"/>
          </w:tcPr>
          <w:p>
            <w:pPr>
              <w:spacing w:after="0"/>
              <w:rPr>
                <w:sz w:val="18"/>
                <w:szCs w:val="18"/>
                <w:color w:val="auto"/>
              </w:rPr>
            </w:pPr>
          </w:p>
        </w:tc>
        <w:tc>
          <w:tcPr>
            <w:tcW w:w="520" w:type="dxa"/>
            <w:vAlign w:val="bottom"/>
            <w:tcBorders>
              <w:bottom w:val="single" w:sz="8" w:color="auto"/>
            </w:tcBorders>
            <w:shd w:val="clear" w:color="auto" w:fill="E7E7E8"/>
          </w:tcPr>
          <w:p>
            <w:pPr>
              <w:spacing w:after="0"/>
              <w:rPr>
                <w:sz w:val="18"/>
                <w:szCs w:val="18"/>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163,559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350,623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258,332</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shd w:val="clear" w:color="auto" w:fill="1D2758"/>
          </w:tcPr>
          <w:p>
            <w:pPr>
              <w:spacing w:after="0"/>
              <w:rPr>
                <w:sz w:val="16"/>
                <w:szCs w:val="16"/>
                <w:color w:val="auto"/>
              </w:rPr>
            </w:pPr>
          </w:p>
        </w:tc>
        <w:tc>
          <w:tcPr>
            <w:tcW w:w="400" w:type="dxa"/>
            <w:vAlign w:val="bottom"/>
            <w:shd w:val="clear" w:color="auto" w:fill="1D2758"/>
          </w:tcPr>
          <w:p>
            <w:pPr>
              <w:spacing w:after="0"/>
              <w:rPr>
                <w:sz w:val="16"/>
                <w:szCs w:val="16"/>
                <w:color w:val="auto"/>
              </w:rPr>
            </w:pPr>
          </w:p>
        </w:tc>
        <w:tc>
          <w:tcPr>
            <w:tcW w:w="3200" w:type="dxa"/>
            <w:vAlign w:val="bottom"/>
            <w:gridSpan w:val="5"/>
            <w:shd w:val="clear" w:color="auto" w:fill="1D2758"/>
          </w:tcPr>
          <w:p>
            <w:pPr>
              <w:ind w:left="560"/>
              <w:spacing w:after="0"/>
              <w:rPr>
                <w:sz w:val="20"/>
                <w:szCs w:val="20"/>
                <w:color w:val="auto"/>
              </w:rPr>
            </w:pPr>
            <w:r>
              <w:rPr>
                <w:rFonts w:ascii="Arial" w:cs="Arial" w:eastAsia="Arial" w:hAnsi="Arial"/>
                <w:sz w:val="16"/>
                <w:szCs w:val="16"/>
                <w:b w:val="1"/>
                <w:bCs w:val="1"/>
                <w:color w:val="FFFFFF"/>
              </w:rPr>
              <w:t>Three Months Ended</w:t>
            </w:r>
          </w:p>
        </w:tc>
        <w:tc>
          <w:tcPr>
            <w:tcW w:w="340" w:type="dxa"/>
            <w:vAlign w:val="bottom"/>
            <w:shd w:val="clear" w:color="auto" w:fill="1D2758"/>
          </w:tcPr>
          <w:p>
            <w:pPr>
              <w:spacing w:after="0"/>
              <w:rPr>
                <w:sz w:val="16"/>
                <w:szCs w:val="16"/>
                <w:color w:val="auto"/>
              </w:rPr>
            </w:pPr>
          </w:p>
        </w:tc>
        <w:tc>
          <w:tcPr>
            <w:tcW w:w="282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Nine Months Ended</w:t>
            </w:r>
          </w:p>
        </w:tc>
      </w:tr>
      <w:tr>
        <w:trPr>
          <w:trHeight w:val="216"/>
        </w:trPr>
        <w:tc>
          <w:tcPr>
            <w:tcW w:w="448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98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80" w:type="dxa"/>
            <w:vAlign w:val="bottom"/>
            <w:shd w:val="clear" w:color="auto" w:fill="1D2758"/>
          </w:tcPr>
          <w:p>
            <w:pPr>
              <w:spacing w:after="0"/>
              <w:rPr>
                <w:sz w:val="18"/>
                <w:szCs w:val="18"/>
                <w:color w:val="auto"/>
              </w:rPr>
            </w:pPr>
          </w:p>
        </w:tc>
      </w:tr>
      <w:tr>
        <w:trPr>
          <w:trHeight w:val="216"/>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Revenue (A)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417,315</w:t>
            </w:r>
          </w:p>
        </w:tc>
        <w:tc>
          <w:tcPr>
            <w:tcW w:w="10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268,222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929,998</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785,620</w:t>
            </w:r>
          </w:p>
        </w:tc>
      </w:tr>
      <w:tr>
        <w:trPr>
          <w:trHeight w:val="257"/>
        </w:trPr>
        <w:tc>
          <w:tcPr>
            <w:tcW w:w="448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580" w:type="dxa"/>
            <w:vAlign w:val="bottom"/>
            <w:shd w:val="clear" w:color="auto" w:fill="E7E7E8"/>
          </w:tcPr>
          <w:p>
            <w:pPr>
              <w:spacing w:after="0"/>
              <w:rPr>
                <w:sz w:val="22"/>
                <w:szCs w:val="22"/>
                <w:color w:val="auto"/>
              </w:rPr>
            </w:pPr>
          </w:p>
        </w:tc>
        <w:tc>
          <w:tcPr>
            <w:tcW w:w="11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340" w:type="dxa"/>
            <w:vAlign w:val="bottom"/>
            <w:shd w:val="clear" w:color="auto" w:fill="E7E7E8"/>
          </w:tcPr>
          <w:p>
            <w:pPr>
              <w:spacing w:after="0"/>
              <w:rPr>
                <w:sz w:val="22"/>
                <w:szCs w:val="22"/>
                <w:color w:val="auto"/>
              </w:rPr>
            </w:pPr>
          </w:p>
        </w:tc>
        <w:tc>
          <w:tcPr>
            <w:tcW w:w="118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540" w:type="dxa"/>
            <w:vAlign w:val="bottom"/>
            <w:shd w:val="clear" w:color="auto" w:fill="E7E7E8"/>
          </w:tcPr>
          <w:p>
            <w:pPr>
              <w:spacing w:after="0"/>
              <w:rPr>
                <w:sz w:val="22"/>
                <w:szCs w:val="22"/>
                <w:color w:val="auto"/>
              </w:rPr>
            </w:pPr>
          </w:p>
        </w:tc>
        <w:tc>
          <w:tcPr>
            <w:tcW w:w="980" w:type="dxa"/>
            <w:vAlign w:val="bottom"/>
            <w:shd w:val="clear" w:color="auto" w:fill="E7E7E8"/>
          </w:tcPr>
          <w:p>
            <w:pPr>
              <w:spacing w:after="0"/>
              <w:rPr>
                <w:sz w:val="22"/>
                <w:szCs w:val="22"/>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Gross profit (B)</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209,564</w:t>
            </w:r>
          </w:p>
        </w:tc>
        <w:tc>
          <w:tcPr>
            <w:tcW w:w="10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99,308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425,718</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304,123</w:t>
            </w:r>
          </w:p>
        </w:tc>
      </w:tr>
      <w:tr>
        <w:trPr>
          <w:trHeight w:val="216"/>
        </w:trPr>
        <w:tc>
          <w:tcPr>
            <w:tcW w:w="4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Borders>
              <w:bottom w:val="single" w:sz="8" w:color="auto"/>
            </w:tcBorders>
            <w:shd w:val="clear" w:color="auto" w:fill="E7E7E8"/>
          </w:tcPr>
          <w:p>
            <w:pPr>
              <w:spacing w:after="0"/>
              <w:rPr>
                <w:sz w:val="18"/>
                <w:szCs w:val="18"/>
                <w:color w:val="auto"/>
              </w:rPr>
            </w:pPr>
          </w:p>
        </w:tc>
        <w:tc>
          <w:tcPr>
            <w:tcW w:w="1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54,837</w:t>
            </w:r>
          </w:p>
        </w:tc>
        <w:tc>
          <w:tcPr>
            <w:tcW w:w="100" w:type="dxa"/>
            <w:vAlign w:val="bottom"/>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43,869</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146,279</w:t>
            </w:r>
          </w:p>
        </w:tc>
        <w:tc>
          <w:tcPr>
            <w:tcW w:w="12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128,940</w:t>
            </w:r>
          </w:p>
        </w:tc>
      </w:tr>
      <w:tr>
        <w:trPr>
          <w:trHeight w:val="210"/>
        </w:trPr>
        <w:tc>
          <w:tcPr>
            <w:tcW w:w="4480" w:type="dxa"/>
            <w:vAlign w:val="bottom"/>
          </w:tcPr>
          <w:p>
            <w:pPr>
              <w:ind w:left="220"/>
              <w:spacing w:after="0"/>
              <w:rPr>
                <w:sz w:val="20"/>
                <w:szCs w:val="20"/>
                <w:color w:val="auto"/>
              </w:rPr>
            </w:pPr>
            <w:r>
              <w:rPr>
                <w:rFonts w:ascii="Arial" w:cs="Arial" w:eastAsia="Arial" w:hAnsi="Arial"/>
                <w:sz w:val="16"/>
                <w:szCs w:val="16"/>
                <w:color w:val="auto"/>
              </w:rPr>
              <w:t>Adjusted Gross Profit (C)</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264,401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143,177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571,997</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433,063</w:t>
            </w:r>
          </w:p>
        </w:tc>
      </w:tr>
      <w:tr>
        <w:trPr>
          <w:trHeight w:val="20"/>
        </w:trPr>
        <w:tc>
          <w:tcPr>
            <w:tcW w:w="448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4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540" w:type="dxa"/>
            <w:vAlign w:val="bottom"/>
            <w:shd w:val="clear" w:color="auto" w:fill="E7E7E8"/>
          </w:tcPr>
          <w:p>
            <w:pPr>
              <w:spacing w:after="0"/>
              <w:rPr>
                <w:sz w:val="19"/>
                <w:szCs w:val="19"/>
                <w:color w:val="auto"/>
              </w:rPr>
            </w:pPr>
          </w:p>
        </w:tc>
        <w:tc>
          <w:tcPr>
            <w:tcW w:w="980" w:type="dxa"/>
            <w:vAlign w:val="bottom"/>
            <w:shd w:val="clear" w:color="auto" w:fill="E7E7E8"/>
          </w:tcPr>
          <w:p>
            <w:pPr>
              <w:spacing w:after="0"/>
              <w:rPr>
                <w:sz w:val="19"/>
                <w:szCs w:val="19"/>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Gross Profit Percentage (B/A)</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50.2 %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38.7 %</w:t>
            </w: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Gross Profit Percentage (C/A)</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63.4 %</w:t>
            </w:r>
          </w:p>
        </w:tc>
        <w:tc>
          <w:tcPr>
            <w:tcW w:w="1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53.4 %</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61.5 %</w:t>
            </w:r>
          </w:p>
        </w:tc>
        <w:tc>
          <w:tcPr>
            <w:tcW w:w="12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55.1 %</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define Net CAPEX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6"/>
          <w:szCs w:val="16"/>
          <w:color w:val="auto"/>
        </w:rPr>
        <w:t>The following table provides unaudited reconciliations of Net CAPEX:</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shd w:val="clear" w:color="auto" w:fill="1D2758"/>
          </w:tcPr>
          <w:p>
            <w:pPr>
              <w:spacing w:after="0"/>
              <w:rPr>
                <w:sz w:val="16"/>
                <w:szCs w:val="16"/>
                <w:color w:val="auto"/>
              </w:rPr>
            </w:pPr>
          </w:p>
        </w:tc>
        <w:tc>
          <w:tcPr>
            <w:tcW w:w="2720" w:type="dxa"/>
            <w:vAlign w:val="bottom"/>
            <w:gridSpan w:val="4"/>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Three Months Ended</w:t>
            </w:r>
          </w:p>
        </w:tc>
        <w:tc>
          <w:tcPr>
            <w:tcW w:w="62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680" w:type="dxa"/>
            <w:vAlign w:val="bottom"/>
            <w:gridSpan w:val="4"/>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Nine Months Ended</w:t>
            </w:r>
          </w:p>
        </w:tc>
      </w:tr>
      <w:tr>
        <w:trPr>
          <w:trHeight w:val="216"/>
        </w:trPr>
        <w:tc>
          <w:tcPr>
            <w:tcW w:w="47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740" w:type="dxa"/>
            <w:vAlign w:val="bottom"/>
            <w:gridSpan w:val="3"/>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September 30,</w:t>
            </w: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4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40" w:type="dxa"/>
            <w:vAlign w:val="bottom"/>
            <w:shd w:val="clear" w:color="auto" w:fill="1D2758"/>
          </w:tcPr>
          <w:p>
            <w:pPr>
              <w:spacing w:after="0"/>
              <w:rPr>
                <w:sz w:val="18"/>
                <w:szCs w:val="18"/>
                <w:color w:val="auto"/>
              </w:rPr>
            </w:pPr>
          </w:p>
        </w:tc>
      </w:tr>
      <w:tr>
        <w:trPr>
          <w:trHeight w:val="216"/>
        </w:trPr>
        <w:tc>
          <w:tcPr>
            <w:tcW w:w="4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8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2020</w:t>
            </w: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0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2019</w:t>
            </w:r>
          </w:p>
        </w:tc>
        <w:tc>
          <w:tcPr>
            <w:tcW w:w="6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9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980" w:type="dxa"/>
            <w:vAlign w:val="bottom"/>
            <w:shd w:val="clear" w:color="auto" w:fill="E7E7E8"/>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7"/>
              </w:rPr>
              <w:t>(42,591)</w:t>
            </w:r>
          </w:p>
        </w:tc>
        <w:tc>
          <w:tcPr>
            <w:tcW w:w="100" w:type="dxa"/>
            <w:vAlign w:val="bottom"/>
            <w:shd w:val="clear" w:color="auto" w:fill="E7E7E8"/>
          </w:tcPr>
          <w:p>
            <w:pPr>
              <w:spacing w:after="0"/>
              <w:rPr>
                <w:sz w:val="18"/>
                <w:szCs w:val="18"/>
                <w:color w:val="auto"/>
              </w:rPr>
            </w:pPr>
          </w:p>
        </w:tc>
        <w:tc>
          <w:tcPr>
            <w:tcW w:w="100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7"/>
              </w:rPr>
              <w:t>(47,789)</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(122,273)</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(160,877)</w:t>
            </w:r>
          </w:p>
        </w:tc>
      </w:tr>
      <w:tr>
        <w:trPr>
          <w:trHeight w:val="216"/>
        </w:trPr>
        <w:tc>
          <w:tcPr>
            <w:tcW w:w="47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tcBorders>
              <w:bottom w:val="single" w:sz="8" w:color="E7E7E8"/>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8,421</w:t>
            </w:r>
          </w:p>
        </w:tc>
        <w:tc>
          <w:tcPr>
            <w:tcW w:w="100" w:type="dxa"/>
            <w:vAlign w:val="bottom"/>
            <w:tcBorders>
              <w:bottom w:val="single" w:sz="8" w:color="E7E7E8"/>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tcBorders>
              <w:bottom w:val="single" w:sz="8" w:color="E7E7E8"/>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31,504</w:t>
            </w:r>
          </w:p>
        </w:tc>
      </w:tr>
      <w:tr>
        <w:trPr>
          <w:trHeight w:val="209"/>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CAPEX for Rental Equipment</w:t>
            </w:r>
          </w:p>
        </w:tc>
        <w:tc>
          <w:tcPr>
            <w:tcW w:w="980" w:type="dxa"/>
            <w:vAlign w:val="bottom"/>
            <w:shd w:val="clear" w:color="auto" w:fill="E7E7E8"/>
          </w:tcPr>
          <w:p>
            <w:pPr>
              <w:spacing w:after="0"/>
              <w:rPr>
                <w:sz w:val="18"/>
                <w:szCs w:val="18"/>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7"/>
              </w:rPr>
              <w:t>(29,412)</w:t>
            </w:r>
          </w:p>
        </w:tc>
        <w:tc>
          <w:tcPr>
            <w:tcW w:w="10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7"/>
              </w:rPr>
              <w:t>(39,368)</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(96,992)</w:t>
            </w:r>
          </w:p>
        </w:tc>
        <w:tc>
          <w:tcPr>
            <w:tcW w:w="10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(129,373)</w:t>
            </w: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(6,600)</w:t>
            </w: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980" w:type="dxa"/>
            <w:vAlign w:val="bottom"/>
            <w:tcBorders>
              <w:bottom w:val="single" w:sz="8" w:color="auto"/>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1,982</w:t>
            </w:r>
          </w:p>
        </w:tc>
        <w:tc>
          <w:tcPr>
            <w:tcW w:w="100" w:type="dxa"/>
            <w:vAlign w:val="bottom"/>
            <w:shd w:val="clear" w:color="auto" w:fill="E7E7E8"/>
          </w:tcPr>
          <w:p>
            <w:pPr>
              <w:spacing w:after="0"/>
              <w:rPr>
                <w:sz w:val="18"/>
                <w:szCs w:val="18"/>
                <w:color w:val="auto"/>
              </w:rPr>
            </w:pPr>
          </w:p>
        </w:tc>
        <w:tc>
          <w:tcPr>
            <w:tcW w:w="1000" w:type="dxa"/>
            <w:vAlign w:val="bottom"/>
            <w:tcBorders>
              <w:bottom w:val="single" w:sz="8" w:color="auto"/>
            </w:tcBorders>
            <w:shd w:val="clear" w:color="auto" w:fill="E7E7E8"/>
          </w:tcPr>
          <w:p>
            <w:pPr>
              <w:spacing w:after="0"/>
              <w:rPr>
                <w:sz w:val="18"/>
                <w:szCs w:val="18"/>
                <w:color w:val="auto"/>
              </w:rPr>
            </w:pP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4,308</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5,825</w:t>
            </w:r>
          </w:p>
        </w:tc>
        <w:tc>
          <w:tcPr>
            <w:tcW w:w="100" w:type="dxa"/>
            <w:vAlign w:val="bottom"/>
            <w:shd w:val="clear" w:color="auto" w:fill="E7E7E8"/>
          </w:tcPr>
          <w:p>
            <w:pPr>
              <w:spacing w:after="0"/>
              <w:rPr>
                <w:sz w:val="18"/>
                <w:szCs w:val="18"/>
                <w:color w:val="auto"/>
              </w:rPr>
            </w:pPr>
          </w:p>
        </w:tc>
        <w:tc>
          <w:tcPr>
            <w:tcW w:w="52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13,199</w:t>
            </w:r>
          </w:p>
        </w:tc>
      </w:tr>
      <w:tr>
        <w:trPr>
          <w:trHeight w:val="209"/>
        </w:trPr>
        <w:tc>
          <w:tcPr>
            <w:tcW w:w="4780" w:type="dxa"/>
            <w:vAlign w:val="bottom"/>
          </w:tcPr>
          <w:p>
            <w:pPr>
              <w:ind w:left="220"/>
              <w:spacing w:after="0"/>
              <w:rPr>
                <w:sz w:val="20"/>
                <w:szCs w:val="20"/>
                <w:color w:val="auto"/>
              </w:rPr>
            </w:pPr>
            <w:r>
              <w:rPr>
                <w:rFonts w:ascii="Arial" w:cs="Arial" w:eastAsia="Arial" w:hAnsi="Arial"/>
                <w:sz w:val="16"/>
                <w:szCs w:val="16"/>
                <w:color w:val="auto"/>
              </w:rPr>
              <w:t>Net CAPEX</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(33,323)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(37,761)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(100,246)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(122,774)</w:t>
            </w:r>
          </w:p>
        </w:tc>
      </w:tr>
      <w:tr>
        <w:trPr>
          <w:trHeight w:val="21"/>
        </w:trPr>
        <w:tc>
          <w:tcPr>
            <w:tcW w:w="4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color w:val="1D2758"/>
        </w:rPr>
        <w:t>Summary Business Segment Supplemental Pro Forma Financial Information</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a result of the Merger and the significant financing transactions, we believe presenting supplemental pro forma financial information is beneficial to the readers of the financial statements. The following table sets forth key metrics used by management to run the business on a pro forma basis as if the Merger and financing transactions had occurred on January 1, 2019. Refer to the Supplemental Pro Forma Financial Information section below for the full reconciliation of the statements of operations.</w:t>
      </w:r>
    </w:p>
    <w:p>
      <w:pPr>
        <w:spacing w:after="0" w:line="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Following the Merger, we modified our management structure and expanded from two reporting segments to four segments NA Modular, NA Storage, UK Storage and Tank and Pump. Prior to the Merger, we had two reportable segments, US Modular and Other North America Modular. These two segments were combined to create the new NA Modular segment, which represents the legacy WillScot operations. The other new segments, NA Storage, UK Storage, and Tank and Pump align to the legacy operations and segments reported by Mobile Mini. The new reporting segments are aligned with how we operate and analyze our business results.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3240" w:type="dxa"/>
            <w:vAlign w:val="bottom"/>
            <w:gridSpan w:val="5"/>
            <w:shd w:val="clear" w:color="auto" w:fill="1D2758"/>
          </w:tcPr>
          <w:p>
            <w:pPr>
              <w:ind w:left="80"/>
              <w:spacing w:after="0"/>
              <w:rPr>
                <w:sz w:val="20"/>
                <w:szCs w:val="20"/>
                <w:color w:val="auto"/>
              </w:rPr>
            </w:pPr>
            <w:r>
              <w:rPr>
                <w:rFonts w:ascii="Arial" w:cs="Arial" w:eastAsia="Arial" w:hAnsi="Arial"/>
                <w:sz w:val="16"/>
                <w:szCs w:val="16"/>
                <w:b w:val="1"/>
                <w:bCs w:val="1"/>
                <w:color w:val="FFFFFF"/>
              </w:rPr>
              <w:t>Pro Forma Combined Quarter Ended</w:t>
            </w:r>
          </w:p>
        </w:tc>
        <w:tc>
          <w:tcPr>
            <w:tcW w:w="240" w:type="dxa"/>
            <w:vAlign w:val="bottom"/>
            <w:shd w:val="clear" w:color="auto" w:fill="1D2758"/>
          </w:tcPr>
          <w:p>
            <w:pPr>
              <w:spacing w:after="0"/>
              <w:rPr>
                <w:sz w:val="16"/>
                <w:szCs w:val="16"/>
                <w:color w:val="auto"/>
              </w:rPr>
            </w:pPr>
          </w:p>
        </w:tc>
        <w:tc>
          <w:tcPr>
            <w:tcW w:w="2860" w:type="dxa"/>
            <w:vAlign w:val="bottom"/>
            <w:gridSpan w:val="3"/>
            <w:vMerge w:val="restart"/>
            <w:shd w:val="clear" w:color="auto" w:fill="1D2758"/>
          </w:tcPr>
          <w:p>
            <w:pPr>
              <w:jc w:val="right"/>
              <w:ind w:right="939"/>
              <w:spacing w:after="0"/>
              <w:rPr>
                <w:sz w:val="20"/>
                <w:szCs w:val="20"/>
                <w:color w:val="auto"/>
              </w:rPr>
            </w:pPr>
            <w:r>
              <w:rPr>
                <w:rFonts w:ascii="Arial" w:cs="Arial" w:eastAsia="Arial" w:hAnsi="Arial"/>
                <w:sz w:val="16"/>
                <w:szCs w:val="16"/>
                <w:b w:val="1"/>
                <w:bCs w:val="1"/>
                <w:color w:val="FFFFFF"/>
              </w:rPr>
              <w:t>2020 vs. 2019</w:t>
            </w:r>
          </w:p>
        </w:tc>
        <w:tc>
          <w:tcPr>
            <w:tcW w:w="0" w:type="dxa"/>
            <w:vAlign w:val="bottom"/>
          </w:tcPr>
          <w:p>
            <w:pPr>
              <w:spacing w:after="0"/>
              <w:rPr>
                <w:sz w:val="1"/>
                <w:szCs w:val="1"/>
                <w:color w:val="auto"/>
              </w:rPr>
            </w:pPr>
          </w:p>
        </w:tc>
      </w:tr>
      <w:tr>
        <w:trPr>
          <w:trHeight w:val="216"/>
        </w:trPr>
        <w:tc>
          <w:tcPr>
            <w:tcW w:w="47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21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10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2860" w:type="dxa"/>
            <w:vAlign w:val="bottom"/>
            <w:gridSpan w:val="3"/>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8"/>
                <w:szCs w:val="18"/>
                <w:color w:val="auto"/>
              </w:rPr>
            </w:pPr>
          </w:p>
        </w:tc>
        <w:tc>
          <w:tcPr>
            <w:tcW w:w="142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0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 Change</w:t>
            </w:r>
          </w:p>
        </w:tc>
        <w:tc>
          <w:tcPr>
            <w:tcW w:w="1560" w:type="dxa"/>
            <w:vAlign w:val="bottom"/>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16"/>
        </w:trPr>
        <w:tc>
          <w:tcPr>
            <w:tcW w:w="4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417,315</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423,547</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(6,232)</w:t>
            </w:r>
          </w:p>
        </w:tc>
        <w:tc>
          <w:tcPr>
            <w:tcW w:w="10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112,079</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116,876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(4,797)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37,873</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27,471</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10,402</w:t>
            </w:r>
          </w:p>
        </w:tc>
        <w:tc>
          <w:tcPr>
            <w:tcW w:w="10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163,559</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149,097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57"/>
        </w:trPr>
        <w:tc>
          <w:tcPr>
            <w:tcW w:w="47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4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560" w:type="dxa"/>
            <w:vAlign w:val="bottom"/>
            <w:shd w:val="clear" w:color="auto" w:fill="E7E7E8"/>
          </w:tcPr>
          <w:p>
            <w:pPr>
              <w:spacing w:after="0"/>
              <w:rPr>
                <w:sz w:val="22"/>
                <w:szCs w:val="22"/>
                <w:color w:val="auto"/>
              </w:rPr>
            </w:pPr>
          </w:p>
        </w:tc>
        <w:tc>
          <w:tcPr>
            <w:tcW w:w="10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2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5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NA Modular</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100,281</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87,424</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12,857</w:t>
            </w:r>
          </w:p>
        </w:tc>
        <w:tc>
          <w:tcPr>
            <w:tcW w:w="10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6"/>
                <w:szCs w:val="16"/>
                <w:color w:val="auto"/>
              </w:rPr>
              <w:t>Adjusted EBITDA - NA Storage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46,465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6"/>
        </w:trPr>
        <w:tc>
          <w:tcPr>
            <w:tcW w:w="47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UK Storage</w:t>
            </w:r>
          </w:p>
        </w:tc>
        <w:tc>
          <w:tcPr>
            <w:tcW w:w="180" w:type="dxa"/>
            <w:vAlign w:val="bottom"/>
            <w:shd w:val="clear" w:color="auto" w:fill="E7E7E8"/>
          </w:tcPr>
          <w:p>
            <w:pPr>
              <w:spacing w:after="0"/>
              <w:rPr>
                <w:sz w:val="18"/>
                <w:szCs w:val="18"/>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8,306</w:t>
            </w:r>
          </w:p>
        </w:tc>
        <w:tc>
          <w:tcPr>
            <w:tcW w:w="12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6,704</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Adjusted EBITDA - Tank and Pump</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w:t>
            </w:r>
          </w:p>
        </w:tc>
        <w:tc>
          <w:tcPr>
            <w:tcW w:w="120" w:type="dxa"/>
            <w:vAlign w:val="bottom"/>
            <w:tcBorders>
              <w:bottom w:val="single" w:sz="8" w:color="E7E7E8"/>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11,885</w:t>
            </w:r>
          </w:p>
        </w:tc>
        <w:tc>
          <w:tcPr>
            <w:tcW w:w="100" w:type="dxa"/>
            <w:vAlign w:val="bottom"/>
            <w:tcBorders>
              <w:bottom w:val="single" w:sz="8" w:color="E7E7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w:t>
            </w:r>
          </w:p>
        </w:tc>
        <w:tc>
          <w:tcPr>
            <w:tcW w:w="100" w:type="dxa"/>
            <w:vAlign w:val="bottom"/>
            <w:tcBorders>
              <w:bottom w:val="single" w:sz="8" w:color="E7E7E8"/>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E7E7E8"/>
            </w:tcBorders>
            <w:shd w:val="clear" w:color="auto" w:fill="E7E7E8"/>
          </w:tcPr>
          <w:p>
            <w:pPr>
              <w:ind w:left="240"/>
              <w:spacing w:after="0" w:line="210" w:lineRule="exact"/>
              <w:rPr>
                <w:sz w:val="20"/>
                <w:szCs w:val="20"/>
                <w:color w:val="auto"/>
              </w:rPr>
            </w:pPr>
            <w:r>
              <w:rPr>
                <w:rFonts w:ascii="Arial" w:cs="Arial" w:eastAsia="Arial" w:hAnsi="Arial"/>
                <w:sz w:val="16"/>
                <w:szCs w:val="16"/>
                <w:color w:val="auto"/>
              </w:rPr>
              <w:t>Consolidated Adjusted EBITDA</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163,559</w:t>
            </w:r>
          </w:p>
        </w:tc>
        <w:tc>
          <w:tcPr>
            <w:tcW w:w="120" w:type="dxa"/>
            <w:vAlign w:val="bottom"/>
            <w:tcBorders>
              <w:bottom w:val="single" w:sz="8" w:color="E7E7E8"/>
            </w:tcBorders>
            <w:shd w:val="clear" w:color="auto" w:fill="E7E7E8"/>
          </w:tcPr>
          <w:p>
            <w:pPr>
              <w:spacing w:after="0"/>
              <w:rPr>
                <w:sz w:val="19"/>
                <w:szCs w:val="19"/>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149,097</w:t>
            </w:r>
          </w:p>
        </w:tc>
        <w:tc>
          <w:tcPr>
            <w:tcW w:w="100" w:type="dxa"/>
            <w:vAlign w:val="bottom"/>
            <w:tcBorders>
              <w:bottom w:val="single" w:sz="8" w:color="E7E7E8"/>
            </w:tcBorders>
            <w:shd w:val="clear" w:color="auto" w:fill="E7E7E8"/>
          </w:tcPr>
          <w:p>
            <w:pPr>
              <w:spacing w:after="0"/>
              <w:rPr>
                <w:sz w:val="19"/>
                <w:szCs w:val="19"/>
                <w:color w:val="auto"/>
              </w:rPr>
            </w:pP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tcBorders>
              <w:bottom w:val="single" w:sz="8" w:color="E7E7E8"/>
            </w:tcBorders>
            <w:shd w:val="clear" w:color="auto" w:fill="E7E7E8"/>
          </w:tcPr>
          <w:p>
            <w:pPr>
              <w:spacing w:after="0"/>
              <w:rPr>
                <w:sz w:val="19"/>
                <w:szCs w:val="19"/>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0"/>
        </w:trPr>
        <w:tc>
          <w:tcPr>
            <w:tcW w:w="47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present Adjusted EBITDA, a measurement not calculated in accordance with GAAP, because it is a key metric used by</w:t>
      </w:r>
    </w:p>
    <w:p>
      <w:pPr>
        <w:ind w:left="480" w:right="620"/>
        <w:spacing w:after="0" w:line="231" w:lineRule="auto"/>
        <w:rPr>
          <w:rFonts w:ascii="Arial" w:cs="Arial" w:eastAsia="Arial" w:hAnsi="Arial"/>
          <w:sz w:val="14"/>
          <w:szCs w:val="14"/>
          <w:color w:val="auto"/>
        </w:rPr>
      </w:pPr>
      <w:r>
        <w:rPr>
          <w:rFonts w:ascii="Arial" w:cs="Arial" w:eastAsia="Arial" w:hAnsi="Arial"/>
          <w:sz w:val="14"/>
          <w:szCs w:val="14"/>
          <w:color w:val="auto"/>
        </w:rPr>
        <w:t>management to assess financial performance. Our business is capital-intensive and these additional metrics allow management to further evaluate its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Modular - Quarterly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0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8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0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255,821</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256,862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267,867</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780,550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106,190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109,964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112,079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328,233</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89,544</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97,520</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100,281</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287,345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39,648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40,034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34,249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113,931</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87,988</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87,096</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86,400</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87,161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69.2 %</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68.5 %</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68.7 %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653</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669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693</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0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16,346</w:t>
            </w:r>
          </w:p>
        </w:tc>
        <w:tc>
          <w:tcPr>
            <w:tcW w:w="4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15,869</w:t>
            </w:r>
          </w:p>
        </w:tc>
        <w:tc>
          <w:tcPr>
            <w:tcW w:w="4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15,473</w:t>
            </w:r>
          </w:p>
        </w:tc>
        <w:tc>
          <w:tcPr>
            <w:tcW w:w="4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15,896</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64.1 %</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62.5 %</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61.3 %</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0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8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0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253,685</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263,713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268,222</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785,620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103,331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101,484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99,308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304,123</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83,354</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87,554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87,424</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258,332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51,873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61,215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47,789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160,877</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93,309</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92,300</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91,233</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92,281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72.4 %</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71.9 %</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71.2 %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71.8 %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575</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611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630</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0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17,418</w:t>
            </w:r>
          </w:p>
        </w:tc>
        <w:tc>
          <w:tcPr>
            <w:tcW w:w="4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16,544</w:t>
            </w:r>
          </w:p>
        </w:tc>
        <w:tc>
          <w:tcPr>
            <w:tcW w:w="4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16,416</w:t>
            </w:r>
          </w:p>
        </w:tc>
        <w:tc>
          <w:tcPr>
            <w:tcW w:w="4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16,793</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66.1 %</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63.3 %</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63.0 %</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64.1 %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NA Modular segment represents the activities of WillScot prior to the Merger. As a result, there are no differences between pro forma results and actual results on a reported basis. Please see comparison of results for the three and nine months ended September 30, 2020 and 2019 within "Business Segment Results" above.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Storage - Quarterly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0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8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0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103,495</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92,826</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104,493</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300,814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71,400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66,639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73,384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211,423</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43,994</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40,770</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46,465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131,229</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5,200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7,272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7,234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19,706</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15,509</w:t>
            </w:r>
          </w:p>
        </w:tc>
        <w:tc>
          <w:tcPr>
            <w:tcW w:w="48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15,757</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16,383</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15,883</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77.8 %</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78.6 %</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80.4 %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78.9 %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497</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463</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505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0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105,441</w:t>
            </w:r>
          </w:p>
        </w:tc>
        <w:tc>
          <w:tcPr>
            <w:tcW w:w="48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101,463</w:t>
            </w:r>
          </w:p>
        </w:tc>
        <w:tc>
          <w:tcPr>
            <w:tcW w:w="4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105,221</w:t>
            </w:r>
          </w:p>
        </w:tc>
        <w:tc>
          <w:tcPr>
            <w:tcW w:w="4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104,042</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73.1 %</w:t>
            </w:r>
          </w:p>
        </w:tc>
        <w:tc>
          <w:tcPr>
            <w:tcW w:w="48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70.6 %</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73.4 %</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72.4 %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146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143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0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Q1</w:t>
            </w:r>
          </w:p>
        </w:tc>
        <w:tc>
          <w:tcPr>
            <w:tcW w:w="48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0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99,565</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98,045</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104,641</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302,251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68,357</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66,523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73,302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208,182</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37,957</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37,474</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43,084</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118,515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11,841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16,166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11,107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39,114</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15,974</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15,522</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15,835</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15,777</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80.5 %</w:t>
            </w: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80.5 %</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80.9 %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80.6 %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0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413</w:t>
            </w:r>
          </w:p>
        </w:tc>
        <w:tc>
          <w:tcPr>
            <w:tcW w:w="48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449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470</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0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107,658</w:t>
            </w:r>
          </w:p>
        </w:tc>
        <w:tc>
          <w:tcPr>
            <w:tcW w:w="4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105,770</w:t>
            </w:r>
          </w:p>
        </w:tc>
        <w:tc>
          <w:tcPr>
            <w:tcW w:w="4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109,723</w:t>
            </w:r>
          </w:p>
        </w:tc>
        <w:tc>
          <w:tcPr>
            <w:tcW w:w="4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107,717</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76.1 %</w:t>
            </w:r>
          </w:p>
        </w:tc>
        <w:tc>
          <w:tcPr>
            <w:tcW w:w="4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74.5 %</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76.8 %</w:t>
            </w:r>
          </w:p>
        </w:tc>
        <w:tc>
          <w:tcPr>
            <w:tcW w:w="40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75.8 %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144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143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Storage</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$0.1 million, or 0.1%, to $104.5 million for the three months ended September 30, 2020 from $104.6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September 30, 2019. Leasing revenues increased $0.2 million in the current quarter compared to the prior-year quarter. Modular space average units on rent increased 3.5% and average modular space monthly rental rates increased 7.4% year-over-year, but were offset by a 4.1% decrease in average portable storage units on rent. Delivery and installation revenues decreased $2.2 million year-over year. While we have not seen a significant decrease in total units on rent, the COVID-19 outbreak has resulted in fewer new units placed on rent as well as a decrease in returned units. This lower activity led to a year-over-year decrease in our delivery and installation revenues during the current quarter. Sales revenues increased $1.9 million compared to the prior-year quarter.</w:t>
      </w:r>
    </w:p>
    <w:p>
      <w:pPr>
        <w:spacing w:after="0" w:line="10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was flat at $73.4 million for the three months ended September 30, 2020 compared to $73.4 million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September 30, 2019. Gross profit on leasing activity was flat year-over-year. For delivery and installation, gross profit decreased $0.4 million as the effect of reduced revenue was largely mitigated by proactive cost management resulting in reduced outside hauling expense and lower fuel costs, combined with reduced salaries for drivers. Sales gross profit increased $0.4 million on larger sales volume.</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$3.4 million, or 7.9%, to $46.5 million for the three months ended September 30, 2020 from $43.1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three months ended September 30, 2019 and the margin expanded to 44.5% from 41.2%. The increase in Adjusted EBITDA was driven by a reduction in SG&amp;A and the higher leasing gross profit discussed above. Excluding acquisition costs and stock-based compensation, SG&amp;A decreased $3.4 million in this segment. The decrease was comprised of reduced costs for personnel of approximately $3.2 million, curtailed travel and a lower provision for doubtful accounts in the current period. These positive variances in SG&amp;A were partially offset by a reduction in capitalized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53" w:name="page54"/>
    <w:bookmarkEnd w:id="53"/>
    <w:p>
      <w:pPr>
        <w:jc w:val="both"/>
        <w:ind w:firstLine="648"/>
        <w:spacing w:after="0" w:line="270"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$7.2 million were $3.9 million lower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quarter. Rental fleet expenditures were reduced significantly in 2020 in response to COVID-19 and were primarily to meet demand for specific products, largely ground level offices.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Storage</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$1.5 million, or 0.5%, to $300.8 million for the nine months ended September 30, 2020 from $302.3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2019. Leasing revenues for the nine months ended September 30, 2020 increased year-over-year by $1.8 million, or 0.8%, resulting from the combination of increased revenues in the first quarter, decreased year-over-year revenue in the second quarter due to the impact of COVID-19 and flat year-over-year revenue in the third quarter, when compared to the prior-year periods. Modular space average units on rent increased 0.7% and average modular space monthly rental rates increased 9.9% year-over-year, but were offset by a 3.4% decrease in average portable storage units on rent. Delivery and installation revenues decreased $6.3 million year-over year. Beginning late in the first quarter, the COVID-19 outbreak resulted in fewer new units placed on rent as well as a decrease in returned units leading to a year-over-year decrease in our delivery and installation revenues during the current period. Sales revenues increased $3.1 million compared to the prior-year quarter.</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$3.2 million, or 1.5%, for the nine months ended September 30, 2020 to $211.4 million from $208.2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2019. This gross profit increase was driven primarily by a $4.2 million, or 2.2% year-over-year increase within leasing and a $1.0 million increase related to sales, offset by decreased delivery and installation gross profit of $1.6 million. Within leasing activity, reduced expenses of $2.4 million from strong cost management in response to the COVID-19 outbreak combined with the $1.8 million revenue increase resulted in a $4.2 million year-over-year increase in leasing gross profit. Reduced expenses in this area include lower maintenance costs of $1.3 million and reductions in personnel costs. For delivery and installation, gross profit decreased $1.6 million as the effect of reduced revenue was largely mitigated by proactive cost management resulting in a $2.8 million reduction in outside hauling expense combined with reduced salaries for drivers and lower fuel costs. Sales gross profit increased $1.0 million on larger sales volume.</w:t>
      </w:r>
    </w:p>
    <w:p>
      <w:pPr>
        <w:spacing w:after="0" w:line="1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$12.7 million, or 10.7%, to $131.2 million for the nine months ended September 30, 2020 from</w:t>
      </w:r>
      <w:r>
        <w:rPr>
          <w:rFonts w:ascii="Arial" w:cs="Arial" w:eastAsia="Arial" w:hAnsi="Arial"/>
          <w:sz w:val="16"/>
          <w:szCs w:val="16"/>
          <w:b w:val="1"/>
          <w:bCs w:val="1"/>
          <w:color w:val="auto"/>
        </w:rPr>
        <w:t xml:space="preserve"> </w:t>
      </w:r>
      <w:r>
        <w:rPr>
          <w:rFonts w:ascii="Arial" w:cs="Arial" w:eastAsia="Arial" w:hAnsi="Arial"/>
          <w:sz w:val="16"/>
          <w:szCs w:val="16"/>
          <w:color w:val="auto"/>
        </w:rPr>
        <w:t>$118.5 million for the nine months ended September 30, 2019 and the margin expanded to 43.6% from 39.2%. The increase in adjusted EBITDA was driven by a reduction in SG&amp;A and the higher gross profit discussed above. Excluding acquisition costs and stock-based compensation, SG&amp;A decreased $8.5 million in this segment. The decrease is comprised of reduced costs for personnel of approximately $8.7 million and $1.6 million due to curtailed travel, as well as a lower provision for doubtful accounts in the current period. These positive variances in SG&amp;A were partially offset by a reduction in capitalized overhead.</w:t>
      </w:r>
    </w:p>
    <w:p>
      <w:pPr>
        <w:spacing w:after="0" w:line="3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$19.7 million were $19.4 million lower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period. Rental fleet expenditures were reduced significantly in 2020 in response to COVID-19, especially after the first quarter, and were primarily to meet demand for specific products, largely ground level offices.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Storage - Quarterly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2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6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2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20,197</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17,154</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21,653</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59,004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11,372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10,991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12,671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35,034</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6,405</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6,853</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8,306</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21,564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337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522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677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2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7,850</w:t>
            </w:r>
          </w:p>
        </w:tc>
        <w:tc>
          <w:tcPr>
            <w:tcW w:w="46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7,912</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8,444</w:t>
            </w:r>
          </w:p>
        </w:tc>
        <w:tc>
          <w:tcPr>
            <w:tcW w:w="40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8,069</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74.2 %</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74.6 %</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79.1 %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326</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313</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356</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2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23,328</w:t>
            </w:r>
          </w:p>
        </w:tc>
        <w:tc>
          <w:tcPr>
            <w:tcW w:w="46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22,870</w:t>
            </w:r>
          </w:p>
        </w:tc>
        <w:tc>
          <w:tcPr>
            <w:tcW w:w="4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23,146</w:t>
            </w:r>
          </w:p>
        </w:tc>
        <w:tc>
          <w:tcPr>
            <w:tcW w:w="4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23,115</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2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83.7 %</w:t>
            </w:r>
          </w:p>
        </w:tc>
        <w:tc>
          <w:tcPr>
            <w:tcW w:w="46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82.2 %</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83.2 %</w:t>
            </w:r>
          </w:p>
        </w:tc>
        <w:tc>
          <w:tcPr>
            <w:tcW w:w="4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83.0 %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02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6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9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02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20,959</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20,920</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20,499</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62,378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11,129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11,367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11,106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33,602</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6,070</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6,396</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6,704</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19,170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921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1,190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1,546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3,657</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units on rent</w:t>
            </w:r>
          </w:p>
        </w:tc>
        <w:tc>
          <w:tcPr>
            <w:tcW w:w="102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8,440</w:t>
            </w:r>
          </w:p>
        </w:tc>
        <w:tc>
          <w:tcPr>
            <w:tcW w:w="46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8,460</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8,360</w:t>
            </w:r>
          </w:p>
        </w:tc>
        <w:tc>
          <w:tcPr>
            <w:tcW w:w="40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8,420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0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79.0 %</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79.0 %</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78.7 %</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0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319</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327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320</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02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23,910</w:t>
            </w:r>
          </w:p>
        </w:tc>
        <w:tc>
          <w:tcPr>
            <w:tcW w:w="46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23,594</w:t>
            </w:r>
          </w:p>
        </w:tc>
        <w:tc>
          <w:tcPr>
            <w:tcW w:w="4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23,927</w:t>
            </w:r>
          </w:p>
        </w:tc>
        <w:tc>
          <w:tcPr>
            <w:tcW w:w="4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23,810</w:t>
            </w:r>
          </w:p>
        </w:tc>
        <w:tc>
          <w:tcPr>
            <w:tcW w:w="0" w:type="dxa"/>
            <w:vAlign w:val="bottom"/>
          </w:tcPr>
          <w:p>
            <w:pPr>
              <w:spacing w:after="0"/>
              <w:rPr>
                <w:sz w:val="1"/>
                <w:szCs w:val="1"/>
                <w:color w:val="auto"/>
              </w:rPr>
            </w:pPr>
          </w:p>
        </w:tc>
      </w:tr>
      <w:tr>
        <w:trPr>
          <w:trHeight w:val="216"/>
        </w:trPr>
        <w:tc>
          <w:tcPr>
            <w:tcW w:w="3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02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85.9 %</w:t>
            </w:r>
          </w:p>
        </w:tc>
        <w:tc>
          <w:tcPr>
            <w:tcW w:w="46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85.0 %</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85.9 %</w:t>
            </w:r>
          </w:p>
        </w:tc>
        <w:tc>
          <w:tcPr>
            <w:tcW w:w="4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85.6 %</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UK Storage</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increased $1.2 million to $21.7 million for the three months ended September 30, 2020 from $20.5 million for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2019. Approximately $1.0 million of the increase is related to favorable currency fluctuations. In local currency total revenues increased 0.8%, with a 4.7% increase in leasing revenues offset by decreased delivery revenues and lower sales revenue. Within leasing revenues, modular space average units on rent increased 1.0% and average monthly rental rates for modular space units and portable storage units increased 11.3% and 8.7% year-over-year, respectively, including the impacts of currency fluctuations. These increases were partially offset by a 3.3% decrease in average portable storage units on rent. The decrease in delivery and installation revenues is due to an overall decrease in newly placed and returned units resulting from a slower economy due to the COVID-19 outbreak. Sales revenues decreased $0.2 million compared to the prior-year quarter.</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$1.6 million, or 14.4%, for the three months ended September 30, 2020 to $12.7 million from $11.1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September 30, 2019. Approximately $0.6 million of the increase is related to favorable currency fluctuations. In local currency, gross profit increased 8.9%, including a 7.6% increase in the gross profit for leasing activity and an 18.6% increase in gross profit from delivery and installation. Proactive management of costs at the outset of the pandemic drove lower expenses including reduced labor and transportation expense. Gross profit on sales increased approximately $0.2 million. These increases in gross profit were partially offset by increased depreciation on rental equipment due to the step-up in basis associated with the Merger.</w:t>
      </w:r>
    </w:p>
    <w:p>
      <w:pPr>
        <w:spacing w:after="0" w:line="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$1.6 million, or 23.9%, to $8.3 million for three months ended September 30, 2020 from $6.7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three months ended September 30, 2019 and the margin expanded to 38.4% from 32.7%. Approximately $0.4 million of the increase is related to favorable currency fluctuations. In local currency adjusted EBITDA increased 18.2%. The increase results primarily from the favorable gross profit discussed above. Immaterial fluctuations within various SG&amp;A accounts offset, resulting in flat SG&amp;A year-over-year in local currency.</w:t>
      </w:r>
    </w:p>
    <w:p>
      <w:pPr>
        <w:spacing w:after="0" w:line="1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$0.7 million were $0.8 million lower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quarter. Rental fleet expenditures were reduced significantly in 2020 in response to COVID-19.</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UK Storage</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$3.4 million, or 5.4%, to $59.0 million for the nine months ended September 30, 2020 from $62.4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nine months ended September 30, 2019. Currency fluctuations were immaterial for the current nine-month period. Leasing revenues decreased 0.9% and delivery and installation revenues decreased 15.6%. Within leasing activity, average monthly rental rates for modular space units and portable storage units increased 3.1% and 4.3% year-over-year, respectively. These increases were partially offset by a 4.2% decline in modular space average units on rent and a 2.9% decrease in average portable storage units on rent. The decrease in delivery and installation revenues is due to an overall decrease in newly placed and returned units primarily resulting from a slower economy during the current-year period as a result of COVID-19. Sales revenues decreased $0.9 million compared to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$1.4 million, or 4.2%, to $35.0 million for the nine months ended September 30, 2020 from $33.6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nine months ended September 30, 2019. Proactive cost management mitigated the lower revenue and included reduced transportation expense of approximately $1.2 million as well as decreased labor costs. Gross profit on leasing increased 2.8% year-over-year for the period, while gross profit for delivery and installation was slightly lower. Gross profit on sales increased $0.9 million. These increases in gross profit were slightly offset by increased depreciation on rental equipment due to the step-up in basis associated with the Merger.</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$2.4 million, or 12.5%, to $21.6 million for the nine months ended September 30, 2020 from $19.2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nine months ended September 30, 2019 and the margin expanded to 36.5% from 30.7%. The increase resulted primarily from the favorable gross profit discussed above and decreased SG&amp;A related largely to lower personnel costs and travel.</w:t>
      </w:r>
    </w:p>
    <w:p>
      <w:pPr>
        <w:spacing w:after="0" w:line="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$1.5 million were $2.2 million lower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period. Rental fleet expenditures were reduced significantly in 2020 in response to COVID-19.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Tank and Pump - Quarterly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44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6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4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26,884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23,684</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23,302</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73,870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13,279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11,723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11,430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36,432</w:t>
            </w: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9,477</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8,659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8,507</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26,643</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4,514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941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162"/>
        </w:trPr>
        <w:tc>
          <w:tcPr>
            <w:tcW w:w="448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 utilization based</w:t>
            </w:r>
          </w:p>
        </w:tc>
        <w:tc>
          <w:tcPr>
            <w:tcW w:w="44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66.4 %</w:t>
            </w:r>
          </w:p>
        </w:tc>
        <w:tc>
          <w:tcPr>
            <w:tcW w:w="46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60.5 %</w:t>
            </w:r>
          </w:p>
        </w:tc>
        <w:tc>
          <w:tcPr>
            <w:tcW w:w="440" w:type="dxa"/>
            <w:vAlign w:val="bottom"/>
            <w:shd w:val="clear" w:color="auto" w:fill="E7E7E8"/>
          </w:tcPr>
          <w:p>
            <w:pPr>
              <w:spacing w:after="0"/>
              <w:rPr>
                <w:sz w:val="14"/>
                <w:szCs w:val="14"/>
                <w:color w:val="auto"/>
              </w:rPr>
            </w:pPr>
          </w:p>
        </w:tc>
        <w:tc>
          <w:tcPr>
            <w:tcW w:w="12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58.2 %</w:t>
            </w:r>
          </w:p>
        </w:tc>
        <w:tc>
          <w:tcPr>
            <w:tcW w:w="400" w:type="dxa"/>
            <w:vAlign w:val="bottom"/>
            <w:shd w:val="clear" w:color="auto" w:fill="E7E7E8"/>
          </w:tcPr>
          <w:p>
            <w:pPr>
              <w:spacing w:after="0"/>
              <w:rPr>
                <w:sz w:val="14"/>
                <w:szCs w:val="14"/>
                <w:color w:val="auto"/>
              </w:rPr>
            </w:pPr>
          </w:p>
        </w:tc>
        <w:tc>
          <w:tcPr>
            <w:tcW w:w="1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on original equipment cost</w:t>
            </w:r>
          </w:p>
        </w:tc>
        <w:tc>
          <w:tcPr>
            <w:tcW w:w="440" w:type="dxa"/>
            <w:vAlign w:val="bottom"/>
            <w:shd w:val="clear" w:color="auto" w:fill="E7E7E8"/>
          </w:tcPr>
          <w:p>
            <w:pPr>
              <w:spacing w:after="0"/>
              <w:rPr>
                <w:sz w:val="18"/>
                <w:szCs w:val="18"/>
                <w:color w:val="auto"/>
              </w:rPr>
            </w:pPr>
          </w:p>
        </w:tc>
        <w:tc>
          <w:tcPr>
            <w:tcW w:w="1320" w:type="dxa"/>
            <w:vAlign w:val="bottom"/>
            <w:vMerge w:val="continue"/>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320" w:type="dxa"/>
            <w:vAlign w:val="bottom"/>
            <w:vMerge w:val="continue"/>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200" w:type="dxa"/>
            <w:vAlign w:val="bottom"/>
            <w:vMerge w:val="continue"/>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18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44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Q1</w:t>
            </w:r>
          </w:p>
        </w:tc>
        <w:tc>
          <w:tcPr>
            <w:tcW w:w="460" w:type="dxa"/>
            <w:vAlign w:val="bottom"/>
            <w:shd w:val="clear" w:color="auto" w:fill="1D2758"/>
          </w:tcPr>
          <w:p>
            <w:pPr>
              <w:spacing w:after="0"/>
              <w:rPr>
                <w:sz w:val="16"/>
                <w:szCs w:val="16"/>
                <w:color w:val="auto"/>
              </w:rPr>
            </w:pPr>
          </w:p>
        </w:tc>
        <w:tc>
          <w:tcPr>
            <w:tcW w:w="1320" w:type="dxa"/>
            <w:vAlign w:val="bottom"/>
            <w:vMerge w:val="restart"/>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1D2758"/>
          </w:tcPr>
          <w:p>
            <w:pPr>
              <w:spacing w:after="0"/>
              <w:rPr>
                <w:sz w:val="16"/>
                <w:szCs w:val="16"/>
                <w:color w:val="auto"/>
              </w:rPr>
            </w:pPr>
          </w:p>
        </w:tc>
        <w:tc>
          <w:tcPr>
            <w:tcW w:w="120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00" w:type="dxa"/>
            <w:vAlign w:val="bottom"/>
            <w:shd w:val="clear" w:color="auto" w:fill="1D2758"/>
          </w:tcPr>
          <w:p>
            <w:pPr>
              <w:spacing w:after="0"/>
              <w:rPr>
                <w:sz w:val="16"/>
                <w:szCs w:val="16"/>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44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3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30,934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32,961</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30,185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94,080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16,210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16,643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15,573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48,426</w:t>
            </w: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12,203</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13,037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11,885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37,125</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10,254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6,025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2,197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18,476</w:t>
            </w:r>
          </w:p>
        </w:tc>
        <w:tc>
          <w:tcPr>
            <w:tcW w:w="0" w:type="dxa"/>
            <w:vAlign w:val="bottom"/>
          </w:tcPr>
          <w:p>
            <w:pPr>
              <w:spacing w:after="0"/>
              <w:rPr>
                <w:sz w:val="1"/>
                <w:szCs w:val="1"/>
                <w:color w:val="auto"/>
              </w:rPr>
            </w:pPr>
          </w:p>
        </w:tc>
      </w:tr>
      <w:tr>
        <w:trPr>
          <w:trHeight w:val="162"/>
        </w:trPr>
        <w:tc>
          <w:tcPr>
            <w:tcW w:w="448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Average tank and pump solutions rental fleet utilization based</w:t>
            </w:r>
          </w:p>
        </w:tc>
        <w:tc>
          <w:tcPr>
            <w:tcW w:w="44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74.1 %</w:t>
            </w:r>
          </w:p>
        </w:tc>
        <w:tc>
          <w:tcPr>
            <w:tcW w:w="46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73.5 %</w:t>
            </w:r>
          </w:p>
        </w:tc>
        <w:tc>
          <w:tcPr>
            <w:tcW w:w="440" w:type="dxa"/>
            <w:vAlign w:val="bottom"/>
            <w:shd w:val="clear" w:color="auto" w:fill="E7E7E8"/>
          </w:tcPr>
          <w:p>
            <w:pPr>
              <w:spacing w:after="0"/>
              <w:rPr>
                <w:sz w:val="14"/>
                <w:szCs w:val="14"/>
                <w:color w:val="auto"/>
              </w:rPr>
            </w:pPr>
          </w:p>
        </w:tc>
        <w:tc>
          <w:tcPr>
            <w:tcW w:w="12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68.3 %</w:t>
            </w:r>
          </w:p>
        </w:tc>
        <w:tc>
          <w:tcPr>
            <w:tcW w:w="400" w:type="dxa"/>
            <w:vAlign w:val="bottom"/>
            <w:shd w:val="clear" w:color="auto" w:fill="E7E7E8"/>
          </w:tcPr>
          <w:p>
            <w:pPr>
              <w:spacing w:after="0"/>
              <w:rPr>
                <w:sz w:val="14"/>
                <w:szCs w:val="14"/>
                <w:color w:val="auto"/>
              </w:rPr>
            </w:pPr>
          </w:p>
        </w:tc>
        <w:tc>
          <w:tcPr>
            <w:tcW w:w="1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1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on original equipment cost</w:t>
            </w:r>
          </w:p>
        </w:tc>
        <w:tc>
          <w:tcPr>
            <w:tcW w:w="440" w:type="dxa"/>
            <w:vAlign w:val="bottom"/>
            <w:shd w:val="clear" w:color="auto" w:fill="E7E7E8"/>
          </w:tcPr>
          <w:p>
            <w:pPr>
              <w:spacing w:after="0"/>
              <w:rPr>
                <w:sz w:val="18"/>
                <w:szCs w:val="18"/>
                <w:color w:val="auto"/>
              </w:rPr>
            </w:pPr>
          </w:p>
        </w:tc>
        <w:tc>
          <w:tcPr>
            <w:tcW w:w="1320" w:type="dxa"/>
            <w:vAlign w:val="bottom"/>
            <w:vMerge w:val="continue"/>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320" w:type="dxa"/>
            <w:vAlign w:val="bottom"/>
            <w:vMerge w:val="continue"/>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200" w:type="dxa"/>
            <w:vAlign w:val="bottom"/>
            <w:vMerge w:val="continue"/>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18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Tank &amp; Pump</w:t>
      </w:r>
    </w:p>
    <w:p>
      <w:pPr>
        <w:spacing w:after="0" w:line="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$6.9 million, or 22.8%, to $23.3 million for the three months ended September 30, 2020 from $30.2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September 30, 2019. Lower mid- and down-stream oil and gas activity, petrochemical refining activity and specifically the lower demand for jet fuel resulting from COVID-19 all reduced demand for our products as utilization based on original equipment cost reduced from 68.3% for the three months ended September 30, 2019 to 58.2% for three months ended September 30, 2020 and average rental rates also declined compared to the prior-year quarter. Sales revenues decreased $0.4 million compared to the prior-year quarter.</w:t>
      </w:r>
    </w:p>
    <w:p>
      <w:pPr>
        <w:spacing w:after="0" w:line="1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decreased $4.2 million, or 26.9%, for the three months ended September 30, 2020 to $11.4 million from $15.6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September 30, 2019. Gross profit for leasing activity decreased $3.8 million driven by the decreased revenue as discussed above offset by reduced costs of $1.0 million, including decreased repairs and maintenance. Gross profit for delivery and installation activity decreased $0.8 million reflecting the lower revenues offset by a $0.8 million decrease in expense, including less expense for outside hauling and a reduction in salaries for delivery drivers. Depreciation of rental equipment decreased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6" w:name="page57"/>
    <w:bookmarkEnd w:id="56"/>
    <w:p>
      <w:pPr>
        <w:jc w:val="both"/>
        <w:ind w:firstLine="648"/>
        <w:spacing w:after="0" w:line="270"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decreased $3.4 million, or 28.6%, to $8.5 million for the three months ended September 30, 2020 from $11.9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three months ended September 30, 2019 and the margin contracted to 36.5% from 39.4%. The decrease in adjusted EBITDA was driven by the lower gross profit discussed above, offset by a $1.3 million reduction in SG&amp;A expense including personnel costs, provision for bad debt and travel.</w:t>
      </w:r>
    </w:p>
    <w:p>
      <w:pPr>
        <w:spacing w:after="0" w:line="9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were reduced significantly during the quarter due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unfavorable environment for this segment. Current quarter expenditures of $0.4 million were $1.8 million lower than the prior-year quarter.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Tank &amp; Pump</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$20.2 million, or 21.5%, to $73.9 million for the nine months ended September 30, 2020 from $94.1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2019. Industrial softening which began in the second half of 2019 was exacerbated in 2020 by an oversupply of oil leading to lower oil prices. Further, the effects of COVID-19 have resulted in decreased demand for oil. The business environment during the first nine months of 2020 resulted in reduced demand for our products as utilization based on original equipment cost reduced from 72.0% for the nine months ended September 30, 2019 to 61.7% for nine months ended September 30, 2020 and experienced a decrease in average rental rates compared to the prior-year period. Year-over-year leasing revenue decreased $13.9 million, or 22.1%, while delivery and installation revenue decreased $5.6 million, or 20.7%. Sales revenues decreased $0.7 million compared to the prior-year period.</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decreased $12.0 million, or 24.8%, for the nine months ended September 30, 2020 to $36.4 million from $48.4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2019. Gross profit for leasing activity decreased $11.4 million driven by the decreased revenue as discussed above offset by reduced costs of $2.5 million, including decreased repairs and maintenance of $1.5 million and lower re-rent expense due to the lower activity. Gross profit for delivery and installation activity decreased $1.7 million reflecting the lower revenues offset by a $3.9 million decrease in expense, including $1.7 million less expense for outside hauling and a reduction in salaries for delivery drivers. Depreciation of rental equipment decreased $1.3 million.</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decreased $10.5 million, or 28.3%, to $26.6 million for the nine months ended September 30, 2020 from</w:t>
      </w:r>
      <w:r>
        <w:rPr>
          <w:rFonts w:ascii="Arial" w:cs="Arial" w:eastAsia="Arial" w:hAnsi="Arial"/>
          <w:sz w:val="16"/>
          <w:szCs w:val="16"/>
          <w:b w:val="1"/>
          <w:bCs w:val="1"/>
          <w:color w:val="auto"/>
        </w:rPr>
        <w:t xml:space="preserve"> </w:t>
      </w:r>
      <w:r>
        <w:rPr>
          <w:rFonts w:ascii="Arial" w:cs="Arial" w:eastAsia="Arial" w:hAnsi="Arial"/>
          <w:sz w:val="16"/>
          <w:szCs w:val="16"/>
          <w:color w:val="auto"/>
        </w:rPr>
        <w:t>$37.1 million for the nine months ended September 30, 2019 and the margin contracted to 36.0% from 39.4%. The decrease in adjusted EBITDA was driven by the lower gross profit discussed above, offset by a $2.8 million reduction SG&amp;A expense including $1.6 million in decreased personnel costs.</w:t>
      </w:r>
    </w:p>
    <w:p>
      <w:pPr>
        <w:spacing w:after="0" w:line="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were reduced significantly during 2020 due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unfavorable environment for this segment. Current period expenditures of $5.9 million were $12.6 million lower than the prior-year period.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3"/>
          <w:szCs w:val="23"/>
          <w:color w:val="1D2758"/>
        </w:rPr>
        <w:t>Liquidity and Capital Resources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WillScot Mobile Mini is a holding company that derives all of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have been consistently engaged in both the debt and equity capital markets both opportunistically and as necessary to support the growth of our business, desired leverage levels, and other capital allocation priorities. Subsequent to the Merger, we believe we have ample liquidity in the 2020 ABL Facility to support both organic operations and other capital allocation priorities as they arise.</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including as a result of any disruption the COVID-19 pandemic may have on the debt and capital markets. From time to time we may also seek to streamline our capital structure and improve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our financial position through refinancing or restructuring our existing debt or retiring certain of our securities for cash or other consideration.</w:t>
      </w:r>
    </w:p>
    <w:p>
      <w:pPr>
        <w:spacing w:after="0" w:line="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United Kingdom. Borrowing availability under the 2020 ABL Facility is equal to the lesser of $2.4 billion and the applicable borrowing bases. The borrowing bases are a function of, among other things, the value of the assets in the relevant collateral pool. At September 30, 2020, we had $1.04 billion of available borrowing capacity under the 2020 ABL Facility.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Liquidity</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Although there is uncertainty related to the anticipated impact of the COVID-19 outbreak on the Company’s future results, we believe our predictable lease revenue streams underpinned by long lease durations combined with recent steps we have taken to reduce costs and capital spending will</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result in a near-term increase in internally generated free cash flow. Further, the approximately $1.04 billion of availability under our 2020 ABL Facility subsequent to the Merger and related financing transactions, provides additional liquidity in excess of our free cash flow generation. We continue to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have positioned us well to manage through this crisis as it continues to unfold.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Nine Months Ended September 30, 2020 and 2019</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2720" w:type="dxa"/>
            <w:vAlign w:val="bottom"/>
            <w:gridSpan w:val="4"/>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Nine Months Ended</w:t>
            </w:r>
          </w:p>
        </w:tc>
        <w:tc>
          <w:tcPr>
            <w:tcW w:w="0" w:type="dxa"/>
            <w:vAlign w:val="bottom"/>
          </w:tcPr>
          <w:p>
            <w:pPr>
              <w:spacing w:after="0"/>
              <w:rPr>
                <w:sz w:val="1"/>
                <w:szCs w:val="1"/>
                <w:color w:val="auto"/>
              </w:rPr>
            </w:pPr>
          </w:p>
        </w:tc>
      </w:tr>
      <w:tr>
        <w:trPr>
          <w:trHeight w:val="216"/>
        </w:trPr>
        <w:tc>
          <w:tcPr>
            <w:tcW w:w="81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vMerge w:val="continue"/>
            <w:shd w:val="clear" w:color="auto" w:fill="1D2758"/>
          </w:tcPr>
          <w:p>
            <w:pPr>
              <w:spacing w:after="0"/>
              <w:rPr>
                <w:sz w:val="19"/>
                <w:szCs w:val="19"/>
                <w:color w:val="auto"/>
              </w:rPr>
            </w:pPr>
          </w:p>
        </w:tc>
        <w:tc>
          <w:tcPr>
            <w:tcW w:w="340" w:type="dxa"/>
            <w:vAlign w:val="bottom"/>
            <w:shd w:val="clear" w:color="auto" w:fill="1D2758"/>
          </w:tcPr>
          <w:p>
            <w:pPr>
              <w:spacing w:after="0"/>
              <w:rPr>
                <w:sz w:val="19"/>
                <w:szCs w:val="19"/>
                <w:color w:val="auto"/>
              </w:rPr>
            </w:pPr>
          </w:p>
        </w:tc>
        <w:tc>
          <w:tcPr>
            <w:tcW w:w="114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540" w:type="dxa"/>
            <w:vAlign w:val="bottom"/>
            <w:shd w:val="clear" w:color="auto" w:fill="1D2758"/>
          </w:tcPr>
          <w:p>
            <w:pPr>
              <w:spacing w:after="0"/>
              <w:rPr>
                <w:sz w:val="19"/>
                <w:szCs w:val="19"/>
                <w:color w:val="auto"/>
              </w:rPr>
            </w:pPr>
          </w:p>
        </w:tc>
        <w:tc>
          <w:tcPr>
            <w:tcW w:w="94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88"/>
        </w:trPr>
        <w:tc>
          <w:tcPr>
            <w:tcW w:w="818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14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540" w:type="dxa"/>
            <w:vAlign w:val="bottom"/>
            <w:shd w:val="clear" w:color="auto" w:fill="1D2758"/>
          </w:tcPr>
          <w:p>
            <w:pPr>
              <w:spacing w:after="0"/>
              <w:rPr>
                <w:sz w:val="7"/>
                <w:szCs w:val="7"/>
                <w:color w:val="auto"/>
              </w:rPr>
            </w:pPr>
          </w:p>
        </w:tc>
        <w:tc>
          <w:tcPr>
            <w:tcW w:w="9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175,095</w:t>
            </w:r>
          </w:p>
        </w:tc>
        <w:tc>
          <w:tcPr>
            <w:tcW w:w="100" w:type="dxa"/>
            <w:vAlign w:val="bottom"/>
            <w:shd w:val="clear" w:color="auto" w:fill="E7E7E8"/>
          </w:tcPr>
          <w:p>
            <w:pPr>
              <w:spacing w:after="0"/>
              <w:rPr>
                <w:sz w:val="19"/>
                <w:szCs w:val="19"/>
                <w:color w:val="auto"/>
              </w:rPr>
            </w:pPr>
          </w:p>
        </w:tc>
        <w:tc>
          <w:tcPr>
            <w:tcW w:w="540" w:type="dxa"/>
            <w:vAlign w:val="bottom"/>
            <w:vMerge w:val="restart"/>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99,076</w:t>
            </w:r>
          </w:p>
        </w:tc>
        <w:tc>
          <w:tcPr>
            <w:tcW w:w="0" w:type="dxa"/>
            <w:vAlign w:val="bottom"/>
          </w:tcPr>
          <w:p>
            <w:pPr>
              <w:spacing w:after="0"/>
              <w:rPr>
                <w:sz w:val="1"/>
                <w:szCs w:val="1"/>
                <w:color w:val="auto"/>
              </w:rPr>
            </w:pPr>
          </w:p>
        </w:tc>
      </w:tr>
      <w:tr>
        <w:trPr>
          <w:trHeight w:val="92"/>
        </w:trPr>
        <w:tc>
          <w:tcPr>
            <w:tcW w:w="8180" w:type="dxa"/>
            <w:vAlign w:val="bottom"/>
            <w:shd w:val="clear" w:color="auto" w:fill="E7E7E8"/>
          </w:tcPr>
          <w:p>
            <w:pPr>
              <w:spacing w:after="0"/>
              <w:rPr>
                <w:sz w:val="7"/>
                <w:szCs w:val="7"/>
                <w:color w:val="auto"/>
              </w:rPr>
            </w:pPr>
          </w:p>
        </w:tc>
        <w:tc>
          <w:tcPr>
            <w:tcW w:w="340" w:type="dxa"/>
            <w:vAlign w:val="bottom"/>
            <w:vMerge w:val="continue"/>
            <w:shd w:val="clear" w:color="auto" w:fill="E7E7E8"/>
          </w:tcPr>
          <w:p>
            <w:pPr>
              <w:spacing w:after="0"/>
              <w:rPr>
                <w:sz w:val="7"/>
                <w:szCs w:val="7"/>
                <w:color w:val="auto"/>
              </w:rPr>
            </w:pPr>
          </w:p>
        </w:tc>
        <w:tc>
          <w:tcPr>
            <w:tcW w:w="1140" w:type="dxa"/>
            <w:vAlign w:val="bottom"/>
            <w:vMerge w:val="continue"/>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540" w:type="dxa"/>
            <w:vAlign w:val="bottom"/>
            <w:vMerge w:val="continue"/>
            <w:shd w:val="clear" w:color="auto" w:fill="E7E7E8"/>
          </w:tcPr>
          <w:p>
            <w:pPr>
              <w:spacing w:after="0"/>
              <w:rPr>
                <w:sz w:val="7"/>
                <w:szCs w:val="7"/>
                <w:color w:val="auto"/>
              </w:rPr>
            </w:pPr>
          </w:p>
        </w:tc>
        <w:tc>
          <w:tcPr>
            <w:tcW w:w="940" w:type="dxa"/>
            <w:vAlign w:val="bottom"/>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(83,073)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(122,774)</w:t>
            </w:r>
          </w:p>
        </w:tc>
        <w:tc>
          <w:tcPr>
            <w:tcW w:w="0" w:type="dxa"/>
            <w:vAlign w:val="bottom"/>
          </w:tcPr>
          <w:p>
            <w:pPr>
              <w:spacing w:after="0"/>
              <w:rPr>
                <w:sz w:val="1"/>
                <w:szCs w:val="1"/>
                <w:color w:val="auto"/>
              </w:rPr>
            </w:pPr>
          </w:p>
        </w:tc>
      </w:tr>
      <w:tr>
        <w:trPr>
          <w:trHeight w:val="91"/>
        </w:trPr>
        <w:tc>
          <w:tcPr>
            <w:tcW w:w="8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340" w:type="dxa"/>
            <w:vAlign w:val="bottom"/>
            <w:shd w:val="clear" w:color="auto" w:fill="E7E7E8"/>
          </w:tcPr>
          <w:p>
            <w:pPr>
              <w:spacing w:after="0"/>
              <w:rPr>
                <w:sz w:val="19"/>
                <w:szCs w:val="19"/>
                <w:color w:val="auto"/>
              </w:rPr>
            </w:pPr>
          </w:p>
        </w:tc>
        <w:tc>
          <w:tcPr>
            <w:tcW w:w="1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(75,612)</w:t>
            </w:r>
          </w:p>
        </w:tc>
        <w:tc>
          <w:tcPr>
            <w:tcW w:w="100" w:type="dxa"/>
            <w:vAlign w:val="bottom"/>
            <w:shd w:val="clear" w:color="auto" w:fill="E7E7E8"/>
          </w:tcPr>
          <w:p>
            <w:pPr>
              <w:spacing w:after="0"/>
              <w:rPr>
                <w:sz w:val="19"/>
                <w:szCs w:val="19"/>
                <w:color w:val="auto"/>
              </w:rPr>
            </w:pPr>
          </w:p>
        </w:tc>
        <w:tc>
          <w:tcPr>
            <w:tcW w:w="540" w:type="dxa"/>
            <w:vAlign w:val="bottom"/>
            <w:shd w:val="clear" w:color="auto" w:fill="E7E7E8"/>
          </w:tcPr>
          <w:p>
            <w:pPr>
              <w:spacing w:after="0"/>
              <w:rPr>
                <w:sz w:val="19"/>
                <w:szCs w:val="19"/>
                <w:color w:val="auto"/>
              </w:rPr>
            </w:pP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18,627</w:t>
            </w:r>
          </w:p>
        </w:tc>
        <w:tc>
          <w:tcPr>
            <w:tcW w:w="0" w:type="dxa"/>
            <w:vAlign w:val="bottom"/>
          </w:tcPr>
          <w:p>
            <w:pPr>
              <w:spacing w:after="0"/>
              <w:rPr>
                <w:sz w:val="1"/>
                <w:szCs w:val="1"/>
                <w:color w:val="auto"/>
              </w:rPr>
            </w:pPr>
          </w:p>
        </w:tc>
      </w:tr>
      <w:tr>
        <w:trPr>
          <w:trHeight w:val="92"/>
        </w:trPr>
        <w:tc>
          <w:tcPr>
            <w:tcW w:w="818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vMerge w:val="continue"/>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540" w:type="dxa"/>
            <w:vAlign w:val="bottom"/>
            <w:shd w:val="clear" w:color="auto" w:fill="E7E7E8"/>
          </w:tcPr>
          <w:p>
            <w:pPr>
              <w:spacing w:after="0"/>
              <w:rPr>
                <w:sz w:val="7"/>
                <w:szCs w:val="7"/>
                <w:color w:val="auto"/>
              </w:rPr>
            </w:pPr>
          </w:p>
        </w:tc>
        <w:tc>
          <w:tcPr>
            <w:tcW w:w="940" w:type="dxa"/>
            <w:vAlign w:val="bottom"/>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91"/>
        </w:trPr>
        <w:tc>
          <w:tcPr>
            <w:tcW w:w="8180" w:type="dxa"/>
            <w:vAlign w:val="bottom"/>
            <w:tcBorders>
              <w:bottom w:val="single" w:sz="8" w:color="E7E7E8"/>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E7E7E8"/>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81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shd w:val="clear" w:color="auto" w:fill="E7E7E8"/>
          </w:tcPr>
          <w:p>
            <w:pPr>
              <w:spacing w:after="0"/>
              <w:rPr>
                <w:sz w:val="17"/>
                <w:szCs w:val="17"/>
                <w:color w:val="auto"/>
              </w:rPr>
            </w:pPr>
          </w:p>
        </w:tc>
        <w:tc>
          <w:tcPr>
            <w:tcW w:w="540" w:type="dxa"/>
            <w:vAlign w:val="bottom"/>
            <w:vMerge w:val="restart"/>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(5,007)</w:t>
            </w:r>
          </w:p>
        </w:tc>
        <w:tc>
          <w:tcPr>
            <w:tcW w:w="0" w:type="dxa"/>
            <w:vAlign w:val="bottom"/>
          </w:tcPr>
          <w:p>
            <w:pPr>
              <w:spacing w:after="0"/>
              <w:rPr>
                <w:sz w:val="1"/>
                <w:szCs w:val="1"/>
                <w:color w:val="auto"/>
              </w:rPr>
            </w:pPr>
          </w:p>
        </w:tc>
      </w:tr>
      <w:tr>
        <w:trPr>
          <w:trHeight w:val="84"/>
        </w:trPr>
        <w:tc>
          <w:tcPr>
            <w:tcW w:w="8180" w:type="dxa"/>
            <w:vAlign w:val="bottom"/>
            <w:tcBorders>
              <w:bottom w:val="single" w:sz="8" w:color="E7E7E8"/>
            </w:tcBorders>
            <w:shd w:val="clear" w:color="auto" w:fill="E7E7E8"/>
          </w:tcPr>
          <w:p>
            <w:pPr>
              <w:spacing w:after="0"/>
              <w:rPr>
                <w:sz w:val="7"/>
                <w:szCs w:val="7"/>
                <w:color w:val="auto"/>
              </w:rPr>
            </w:pPr>
          </w:p>
        </w:tc>
        <w:tc>
          <w:tcPr>
            <w:tcW w:w="340" w:type="dxa"/>
            <w:vAlign w:val="bottom"/>
            <w:tcBorders>
              <w:bottom w:val="single" w:sz="8" w:color="auto"/>
            </w:tcBorders>
            <w:vMerge w:val="continue"/>
            <w:shd w:val="clear" w:color="auto" w:fill="E7E7E8"/>
          </w:tcPr>
          <w:p>
            <w:pPr>
              <w:spacing w:after="0"/>
              <w:rPr>
                <w:sz w:val="7"/>
                <w:szCs w:val="7"/>
                <w:color w:val="auto"/>
              </w:rPr>
            </w:pPr>
          </w:p>
        </w:tc>
        <w:tc>
          <w:tcPr>
            <w:tcW w:w="1140" w:type="dxa"/>
            <w:vAlign w:val="bottom"/>
            <w:tcBorders>
              <w:bottom w:val="single" w:sz="8" w:color="auto"/>
            </w:tcBorders>
            <w:vMerge w:val="continue"/>
            <w:shd w:val="clear" w:color="auto" w:fill="E7E7E8"/>
          </w:tcPr>
          <w:p>
            <w:pPr>
              <w:spacing w:after="0"/>
              <w:rPr>
                <w:sz w:val="7"/>
                <w:szCs w:val="7"/>
                <w:color w:val="auto"/>
              </w:rPr>
            </w:pPr>
          </w:p>
        </w:tc>
        <w:tc>
          <w:tcPr>
            <w:tcW w:w="100" w:type="dxa"/>
            <w:vAlign w:val="bottom"/>
            <w:tcBorders>
              <w:bottom w:val="single" w:sz="8" w:color="E7E7E8"/>
            </w:tcBorders>
            <w:shd w:val="clear" w:color="auto" w:fill="E7E7E8"/>
          </w:tcPr>
          <w:p>
            <w:pPr>
              <w:spacing w:after="0"/>
              <w:rPr>
                <w:sz w:val="7"/>
                <w:szCs w:val="7"/>
                <w:color w:val="auto"/>
              </w:rPr>
            </w:pPr>
          </w:p>
        </w:tc>
        <w:tc>
          <w:tcPr>
            <w:tcW w:w="540" w:type="dxa"/>
            <w:vAlign w:val="bottom"/>
            <w:tcBorders>
              <w:bottom w:val="single" w:sz="8" w:color="auto"/>
            </w:tcBorders>
            <w:vMerge w:val="continue"/>
            <w:shd w:val="clear" w:color="auto" w:fill="E7E7E8"/>
          </w:tcPr>
          <w:p>
            <w:pPr>
              <w:spacing w:after="0"/>
              <w:rPr>
                <w:sz w:val="7"/>
                <w:szCs w:val="7"/>
                <w:color w:val="auto"/>
              </w:rPr>
            </w:pPr>
          </w:p>
        </w:tc>
        <w:tc>
          <w:tcPr>
            <w:tcW w:w="940" w:type="dxa"/>
            <w:vAlign w:val="bottom"/>
            <w:tcBorders>
              <w:bottom w:val="single" w:sz="8" w:color="auto"/>
            </w:tcBorders>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4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Operating Activities</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Cash provided by operating activities for the nine months ended September 30, 2020 was $175.1 million as compared to $99.1 million for the nine months ended September 30, 2019, an increase of $76.0 million. The increase was due to an increase of $57.2 million of net income, adjusted for non-cash items, in addition to an increase of $18.8 million in the net movements of the operating assets and liabilities. The increase related to the net movements of operating assets and liabilities was attributable to a decrease in cash used from accounts receivable in the nine months ended September 30, 2020 compared to the same period in 2019, partially offset by an increase cash provided by accounts payable and other accrued liabilities in the nine months ended September 30, 2020 compared to the same period in 2019.</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Investing Activities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Cash used in investing activities for the nine months ended September 30, 2020 was $83.1 million as compared to $122.8 million for the nine months ended September 30, 2019, a decrease of $39.7 million. The decrease in cash used in investing activities was driven by a $38.6 million decrease in cash used for purchase of rental equipment and refurbishments and a $5.1 million increase in proceeds from sale of property, plant and equipment, offset by an $6.2 million decrease in proceeds from the sale of rental equipment. Cash used for purchase of rental equipment and refurbishments decreased in the nine months ended September 30, 2020 compared to 2019 as fleet was less constrained due to reduced utilization and reduced demand for new project deliveries as a result of the COVID-19 pandemic and the current period impact of prior year spend. Proceeds from sale of rental equipment decreased compared to the prior year due to lower sales demand. Additionally,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$17.2 million of cash was acquired as part of the Merger.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Financing Activities</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Cash used in financing activities for the nine months ended September 30, 2020 was $75.6 million as compared to $18.6 million of cash provided by financing activities for the nine months ended September 30, 2019, an increase of $94.2 million. The increase is primarily due to an increase of $2,253.8 million in repayment of borrowings, a decrease in receipts from borrowings of $2,246.6 million, partially offset by an increase of $7.5 million in receipts from issuance of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720" w:type="dxa"/>
            <w:vAlign w:val="bottom"/>
            <w:gridSpan w:val="4"/>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Three Months Ended</w:t>
            </w:r>
          </w:p>
        </w:tc>
        <w:tc>
          <w:tcPr>
            <w:tcW w:w="380" w:type="dxa"/>
            <w:vAlign w:val="bottom"/>
            <w:shd w:val="clear" w:color="auto" w:fill="1D2758"/>
          </w:tcPr>
          <w:p>
            <w:pPr>
              <w:spacing w:after="0"/>
              <w:rPr>
                <w:sz w:val="16"/>
                <w:szCs w:val="16"/>
                <w:color w:val="auto"/>
              </w:rPr>
            </w:pPr>
          </w:p>
        </w:tc>
        <w:tc>
          <w:tcPr>
            <w:tcW w:w="2680" w:type="dxa"/>
            <w:vAlign w:val="bottom"/>
            <w:gridSpan w:val="4"/>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Nine Months Ended</w:t>
            </w:r>
          </w:p>
        </w:tc>
      </w:tr>
      <w:tr>
        <w:trPr>
          <w:trHeight w:val="216"/>
        </w:trPr>
        <w:tc>
          <w:tcPr>
            <w:tcW w:w="5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6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6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76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September 30,</w:t>
            </w:r>
          </w:p>
        </w:tc>
        <w:tc>
          <w:tcPr>
            <w:tcW w:w="920" w:type="dxa"/>
            <w:vAlign w:val="bottom"/>
            <w:shd w:val="clear" w:color="auto" w:fill="1D2758"/>
          </w:tcPr>
          <w:p>
            <w:pPr>
              <w:spacing w:after="0"/>
              <w:rPr>
                <w:sz w:val="18"/>
                <w:szCs w:val="18"/>
                <w:color w:val="auto"/>
              </w:rPr>
            </w:pPr>
          </w:p>
        </w:tc>
      </w:tr>
      <w:tr>
        <w:trPr>
          <w:trHeight w:val="216"/>
        </w:trPr>
        <w:tc>
          <w:tcPr>
            <w:tcW w:w="5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380" w:type="dxa"/>
            <w:vAlign w:val="bottom"/>
            <w:shd w:val="clear" w:color="auto" w:fill="1D2758"/>
          </w:tcPr>
          <w:p>
            <w:pPr>
              <w:spacing w:after="0"/>
              <w:rPr>
                <w:sz w:val="18"/>
                <w:szCs w:val="18"/>
                <w:color w:val="auto"/>
              </w:rPr>
            </w:pPr>
          </w:p>
        </w:tc>
        <w:tc>
          <w:tcPr>
            <w:tcW w:w="114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540" w:type="dxa"/>
            <w:vAlign w:val="bottom"/>
            <w:shd w:val="clear" w:color="auto" w:fill="1D2758"/>
          </w:tcPr>
          <w:p>
            <w:pPr>
              <w:spacing w:after="0"/>
              <w:rPr>
                <w:sz w:val="18"/>
                <w:szCs w:val="18"/>
                <w:color w:val="auto"/>
              </w:rPr>
            </w:pPr>
          </w:p>
        </w:tc>
        <w:tc>
          <w:tcPr>
            <w:tcW w:w="9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r>
      <w:tr>
        <w:trPr>
          <w:trHeight w:val="216"/>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61,368</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39,022</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175,095</w:t>
            </w:r>
          </w:p>
        </w:tc>
        <w:tc>
          <w:tcPr>
            <w:tcW w:w="80" w:type="dxa"/>
            <w:vAlign w:val="bottom"/>
            <w:shd w:val="clear" w:color="auto" w:fill="E7E7E8"/>
          </w:tcPr>
          <w:p>
            <w:pPr>
              <w:spacing w:after="0"/>
              <w:rPr>
                <w:sz w:val="18"/>
                <w:szCs w:val="18"/>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99,076</w:t>
            </w: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(47,789)</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(122,273)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(160,877)</w:t>
            </w:r>
          </w:p>
        </w:tc>
      </w:tr>
      <w:tr>
        <w:trPr>
          <w:trHeight w:val="216"/>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shd w:val="clear" w:color="auto" w:fill="E7E7E8"/>
          </w:tcPr>
          <w:p>
            <w:pPr>
              <w:spacing w:after="0"/>
              <w:rPr>
                <w:sz w:val="18"/>
                <w:szCs w:val="18"/>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8,421</w:t>
            </w:r>
          </w:p>
        </w:tc>
        <w:tc>
          <w:tcPr>
            <w:tcW w:w="380" w:type="dxa"/>
            <w:vAlign w:val="bottom"/>
            <w:shd w:val="clear" w:color="auto" w:fill="E7E7E8"/>
          </w:tcPr>
          <w:p>
            <w:pPr>
              <w:spacing w:after="0"/>
              <w:rPr>
                <w:sz w:val="18"/>
                <w:szCs w:val="18"/>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8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31,504</w:t>
            </w: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(2,701)</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(6,600)</w:t>
            </w:r>
          </w:p>
        </w:tc>
      </w:tr>
      <w:tr>
        <w:trPr>
          <w:trHeight w:val="216"/>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1,982</w:t>
            </w:r>
          </w:p>
        </w:tc>
        <w:tc>
          <w:tcPr>
            <w:tcW w:w="10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4,308</w:t>
            </w:r>
          </w:p>
        </w:tc>
        <w:tc>
          <w:tcPr>
            <w:tcW w:w="38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5,825</w:t>
            </w:r>
          </w:p>
        </w:tc>
        <w:tc>
          <w:tcPr>
            <w:tcW w:w="8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E7E7E8"/>
          </w:tcPr>
          <w:p>
            <w:pPr>
              <w:spacing w:after="0"/>
              <w:rPr>
                <w:sz w:val="18"/>
                <w:szCs w:val="18"/>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13,199</w:t>
            </w:r>
          </w:p>
        </w:tc>
      </w:tr>
      <w:tr>
        <w:trPr>
          <w:trHeight w:val="209"/>
        </w:trPr>
        <w:tc>
          <w:tcPr>
            <w:tcW w:w="502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(23,698)</w:t>
            </w:r>
          </w:p>
        </w:tc>
      </w:tr>
      <w:tr>
        <w:trPr>
          <w:trHeight w:val="21"/>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Free Cash Flow for the nine months ended September 30, 2020 was an inflow of $74.8 million as compared to an outflow of $23.7 million for the nine months ended September 30, 2019, an increase in Free Cash Flow of $98.5 million. Free Cash Flow increased year over year principally as a result of reinvesting the $76.0 million increase in cash provided by operating activities and $38.6 million decrease in cash used in the purchase of rental equipment and refurbishments. The $61.4 million in cash provided by operating activities for the three months ended September 30, 2020 was reinvested into the business to support the purchase of rental equipment, including VAPS, and refurbishments, partially offset by the proceeds from the sale of rental equipment and property, plant and equipment.</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incurred significant transaction expenses that were paid in three months ended September 30, 2020 as a result of the Merger. Excluding these transaction costs, net cash provided by operating activities for three months ended September 30, 2020 would have been $124.6 million and Free Cash Flow would have been $91.3 million.</w:t>
      </w: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color w:val="1D2758"/>
        </w:rPr>
        <w:t>Contractual Obligations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September 30,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1D2758"/>
          </w:tcPr>
          <w:p>
            <w:pPr>
              <w:spacing w:after="0"/>
              <w:rPr>
                <w:sz w:val="16"/>
                <w:szCs w:val="16"/>
                <w:color w:val="auto"/>
              </w:rPr>
            </w:pPr>
          </w:p>
        </w:tc>
        <w:tc>
          <w:tcPr>
            <w:tcW w:w="1140" w:type="dxa"/>
            <w:vAlign w:val="bottom"/>
            <w:gridSpan w:val="2"/>
            <w:vMerge w:val="restart"/>
            <w:shd w:val="clear" w:color="auto" w:fill="1D2758"/>
          </w:tcPr>
          <w:p>
            <w:pPr>
              <w:ind w:left="180"/>
              <w:spacing w:after="0"/>
              <w:rPr>
                <w:sz w:val="20"/>
                <w:szCs w:val="20"/>
                <w:color w:val="auto"/>
              </w:rPr>
            </w:pPr>
            <w:r>
              <w:rPr>
                <w:rFonts w:ascii="Arial" w:cs="Arial" w:eastAsia="Arial" w:hAnsi="Arial"/>
                <w:sz w:val="16"/>
                <w:szCs w:val="16"/>
                <w:b w:val="1"/>
                <w:bCs w:val="1"/>
                <w:color w:val="FFFFFF"/>
              </w:rPr>
              <w:t>Total</w:t>
            </w:r>
          </w:p>
        </w:tc>
        <w:tc>
          <w:tcPr>
            <w:tcW w:w="1420" w:type="dxa"/>
            <w:vAlign w:val="bottom"/>
            <w:gridSpan w:val="3"/>
            <w:vMerge w:val="restart"/>
            <w:shd w:val="clear" w:color="auto" w:fill="1D2758"/>
          </w:tcPr>
          <w:p>
            <w:pPr>
              <w:ind w:left="40"/>
              <w:spacing w:after="0"/>
              <w:rPr>
                <w:sz w:val="20"/>
                <w:szCs w:val="20"/>
                <w:color w:val="auto"/>
              </w:rPr>
            </w:pPr>
            <w:r>
              <w:rPr>
                <w:rFonts w:ascii="Arial" w:cs="Arial" w:eastAsia="Arial" w:hAnsi="Arial"/>
                <w:sz w:val="16"/>
                <w:szCs w:val="16"/>
                <w:b w:val="1"/>
                <w:bCs w:val="1"/>
                <w:color w:val="FFFFFF"/>
              </w:rPr>
              <w:t>Less than 1 year</w:t>
            </w:r>
          </w:p>
        </w:tc>
        <w:tc>
          <w:tcPr>
            <w:tcW w:w="144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Between 1 to 3</w:t>
            </w:r>
          </w:p>
        </w:tc>
        <w:tc>
          <w:tcPr>
            <w:tcW w:w="100" w:type="dxa"/>
            <w:vAlign w:val="bottom"/>
            <w:shd w:val="clear" w:color="auto" w:fill="1D2758"/>
          </w:tcPr>
          <w:p>
            <w:pPr>
              <w:spacing w:after="0"/>
              <w:rPr>
                <w:sz w:val="16"/>
                <w:szCs w:val="16"/>
                <w:color w:val="auto"/>
              </w:rPr>
            </w:pPr>
          </w:p>
        </w:tc>
        <w:tc>
          <w:tcPr>
            <w:tcW w:w="1340" w:type="dxa"/>
            <w:vAlign w:val="bottom"/>
            <w:gridSpan w:val="2"/>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Between 3 to 5</w:t>
            </w:r>
          </w:p>
        </w:tc>
        <w:tc>
          <w:tcPr>
            <w:tcW w:w="160" w:type="dxa"/>
            <w:vAlign w:val="bottom"/>
            <w:shd w:val="clear" w:color="auto" w:fill="1D2758"/>
          </w:tcPr>
          <w:p>
            <w:pPr>
              <w:spacing w:after="0"/>
              <w:rPr>
                <w:sz w:val="16"/>
                <w:szCs w:val="16"/>
                <w:color w:val="auto"/>
              </w:rPr>
            </w:pPr>
          </w:p>
        </w:tc>
        <w:tc>
          <w:tcPr>
            <w:tcW w:w="118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More than 5</w:t>
            </w:r>
          </w:p>
        </w:tc>
        <w:tc>
          <w:tcPr>
            <w:tcW w:w="0" w:type="dxa"/>
            <w:vAlign w:val="bottom"/>
          </w:tcPr>
          <w:p>
            <w:pPr>
              <w:spacing w:after="0"/>
              <w:rPr>
                <w:sz w:val="1"/>
                <w:szCs w:val="1"/>
                <w:color w:val="auto"/>
              </w:rPr>
            </w:pPr>
          </w:p>
        </w:tc>
      </w:tr>
      <w:tr>
        <w:trPr>
          <w:trHeight w:val="216"/>
        </w:trPr>
        <w:tc>
          <w:tcPr>
            <w:tcW w:w="416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140" w:type="dxa"/>
            <w:vAlign w:val="bottom"/>
            <w:gridSpan w:val="2"/>
            <w:vMerge w:val="continue"/>
            <w:shd w:val="clear" w:color="auto" w:fill="1D2758"/>
          </w:tcPr>
          <w:p>
            <w:pPr>
              <w:spacing w:after="0"/>
              <w:rPr>
                <w:sz w:val="18"/>
                <w:szCs w:val="18"/>
                <w:color w:val="auto"/>
              </w:rPr>
            </w:pPr>
          </w:p>
        </w:tc>
        <w:tc>
          <w:tcPr>
            <w:tcW w:w="1420" w:type="dxa"/>
            <w:vAlign w:val="bottom"/>
            <w:gridSpan w:val="3"/>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jc w:val="center"/>
              <w:ind w:right="400"/>
              <w:spacing w:after="0"/>
              <w:rPr>
                <w:sz w:val="20"/>
                <w:szCs w:val="20"/>
                <w:color w:val="auto"/>
              </w:rPr>
            </w:pPr>
            <w:r>
              <w:rPr>
                <w:rFonts w:ascii="Arial" w:cs="Arial" w:eastAsia="Arial" w:hAnsi="Arial"/>
                <w:sz w:val="16"/>
                <w:szCs w:val="16"/>
                <w:b w:val="1"/>
                <w:bCs w:val="1"/>
                <w:color w:val="FFFFFF"/>
              </w:rPr>
              <w:t>years</w:t>
            </w:r>
          </w:p>
        </w:tc>
        <w:tc>
          <w:tcPr>
            <w:tcW w:w="100" w:type="dxa"/>
            <w:vAlign w:val="bottom"/>
            <w:shd w:val="clear" w:color="auto" w:fill="1D2758"/>
          </w:tcPr>
          <w:p>
            <w:pPr>
              <w:spacing w:after="0"/>
              <w:rPr>
                <w:sz w:val="18"/>
                <w:szCs w:val="18"/>
                <w:color w:val="auto"/>
              </w:rPr>
            </w:pPr>
          </w:p>
        </w:tc>
        <w:tc>
          <w:tcPr>
            <w:tcW w:w="1340" w:type="dxa"/>
            <w:vAlign w:val="bottom"/>
            <w:gridSpan w:val="2"/>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years</w:t>
            </w:r>
          </w:p>
        </w:tc>
        <w:tc>
          <w:tcPr>
            <w:tcW w:w="16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years</w:t>
            </w:r>
          </w:p>
        </w:tc>
        <w:tc>
          <w:tcPr>
            <w:tcW w:w="0" w:type="dxa"/>
            <w:vAlign w:val="bottom"/>
          </w:tcPr>
          <w:p>
            <w:pPr>
              <w:spacing w:after="0"/>
              <w:rPr>
                <w:sz w:val="1"/>
                <w:szCs w:val="1"/>
                <w:color w:val="auto"/>
              </w:rPr>
            </w:pPr>
          </w:p>
        </w:tc>
      </w:tr>
      <w:tr>
        <w:trPr>
          <w:trHeight w:val="162"/>
        </w:trPr>
        <w:tc>
          <w:tcPr>
            <w:tcW w:w="41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Long-term indebtedness, including current portion and</w:t>
            </w:r>
          </w:p>
        </w:tc>
        <w:tc>
          <w:tcPr>
            <w:tcW w:w="300" w:type="dxa"/>
            <w:vAlign w:val="bottom"/>
            <w:vMerge w:val="restart"/>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3,061,836</w:t>
            </w:r>
          </w:p>
        </w:tc>
        <w:tc>
          <w:tcPr>
            <w:tcW w:w="100" w:type="dxa"/>
            <w:vAlign w:val="bottom"/>
            <w:shd w:val="clear" w:color="auto" w:fill="E7E7E8"/>
          </w:tcPr>
          <w:p>
            <w:pPr>
              <w:spacing w:after="0"/>
              <w:rPr>
                <w:sz w:val="14"/>
                <w:szCs w:val="14"/>
                <w:color w:val="auto"/>
              </w:rPr>
            </w:pPr>
          </w:p>
        </w:tc>
        <w:tc>
          <w:tcPr>
            <w:tcW w:w="40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90,565</w:t>
            </w:r>
          </w:p>
        </w:tc>
        <w:tc>
          <w:tcPr>
            <w:tcW w:w="80" w:type="dxa"/>
            <w:vAlign w:val="bottom"/>
            <w:shd w:val="clear" w:color="auto" w:fill="E7E7E8"/>
          </w:tcPr>
          <w:p>
            <w:pPr>
              <w:spacing w:after="0"/>
              <w:rPr>
                <w:sz w:val="14"/>
                <w:szCs w:val="14"/>
                <w:color w:val="auto"/>
              </w:rPr>
            </w:pPr>
          </w:p>
        </w:tc>
        <w:tc>
          <w:tcPr>
            <w:tcW w:w="300" w:type="dxa"/>
            <w:vAlign w:val="bottom"/>
            <w:vMerge w:val="restart"/>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181,131</w:t>
            </w:r>
          </w:p>
        </w:tc>
        <w:tc>
          <w:tcPr>
            <w:tcW w:w="100" w:type="dxa"/>
            <w:vAlign w:val="bottom"/>
            <w:shd w:val="clear" w:color="auto" w:fill="E7E7E8"/>
          </w:tcPr>
          <w:p>
            <w:pPr>
              <w:spacing w:after="0"/>
              <w:rPr>
                <w:sz w:val="14"/>
                <w:szCs w:val="14"/>
                <w:color w:val="auto"/>
              </w:rPr>
            </w:pPr>
          </w:p>
        </w:tc>
        <w:tc>
          <w:tcPr>
            <w:tcW w:w="1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2,154,937</w:t>
            </w:r>
          </w:p>
        </w:tc>
        <w:tc>
          <w:tcPr>
            <w:tcW w:w="100" w:type="dxa"/>
            <w:vAlign w:val="bottom"/>
            <w:shd w:val="clear" w:color="auto" w:fill="E7E7E8"/>
          </w:tcPr>
          <w:p>
            <w:pPr>
              <w:spacing w:after="0"/>
              <w:rPr>
                <w:sz w:val="14"/>
                <w:szCs w:val="14"/>
                <w:color w:val="auto"/>
              </w:rPr>
            </w:pP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635,203</w:t>
            </w:r>
          </w:p>
        </w:tc>
        <w:tc>
          <w:tcPr>
            <w:tcW w:w="0" w:type="dxa"/>
            <w:vAlign w:val="bottom"/>
          </w:tcPr>
          <w:p>
            <w:pPr>
              <w:spacing w:after="0"/>
              <w:rPr>
                <w:sz w:val="1"/>
                <w:szCs w:val="1"/>
                <w:color w:val="auto"/>
              </w:rPr>
            </w:pPr>
          </w:p>
        </w:tc>
      </w:tr>
      <w:tr>
        <w:trPr>
          <w:trHeight w:val="21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(a)(b)</w:t>
            </w:r>
          </w:p>
        </w:tc>
        <w:tc>
          <w:tcPr>
            <w:tcW w:w="300" w:type="dxa"/>
            <w:vAlign w:val="bottom"/>
            <w:vMerge w:val="continue"/>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vMerge w:val="continue"/>
            <w:shd w:val="clear" w:color="auto" w:fill="E7E7E8"/>
          </w:tcPr>
          <w:p>
            <w:pPr>
              <w:spacing w:after="0"/>
              <w:rPr>
                <w:sz w:val="18"/>
                <w:szCs w:val="18"/>
                <w:color w:val="auto"/>
              </w:rPr>
            </w:pPr>
          </w:p>
        </w:tc>
        <w:tc>
          <w:tcPr>
            <w:tcW w:w="940" w:type="dxa"/>
            <w:vAlign w:val="bottom"/>
            <w:vMerge w:val="continue"/>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300" w:type="dxa"/>
            <w:vAlign w:val="bottom"/>
            <w:vMerge w:val="continue"/>
            <w:shd w:val="clear" w:color="auto" w:fill="E7E7E8"/>
          </w:tcPr>
          <w:p>
            <w:pPr>
              <w:spacing w:after="0"/>
              <w:rPr>
                <w:sz w:val="18"/>
                <w:szCs w:val="18"/>
                <w:color w:val="auto"/>
              </w:rPr>
            </w:pPr>
          </w:p>
        </w:tc>
        <w:tc>
          <w:tcPr>
            <w:tcW w:w="104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0" w:type="dxa"/>
            <w:vAlign w:val="bottom"/>
            <w:vMerge w:val="continue"/>
            <w:shd w:val="clear" w:color="auto" w:fill="E7E7E8"/>
          </w:tcPr>
          <w:p>
            <w:pPr>
              <w:spacing w:after="0"/>
              <w:rPr>
                <w:sz w:val="18"/>
                <w:szCs w:val="18"/>
                <w:color w:val="auto"/>
              </w:rPr>
            </w:pPr>
          </w:p>
        </w:tc>
        <w:tc>
          <w:tcPr>
            <w:tcW w:w="124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118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284,364</w:t>
            </w:r>
          </w:p>
        </w:tc>
        <w:tc>
          <w:tcPr>
            <w:tcW w:w="100" w:type="dxa"/>
            <w:vAlign w:val="bottom"/>
            <w:tcBorders>
              <w:bottom w:val="single" w:sz="8" w:color="E7E7E8"/>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56,759</w:t>
            </w:r>
          </w:p>
        </w:tc>
        <w:tc>
          <w:tcPr>
            <w:tcW w:w="8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93,526</w:t>
            </w:r>
          </w:p>
        </w:tc>
        <w:tc>
          <w:tcPr>
            <w:tcW w:w="100" w:type="dxa"/>
            <w:vAlign w:val="bottom"/>
            <w:tcBorders>
              <w:bottom w:val="single" w:sz="8" w:color="E7E7E8"/>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61,604</w:t>
            </w:r>
          </w:p>
        </w:tc>
        <w:tc>
          <w:tcPr>
            <w:tcW w:w="100" w:type="dxa"/>
            <w:vAlign w:val="bottom"/>
            <w:tcBorders>
              <w:bottom w:val="single" w:sz="8" w:color="E7E7E8"/>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72,475</w:t>
            </w:r>
          </w:p>
        </w:tc>
        <w:tc>
          <w:tcPr>
            <w:tcW w:w="0" w:type="dxa"/>
            <w:vAlign w:val="bottom"/>
          </w:tcPr>
          <w:p>
            <w:pPr>
              <w:spacing w:after="0"/>
              <w:rPr>
                <w:sz w:val="1"/>
                <w:szCs w:val="1"/>
                <w:color w:val="auto"/>
              </w:rPr>
            </w:pPr>
          </w:p>
        </w:tc>
      </w:tr>
      <w:tr>
        <w:trPr>
          <w:trHeight w:val="235"/>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3,346,200</w:t>
            </w:r>
          </w:p>
        </w:tc>
        <w:tc>
          <w:tcPr>
            <w:tcW w:w="100" w:type="dxa"/>
            <w:vAlign w:val="bottom"/>
            <w:tcBorders>
              <w:bottom w:val="single" w:sz="8" w:color="E7E7E8"/>
            </w:tcBorders>
            <w:shd w:val="clear" w:color="auto" w:fill="E7E7E8"/>
          </w:tcPr>
          <w:p>
            <w:pPr>
              <w:spacing w:after="0"/>
              <w:rPr>
                <w:sz w:val="19"/>
                <w:szCs w:val="19"/>
                <w:color w:val="auto"/>
              </w:rPr>
            </w:pPr>
          </w:p>
        </w:tc>
        <w:tc>
          <w:tcPr>
            <w:tcW w:w="4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147,324</w:t>
            </w:r>
          </w:p>
        </w:tc>
        <w:tc>
          <w:tcPr>
            <w:tcW w:w="80" w:type="dxa"/>
            <w:vAlign w:val="bottom"/>
            <w:tcBorders>
              <w:bottom w:val="single" w:sz="8" w:color="E7E7E8"/>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274,657</w:t>
            </w:r>
          </w:p>
        </w:tc>
        <w:tc>
          <w:tcPr>
            <w:tcW w:w="100" w:type="dxa"/>
            <w:vAlign w:val="bottom"/>
            <w:tcBorders>
              <w:bottom w:val="single" w:sz="8" w:color="E7E7E8"/>
            </w:tcBorders>
            <w:shd w:val="clear" w:color="auto" w:fill="E7E7E8"/>
          </w:tcPr>
          <w:p>
            <w:pPr>
              <w:spacing w:after="0"/>
              <w:rPr>
                <w:sz w:val="19"/>
                <w:szCs w:val="19"/>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2,216,541</w:t>
            </w:r>
          </w:p>
        </w:tc>
        <w:tc>
          <w:tcPr>
            <w:tcW w:w="100" w:type="dxa"/>
            <w:vAlign w:val="bottom"/>
            <w:tcBorders>
              <w:bottom w:val="single" w:sz="8" w:color="E7E7E8"/>
            </w:tcBorders>
            <w:shd w:val="clear" w:color="auto" w:fill="E7E7E8"/>
          </w:tcPr>
          <w:p>
            <w:pPr>
              <w:spacing w:after="0"/>
              <w:rPr>
                <w:sz w:val="19"/>
                <w:szCs w:val="19"/>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707,678</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Long-term indebtedness includes borrowings and interest under the 2020 ABL Facility, the Senior Secured Notes, and finance leases.</w:t>
      </w:r>
    </w:p>
    <w:p>
      <w:pPr>
        <w:spacing w:after="0" w:line="33" w:lineRule="exact"/>
        <w:rPr>
          <w:rFonts w:ascii="Arial" w:cs="Arial" w:eastAsia="Arial" w:hAnsi="Arial"/>
          <w:sz w:val="14"/>
          <w:szCs w:val="14"/>
          <w:color w:val="auto"/>
        </w:rPr>
      </w:pPr>
    </w:p>
    <w:p>
      <w:pPr>
        <w:jc w:val="both"/>
        <w:ind w:left="480" w:right="20" w:hanging="454"/>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obligations under our interest rate swap agreement that effectively convert $400 million in aggregate notional amount of variable-rate debt under the Company’s ABL Facility into fixed-rate debt. The future obligations under the interest rate swaps was calculated using the 1-month LIBOR rate as of September 30, 2020.</w:t>
      </w:r>
    </w:p>
    <w:p>
      <w:pPr>
        <w:spacing w:after="0" w:line="208"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At September 30, 2020, in addition to the above contractual obligations, the Company had $14.1 million of potential long-term tax liabilities, including interest and penalties, related to uncertain tax positions. Because of the high degree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74" w:lineRule="auto"/>
        <w:rPr>
          <w:sz w:val="20"/>
          <w:szCs w:val="20"/>
          <w:color w:val="auto"/>
        </w:rPr>
      </w:pPr>
      <w:r>
        <w:rPr>
          <w:rFonts w:ascii="Arial" w:cs="Arial" w:eastAsia="Arial" w:hAnsi="Arial"/>
          <w:sz w:val="16"/>
          <w:szCs w:val="16"/>
          <w:color w:val="auto"/>
        </w:rPr>
        <w:t>uncertainty regarding the future cash flows associated with these potential long-term tax liabilities, the Company is unable to estimate the years in which settlement will occur with the respective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color w:val="1D2758"/>
        </w:rPr>
        <w:t>Off-Balance Sheet Arrangements</w:t>
      </w:r>
    </w:p>
    <w:p>
      <w:pPr>
        <w:spacing w:after="0" w:line="6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color w:val="1D2758"/>
        </w:rPr>
        <w:t>Supplemental Pro Forma Information</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pro forma financial information has been prepared for WillScot Mobile Mini, in accordance with SEC Regulation S-X Article 11, for the three and nine months ended September 30, 2020 and 2019. These pro forma statements of operations present the historical consolidated statements of operations of WillScot Mobile Mini, giving effect to the following items as if they had occurred on January 1, 2019:</w:t>
      </w:r>
    </w:p>
    <w:p>
      <w:pPr>
        <w:spacing w:after="0" w:line="246" w:lineRule="exact"/>
        <w:rPr>
          <w:sz w:val="20"/>
          <w:szCs w:val="20"/>
          <w:color w:val="auto"/>
        </w:rPr>
      </w:pPr>
    </w:p>
    <w:p>
      <w:pPr>
        <w:ind w:left="500" w:hanging="204"/>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Merger with Mobile Mini;</w:t>
      </w:r>
    </w:p>
    <w:p>
      <w:pPr>
        <w:spacing w:after="0" w:line="59" w:lineRule="exact"/>
        <w:rPr>
          <w:rFonts w:ascii="Arial" w:cs="Arial" w:eastAsia="Arial" w:hAnsi="Arial"/>
          <w:sz w:val="16"/>
          <w:szCs w:val="16"/>
          <w:color w:val="auto"/>
        </w:rPr>
      </w:pPr>
    </w:p>
    <w:p>
      <w:pPr>
        <w:ind w:left="500" w:hanging="24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borrowings under the Company’s 2025 Secured Notes and the 2020 ABL Facility;</w:t>
      </w:r>
    </w:p>
    <w:p>
      <w:pPr>
        <w:spacing w:after="0" w:line="59" w:lineRule="exact"/>
        <w:rPr>
          <w:rFonts w:ascii="Arial" w:cs="Arial" w:eastAsia="Arial" w:hAnsi="Arial"/>
          <w:sz w:val="16"/>
          <w:szCs w:val="16"/>
          <w:color w:val="auto"/>
        </w:rPr>
      </w:pPr>
    </w:p>
    <w:p>
      <w:pPr>
        <w:ind w:left="540" w:hanging="280"/>
        <w:spacing w:after="0"/>
        <w:tabs>
          <w:tab w:leader="none" w:pos="540" w:val="left"/>
        </w:tabs>
        <w:numPr>
          <w:ilvl w:val="2"/>
          <w:numId w:val="15"/>
        </w:numPr>
        <w:rPr>
          <w:rFonts w:ascii="Arial" w:cs="Arial" w:eastAsia="Arial" w:hAnsi="Arial"/>
          <w:sz w:val="16"/>
          <w:szCs w:val="16"/>
          <w:color w:val="auto"/>
        </w:rPr>
      </w:pPr>
      <w:r>
        <w:rPr>
          <w:rFonts w:ascii="Arial" w:cs="Arial" w:eastAsia="Arial" w:hAnsi="Arial"/>
          <w:sz w:val="16"/>
          <w:szCs w:val="16"/>
          <w:color w:val="auto"/>
        </w:rPr>
        <w:t>extinguishment of the Mobile Mini line of credit and senior notes assumed in the Merger and subsequently repaid;</w:t>
      </w:r>
    </w:p>
    <w:p>
      <w:pPr>
        <w:spacing w:after="0" w:line="59" w:lineRule="exact"/>
        <w:rPr>
          <w:rFonts w:ascii="Arial" w:cs="Arial" w:eastAsia="Arial" w:hAnsi="Arial"/>
          <w:sz w:val="16"/>
          <w:szCs w:val="16"/>
          <w:color w:val="auto"/>
        </w:rPr>
      </w:pPr>
    </w:p>
    <w:p>
      <w:pPr>
        <w:ind w:left="500" w:hanging="275"/>
        <w:spacing w:after="0"/>
        <w:tabs>
          <w:tab w:leader="none" w:pos="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repayment of the 2017 ABL Facility and the 2022 Senior Notes repaid contemporaneously with the Merger;</w:t>
      </w:r>
    </w:p>
    <w:p>
      <w:pPr>
        <w:spacing w:after="0" w:line="59" w:lineRule="exact"/>
        <w:rPr>
          <w:rFonts w:ascii="Arial" w:cs="Arial" w:eastAsia="Arial" w:hAnsi="Arial"/>
          <w:sz w:val="16"/>
          <w:szCs w:val="16"/>
          <w:color w:val="auto"/>
        </w:rPr>
      </w:pPr>
    </w:p>
    <w:p>
      <w:pPr>
        <w:ind w:left="460" w:hanging="245"/>
        <w:spacing w:after="0"/>
        <w:tabs>
          <w:tab w:leader="none" w:pos="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transaction costs incurred in connection with the Merger, and</w:t>
      </w:r>
    </w:p>
    <w:p>
      <w:pPr>
        <w:spacing w:after="0" w:line="59" w:lineRule="exact"/>
        <w:rPr>
          <w:rFonts w:ascii="Arial" w:cs="Arial" w:eastAsia="Arial" w:hAnsi="Arial"/>
          <w:sz w:val="16"/>
          <w:szCs w:val="16"/>
          <w:color w:val="auto"/>
        </w:rPr>
      </w:pPr>
    </w:p>
    <w:p>
      <w:pPr>
        <w:ind w:left="500" w:hanging="285"/>
        <w:spacing w:after="0"/>
        <w:tabs>
          <w:tab w:leader="none" w:pos="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elimination of non-controlling interest in connection with the Sapphire Exchange as contemplated by the Merger.</w:t>
      </w:r>
    </w:p>
    <w:p>
      <w:pPr>
        <w:spacing w:after="0" w:line="24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actually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condensed consolidated financial statements and related notes of the Company included elsewhere in this Form 10-Q. All pro forma adjustments and their underlying assumptions are described more fully in the notes below.</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Accounting Policies</w:t>
      </w:r>
    </w:p>
    <w:p>
      <w:pPr>
        <w:spacing w:after="0" w:line="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During the preparation of these pro forma condensed combined financial statements, we assessed whether there were any material differences between the Company’s accounting policies and Mobile Mini’s accounting policies. The assessment performed did not identify any material differences and, as such, these pro forma condensed combined financial statements do not adjust for or assume any differences in accounting policies between WillScot and Mobile Mini.</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Presentation</w:t>
      </w:r>
    </w:p>
    <w:p>
      <w:pPr>
        <w:spacing w:after="0" w:line="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pro forma condensed combined financial information and associated notes are based on the historical financial statements of WillScot and Mobile Mini as described below. In preparing the pro forma condensed combined statements of operations for the three and nine months ended September 30, 2020 and 2019, certain historical financial information for Mobile Mini was reclassified to align to the reporting classifications of WillScot.</w:t>
      </w:r>
    </w:p>
    <w:p>
      <w:pPr>
        <w:spacing w:after="0" w:line="19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pro forma condensed combined statements of operations for the three and nine months ended September 30, 2019, are based on, derived from, and should be read in conjunction with, WillScot’s historical financial statements as set forth in WillScot Mini Holdings' Form 10-Q for the three and nine months ended September 30, 2019 (the “WillScot 10-Q”). The aforementioned pro forma financial statements are also based on, derived from, and should be read in conjunction with Mobile Mini Inc.'s historical financial statements as set forth in the Form 10-Q for the three and nine months ended September 30, 2019. The pro forma condensed combined statement of operations for the three and nine months ended September 30, 2020 are based on, derived from, and should be read in conjunction with, WillScot’s historical financial statements as set forth in WillScot Mobile Mini Holdings' Form 10-Q for the three and nine months ended September 30, 2020. The aforementioned pro forma financial statements are also based on, derived from, and should be read in conjunction with Mobile Mini’s historical financial statements as set forth in the Form 8-K filed by WillScot Mobile Mini on August 10, 2020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4400" w:type="dxa"/>
            <w:vAlign w:val="bottom"/>
            <w:gridSpan w:val="6"/>
            <w:shd w:val="clear" w:color="auto" w:fill="1D2758"/>
          </w:tcPr>
          <w:p>
            <w:pPr>
              <w:jc w:val="center"/>
              <w:ind w:left="679"/>
              <w:spacing w:after="0"/>
              <w:rPr>
                <w:sz w:val="20"/>
                <w:szCs w:val="20"/>
                <w:color w:val="auto"/>
              </w:rPr>
            </w:pPr>
            <w:r>
              <w:rPr>
                <w:rFonts w:ascii="Arial" w:cs="Arial" w:eastAsia="Arial" w:hAnsi="Arial"/>
                <w:sz w:val="16"/>
                <w:szCs w:val="16"/>
                <w:b w:val="1"/>
                <w:bCs w:val="1"/>
                <w:color w:val="FFFFFF"/>
              </w:rPr>
              <w:t>Three Months Ended September 30, 2020</w:t>
            </w:r>
          </w:p>
        </w:tc>
        <w:tc>
          <w:tcPr>
            <w:tcW w:w="9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1D2758"/>
          </w:tcPr>
          <w:p>
            <w:pPr>
              <w:spacing w:after="0"/>
              <w:rPr>
                <w:sz w:val="14"/>
                <w:szCs w:val="14"/>
                <w:color w:val="auto"/>
              </w:rPr>
            </w:pPr>
          </w:p>
        </w:tc>
        <w:tc>
          <w:tcPr>
            <w:tcW w:w="1700" w:type="dxa"/>
            <w:vAlign w:val="bottom"/>
            <w:gridSpan w:val="2"/>
            <w:shd w:val="clear" w:color="auto" w:fill="1D2758"/>
          </w:tcPr>
          <w:p>
            <w:pPr>
              <w:jc w:val="center"/>
              <w:ind w:right="120"/>
              <w:spacing w:after="0" w:line="162" w:lineRule="exact"/>
              <w:rPr>
                <w:sz w:val="20"/>
                <w:szCs w:val="20"/>
                <w:color w:val="auto"/>
              </w:rPr>
            </w:pPr>
            <w:r>
              <w:rPr>
                <w:rFonts w:ascii="Arial" w:cs="Arial" w:eastAsia="Arial" w:hAnsi="Arial"/>
                <w:sz w:val="16"/>
                <w:szCs w:val="16"/>
                <w:b w:val="1"/>
                <w:bCs w:val="1"/>
                <w:color w:val="FFFFFF"/>
              </w:rPr>
              <w:t>WillScot Mobile Mini</w:t>
            </w:r>
          </w:p>
        </w:tc>
        <w:tc>
          <w:tcPr>
            <w:tcW w:w="260" w:type="dxa"/>
            <w:vAlign w:val="bottom"/>
            <w:shd w:val="clear" w:color="auto" w:fill="1D2758"/>
          </w:tcPr>
          <w:p>
            <w:pPr>
              <w:spacing w:after="0"/>
              <w:rPr>
                <w:sz w:val="14"/>
                <w:szCs w:val="14"/>
                <w:color w:val="auto"/>
              </w:rPr>
            </w:pPr>
          </w:p>
        </w:tc>
        <w:tc>
          <w:tcPr>
            <w:tcW w:w="1600" w:type="dxa"/>
            <w:vAlign w:val="bottom"/>
            <w:gridSpan w:val="2"/>
            <w:shd w:val="clear" w:color="auto" w:fill="1D2758"/>
          </w:tcPr>
          <w:p>
            <w:pPr>
              <w:jc w:val="center"/>
              <w:ind w:right="360"/>
              <w:spacing w:after="0" w:line="162" w:lineRule="exact"/>
              <w:rPr>
                <w:sz w:val="20"/>
                <w:szCs w:val="20"/>
                <w:color w:val="auto"/>
              </w:rPr>
            </w:pPr>
            <w:r>
              <w:rPr>
                <w:rFonts w:ascii="Arial" w:cs="Arial" w:eastAsia="Arial" w:hAnsi="Arial"/>
                <w:sz w:val="16"/>
                <w:szCs w:val="16"/>
                <w:b w:val="1"/>
                <w:bCs w:val="1"/>
                <w:color w:val="FFFFFF"/>
                <w:w w:val="99"/>
              </w:rPr>
              <w:t>Pro Forma</w:t>
            </w:r>
          </w:p>
        </w:tc>
        <w:tc>
          <w:tcPr>
            <w:tcW w:w="840" w:type="dxa"/>
            <w:vAlign w:val="bottom"/>
            <w:shd w:val="clear" w:color="auto" w:fill="1D2758"/>
          </w:tcPr>
          <w:p>
            <w:pPr>
              <w:spacing w:after="0"/>
              <w:rPr>
                <w:sz w:val="14"/>
                <w:szCs w:val="14"/>
                <w:color w:val="auto"/>
              </w:rPr>
            </w:pPr>
          </w:p>
        </w:tc>
        <w:tc>
          <w:tcPr>
            <w:tcW w:w="9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820" w:type="dxa"/>
            <w:vAlign w:val="bottom"/>
            <w:vMerge w:val="continue"/>
            <w:shd w:val="clear" w:color="auto" w:fill="1D2758"/>
          </w:tcPr>
          <w:p>
            <w:pPr>
              <w:spacing w:after="0"/>
              <w:rPr>
                <w:sz w:val="11"/>
                <w:szCs w:val="11"/>
                <w:color w:val="auto"/>
              </w:rPr>
            </w:pPr>
          </w:p>
        </w:tc>
        <w:tc>
          <w:tcPr>
            <w:tcW w:w="1820" w:type="dxa"/>
            <w:vAlign w:val="bottom"/>
            <w:gridSpan w:val="3"/>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Holdings Corporation</w:t>
            </w:r>
          </w:p>
        </w:tc>
        <w:tc>
          <w:tcPr>
            <w:tcW w:w="260" w:type="dxa"/>
            <w:vAlign w:val="bottom"/>
            <w:shd w:val="clear" w:color="auto" w:fill="1D2758"/>
          </w:tcPr>
          <w:p>
            <w:pPr>
              <w:spacing w:after="0"/>
              <w:rPr>
                <w:sz w:val="11"/>
                <w:szCs w:val="11"/>
                <w:color w:val="auto"/>
              </w:rPr>
            </w:pPr>
          </w:p>
        </w:tc>
        <w:tc>
          <w:tcPr>
            <w:tcW w:w="1600" w:type="dxa"/>
            <w:vAlign w:val="bottom"/>
            <w:gridSpan w:val="2"/>
            <w:vMerge w:val="restart"/>
            <w:shd w:val="clear" w:color="auto" w:fill="1D2758"/>
          </w:tcPr>
          <w:p>
            <w:pPr>
              <w:jc w:val="center"/>
              <w:ind w:right="360"/>
              <w:spacing w:after="0"/>
              <w:rPr>
                <w:sz w:val="20"/>
                <w:szCs w:val="20"/>
                <w:color w:val="auto"/>
              </w:rPr>
            </w:pPr>
            <w:r>
              <w:rPr>
                <w:rFonts w:ascii="Arial" w:cs="Arial" w:eastAsia="Arial" w:hAnsi="Arial"/>
                <w:sz w:val="16"/>
                <w:szCs w:val="16"/>
                <w:b w:val="1"/>
                <w:bCs w:val="1"/>
                <w:color w:val="FFFFFF"/>
              </w:rPr>
              <w:t>Adjustments</w:t>
            </w:r>
          </w:p>
        </w:tc>
        <w:tc>
          <w:tcPr>
            <w:tcW w:w="1740" w:type="dxa"/>
            <w:vAlign w:val="bottom"/>
            <w:gridSpan w:val="2"/>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Pro Forma Combined</w:t>
            </w:r>
          </w:p>
        </w:tc>
        <w:tc>
          <w:tcPr>
            <w:tcW w:w="0" w:type="dxa"/>
            <w:vAlign w:val="bottom"/>
          </w:tcPr>
          <w:p>
            <w:pPr>
              <w:spacing w:after="0"/>
              <w:rPr>
                <w:sz w:val="1"/>
                <w:szCs w:val="1"/>
                <w:color w:val="auto"/>
              </w:rPr>
            </w:pPr>
          </w:p>
        </w:tc>
      </w:tr>
      <w:tr>
        <w:trPr>
          <w:trHeight w:val="88"/>
        </w:trPr>
        <w:tc>
          <w:tcPr>
            <w:tcW w:w="5820" w:type="dxa"/>
            <w:vAlign w:val="bottom"/>
            <w:shd w:val="clear" w:color="auto" w:fill="1D2758"/>
          </w:tcPr>
          <w:p>
            <w:pPr>
              <w:spacing w:after="0"/>
              <w:rPr>
                <w:sz w:val="7"/>
                <w:szCs w:val="7"/>
                <w:color w:val="auto"/>
              </w:rPr>
            </w:pPr>
          </w:p>
        </w:tc>
        <w:tc>
          <w:tcPr>
            <w:tcW w:w="1820" w:type="dxa"/>
            <w:vAlign w:val="bottom"/>
            <w:gridSpan w:val="3"/>
            <w:vMerge w:val="continue"/>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600" w:type="dxa"/>
            <w:vAlign w:val="bottom"/>
            <w:gridSpan w:val="2"/>
            <w:vMerge w:val="continue"/>
            <w:shd w:val="clear" w:color="auto" w:fill="1D2758"/>
          </w:tcPr>
          <w:p>
            <w:pPr>
              <w:spacing w:after="0"/>
              <w:rPr>
                <w:sz w:val="7"/>
                <w:szCs w:val="7"/>
                <w:color w:val="auto"/>
              </w:rPr>
            </w:pPr>
          </w:p>
        </w:tc>
        <w:tc>
          <w:tcPr>
            <w:tcW w:w="174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300,082</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6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300,082</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84,694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84,694</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19,360</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13,179</w:t>
            </w:r>
          </w:p>
        </w:tc>
        <w:tc>
          <w:tcPr>
            <w:tcW w:w="0" w:type="dxa"/>
            <w:vAlign w:val="bottom"/>
          </w:tcPr>
          <w:p>
            <w:pPr>
              <w:spacing w:after="0"/>
              <w:rPr>
                <w:sz w:val="1"/>
                <w:szCs w:val="1"/>
                <w:color w:val="auto"/>
              </w:rPr>
            </w:pPr>
          </w:p>
        </w:tc>
      </w:tr>
      <w:tr>
        <w:trPr>
          <w:trHeight w:val="209"/>
        </w:trPr>
        <w:tc>
          <w:tcPr>
            <w:tcW w:w="582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417,315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417,315</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64,788</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64,788</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66,354</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12,935</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8,837</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Depreciation of rental equipment (b)</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10"/>
        </w:trPr>
        <w:tc>
          <w:tcPr>
            <w:tcW w:w="582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shd w:val="clear" w:color="auto" w:fill="E7E7E8"/>
          </w:tcPr>
          <w:p>
            <w:pPr>
              <w:spacing w:after="0"/>
              <w:rPr>
                <w:sz w:val="18"/>
                <w:szCs w:val="18"/>
                <w:color w:val="auto"/>
              </w:rPr>
            </w:pPr>
          </w:p>
        </w:tc>
        <w:tc>
          <w:tcPr>
            <w:tcW w:w="16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209,564</w:t>
            </w:r>
          </w:p>
        </w:tc>
        <w:tc>
          <w:tcPr>
            <w:tcW w:w="100" w:type="dxa"/>
            <w:vAlign w:val="bottom"/>
            <w:tcBorders>
              <w:top w:val="single" w:sz="8" w:color="E7E7E8"/>
            </w:tcBorders>
            <w:shd w:val="clear" w:color="auto" w:fill="E7E7E8"/>
          </w:tcPr>
          <w:p>
            <w:pPr>
              <w:spacing w:after="0"/>
              <w:rPr>
                <w:sz w:val="18"/>
                <w:szCs w:val="18"/>
                <w:color w:val="auto"/>
              </w:rPr>
            </w:pPr>
          </w:p>
        </w:tc>
        <w:tc>
          <w:tcPr>
            <w:tcW w:w="260" w:type="dxa"/>
            <w:vAlign w:val="bottom"/>
            <w:tcBorders>
              <w:top w:val="single" w:sz="8" w:color="auto"/>
            </w:tcBorders>
            <w:shd w:val="clear" w:color="auto" w:fill="E7E7E8"/>
          </w:tcPr>
          <w:p>
            <w:pPr>
              <w:spacing w:after="0"/>
              <w:rPr>
                <w:sz w:val="18"/>
                <w:szCs w:val="18"/>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7E7E8"/>
            </w:tcBorders>
            <w:shd w:val="clear" w:color="auto" w:fill="E7E7E8"/>
          </w:tcPr>
          <w:p>
            <w:pPr>
              <w:spacing w:after="0"/>
              <w:rPr>
                <w:sz w:val="18"/>
                <w:szCs w:val="18"/>
                <w:color w:val="auto"/>
              </w:rPr>
            </w:pPr>
          </w:p>
        </w:tc>
        <w:tc>
          <w:tcPr>
            <w:tcW w:w="840" w:type="dxa"/>
            <w:vAlign w:val="bottom"/>
            <w:tcBorders>
              <w:top w:val="single" w:sz="8" w:color="auto"/>
            </w:tcBorders>
            <w:shd w:val="clear" w:color="auto" w:fill="E7E7E8"/>
          </w:tcPr>
          <w:p>
            <w:pPr>
              <w:spacing w:after="0"/>
              <w:rPr>
                <w:sz w:val="18"/>
                <w:szCs w:val="18"/>
                <w:color w:val="auto"/>
              </w:rPr>
            </w:pPr>
          </w:p>
        </w:tc>
        <w:tc>
          <w:tcPr>
            <w:tcW w:w="9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209,564</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112,079</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112,079</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Merger transaction costs (a)</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 (c)</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16,867</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16,867</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3,854</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3,854</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0"/>
        </w:trPr>
        <w:tc>
          <w:tcPr>
            <w:tcW w:w="582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52,191</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77,203</w:t>
            </w:r>
          </w:p>
        </w:tc>
        <w:tc>
          <w:tcPr>
            <w:tcW w:w="0" w:type="dxa"/>
            <w:vAlign w:val="bottom"/>
          </w:tcPr>
          <w:p>
            <w:pPr>
              <w:spacing w:after="0"/>
              <w:rPr>
                <w:sz w:val="1"/>
                <w:szCs w:val="1"/>
                <w:color w:val="auto"/>
              </w:rPr>
            </w:pPr>
          </w:p>
        </w:tc>
      </w:tr>
      <w:tr>
        <w:trPr>
          <w:trHeight w:val="21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 (d)</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33,034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Loss on extinguishment of debt (e)</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E7E7E8"/>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Income (loss) from operations before income tax</w:t>
            </w:r>
          </w:p>
        </w:tc>
        <w:tc>
          <w:tcPr>
            <w:tcW w:w="120" w:type="dxa"/>
            <w:vAlign w:val="bottom"/>
            <w:shd w:val="clear" w:color="auto" w:fill="E7E7E8"/>
          </w:tcPr>
          <w:p>
            <w:pPr>
              <w:spacing w:after="0"/>
              <w:rPr>
                <w:sz w:val="18"/>
                <w:szCs w:val="18"/>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(50,423)</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94,592</w:t>
            </w:r>
          </w:p>
        </w:tc>
        <w:tc>
          <w:tcPr>
            <w:tcW w:w="1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44,169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 expense (f)</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(66,675)</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72,971</w:t>
            </w:r>
          </w:p>
        </w:tc>
        <w:tc>
          <w:tcPr>
            <w:tcW w:w="100" w:type="dxa"/>
            <w:vAlign w:val="bottom"/>
            <w:tcBorders>
              <w:bottom w:val="single" w:sz="8" w:color="E7E7E8"/>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6,296</w:t>
            </w:r>
          </w:p>
        </w:tc>
        <w:tc>
          <w:tcPr>
            <w:tcW w:w="0" w:type="dxa"/>
            <w:vAlign w:val="bottom"/>
          </w:tcPr>
          <w:p>
            <w:pPr>
              <w:spacing w:after="0"/>
              <w:rPr>
                <w:sz w:val="1"/>
                <w:szCs w:val="1"/>
                <w:color w:val="auto"/>
              </w:rPr>
            </w:pPr>
          </w:p>
        </w:tc>
      </w:tr>
      <w:tr>
        <w:trPr>
          <w:trHeight w:val="235"/>
        </w:trPr>
        <w:tc>
          <w:tcPr>
            <w:tcW w:w="582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16,252</w:t>
            </w:r>
          </w:p>
        </w:tc>
        <w:tc>
          <w:tcPr>
            <w:tcW w:w="10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21,621</w:t>
            </w:r>
          </w:p>
        </w:tc>
        <w:tc>
          <w:tcPr>
            <w:tcW w:w="100" w:type="dxa"/>
            <w:vAlign w:val="bottom"/>
            <w:tcBorders>
              <w:bottom w:val="single" w:sz="8" w:color="E7E7E8"/>
            </w:tcBorders>
            <w:shd w:val="clear" w:color="auto" w:fill="E7E7E8"/>
          </w:tcPr>
          <w:p>
            <w:pPr>
              <w:spacing w:after="0"/>
              <w:rPr>
                <w:sz w:val="19"/>
                <w:szCs w:val="19"/>
                <w:color w:val="auto"/>
              </w:rPr>
            </w:pPr>
          </w:p>
        </w:tc>
        <w:tc>
          <w:tcPr>
            <w:tcW w:w="840" w:type="dxa"/>
            <w:vAlign w:val="bottom"/>
            <w:tcBorders>
              <w:bottom w:val="single" w:sz="8" w:color="auto"/>
            </w:tcBorders>
            <w:shd w:val="clear" w:color="auto" w:fill="E7E7E8"/>
          </w:tcPr>
          <w:p>
            <w:pPr>
              <w:jc w:val="right"/>
              <w:ind w:right="6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37,873</w:t>
            </w:r>
          </w:p>
        </w:tc>
        <w:tc>
          <w:tcPr>
            <w:tcW w:w="0" w:type="dxa"/>
            <w:vAlign w:val="bottom"/>
          </w:tcPr>
          <w:p>
            <w:pPr>
              <w:spacing w:after="0"/>
              <w:rPr>
                <w:sz w:val="1"/>
                <w:szCs w:val="1"/>
                <w:color w:val="auto"/>
              </w:rPr>
            </w:pPr>
          </w:p>
        </w:tc>
      </w:tr>
      <w:tr>
        <w:trPr>
          <w:trHeight w:val="20"/>
        </w:trPr>
        <w:tc>
          <w:tcPr>
            <w:tcW w:w="58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84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3400" w:type="dxa"/>
            <w:vAlign w:val="bottom"/>
            <w:gridSpan w:val="7"/>
            <w:shd w:val="clear" w:color="auto" w:fill="1D2758"/>
          </w:tcPr>
          <w:p>
            <w:pPr>
              <w:ind w:left="20"/>
              <w:spacing w:after="0"/>
              <w:rPr>
                <w:sz w:val="20"/>
                <w:szCs w:val="20"/>
                <w:color w:val="auto"/>
              </w:rPr>
            </w:pPr>
            <w:r>
              <w:rPr>
                <w:rFonts w:ascii="Arial" w:cs="Arial" w:eastAsia="Arial" w:hAnsi="Arial"/>
                <w:sz w:val="16"/>
                <w:szCs w:val="16"/>
                <w:b w:val="1"/>
                <w:bCs w:val="1"/>
                <w:color w:val="FFFFFF"/>
              </w:rPr>
              <w:t>Three Months Ended September 30, 2019</w:t>
            </w:r>
          </w:p>
        </w:tc>
        <w:tc>
          <w:tcPr>
            <w:tcW w:w="200" w:type="dxa"/>
            <w:vAlign w:val="bottom"/>
            <w:shd w:val="clear" w:color="auto" w:fill="1D2758"/>
          </w:tcPr>
          <w:p>
            <w:pPr>
              <w:spacing w:after="0"/>
              <w:rPr>
                <w:sz w:val="18"/>
                <w:szCs w:val="18"/>
                <w:color w:val="auto"/>
              </w:rPr>
            </w:pPr>
          </w:p>
        </w:tc>
        <w:tc>
          <w:tcPr>
            <w:tcW w:w="12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10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80" w:type="dxa"/>
            <w:vAlign w:val="bottom"/>
            <w:gridSpan w:val="2"/>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Historical Mobile</w:t>
            </w:r>
          </w:p>
        </w:tc>
        <w:tc>
          <w:tcPr>
            <w:tcW w:w="180" w:type="dxa"/>
            <w:vAlign w:val="bottom"/>
            <w:shd w:val="clear" w:color="auto" w:fill="1D2758"/>
          </w:tcPr>
          <w:p>
            <w:pPr>
              <w:spacing w:after="0"/>
              <w:rPr>
                <w:sz w:val="14"/>
                <w:szCs w:val="14"/>
                <w:color w:val="auto"/>
              </w:rPr>
            </w:pPr>
          </w:p>
        </w:tc>
        <w:tc>
          <w:tcPr>
            <w:tcW w:w="140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w w:val="99"/>
              </w:rPr>
              <w:t>Pro Forma</w:t>
            </w:r>
          </w:p>
        </w:tc>
        <w:tc>
          <w:tcPr>
            <w:tcW w:w="200" w:type="dxa"/>
            <w:vAlign w:val="bottom"/>
            <w:shd w:val="clear" w:color="auto" w:fill="1D2758"/>
          </w:tcPr>
          <w:p>
            <w:pPr>
              <w:spacing w:after="0"/>
              <w:rPr>
                <w:sz w:val="14"/>
                <w:szCs w:val="14"/>
                <w:color w:val="auto"/>
              </w:rPr>
            </w:pPr>
          </w:p>
        </w:tc>
        <w:tc>
          <w:tcPr>
            <w:tcW w:w="124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Pro Forma</w:t>
            </w:r>
          </w:p>
        </w:tc>
        <w:tc>
          <w:tcPr>
            <w:tcW w:w="0" w:type="dxa"/>
            <w:vAlign w:val="bottom"/>
          </w:tcPr>
          <w:p>
            <w:pPr>
              <w:spacing w:after="0"/>
              <w:rPr>
                <w:sz w:val="1"/>
                <w:szCs w:val="1"/>
                <w:color w:val="auto"/>
              </w:rPr>
            </w:pPr>
          </w:p>
        </w:tc>
      </w:tr>
      <w:tr>
        <w:trPr>
          <w:trHeight w:val="162"/>
        </w:trPr>
        <w:tc>
          <w:tcPr>
            <w:tcW w:w="47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20" w:type="dxa"/>
            <w:vAlign w:val="bottom"/>
            <w:shd w:val="clear" w:color="auto" w:fill="1D2758"/>
          </w:tcPr>
          <w:p>
            <w:pPr>
              <w:spacing w:after="0"/>
              <w:rPr>
                <w:sz w:val="14"/>
                <w:szCs w:val="14"/>
                <w:color w:val="auto"/>
              </w:rPr>
            </w:pPr>
          </w:p>
        </w:tc>
        <w:tc>
          <w:tcPr>
            <w:tcW w:w="110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580" w:type="dxa"/>
            <w:vAlign w:val="bottom"/>
            <w:gridSpan w:val="2"/>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Mini (as</w:t>
            </w:r>
          </w:p>
        </w:tc>
        <w:tc>
          <w:tcPr>
            <w:tcW w:w="180" w:type="dxa"/>
            <w:vAlign w:val="bottom"/>
            <w:shd w:val="clear" w:color="auto" w:fill="1D2758"/>
          </w:tcPr>
          <w:p>
            <w:pPr>
              <w:spacing w:after="0"/>
              <w:rPr>
                <w:sz w:val="14"/>
                <w:szCs w:val="14"/>
                <w:color w:val="auto"/>
              </w:rPr>
            </w:pPr>
          </w:p>
        </w:tc>
        <w:tc>
          <w:tcPr>
            <w:tcW w:w="1400" w:type="dxa"/>
            <w:vAlign w:val="bottom"/>
            <w:gridSpan w:val="2"/>
            <w:vMerge w:val="continue"/>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2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780" w:type="dxa"/>
            <w:vAlign w:val="bottom"/>
            <w:vMerge w:val="continue"/>
            <w:shd w:val="clear" w:color="auto" w:fill="1D2758"/>
          </w:tcPr>
          <w:p>
            <w:pPr>
              <w:spacing w:after="0"/>
              <w:rPr>
                <w:sz w:val="11"/>
                <w:szCs w:val="11"/>
                <w:color w:val="auto"/>
              </w:rPr>
            </w:pPr>
          </w:p>
        </w:tc>
        <w:tc>
          <w:tcPr>
            <w:tcW w:w="1620" w:type="dxa"/>
            <w:vAlign w:val="bottom"/>
            <w:gridSpan w:val="2"/>
            <w:vMerge w:val="restart"/>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Historical WillScot</w:t>
            </w:r>
          </w:p>
        </w:tc>
        <w:tc>
          <w:tcPr>
            <w:tcW w:w="100" w:type="dxa"/>
            <w:vAlign w:val="bottom"/>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158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reclassified)</w:t>
            </w:r>
          </w:p>
        </w:tc>
        <w:tc>
          <w:tcPr>
            <w:tcW w:w="180" w:type="dxa"/>
            <w:vAlign w:val="bottom"/>
            <w:shd w:val="clear" w:color="auto" w:fill="1D2758"/>
          </w:tcPr>
          <w:p>
            <w:pPr>
              <w:spacing w:after="0"/>
              <w:rPr>
                <w:sz w:val="11"/>
                <w:szCs w:val="11"/>
                <w:color w:val="auto"/>
              </w:rPr>
            </w:pPr>
          </w:p>
        </w:tc>
        <w:tc>
          <w:tcPr>
            <w:tcW w:w="1400" w:type="dxa"/>
            <w:vAlign w:val="bottom"/>
            <w:gridSpan w:val="2"/>
            <w:vMerge w:val="restart"/>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1D2758"/>
          </w:tcPr>
          <w:p>
            <w:pPr>
              <w:spacing w:after="0"/>
              <w:rPr>
                <w:sz w:val="11"/>
                <w:szCs w:val="11"/>
                <w:color w:val="auto"/>
              </w:rPr>
            </w:pPr>
          </w:p>
        </w:tc>
        <w:tc>
          <w:tcPr>
            <w:tcW w:w="124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Combined</w:t>
            </w:r>
          </w:p>
        </w:tc>
        <w:tc>
          <w:tcPr>
            <w:tcW w:w="0" w:type="dxa"/>
            <w:vAlign w:val="bottom"/>
          </w:tcPr>
          <w:p>
            <w:pPr>
              <w:spacing w:after="0"/>
              <w:rPr>
                <w:sz w:val="1"/>
                <w:szCs w:val="1"/>
                <w:color w:val="auto"/>
              </w:rPr>
            </w:pPr>
          </w:p>
        </w:tc>
      </w:tr>
      <w:tr>
        <w:trPr>
          <w:trHeight w:val="88"/>
        </w:trPr>
        <w:tc>
          <w:tcPr>
            <w:tcW w:w="4780" w:type="dxa"/>
            <w:vAlign w:val="bottom"/>
            <w:shd w:val="clear" w:color="auto" w:fill="1D2758"/>
          </w:tcPr>
          <w:p>
            <w:pPr>
              <w:spacing w:after="0"/>
              <w:rPr>
                <w:sz w:val="7"/>
                <w:szCs w:val="7"/>
                <w:color w:val="auto"/>
              </w:rPr>
            </w:pPr>
          </w:p>
        </w:tc>
        <w:tc>
          <w:tcPr>
            <w:tcW w:w="1620" w:type="dxa"/>
            <w:vAlign w:val="bottom"/>
            <w:gridSpan w:val="2"/>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580" w:type="dxa"/>
            <w:vAlign w:val="bottom"/>
            <w:gridSpan w:val="2"/>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40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188,403</w:t>
            </w:r>
          </w:p>
        </w:tc>
        <w:tc>
          <w:tcPr>
            <w:tcW w:w="24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111,071</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299,474</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97,376</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15,495</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11,202</w:t>
            </w:r>
          </w:p>
        </w:tc>
        <w:tc>
          <w:tcPr>
            <w:tcW w:w="0" w:type="dxa"/>
            <w:vAlign w:val="bottom"/>
          </w:tcPr>
          <w:p>
            <w:pPr>
              <w:spacing w:after="0"/>
              <w:rPr>
                <w:sz w:val="1"/>
                <w:szCs w:val="1"/>
                <w:color w:val="auto"/>
              </w:rPr>
            </w:pPr>
          </w:p>
        </w:tc>
      </w:tr>
      <w:tr>
        <w:trPr>
          <w:trHeight w:val="209"/>
        </w:trPr>
        <w:tc>
          <w:tcPr>
            <w:tcW w:w="47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268,222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155,325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423,547</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58,168</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16,012</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74,180</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79,103</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7,825</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 (b)</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43,869</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8,015</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53,051</w:t>
            </w:r>
          </w:p>
        </w:tc>
        <w:tc>
          <w:tcPr>
            <w:tcW w:w="0" w:type="dxa"/>
            <w:vAlign w:val="bottom"/>
          </w:tcPr>
          <w:p>
            <w:pPr>
              <w:spacing w:after="0"/>
              <w:rPr>
                <w:sz w:val="1"/>
                <w:szCs w:val="1"/>
                <w:color w:val="auto"/>
              </w:rPr>
            </w:pPr>
          </w:p>
        </w:tc>
      </w:tr>
      <w:tr>
        <w:trPr>
          <w:trHeight w:val="209"/>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99,308</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101,148</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199,289</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64,992</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51,884</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116,876</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Other depreciation and amortization (c)</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16,456</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0"/>
        </w:trPr>
        <w:tc>
          <w:tcPr>
            <w:tcW w:w="478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520" w:type="dxa"/>
            <w:vAlign w:val="bottom"/>
            <w:tcBorders>
              <w:top w:val="single" w:sz="8" w:color="auto"/>
            </w:tcBorders>
            <w:shd w:val="clear" w:color="auto" w:fill="E7E7E8"/>
          </w:tcPr>
          <w:p>
            <w:pPr>
              <w:spacing w:after="0"/>
              <w:rPr>
                <w:sz w:val="18"/>
                <w:szCs w:val="18"/>
                <w:color w:val="auto"/>
              </w:rPr>
            </w:pP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29,782</w:t>
            </w:r>
          </w:p>
        </w:tc>
        <w:tc>
          <w:tcPr>
            <w:tcW w:w="100" w:type="dxa"/>
            <w:vAlign w:val="bottom"/>
            <w:tcBorders>
              <w:top w:val="single" w:sz="8" w:color="E7E7E8"/>
            </w:tcBorders>
            <w:shd w:val="clear" w:color="auto" w:fill="E7E7E8"/>
          </w:tcPr>
          <w:p>
            <w:pPr>
              <w:spacing w:after="0"/>
              <w:rPr>
                <w:sz w:val="18"/>
                <w:szCs w:val="18"/>
                <w:color w:val="auto"/>
              </w:rPr>
            </w:pPr>
          </w:p>
        </w:tc>
        <w:tc>
          <w:tcPr>
            <w:tcW w:w="140" w:type="dxa"/>
            <w:vAlign w:val="bottom"/>
            <w:tcBorders>
              <w:top w:val="single" w:sz="8" w:color="auto"/>
            </w:tcBorders>
            <w:shd w:val="clear" w:color="auto" w:fill="E7E7E8"/>
          </w:tcPr>
          <w:p>
            <w:pPr>
              <w:spacing w:after="0"/>
              <w:rPr>
                <w:sz w:val="18"/>
                <w:szCs w:val="18"/>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39,830</w:t>
            </w:r>
          </w:p>
        </w:tc>
        <w:tc>
          <w:tcPr>
            <w:tcW w:w="100" w:type="dxa"/>
            <w:vAlign w:val="bottom"/>
            <w:tcBorders>
              <w:top w:val="single" w:sz="8" w:color="E7E7E8"/>
            </w:tcBorders>
            <w:shd w:val="clear" w:color="auto" w:fill="E7E7E8"/>
          </w:tcPr>
          <w:p>
            <w:pPr>
              <w:spacing w:after="0"/>
              <w:rPr>
                <w:sz w:val="18"/>
                <w:szCs w:val="18"/>
                <w:color w:val="auto"/>
              </w:rPr>
            </w:pPr>
          </w:p>
        </w:tc>
        <w:tc>
          <w:tcPr>
            <w:tcW w:w="180" w:type="dxa"/>
            <w:vAlign w:val="bottom"/>
            <w:tcBorders>
              <w:top w:val="single" w:sz="8" w:color="auto"/>
            </w:tcBorders>
            <w:shd w:val="clear" w:color="auto" w:fill="E7E7E8"/>
          </w:tcPr>
          <w:p>
            <w:pPr>
              <w:spacing w:after="0"/>
              <w:rPr>
                <w:sz w:val="18"/>
                <w:szCs w:val="18"/>
                <w:color w:val="auto"/>
              </w:rPr>
            </w:pPr>
          </w:p>
        </w:tc>
        <w:tc>
          <w:tcPr>
            <w:tcW w:w="12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(4,658)</w:t>
            </w:r>
          </w:p>
        </w:tc>
        <w:tc>
          <w:tcPr>
            <w:tcW w:w="120" w:type="dxa"/>
            <w:vAlign w:val="bottom"/>
            <w:tcBorders>
              <w:top w:val="single" w:sz="8" w:color="E7E7E8"/>
            </w:tcBorders>
            <w:shd w:val="clear" w:color="auto" w:fill="E7E7E8"/>
          </w:tcPr>
          <w:p>
            <w:pPr>
              <w:spacing w:after="0"/>
              <w:rPr>
                <w:sz w:val="18"/>
                <w:szCs w:val="18"/>
                <w:color w:val="auto"/>
              </w:rPr>
            </w:pPr>
          </w:p>
        </w:tc>
        <w:tc>
          <w:tcPr>
            <w:tcW w:w="200" w:type="dxa"/>
            <w:vAlign w:val="bottom"/>
            <w:tcBorders>
              <w:top w:val="single" w:sz="8" w:color="auto"/>
            </w:tcBorders>
            <w:shd w:val="clear" w:color="auto" w:fill="E7E7E8"/>
          </w:tcPr>
          <w:p>
            <w:pPr>
              <w:spacing w:after="0"/>
              <w:rPr>
                <w:sz w:val="18"/>
                <w:szCs w:val="18"/>
                <w:color w:val="auto"/>
              </w:rPr>
            </w:pPr>
          </w:p>
        </w:tc>
        <w:tc>
          <w:tcPr>
            <w:tcW w:w="12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64,954</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Interest expense (d)</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on extinguishment of debt (e)</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6"/>
                <w:szCs w:val="16"/>
                <w:color w:val="auto"/>
              </w:rPr>
              <w:t>Income (loss) from operations before income tax</w:t>
            </w: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29,449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34,460</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 expense (f)</w:t>
            </w:r>
          </w:p>
        </w:tc>
        <w:tc>
          <w:tcPr>
            <w:tcW w:w="52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6,874</w:t>
            </w:r>
          </w:p>
        </w:tc>
        <w:tc>
          <w:tcPr>
            <w:tcW w:w="10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6"/>
                <w:szCs w:val="16"/>
                <w:color w:val="auto"/>
              </w:rPr>
              <w:t>Net income</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27,471</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80" w:type="dxa"/>
            <w:vAlign w:val="bottom"/>
          </w:tcPr>
          <w:p>
            <w:pPr>
              <w:ind w:left="440"/>
              <w:spacing w:after="0"/>
              <w:rPr>
                <w:sz w:val="20"/>
                <w:szCs w:val="20"/>
                <w:color w:val="auto"/>
              </w:rPr>
            </w:pPr>
            <w:r>
              <w:rPr>
                <w:rFonts w:ascii="Arial" w:cs="Arial" w:eastAsia="Arial" w:hAnsi="Arial"/>
                <w:sz w:val="16"/>
                <w:szCs w:val="16"/>
                <w:color w:val="auto"/>
              </w:rPr>
              <w:t>Net income attributable to WillScot Mobile Mini (g)</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22,575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27,471</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360" w:type="dxa"/>
            <w:vAlign w:val="bottom"/>
            <w:gridSpan w:val="6"/>
            <w:shd w:val="clear" w:color="auto" w:fill="1D2758"/>
          </w:tcPr>
          <w:p>
            <w:pPr>
              <w:ind w:left="100"/>
              <w:spacing w:after="0"/>
              <w:rPr>
                <w:sz w:val="20"/>
                <w:szCs w:val="20"/>
                <w:color w:val="auto"/>
              </w:rPr>
            </w:pPr>
            <w:r>
              <w:rPr>
                <w:rFonts w:ascii="Arial" w:cs="Arial" w:eastAsia="Arial" w:hAnsi="Arial"/>
                <w:sz w:val="16"/>
                <w:szCs w:val="16"/>
                <w:b w:val="1"/>
                <w:bCs w:val="1"/>
                <w:color w:val="FFFFFF"/>
              </w:rPr>
              <w:t>Nine Months Ended September 30, 2020</w:t>
            </w:r>
          </w:p>
        </w:tc>
        <w:tc>
          <w:tcPr>
            <w:tcW w:w="240" w:type="dxa"/>
            <w:vAlign w:val="bottom"/>
            <w:shd w:val="clear" w:color="auto" w:fill="1D2758"/>
          </w:tcPr>
          <w:p>
            <w:pPr>
              <w:spacing w:after="0"/>
              <w:rPr>
                <w:sz w:val="18"/>
                <w:szCs w:val="18"/>
                <w:color w:val="auto"/>
              </w:rPr>
            </w:pPr>
          </w:p>
        </w:tc>
        <w:tc>
          <w:tcPr>
            <w:tcW w:w="13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560" w:type="dxa"/>
            <w:vAlign w:val="bottom"/>
            <w:gridSpan w:val="2"/>
            <w:shd w:val="clear" w:color="auto" w:fill="1D2758"/>
          </w:tcPr>
          <w:p>
            <w:pPr>
              <w:jc w:val="center"/>
              <w:ind w:right="220"/>
              <w:spacing w:after="0" w:line="162" w:lineRule="exact"/>
              <w:rPr>
                <w:sz w:val="20"/>
                <w:szCs w:val="20"/>
                <w:color w:val="auto"/>
              </w:rPr>
            </w:pPr>
            <w:r>
              <w:rPr>
                <w:rFonts w:ascii="Arial" w:cs="Arial" w:eastAsia="Arial" w:hAnsi="Arial"/>
                <w:sz w:val="16"/>
                <w:szCs w:val="16"/>
                <w:b w:val="1"/>
                <w:bCs w:val="1"/>
                <w:color w:val="FFFFFF"/>
              </w:rPr>
              <w:t>Historical Mobile</w:t>
            </w:r>
          </w:p>
        </w:tc>
        <w:tc>
          <w:tcPr>
            <w:tcW w:w="200" w:type="dxa"/>
            <w:vAlign w:val="bottom"/>
            <w:shd w:val="clear" w:color="auto" w:fill="1D2758"/>
          </w:tcPr>
          <w:p>
            <w:pPr>
              <w:spacing w:after="0"/>
              <w:rPr>
                <w:sz w:val="14"/>
                <w:szCs w:val="14"/>
                <w:color w:val="auto"/>
              </w:rPr>
            </w:pPr>
          </w:p>
        </w:tc>
        <w:tc>
          <w:tcPr>
            <w:tcW w:w="1480" w:type="dxa"/>
            <w:vAlign w:val="bottom"/>
            <w:gridSpan w:val="2"/>
            <w:vMerge w:val="restart"/>
            <w:shd w:val="clear" w:color="auto" w:fill="1D2758"/>
          </w:tcPr>
          <w:p>
            <w:pPr>
              <w:jc w:val="center"/>
              <w:ind w:right="320"/>
              <w:spacing w:after="0"/>
              <w:rPr>
                <w:sz w:val="20"/>
                <w:szCs w:val="20"/>
                <w:color w:val="auto"/>
              </w:rPr>
            </w:pPr>
            <w:r>
              <w:rPr>
                <w:rFonts w:ascii="Arial" w:cs="Arial" w:eastAsia="Arial" w:hAnsi="Arial"/>
                <w:sz w:val="16"/>
                <w:szCs w:val="16"/>
                <w:b w:val="1"/>
                <w:bCs w:val="1"/>
                <w:color w:val="FFFFFF"/>
                <w:w w:val="99"/>
              </w:rPr>
              <w:t>Pro Forma</w:t>
            </w:r>
          </w:p>
        </w:tc>
        <w:tc>
          <w:tcPr>
            <w:tcW w:w="240" w:type="dxa"/>
            <w:vAlign w:val="bottom"/>
            <w:shd w:val="clear" w:color="auto" w:fill="1D2758"/>
          </w:tcPr>
          <w:p>
            <w:pPr>
              <w:spacing w:after="0"/>
              <w:rPr>
                <w:sz w:val="14"/>
                <w:szCs w:val="14"/>
                <w:color w:val="auto"/>
              </w:rPr>
            </w:pPr>
          </w:p>
        </w:tc>
        <w:tc>
          <w:tcPr>
            <w:tcW w:w="134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Pro Forma</w:t>
            </w:r>
          </w:p>
        </w:tc>
        <w:tc>
          <w:tcPr>
            <w:tcW w:w="0" w:type="dxa"/>
            <w:vAlign w:val="bottom"/>
          </w:tcPr>
          <w:p>
            <w:pPr>
              <w:spacing w:after="0"/>
              <w:rPr>
                <w:sz w:val="1"/>
                <w:szCs w:val="1"/>
                <w:color w:val="auto"/>
              </w:rPr>
            </w:pPr>
          </w:p>
        </w:tc>
      </w:tr>
      <w:tr>
        <w:trPr>
          <w:trHeight w:val="162"/>
        </w:trPr>
        <w:tc>
          <w:tcPr>
            <w:tcW w:w="46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0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560" w:type="dxa"/>
            <w:vAlign w:val="bottom"/>
            <w:gridSpan w:val="2"/>
            <w:shd w:val="clear" w:color="auto" w:fill="1D2758"/>
          </w:tcPr>
          <w:p>
            <w:pPr>
              <w:jc w:val="center"/>
              <w:ind w:right="220"/>
              <w:spacing w:after="0" w:line="162" w:lineRule="exact"/>
              <w:rPr>
                <w:sz w:val="20"/>
                <w:szCs w:val="20"/>
                <w:color w:val="auto"/>
              </w:rPr>
            </w:pPr>
            <w:r>
              <w:rPr>
                <w:rFonts w:ascii="Arial" w:cs="Arial" w:eastAsia="Arial" w:hAnsi="Arial"/>
                <w:sz w:val="16"/>
                <w:szCs w:val="16"/>
                <w:b w:val="1"/>
                <w:bCs w:val="1"/>
                <w:color w:val="FFFFFF"/>
              </w:rPr>
              <w:t>Mini (as</w:t>
            </w:r>
          </w:p>
        </w:tc>
        <w:tc>
          <w:tcPr>
            <w:tcW w:w="200" w:type="dxa"/>
            <w:vAlign w:val="bottom"/>
            <w:shd w:val="clear" w:color="auto" w:fill="1D2758"/>
          </w:tcPr>
          <w:p>
            <w:pPr>
              <w:spacing w:after="0"/>
              <w:rPr>
                <w:sz w:val="14"/>
                <w:szCs w:val="14"/>
                <w:color w:val="auto"/>
              </w:rPr>
            </w:pPr>
          </w:p>
        </w:tc>
        <w:tc>
          <w:tcPr>
            <w:tcW w:w="1480" w:type="dxa"/>
            <w:vAlign w:val="bottom"/>
            <w:gridSpan w:val="2"/>
            <w:vMerge w:val="continue"/>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620" w:type="dxa"/>
            <w:vAlign w:val="bottom"/>
            <w:vMerge w:val="continue"/>
            <w:shd w:val="clear" w:color="auto" w:fill="1D2758"/>
          </w:tcPr>
          <w:p>
            <w:pPr>
              <w:spacing w:after="0"/>
              <w:rPr>
                <w:sz w:val="11"/>
                <w:szCs w:val="11"/>
                <w:color w:val="auto"/>
              </w:rPr>
            </w:pPr>
          </w:p>
        </w:tc>
        <w:tc>
          <w:tcPr>
            <w:tcW w:w="1680" w:type="dxa"/>
            <w:vAlign w:val="bottom"/>
            <w:gridSpan w:val="3"/>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Historical WillScot</w:t>
            </w:r>
          </w:p>
        </w:tc>
        <w:tc>
          <w:tcPr>
            <w:tcW w:w="120" w:type="dxa"/>
            <w:vAlign w:val="bottom"/>
            <w:shd w:val="clear" w:color="auto" w:fill="1D2758"/>
          </w:tcPr>
          <w:p>
            <w:pPr>
              <w:spacing w:after="0"/>
              <w:rPr>
                <w:sz w:val="11"/>
                <w:szCs w:val="11"/>
                <w:color w:val="auto"/>
              </w:rPr>
            </w:pPr>
          </w:p>
        </w:tc>
        <w:tc>
          <w:tcPr>
            <w:tcW w:w="156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reclassified)</w:t>
            </w:r>
          </w:p>
        </w:tc>
        <w:tc>
          <w:tcPr>
            <w:tcW w:w="200" w:type="dxa"/>
            <w:vAlign w:val="bottom"/>
            <w:shd w:val="clear" w:color="auto" w:fill="1D2758"/>
          </w:tcPr>
          <w:p>
            <w:pPr>
              <w:spacing w:after="0"/>
              <w:rPr>
                <w:sz w:val="11"/>
                <w:szCs w:val="11"/>
                <w:color w:val="auto"/>
              </w:rPr>
            </w:pPr>
          </w:p>
        </w:tc>
        <w:tc>
          <w:tcPr>
            <w:tcW w:w="1480" w:type="dxa"/>
            <w:vAlign w:val="bottom"/>
            <w:gridSpan w:val="2"/>
            <w:vMerge w:val="restart"/>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rPr>
              <w:t>Adjustments</w:t>
            </w:r>
          </w:p>
        </w:tc>
        <w:tc>
          <w:tcPr>
            <w:tcW w:w="240" w:type="dxa"/>
            <w:vAlign w:val="bottom"/>
            <w:shd w:val="clear" w:color="auto" w:fill="1D2758"/>
          </w:tcPr>
          <w:p>
            <w:pPr>
              <w:spacing w:after="0"/>
              <w:rPr>
                <w:sz w:val="11"/>
                <w:szCs w:val="11"/>
                <w:color w:val="auto"/>
              </w:rPr>
            </w:pPr>
          </w:p>
        </w:tc>
        <w:tc>
          <w:tcPr>
            <w:tcW w:w="1340" w:type="dxa"/>
            <w:vAlign w:val="bottom"/>
            <w:vMerge w:val="restart"/>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Combined</w:t>
            </w:r>
          </w:p>
        </w:tc>
        <w:tc>
          <w:tcPr>
            <w:tcW w:w="0" w:type="dxa"/>
            <w:vAlign w:val="bottom"/>
          </w:tcPr>
          <w:p>
            <w:pPr>
              <w:spacing w:after="0"/>
              <w:rPr>
                <w:sz w:val="1"/>
                <w:szCs w:val="1"/>
                <w:color w:val="auto"/>
              </w:rPr>
            </w:pPr>
          </w:p>
        </w:tc>
      </w:tr>
      <w:tr>
        <w:trPr>
          <w:trHeight w:val="88"/>
        </w:trPr>
        <w:tc>
          <w:tcPr>
            <w:tcW w:w="4620" w:type="dxa"/>
            <w:vAlign w:val="bottom"/>
            <w:shd w:val="clear" w:color="auto" w:fill="1D2758"/>
          </w:tcPr>
          <w:p>
            <w:pPr>
              <w:spacing w:after="0"/>
              <w:rPr>
                <w:sz w:val="7"/>
                <w:szCs w:val="7"/>
                <w:color w:val="auto"/>
              </w:rPr>
            </w:pPr>
          </w:p>
        </w:tc>
        <w:tc>
          <w:tcPr>
            <w:tcW w:w="1680" w:type="dxa"/>
            <w:vAlign w:val="bottom"/>
            <w:gridSpan w:val="3"/>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56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480" w:type="dxa"/>
            <w:vAlign w:val="bottom"/>
            <w:gridSpan w:val="2"/>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678,577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208,374</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886,951</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247,403</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47,138</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25,281</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7,465</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32,746</w:t>
            </w:r>
          </w:p>
        </w:tc>
        <w:tc>
          <w:tcPr>
            <w:tcW w:w="0" w:type="dxa"/>
            <w:vAlign w:val="bottom"/>
          </w:tcPr>
          <w:p>
            <w:pPr>
              <w:spacing w:after="0"/>
              <w:rPr>
                <w:sz w:val="1"/>
                <w:szCs w:val="1"/>
                <w:color w:val="auto"/>
              </w:rPr>
            </w:pPr>
          </w:p>
        </w:tc>
      </w:tr>
      <w:tr>
        <w:trPr>
          <w:trHeight w:val="209"/>
        </w:trPr>
        <w:tc>
          <w:tcPr>
            <w:tcW w:w="462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929,998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284,240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1,214,238</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162,344</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28,584</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190,928</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196,218</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30,926</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4,625</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21,071</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 (b)</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146,279</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E7E7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163,973</w:t>
            </w:r>
          </w:p>
        </w:tc>
        <w:tc>
          <w:tcPr>
            <w:tcW w:w="0" w:type="dxa"/>
            <w:vAlign w:val="bottom"/>
          </w:tcPr>
          <w:p>
            <w:pPr>
              <w:spacing w:after="0"/>
              <w:rPr>
                <w:sz w:val="1"/>
                <w:szCs w:val="1"/>
                <w:color w:val="auto"/>
              </w:rPr>
            </w:pPr>
          </w:p>
        </w:tc>
      </w:tr>
      <w:tr>
        <w:trPr>
          <w:trHeight w:val="209"/>
        </w:trPr>
        <w:tc>
          <w:tcPr>
            <w:tcW w:w="46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425,718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187,738</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611,122</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Expenses:</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241,269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96,170</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337,439</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Merger transaction costs (a)</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 (c)</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22,824</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19,695</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7,164</w:t>
            </w:r>
          </w:p>
        </w:tc>
        <w:tc>
          <w:tcPr>
            <w:tcW w:w="10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49,683</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Impairment losses on long-lived assets</w:t>
            </w:r>
          </w:p>
        </w:tc>
        <w:tc>
          <w:tcPr>
            <w:tcW w:w="5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4,543</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50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09"/>
        </w:trPr>
        <w:tc>
          <w:tcPr>
            <w:tcW w:w="462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500" w:type="dxa"/>
            <w:vAlign w:val="bottom"/>
            <w:tcBorders>
              <w:top w:val="single" w:sz="8" w:color="auto"/>
            </w:tcBorders>
            <w:shd w:val="clear" w:color="auto" w:fill="E7E7E8"/>
          </w:tcPr>
          <w:p>
            <w:pPr>
              <w:spacing w:after="0"/>
              <w:rPr>
                <w:sz w:val="18"/>
                <w:szCs w:val="18"/>
                <w:color w:val="auto"/>
              </w:rPr>
            </w:pPr>
          </w:p>
        </w:tc>
        <w:tc>
          <w:tcPr>
            <w:tcW w:w="10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91,452</w:t>
            </w:r>
          </w:p>
        </w:tc>
        <w:tc>
          <w:tcPr>
            <w:tcW w:w="100" w:type="dxa"/>
            <w:vAlign w:val="bottom"/>
            <w:tcBorders>
              <w:top w:val="single" w:sz="8" w:color="E7E7E8"/>
            </w:tcBorders>
            <w:shd w:val="clear" w:color="auto" w:fill="E7E7E8"/>
          </w:tcPr>
          <w:p>
            <w:pPr>
              <w:spacing w:after="0"/>
              <w:rPr>
                <w:sz w:val="18"/>
                <w:szCs w:val="18"/>
                <w:color w:val="auto"/>
              </w:rPr>
            </w:pPr>
          </w:p>
        </w:tc>
        <w:tc>
          <w:tcPr>
            <w:tcW w:w="120" w:type="dxa"/>
            <w:vAlign w:val="bottom"/>
            <w:tcBorders>
              <w:top w:val="single" w:sz="8" w:color="auto"/>
            </w:tcBorders>
            <w:shd w:val="clear" w:color="auto" w:fill="E7E7E8"/>
          </w:tcPr>
          <w:p>
            <w:pPr>
              <w:spacing w:after="0"/>
              <w:rPr>
                <w:sz w:val="18"/>
                <w:szCs w:val="18"/>
                <w:color w:val="auto"/>
              </w:rPr>
            </w:pPr>
          </w:p>
        </w:tc>
        <w:tc>
          <w:tcPr>
            <w:tcW w:w="14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54,849</w:t>
            </w:r>
          </w:p>
        </w:tc>
        <w:tc>
          <w:tcPr>
            <w:tcW w:w="100" w:type="dxa"/>
            <w:vAlign w:val="bottom"/>
            <w:tcBorders>
              <w:top w:val="single" w:sz="8" w:color="E7E7E8"/>
            </w:tcBorders>
            <w:shd w:val="clear" w:color="auto" w:fill="E7E7E8"/>
          </w:tcPr>
          <w:p>
            <w:pPr>
              <w:spacing w:after="0"/>
              <w:rPr>
                <w:sz w:val="18"/>
                <w:szCs w:val="18"/>
                <w:color w:val="auto"/>
              </w:rPr>
            </w:pPr>
          </w:p>
        </w:tc>
        <w:tc>
          <w:tcPr>
            <w:tcW w:w="200" w:type="dxa"/>
            <w:vAlign w:val="bottom"/>
            <w:tcBorders>
              <w:top w:val="single" w:sz="8" w:color="auto"/>
            </w:tcBorders>
            <w:shd w:val="clear" w:color="auto" w:fill="E7E7E8"/>
          </w:tcPr>
          <w:p>
            <w:pPr>
              <w:spacing w:after="0"/>
              <w:rPr>
                <w:sz w:val="18"/>
                <w:szCs w:val="18"/>
                <w:color w:val="auto"/>
              </w:rPr>
            </w:pP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70,542</w:t>
            </w:r>
          </w:p>
        </w:tc>
        <w:tc>
          <w:tcPr>
            <w:tcW w:w="100" w:type="dxa"/>
            <w:vAlign w:val="bottom"/>
            <w:tcBorders>
              <w:top w:val="single" w:sz="8" w:color="E7E7E8"/>
            </w:tcBorders>
            <w:shd w:val="clear" w:color="auto" w:fill="E7E7E8"/>
          </w:tcPr>
          <w:p>
            <w:pPr>
              <w:spacing w:after="0"/>
              <w:rPr>
                <w:sz w:val="18"/>
                <w:szCs w:val="18"/>
                <w:color w:val="auto"/>
              </w:rPr>
            </w:pPr>
          </w:p>
        </w:tc>
        <w:tc>
          <w:tcPr>
            <w:tcW w:w="240" w:type="dxa"/>
            <w:vAlign w:val="bottom"/>
            <w:tcBorders>
              <w:top w:val="single" w:sz="8" w:color="auto"/>
            </w:tcBorders>
            <w:shd w:val="clear" w:color="auto" w:fill="E7E7E8"/>
          </w:tcPr>
          <w:p>
            <w:pPr>
              <w:spacing w:after="0"/>
              <w:rPr>
                <w:sz w:val="18"/>
                <w:szCs w:val="18"/>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216,843</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Interest expense (d)</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96,976</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on extinguishment of debt (e)</w:t>
            </w:r>
          </w:p>
        </w:tc>
        <w:tc>
          <w:tcPr>
            <w:tcW w:w="50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auto"/>
            </w:tcBorders>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(42,401)</w:t>
            </w:r>
          </w:p>
        </w:tc>
        <w:tc>
          <w:tcPr>
            <w:tcW w:w="10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440"/>
              <w:spacing w:after="0"/>
              <w:rPr>
                <w:sz w:val="20"/>
                <w:szCs w:val="20"/>
                <w:color w:val="auto"/>
              </w:rPr>
            </w:pPr>
            <w:r>
              <w:rPr>
                <w:rFonts w:ascii="Arial" w:cs="Arial" w:eastAsia="Arial" w:hAnsi="Arial"/>
                <w:sz w:val="16"/>
                <w:szCs w:val="16"/>
                <w:color w:val="auto"/>
              </w:rPr>
              <w:t>Income (loss) from operations before income tax</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119,867</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 expense (f)</w:t>
            </w:r>
          </w:p>
        </w:tc>
        <w:tc>
          <w:tcPr>
            <w:tcW w:w="50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(66,170)</w:t>
            </w:r>
          </w:p>
        </w:tc>
        <w:tc>
          <w:tcPr>
            <w:tcW w:w="100" w:type="dxa"/>
            <w:vAlign w:val="bottom"/>
            <w:tcBorders>
              <w:bottom w:val="single" w:sz="8" w:color="auto"/>
            </w:tcBorders>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12,330</w:t>
            </w:r>
          </w:p>
        </w:tc>
        <w:tc>
          <w:tcPr>
            <w:tcW w:w="100" w:type="dxa"/>
            <w:vAlign w:val="bottom"/>
            <w:tcBorders>
              <w:bottom w:val="single" w:sz="8" w:color="auto"/>
            </w:tcBorders>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80,335</w:t>
            </w:r>
          </w:p>
        </w:tc>
        <w:tc>
          <w:tcPr>
            <w:tcW w:w="10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26,495</w:t>
            </w:r>
          </w:p>
        </w:tc>
        <w:tc>
          <w:tcPr>
            <w:tcW w:w="0" w:type="dxa"/>
            <w:vAlign w:val="bottom"/>
          </w:tcPr>
          <w:p>
            <w:pPr>
              <w:spacing w:after="0"/>
              <w:rPr>
                <w:sz w:val="1"/>
                <w:szCs w:val="1"/>
                <w:color w:val="auto"/>
              </w:rPr>
            </w:pPr>
          </w:p>
        </w:tc>
      </w:tr>
      <w:tr>
        <w:trPr>
          <w:trHeight w:val="210"/>
        </w:trPr>
        <w:tc>
          <w:tcPr>
            <w:tcW w:w="4620" w:type="dxa"/>
            <w:vAlign w:val="bottom"/>
          </w:tcPr>
          <w:p>
            <w:pPr>
              <w:ind w:left="44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93,372</w:t>
            </w:r>
          </w:p>
        </w:tc>
        <w:tc>
          <w:tcPr>
            <w:tcW w:w="0" w:type="dxa"/>
            <w:vAlign w:val="bottom"/>
          </w:tcPr>
          <w:p>
            <w:pPr>
              <w:spacing w:after="0"/>
              <w:rPr>
                <w:sz w:val="1"/>
                <w:szCs w:val="1"/>
                <w:color w:val="auto"/>
              </w:rPr>
            </w:pPr>
          </w:p>
        </w:tc>
      </w:tr>
      <w:tr>
        <w:trPr>
          <w:trHeight w:val="216"/>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attributable to non-controlling interest, net of tax</w:t>
            </w:r>
          </w:p>
        </w:tc>
        <w:tc>
          <w:tcPr>
            <w:tcW w:w="50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auto"/>
            </w:tcBorders>
            <w:shd w:val="clear" w:color="auto" w:fill="E7E7E8"/>
          </w:tcPr>
          <w:p>
            <w:pPr>
              <w:spacing w:after="0"/>
              <w:rPr>
                <w:sz w:val="18"/>
                <w:szCs w:val="18"/>
                <w:color w:val="auto"/>
              </w:rPr>
            </w:pPr>
          </w:p>
        </w:tc>
        <w:tc>
          <w:tcPr>
            <w:tcW w:w="12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20" w:type="dxa"/>
            <w:vAlign w:val="bottom"/>
          </w:tcPr>
          <w:p>
            <w:pPr>
              <w:ind w:left="440"/>
              <w:spacing w:after="0"/>
              <w:rPr>
                <w:sz w:val="20"/>
                <w:szCs w:val="20"/>
                <w:color w:val="auto"/>
              </w:rPr>
            </w:pPr>
            <w:r>
              <w:rPr>
                <w:rFonts w:ascii="Arial" w:cs="Arial" w:eastAsia="Arial" w:hAnsi="Arial"/>
                <w:sz w:val="16"/>
                <w:szCs w:val="16"/>
                <w:color w:val="auto"/>
              </w:rPr>
              <w:t>Net income attributable to WillScot Mobile Mini (g)</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93,372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3400" w:type="dxa"/>
            <w:vAlign w:val="bottom"/>
            <w:gridSpan w:val="7"/>
            <w:shd w:val="clear" w:color="auto" w:fill="1D2758"/>
          </w:tcPr>
          <w:p>
            <w:pPr>
              <w:ind w:left="80"/>
              <w:spacing w:after="0"/>
              <w:rPr>
                <w:sz w:val="20"/>
                <w:szCs w:val="20"/>
                <w:color w:val="auto"/>
              </w:rPr>
            </w:pPr>
            <w:r>
              <w:rPr>
                <w:rFonts w:ascii="Arial" w:cs="Arial" w:eastAsia="Arial" w:hAnsi="Arial"/>
                <w:sz w:val="16"/>
                <w:szCs w:val="16"/>
                <w:b w:val="1"/>
                <w:bCs w:val="1"/>
                <w:color w:val="FFFFFF"/>
              </w:rPr>
              <w:t>Nine Months Ended September 30, 2019</w:t>
            </w:r>
          </w:p>
        </w:tc>
        <w:tc>
          <w:tcPr>
            <w:tcW w:w="200" w:type="dxa"/>
            <w:vAlign w:val="bottom"/>
            <w:shd w:val="clear" w:color="auto" w:fill="1D2758"/>
          </w:tcPr>
          <w:p>
            <w:pPr>
              <w:spacing w:after="0"/>
              <w:rPr>
                <w:sz w:val="18"/>
                <w:szCs w:val="18"/>
                <w:color w:val="auto"/>
              </w:rPr>
            </w:pPr>
          </w:p>
        </w:tc>
        <w:tc>
          <w:tcPr>
            <w:tcW w:w="12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20" w:type="dxa"/>
            <w:vAlign w:val="bottom"/>
            <w:shd w:val="clear" w:color="auto" w:fill="1D2758"/>
          </w:tcPr>
          <w:p>
            <w:pPr>
              <w:spacing w:after="0"/>
              <w:rPr>
                <w:sz w:val="14"/>
                <w:szCs w:val="14"/>
                <w:color w:val="auto"/>
              </w:rPr>
            </w:pPr>
          </w:p>
        </w:tc>
        <w:tc>
          <w:tcPr>
            <w:tcW w:w="110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600" w:type="dxa"/>
            <w:vAlign w:val="bottom"/>
            <w:gridSpan w:val="2"/>
            <w:shd w:val="clear" w:color="auto" w:fill="1D2758"/>
          </w:tcPr>
          <w:p>
            <w:pPr>
              <w:jc w:val="center"/>
              <w:ind w:right="220"/>
              <w:spacing w:after="0" w:line="162" w:lineRule="exact"/>
              <w:rPr>
                <w:sz w:val="20"/>
                <w:szCs w:val="20"/>
                <w:color w:val="auto"/>
              </w:rPr>
            </w:pPr>
            <w:r>
              <w:rPr>
                <w:rFonts w:ascii="Arial" w:cs="Arial" w:eastAsia="Arial" w:hAnsi="Arial"/>
                <w:sz w:val="16"/>
                <w:szCs w:val="16"/>
                <w:b w:val="1"/>
                <w:bCs w:val="1"/>
                <w:color w:val="FFFFFF"/>
              </w:rPr>
              <w:t>Historical MM (as</w:t>
            </w:r>
          </w:p>
        </w:tc>
        <w:tc>
          <w:tcPr>
            <w:tcW w:w="180" w:type="dxa"/>
            <w:vAlign w:val="bottom"/>
            <w:shd w:val="clear" w:color="auto" w:fill="1D2758"/>
          </w:tcPr>
          <w:p>
            <w:pPr>
              <w:spacing w:after="0"/>
              <w:rPr>
                <w:sz w:val="14"/>
                <w:szCs w:val="14"/>
                <w:color w:val="auto"/>
              </w:rPr>
            </w:pPr>
          </w:p>
        </w:tc>
        <w:tc>
          <w:tcPr>
            <w:tcW w:w="1400" w:type="dxa"/>
            <w:vAlign w:val="bottom"/>
            <w:gridSpan w:val="2"/>
            <w:shd w:val="clear" w:color="auto" w:fill="1D2758"/>
          </w:tcPr>
          <w:p>
            <w:pPr>
              <w:jc w:val="center"/>
              <w:ind w:right="280"/>
              <w:spacing w:after="0" w:line="162" w:lineRule="exact"/>
              <w:rPr>
                <w:sz w:val="20"/>
                <w:szCs w:val="20"/>
                <w:color w:val="auto"/>
              </w:rPr>
            </w:pPr>
            <w:r>
              <w:rPr>
                <w:rFonts w:ascii="Arial" w:cs="Arial" w:eastAsia="Arial" w:hAnsi="Arial"/>
                <w:sz w:val="16"/>
                <w:szCs w:val="16"/>
                <w:b w:val="1"/>
                <w:bCs w:val="1"/>
                <w:color w:val="FFFFFF"/>
                <w:w w:val="99"/>
              </w:rPr>
              <w:t>Pro Forma</w:t>
            </w:r>
          </w:p>
        </w:tc>
        <w:tc>
          <w:tcPr>
            <w:tcW w:w="20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239"/>
              <w:spacing w:after="0" w:line="162" w:lineRule="exact"/>
              <w:rPr>
                <w:sz w:val="20"/>
                <w:szCs w:val="20"/>
                <w:color w:val="auto"/>
              </w:rPr>
            </w:pPr>
            <w:r>
              <w:rPr>
                <w:rFonts w:ascii="Arial" w:cs="Arial" w:eastAsia="Arial" w:hAnsi="Arial"/>
                <w:sz w:val="16"/>
                <w:szCs w:val="16"/>
                <w:b w:val="1"/>
                <w:bCs w:val="1"/>
                <w:color w:val="FFFFFF"/>
              </w:rPr>
              <w:t>Pro Forma</w:t>
            </w:r>
          </w:p>
        </w:tc>
        <w:tc>
          <w:tcPr>
            <w:tcW w:w="0" w:type="dxa"/>
            <w:vAlign w:val="bottom"/>
          </w:tcPr>
          <w:p>
            <w:pPr>
              <w:spacing w:after="0"/>
              <w:rPr>
                <w:sz w:val="1"/>
                <w:szCs w:val="1"/>
                <w:color w:val="auto"/>
              </w:rPr>
            </w:pPr>
          </w:p>
        </w:tc>
      </w:tr>
      <w:tr>
        <w:trPr>
          <w:trHeight w:val="128"/>
        </w:trPr>
        <w:tc>
          <w:tcPr>
            <w:tcW w:w="4780" w:type="dxa"/>
            <w:vAlign w:val="bottom"/>
            <w:vMerge w:val="continue"/>
            <w:shd w:val="clear" w:color="auto" w:fill="1D2758"/>
          </w:tcPr>
          <w:p>
            <w:pPr>
              <w:spacing w:after="0"/>
              <w:rPr>
                <w:sz w:val="11"/>
                <w:szCs w:val="11"/>
                <w:color w:val="auto"/>
              </w:rPr>
            </w:pPr>
          </w:p>
        </w:tc>
        <w:tc>
          <w:tcPr>
            <w:tcW w:w="1620" w:type="dxa"/>
            <w:vAlign w:val="bottom"/>
            <w:gridSpan w:val="2"/>
            <w:vMerge w:val="restart"/>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Historical WillScot</w:t>
            </w:r>
          </w:p>
        </w:tc>
        <w:tc>
          <w:tcPr>
            <w:tcW w:w="10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16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reclassified)</w:t>
            </w:r>
          </w:p>
        </w:tc>
        <w:tc>
          <w:tcPr>
            <w:tcW w:w="180" w:type="dxa"/>
            <w:vAlign w:val="bottom"/>
            <w:shd w:val="clear" w:color="auto" w:fill="1D2758"/>
          </w:tcPr>
          <w:p>
            <w:pPr>
              <w:spacing w:after="0"/>
              <w:rPr>
                <w:sz w:val="11"/>
                <w:szCs w:val="11"/>
                <w:color w:val="auto"/>
              </w:rPr>
            </w:pPr>
          </w:p>
        </w:tc>
        <w:tc>
          <w:tcPr>
            <w:tcW w:w="1400" w:type="dxa"/>
            <w:vAlign w:val="bottom"/>
            <w:gridSpan w:val="2"/>
            <w:vMerge w:val="restart"/>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1D2758"/>
          </w:tcPr>
          <w:p>
            <w:pPr>
              <w:spacing w:after="0"/>
              <w:rPr>
                <w:sz w:val="11"/>
                <w:szCs w:val="11"/>
                <w:color w:val="auto"/>
              </w:rPr>
            </w:pPr>
          </w:p>
        </w:tc>
        <w:tc>
          <w:tcPr>
            <w:tcW w:w="124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Combined</w:t>
            </w:r>
          </w:p>
        </w:tc>
        <w:tc>
          <w:tcPr>
            <w:tcW w:w="0" w:type="dxa"/>
            <w:vAlign w:val="bottom"/>
          </w:tcPr>
          <w:p>
            <w:pPr>
              <w:spacing w:after="0"/>
              <w:rPr>
                <w:sz w:val="1"/>
                <w:szCs w:val="1"/>
                <w:color w:val="auto"/>
              </w:rPr>
            </w:pPr>
          </w:p>
        </w:tc>
      </w:tr>
      <w:tr>
        <w:trPr>
          <w:trHeight w:val="88"/>
        </w:trPr>
        <w:tc>
          <w:tcPr>
            <w:tcW w:w="4780" w:type="dxa"/>
            <w:vAlign w:val="bottom"/>
            <w:shd w:val="clear" w:color="auto" w:fill="1D2758"/>
          </w:tcPr>
          <w:p>
            <w:pPr>
              <w:spacing w:after="0"/>
              <w:rPr>
                <w:sz w:val="7"/>
                <w:szCs w:val="7"/>
                <w:color w:val="auto"/>
              </w:rPr>
            </w:pPr>
          </w:p>
        </w:tc>
        <w:tc>
          <w:tcPr>
            <w:tcW w:w="1620" w:type="dxa"/>
            <w:vAlign w:val="bottom"/>
            <w:gridSpan w:val="2"/>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600" w:type="dxa"/>
            <w:vAlign w:val="bottom"/>
            <w:gridSpan w:val="2"/>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40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551,513</w:t>
            </w:r>
          </w:p>
        </w:tc>
        <w:tc>
          <w:tcPr>
            <w:tcW w:w="2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328,778</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880,291</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166,974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273,661</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50,165</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29,447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10,765</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40,212</w:t>
            </w:r>
          </w:p>
        </w:tc>
        <w:tc>
          <w:tcPr>
            <w:tcW w:w="0" w:type="dxa"/>
            <w:vAlign w:val="bottom"/>
          </w:tcPr>
          <w:p>
            <w:pPr>
              <w:spacing w:after="0"/>
              <w:rPr>
                <w:sz w:val="1"/>
                <w:szCs w:val="1"/>
                <w:color w:val="auto"/>
              </w:rPr>
            </w:pPr>
          </w:p>
        </w:tc>
      </w:tr>
      <w:tr>
        <w:trPr>
          <w:trHeight w:val="209"/>
        </w:trPr>
        <w:tc>
          <w:tcPr>
            <w:tcW w:w="47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458,709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1,244,329</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Leasing</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160,476</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50,126</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210,602</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221,078</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34,627</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19,608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7,733</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27,341</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 (b)</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128,940</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23,908</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156,348</w:t>
            </w:r>
          </w:p>
        </w:tc>
        <w:tc>
          <w:tcPr>
            <w:tcW w:w="0" w:type="dxa"/>
            <w:vAlign w:val="bottom"/>
          </w:tcPr>
          <w:p>
            <w:pPr>
              <w:spacing w:after="0"/>
              <w:rPr>
                <w:sz w:val="1"/>
                <w:szCs w:val="1"/>
                <w:color w:val="auto"/>
              </w:rPr>
            </w:pPr>
          </w:p>
        </w:tc>
      </w:tr>
      <w:tr>
        <w:trPr>
          <w:trHeight w:val="210"/>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304,123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293,710</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594,333</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208,696</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158,279</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366,975</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Other depreciation and amortization (c)</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29,052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48,788</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3,937</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6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09"/>
        </w:trPr>
        <w:tc>
          <w:tcPr>
            <w:tcW w:w="47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77,540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169,680</w:t>
            </w:r>
          </w:p>
        </w:tc>
        <w:tc>
          <w:tcPr>
            <w:tcW w:w="0" w:type="dxa"/>
            <w:vAlign w:val="bottom"/>
          </w:tcPr>
          <w:p>
            <w:pPr>
              <w:spacing w:after="0"/>
              <w:rPr>
                <w:sz w:val="1"/>
                <w:szCs w:val="1"/>
                <w:color w:val="auto"/>
              </w:rPr>
            </w:pPr>
          </w:p>
        </w:tc>
      </w:tr>
      <w:tr>
        <w:trPr>
          <w:trHeight w:val="216"/>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 (d)</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92,788</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31,734</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(29,296)</w:t>
            </w: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95,226</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Loss on extinguishment of debt (e)</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7,367</w:t>
            </w:r>
          </w:p>
        </w:tc>
        <w:tc>
          <w:tcPr>
            <w:tcW w:w="0" w:type="dxa"/>
            <w:vAlign w:val="bottom"/>
          </w:tcPr>
          <w:p>
            <w:pPr>
              <w:spacing w:after="0"/>
              <w:rPr>
                <w:sz w:val="1"/>
                <w:szCs w:val="1"/>
                <w:color w:val="auto"/>
              </w:rPr>
            </w:pPr>
          </w:p>
        </w:tc>
      </w:tr>
      <w:tr>
        <w:trPr>
          <w:trHeight w:val="210"/>
        </w:trPr>
        <w:tc>
          <w:tcPr>
            <w:tcW w:w="478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Income (loss) from operations before income tax</w:t>
            </w:r>
          </w:p>
        </w:tc>
        <w:tc>
          <w:tcPr>
            <w:tcW w:w="520" w:type="dxa"/>
            <w:vAlign w:val="bottom"/>
            <w:tcBorders>
              <w:top w:val="single" w:sz="8" w:color="auto"/>
            </w:tcBorders>
            <w:shd w:val="clear" w:color="auto" w:fill="E7E7E8"/>
          </w:tcPr>
          <w:p>
            <w:pPr>
              <w:spacing w:after="0"/>
              <w:rPr>
                <w:sz w:val="18"/>
                <w:szCs w:val="18"/>
                <w:color w:val="auto"/>
              </w:rPr>
            </w:pP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(22,492)</w:t>
            </w:r>
          </w:p>
        </w:tc>
        <w:tc>
          <w:tcPr>
            <w:tcW w:w="100" w:type="dxa"/>
            <w:vAlign w:val="bottom"/>
            <w:tcBorders>
              <w:top w:val="single" w:sz="8" w:color="E7E7E8"/>
            </w:tcBorders>
            <w:shd w:val="clear" w:color="auto" w:fill="E7E7E8"/>
          </w:tcPr>
          <w:p>
            <w:pPr>
              <w:spacing w:after="0"/>
              <w:rPr>
                <w:sz w:val="18"/>
                <w:szCs w:val="18"/>
                <w:color w:val="auto"/>
              </w:rPr>
            </w:pPr>
          </w:p>
        </w:tc>
        <w:tc>
          <w:tcPr>
            <w:tcW w:w="120" w:type="dxa"/>
            <w:vAlign w:val="bottom"/>
            <w:tcBorders>
              <w:top w:val="single" w:sz="8" w:color="auto"/>
            </w:tcBorders>
            <w:shd w:val="clear" w:color="auto" w:fill="E7E7E8"/>
          </w:tcPr>
          <w:p>
            <w:pPr>
              <w:spacing w:after="0"/>
              <w:rPr>
                <w:sz w:val="18"/>
                <w:szCs w:val="18"/>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74,297</w:t>
            </w:r>
          </w:p>
        </w:tc>
        <w:tc>
          <w:tcPr>
            <w:tcW w:w="100" w:type="dxa"/>
            <w:vAlign w:val="bottom"/>
            <w:tcBorders>
              <w:top w:val="single" w:sz="8" w:color="E7E7E8"/>
            </w:tcBorders>
            <w:shd w:val="clear" w:color="auto" w:fill="E7E7E8"/>
          </w:tcPr>
          <w:p>
            <w:pPr>
              <w:spacing w:after="0"/>
              <w:rPr>
                <w:sz w:val="18"/>
                <w:szCs w:val="18"/>
                <w:color w:val="auto"/>
              </w:rPr>
            </w:pPr>
          </w:p>
        </w:tc>
        <w:tc>
          <w:tcPr>
            <w:tcW w:w="180" w:type="dxa"/>
            <w:vAlign w:val="bottom"/>
            <w:tcBorders>
              <w:top w:val="single" w:sz="8" w:color="auto"/>
            </w:tcBorders>
            <w:shd w:val="clear" w:color="auto" w:fill="E7E7E8"/>
          </w:tcPr>
          <w:p>
            <w:pPr>
              <w:spacing w:after="0"/>
              <w:rPr>
                <w:sz w:val="18"/>
                <w:szCs w:val="18"/>
                <w:color w:val="auto"/>
              </w:rPr>
            </w:pPr>
          </w:p>
        </w:tc>
        <w:tc>
          <w:tcPr>
            <w:tcW w:w="12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15,282</w:t>
            </w:r>
          </w:p>
        </w:tc>
        <w:tc>
          <w:tcPr>
            <w:tcW w:w="120" w:type="dxa"/>
            <w:vAlign w:val="bottom"/>
            <w:tcBorders>
              <w:top w:val="single" w:sz="8" w:color="E7E7E8"/>
            </w:tcBorders>
            <w:shd w:val="clear" w:color="auto" w:fill="E7E7E8"/>
          </w:tcPr>
          <w:p>
            <w:pPr>
              <w:spacing w:after="0"/>
              <w:rPr>
                <w:sz w:val="18"/>
                <w:szCs w:val="18"/>
                <w:color w:val="auto"/>
              </w:rPr>
            </w:pPr>
          </w:p>
        </w:tc>
        <w:tc>
          <w:tcPr>
            <w:tcW w:w="200" w:type="dxa"/>
            <w:vAlign w:val="bottom"/>
            <w:tcBorders>
              <w:top w:val="single" w:sz="8" w:color="auto"/>
            </w:tcBorders>
            <w:shd w:val="clear" w:color="auto" w:fill="E7E7E8"/>
          </w:tcPr>
          <w:p>
            <w:pPr>
              <w:spacing w:after="0"/>
              <w:rPr>
                <w:sz w:val="18"/>
                <w:szCs w:val="18"/>
                <w:color w:val="auto"/>
              </w:rPr>
            </w:pPr>
          </w:p>
        </w:tc>
        <w:tc>
          <w:tcPr>
            <w:tcW w:w="12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67,087</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 expense (f)</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E7E7E8"/>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c>
          <w:tcPr>
            <w:tcW w:w="120" w:type="dxa"/>
            <w:vAlign w:val="bottom"/>
            <w:tcBorders>
              <w:bottom w:val="single" w:sz="8" w:color="E7E7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w:t>
            </w:r>
          </w:p>
        </w:tc>
        <w:tc>
          <w:tcPr>
            <w:tcW w:w="0" w:type="dxa"/>
            <w:vAlign w:val="bottom"/>
          </w:tcPr>
          <w:p>
            <w:pPr>
              <w:spacing w:after="0"/>
              <w:rPr>
                <w:sz w:val="1"/>
                <w:szCs w:val="1"/>
                <w:color w:val="auto"/>
              </w:rPr>
            </w:pPr>
          </w:p>
        </w:tc>
      </w:tr>
      <w:tr>
        <w:trPr>
          <w:trHeight w:val="210"/>
        </w:trPr>
        <w:tc>
          <w:tcPr>
            <w:tcW w:w="47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Net income (loss)</w:t>
            </w:r>
          </w:p>
        </w:tc>
        <w:tc>
          <w:tcPr>
            <w:tcW w:w="52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(20,470)</w:t>
            </w:r>
          </w:p>
        </w:tc>
        <w:tc>
          <w:tcPr>
            <w:tcW w:w="1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54,719</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11,385</w:t>
            </w:r>
          </w:p>
        </w:tc>
        <w:tc>
          <w:tcPr>
            <w:tcW w:w="12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45,634</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E7E7E8"/>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Net income (loss) attributable to WillScot Mobile Mini (g)</w:t>
            </w:r>
          </w:p>
        </w:tc>
        <w:tc>
          <w:tcPr>
            <w:tcW w:w="520" w:type="dxa"/>
            <w:vAlign w:val="bottom"/>
            <w:tcBorders>
              <w:top w:val="single" w:sz="8" w:color="auto"/>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(19,175)</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54,719</w:t>
            </w:r>
          </w:p>
        </w:tc>
        <w:tc>
          <w:tcPr>
            <w:tcW w:w="100" w:type="dxa"/>
            <w:vAlign w:val="bottom"/>
            <w:tcBorders>
              <w:top w:val="single" w:sz="8" w:color="E7E7E8"/>
              <w:bottom w:val="single" w:sz="8" w:color="E7E7E8"/>
            </w:tcBorders>
            <w:shd w:val="clear" w:color="auto" w:fill="E7E7E8"/>
          </w:tcPr>
          <w:p>
            <w:pPr>
              <w:spacing w:after="0"/>
              <w:rPr>
                <w:sz w:val="19"/>
                <w:szCs w:val="19"/>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10,090</w:t>
            </w:r>
          </w:p>
        </w:tc>
        <w:tc>
          <w:tcPr>
            <w:tcW w:w="120" w:type="dxa"/>
            <w:vAlign w:val="bottom"/>
            <w:tcBorders>
              <w:top w:val="single" w:sz="8" w:color="E7E7E8"/>
              <w:bottom w:val="single" w:sz="8" w:color="E7E7E8"/>
            </w:tcBorders>
            <w:shd w:val="clear" w:color="auto" w:fill="E7E7E8"/>
          </w:tcPr>
          <w:p>
            <w:pPr>
              <w:spacing w:after="0"/>
              <w:rPr>
                <w:sz w:val="19"/>
                <w:szCs w:val="19"/>
                <w:color w:val="auto"/>
              </w:rPr>
            </w:pPr>
          </w:p>
        </w:tc>
        <w:tc>
          <w:tcPr>
            <w:tcW w:w="20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45,634</w:t>
            </w:r>
          </w:p>
        </w:tc>
        <w:tc>
          <w:tcPr>
            <w:tcW w:w="0" w:type="dxa"/>
            <w:vAlign w:val="bottom"/>
          </w:tcPr>
          <w:p>
            <w:pPr>
              <w:spacing w:after="0"/>
              <w:rPr>
                <w:sz w:val="1"/>
                <w:szCs w:val="1"/>
                <w:color w:val="auto"/>
              </w:rPr>
            </w:pPr>
          </w:p>
        </w:tc>
      </w:tr>
      <w:tr>
        <w:trPr>
          <w:trHeight w:val="20"/>
        </w:trPr>
        <w:tc>
          <w:tcPr>
            <w:tcW w:w="4780" w:type="dxa"/>
            <w:vAlign w:val="bottom"/>
            <w:tcBorders>
              <w:top w:val="single" w:sz="8" w:color="E7E7E8"/>
            </w:tcBorders>
          </w:tcPr>
          <w:p>
            <w:pPr>
              <w:spacing w:after="0" w:line="20" w:lineRule="exact"/>
              <w:rPr>
                <w:sz w:val="1"/>
                <w:szCs w:val="1"/>
                <w:color w:val="auto"/>
              </w:rPr>
            </w:pPr>
          </w:p>
        </w:tc>
        <w:tc>
          <w:tcPr>
            <w:tcW w:w="5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Notes to Pro Forma Statements</w:t>
      </w:r>
    </w:p>
    <w:p>
      <w:pPr>
        <w:spacing w:after="0" w:line="56" w:lineRule="exact"/>
        <w:rPr>
          <w:sz w:val="20"/>
          <w:szCs w:val="20"/>
          <w:color w:val="auto"/>
        </w:rPr>
      </w:pPr>
    </w:p>
    <w:p>
      <w:pPr>
        <w:ind w:left="480" w:right="40" w:hanging="454"/>
        <w:spacing w:after="0" w:line="248"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Represents the elimination of non-recurring transaction costs expensed by WillScot Mobile Mini as part of the Merger of $52.2 million for the three months ended September 30, 2020 and $80.0 million for the nine months ended September 30, 2020.</w:t>
      </w:r>
    </w:p>
    <w:p>
      <w:pPr>
        <w:jc w:val="both"/>
        <w:ind w:left="480" w:right="20" w:hanging="454"/>
        <w:spacing w:after="0" w:line="234"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Represents the adjustment for depreciation of rental fleet relating to the estimated increase in fair value purchase accounting adjustments as a result of the Merger, $2.3 million for the nine months ended September 30, 2020, $1.2 million for the three months ended September 30, 2019 and $3.5 million for the nine months ended September 30, 2019.</w:t>
      </w:r>
    </w:p>
    <w:p>
      <w:pPr>
        <w:spacing w:after="0" w:line="1" w:lineRule="exact"/>
        <w:rPr>
          <w:rFonts w:ascii="Arial" w:cs="Arial" w:eastAsia="Arial" w:hAnsi="Arial"/>
          <w:sz w:val="14"/>
          <w:szCs w:val="14"/>
          <w:color w:val="auto"/>
        </w:rPr>
      </w:pPr>
    </w:p>
    <w:p>
      <w:pPr>
        <w:jc w:val="both"/>
        <w:ind w:left="480" w:right="20" w:hanging="454"/>
        <w:spacing w:after="0" w:line="234"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Represents the differential in other depreciation and amortization expense related to the provisional fair value purchase accounting adjustments as a result of the Merger part $3.5 million for the nine months ended September 30, 2020, $7.2 million for the three months ended September 30, 2019 and $10.5 million for the nine months ended September 30, 2019.</w:t>
      </w:r>
    </w:p>
    <w:p>
      <w:pPr>
        <w:spacing w:after="0" w:line="1" w:lineRule="exact"/>
        <w:rPr>
          <w:rFonts w:ascii="Arial" w:cs="Arial" w:eastAsia="Arial" w:hAnsi="Arial"/>
          <w:sz w:val="14"/>
          <w:szCs w:val="14"/>
          <w:color w:val="auto"/>
        </w:rPr>
      </w:pPr>
    </w:p>
    <w:p>
      <w:pPr>
        <w:jc w:val="both"/>
        <w:ind w:left="480" w:right="20" w:hanging="454"/>
        <w:spacing w:after="0" w:line="234"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Reflects the incremental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debt assumed at the Merger.</w:t>
      </w:r>
    </w:p>
    <w:p>
      <w:pPr>
        <w:spacing w:after="0" w:line="242" w:lineRule="exact"/>
        <w:rPr>
          <w:rFonts w:ascii="Arial" w:cs="Arial" w:eastAsia="Arial" w:hAnsi="Arial"/>
          <w:sz w:val="14"/>
          <w:szCs w:val="14"/>
          <w:color w:val="auto"/>
        </w:rPr>
      </w:pPr>
    </w:p>
    <w:p>
      <w:pPr>
        <w:ind w:left="480" w:right="20" w:hanging="454"/>
        <w:spacing w:after="0" w:line="248"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Represents the elimination of the one-time loss on extinguishment of debt in connection with the repayment of the 2022 Secured Notes and the 2017 ABL Facility.</w:t>
      </w:r>
    </w:p>
    <w:p>
      <w:pPr>
        <w:jc w:val="both"/>
        <w:ind w:left="480" w:right="20" w:hanging="454"/>
        <w:spacing w:after="0" w:line="228"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three months ended and nine months ended September 30, 2020 include an adjustment of $54.1 million and $56.8 million, respectively to eliminate the reversal of valuation allowance as a result of reassessment of the realizability of deferred tax assets as a result of the Merger.</w:t>
      </w:r>
    </w:p>
    <w:p>
      <w:pPr>
        <w:spacing w:after="0" w:line="2" w:lineRule="exact"/>
        <w:rPr>
          <w:rFonts w:ascii="Arial" w:cs="Arial" w:eastAsia="Arial" w:hAnsi="Arial"/>
          <w:sz w:val="14"/>
          <w:szCs w:val="14"/>
          <w:color w:val="auto"/>
        </w:rPr>
      </w:pPr>
    </w:p>
    <w:p>
      <w:pPr>
        <w:ind w:left="480" w:hanging="454"/>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6"/>
          <w:szCs w:val="16"/>
          <w:color w:val="auto"/>
        </w:rPr>
        <w:t>Reflects the pro forma adjustment for the extinguishment of non-controlling interest as a result of the Sapphire Exchange on June 30, 2020.</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3400" w:type="dxa"/>
            <w:vAlign w:val="bottom"/>
            <w:gridSpan w:val="5"/>
            <w:shd w:val="clear" w:color="auto" w:fill="1D2758"/>
          </w:tcPr>
          <w:p>
            <w:pPr>
              <w:ind w:left="140"/>
              <w:spacing w:after="0"/>
              <w:rPr>
                <w:sz w:val="20"/>
                <w:szCs w:val="20"/>
                <w:color w:val="auto"/>
              </w:rPr>
            </w:pPr>
            <w:r>
              <w:rPr>
                <w:rFonts w:ascii="Arial" w:cs="Arial" w:eastAsia="Arial" w:hAnsi="Arial"/>
                <w:sz w:val="16"/>
                <w:szCs w:val="16"/>
                <w:b w:val="1"/>
                <w:bCs w:val="1"/>
                <w:color w:val="FFFFFF"/>
              </w:rPr>
              <w:t>Three Months Ended September 30,</w:t>
            </w:r>
          </w:p>
        </w:tc>
        <w:tc>
          <w:tcPr>
            <w:tcW w:w="280" w:type="dxa"/>
            <w:vAlign w:val="bottom"/>
            <w:shd w:val="clear" w:color="auto" w:fill="1D2758"/>
          </w:tcPr>
          <w:p>
            <w:pPr>
              <w:spacing w:after="0"/>
              <w:rPr>
                <w:sz w:val="18"/>
                <w:szCs w:val="18"/>
                <w:color w:val="auto"/>
              </w:rPr>
            </w:pPr>
          </w:p>
        </w:tc>
        <w:tc>
          <w:tcPr>
            <w:tcW w:w="3280" w:type="dxa"/>
            <w:vAlign w:val="bottom"/>
            <w:gridSpan w:val="4"/>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Nine Months Ended September 30,</w:t>
            </w:r>
          </w:p>
        </w:tc>
      </w:tr>
      <w:tr>
        <w:trPr>
          <w:trHeight w:val="216"/>
        </w:trPr>
        <w:tc>
          <w:tcPr>
            <w:tcW w:w="4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1D2758"/>
          </w:tcPr>
          <w:p>
            <w:pPr>
              <w:spacing w:after="0"/>
              <w:rPr>
                <w:sz w:val="18"/>
                <w:szCs w:val="18"/>
                <w:color w:val="auto"/>
              </w:rPr>
            </w:pPr>
          </w:p>
        </w:tc>
        <w:tc>
          <w:tcPr>
            <w:tcW w:w="1460" w:type="dxa"/>
            <w:vAlign w:val="bottom"/>
            <w:shd w:val="clear" w:color="auto" w:fill="1D2758"/>
          </w:tcPr>
          <w:p>
            <w:pPr>
              <w:ind w:left="420"/>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16"/>
        </w:trPr>
        <w:tc>
          <w:tcPr>
            <w:tcW w:w="4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ABL Facility interest</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E7E7E8"/>
          </w:tcPr>
          <w:p>
            <w:pPr>
              <w:ind w:left="1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(4,498)</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(2,561)</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(12,509)</w:t>
            </w: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2022 Secured Notes interest</w:t>
            </w:r>
          </w:p>
        </w:tc>
        <w:tc>
          <w:tcPr>
            <w:tcW w:w="26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(17,719)</w:t>
            </w:r>
          </w:p>
        </w:tc>
      </w:tr>
      <w:tr>
        <w:trPr>
          <w:trHeight w:val="216"/>
        </w:trPr>
        <w:tc>
          <w:tcPr>
            <w:tcW w:w="4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 Secured Notes interest</w:t>
            </w:r>
          </w:p>
        </w:tc>
        <w:tc>
          <w:tcPr>
            <w:tcW w:w="26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ind w:left="1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9,953</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18,247</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29,859</w:t>
            </w: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Mobile Mini debt interest</w:t>
            </w:r>
          </w:p>
        </w:tc>
        <w:tc>
          <w:tcPr>
            <w:tcW w:w="260" w:type="dxa"/>
            <w:vAlign w:val="bottom"/>
          </w:tcPr>
          <w:p>
            <w:pPr>
              <w:spacing w:after="0"/>
              <w:rPr>
                <w:sz w:val="18"/>
                <w:szCs w:val="18"/>
                <w:color w:val="auto"/>
              </w:rPr>
            </w:pPr>
          </w:p>
        </w:tc>
        <w:tc>
          <w:tcPr>
            <w:tcW w:w="156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(30,460)</w:t>
            </w:r>
          </w:p>
        </w:tc>
      </w:tr>
      <w:tr>
        <w:trPr>
          <w:trHeight w:val="216"/>
        </w:trPr>
        <w:tc>
          <w:tcPr>
            <w:tcW w:w="4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financing fee amortization</w:t>
            </w:r>
          </w:p>
        </w:tc>
        <w:tc>
          <w:tcPr>
            <w:tcW w:w="26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ind w:left="1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1,533</w:t>
            </w: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Net pro forma adjustment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(9,808)</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(29,296)</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D2758"/>
        </w:rPr>
        <w:t>Reconciliation of Pro Forma Adjusted EBITDA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table provides a reconciliation of Net income (loss) to pro forma unaudited adjusted EBITDA: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400" w:type="dxa"/>
            <w:vAlign w:val="bottom"/>
            <w:gridSpan w:val="5"/>
            <w:shd w:val="clear" w:color="auto" w:fill="1D2758"/>
          </w:tcPr>
          <w:p>
            <w:pPr>
              <w:ind w:left="140"/>
              <w:spacing w:after="0"/>
              <w:rPr>
                <w:sz w:val="20"/>
                <w:szCs w:val="20"/>
                <w:color w:val="auto"/>
              </w:rPr>
            </w:pPr>
            <w:r>
              <w:rPr>
                <w:rFonts w:ascii="Arial" w:cs="Arial" w:eastAsia="Arial" w:hAnsi="Arial"/>
                <w:sz w:val="16"/>
                <w:szCs w:val="16"/>
                <w:b w:val="1"/>
                <w:bCs w:val="1"/>
                <w:color w:val="FFFFFF"/>
              </w:rPr>
              <w:t>Three Months Ended September 30,</w:t>
            </w:r>
          </w:p>
        </w:tc>
        <w:tc>
          <w:tcPr>
            <w:tcW w:w="280" w:type="dxa"/>
            <w:vAlign w:val="bottom"/>
            <w:shd w:val="clear" w:color="auto" w:fill="1D2758"/>
          </w:tcPr>
          <w:p>
            <w:pPr>
              <w:spacing w:after="0"/>
              <w:rPr>
                <w:sz w:val="18"/>
                <w:szCs w:val="18"/>
                <w:color w:val="auto"/>
              </w:rPr>
            </w:pPr>
          </w:p>
        </w:tc>
        <w:tc>
          <w:tcPr>
            <w:tcW w:w="3280" w:type="dxa"/>
            <w:vAlign w:val="bottom"/>
            <w:gridSpan w:val="4"/>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216"/>
        </w:trPr>
        <w:tc>
          <w:tcPr>
            <w:tcW w:w="40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37,873</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27,471</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93,372</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45,634</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7,367</w:t>
            </w: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 expense</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6,296</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6,989</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26,495</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21,453</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33,034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30,494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96,976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95,226</w:t>
            </w: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71,704</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69,507</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213,656</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205,136</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240" w:type="dxa"/>
            <w:vAlign w:val="bottom"/>
            <w:shd w:val="clear" w:color="auto" w:fill="E7E7E8"/>
          </w:tcPr>
          <w:p>
            <w:pPr>
              <w:spacing w:after="0"/>
              <w:rPr>
                <w:sz w:val="18"/>
                <w:szCs w:val="18"/>
                <w:color w:val="auto"/>
              </w:rPr>
            </w:pPr>
          </w:p>
        </w:tc>
        <w:tc>
          <w:tcPr>
            <w:tcW w:w="15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8"/>
                <w:szCs w:val="18"/>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18"/>
                <w:szCs w:val="18"/>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162"/>
        </w:trPr>
        <w:tc>
          <w:tcPr>
            <w:tcW w:w="4040" w:type="dxa"/>
            <w:vAlign w:val="bottom"/>
          </w:tcPr>
          <w:p>
            <w:pPr>
              <w:ind w:left="220"/>
              <w:spacing w:after="0" w:line="162" w:lineRule="exact"/>
              <w:rPr>
                <w:sz w:val="20"/>
                <w:szCs w:val="20"/>
                <w:color w:val="auto"/>
              </w:rPr>
            </w:pPr>
            <w:r>
              <w:rPr>
                <w:rFonts w:ascii="Arial" w:cs="Arial" w:eastAsia="Arial" w:hAnsi="Arial"/>
                <w:sz w:val="16"/>
                <w:szCs w:val="16"/>
                <w:color w:val="auto"/>
              </w:rPr>
              <w:t>Restructuring costs, lease impairment expense,</w:t>
            </w:r>
          </w:p>
        </w:tc>
        <w:tc>
          <w:tcPr>
            <w:tcW w:w="2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4,798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1,863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8,542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9,756</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other related charges</w:t>
            </w: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7,083</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5,483</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10,921</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17,836</w:t>
            </w:r>
          </w:p>
        </w:tc>
        <w:tc>
          <w:tcPr>
            <w:tcW w:w="0" w:type="dxa"/>
            <w:vAlign w:val="bottom"/>
          </w:tcPr>
          <w:p>
            <w:pPr>
              <w:spacing w:after="0"/>
              <w:rPr>
                <w:sz w:val="1"/>
                <w:szCs w:val="1"/>
                <w:color w:val="auto"/>
              </w:rPr>
            </w:pPr>
          </w:p>
        </w:tc>
      </w:tr>
      <w:tr>
        <w:trPr>
          <w:trHeight w:val="216"/>
        </w:trPr>
        <w:tc>
          <w:tcPr>
            <w:tcW w:w="4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E7E7E8"/>
          </w:tcPr>
          <w:p>
            <w:pPr>
              <w:spacing w:after="0"/>
              <w:rPr>
                <w:sz w:val="18"/>
                <w:szCs w:val="18"/>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2,734</w:t>
            </w:r>
          </w:p>
        </w:tc>
        <w:tc>
          <w:tcPr>
            <w:tcW w:w="120" w:type="dxa"/>
            <w:vAlign w:val="bottom"/>
            <w:shd w:val="clear" w:color="auto" w:fill="E7E7E8"/>
          </w:tcPr>
          <w:p>
            <w:pPr>
              <w:spacing w:after="0"/>
              <w:rPr>
                <w:sz w:val="18"/>
                <w:szCs w:val="18"/>
                <w:color w:val="auto"/>
              </w:rPr>
            </w:pPr>
          </w:p>
        </w:tc>
        <w:tc>
          <w:tcPr>
            <w:tcW w:w="280" w:type="dxa"/>
            <w:vAlign w:val="bottom"/>
            <w:tcBorders>
              <w:bottom w:val="single" w:sz="8" w:color="auto"/>
            </w:tcBorders>
            <w:shd w:val="clear" w:color="auto" w:fill="E7E7E8"/>
          </w:tcPr>
          <w:p>
            <w:pPr>
              <w:spacing w:after="0"/>
              <w:rPr>
                <w:sz w:val="18"/>
                <w:szCs w:val="18"/>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4,274</w:t>
            </w:r>
          </w:p>
        </w:tc>
        <w:tc>
          <w:tcPr>
            <w:tcW w:w="12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163,559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466,781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433,142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5" w:name="page66"/>
    <w:bookmarkEnd w:id="65"/>
    <w:p>
      <w:pPr>
        <w:spacing w:after="0"/>
        <w:rPr>
          <w:sz w:val="20"/>
          <w:szCs w:val="20"/>
          <w:color w:val="auto"/>
        </w:rPr>
      </w:pPr>
      <w:r>
        <w:rPr>
          <w:rFonts w:ascii="Arial" w:cs="Arial" w:eastAsia="Arial" w:hAnsi="Arial"/>
          <w:sz w:val="23"/>
          <w:szCs w:val="23"/>
          <w:color w:val="1D2758"/>
        </w:rPr>
        <w:t>Critical Accounting Policies and Estimates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2019.</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significant changes to our critical accounting policies during the nine months ended September 30, 2020.</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Recently Issued Accounting Standards</w:t>
      </w:r>
    </w:p>
    <w:p>
      <w:pPr>
        <w:spacing w:after="0" w:line="6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Refer to Part I, Item 1, Note 1 of the notes to our financial statements included in this Quarterly Report on Form 10-Q for our assessment of recently issued and adopted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color w:val="1D2758"/>
        </w:rPr>
        <w:t>Cautionary Note Regarding Forward-Looking Statements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9"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the Company operates and any changes therein, including financial market conditions, fluctuations in commodity prices, interest rates and foreign currency exchange rates, levels of end market demand in construction, the impact of weather conditions and natural disasters, the impact of the global pandemic related to COVID-19 and the financial condition of the Company’s customers and suppliers;</w:t>
      </w:r>
    </w:p>
    <w:p>
      <w:pPr>
        <w:spacing w:after="0" w:line="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supply and price of new and used products we lease;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(including cost increases resulting from tariffs);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successfully integrate new operations including Mobile Mini, and achieve desired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realize anticipated synergies from the Merger with Mobile Mini;</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cybersecurity and IT systems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unanticipated threats including market entry by a new competitor;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 health and safety risks as a result of the pandemic;</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manage the business in the event a disaster shuts down our management information systems;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changes in business, political and economic conditions due to the threat of future terrorist activity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6"/>
          <w:szCs w:val="16"/>
          <w:color w:val="auto"/>
        </w:rPr>
        <w:t>other parts of the world and related U.S. military action overseas; and</w:t>
      </w:r>
    </w:p>
    <w:p>
      <w:pPr>
        <w:spacing w:after="0" w:line="59" w:lineRule="exact"/>
        <w:rPr>
          <w:sz w:val="20"/>
          <w:szCs w:val="20"/>
          <w:color w:val="auto"/>
        </w:rPr>
      </w:pPr>
    </w:p>
    <w:p>
      <w:pPr>
        <w:ind w:left="660" w:hanging="328"/>
        <w:spacing w:after="0" w:line="281"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other risks and uncertainties described in the periodic reports we file with the SEC from time to time (including our Annual Report on Form 10-K for the year ending December 31, 2019), which are available through the SEC’s EDGAR system at www.sec.gov and on our website.</w:t>
      </w:r>
    </w:p>
    <w:p>
      <w:pPr>
        <w:spacing w:after="0" w:line="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211" w:lineRule="exact"/>
        <w:rPr>
          <w:sz w:val="20"/>
          <w:szCs w:val="20"/>
          <w:color w:val="auto"/>
        </w:rPr>
      </w:pPr>
    </w:p>
    <w:p>
      <w:pPr>
        <w:ind w:left="1840" w:right="620" w:hanging="1943"/>
        <w:spacing w:after="0" w:line="269" w:lineRule="auto"/>
        <w:tabs>
          <w:tab w:leader="none" w:pos="1820" w:val="left"/>
        </w:tabs>
        <w:rPr>
          <w:sz w:val="20"/>
          <w:szCs w:val="20"/>
          <w:color w:val="auto"/>
        </w:rPr>
      </w:pPr>
      <w:r>
        <w:rPr>
          <w:rFonts w:ascii="Arial" w:cs="Arial" w:eastAsia="Arial" w:hAnsi="Arial"/>
          <w:sz w:val="40"/>
          <w:szCs w:val="40"/>
          <w:b w:val="1"/>
          <w:bCs w:val="1"/>
          <w:color w:val="auto"/>
        </w:rPr>
        <w:t>ITEM 3.</w:t>
        <w:tab/>
        <w:t>Quantitative and Qualitative Disclosures about Market Risk</w:t>
      </w:r>
    </w:p>
    <w:p>
      <w:pPr>
        <w:spacing w:after="0" w:line="4"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$1.35 billion in outstanding principal under the ABL Facility at September 30, 2020.</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 million in aggregate notional amount of variable-rate debt under our ABL Facility into fixed-rate debt. The swap agreement provides for WillScot Mobile Mini to pay a fixed rate of 3.06% per annum on the outstanding debt in exchange for receiving a variable interest rate based on 1-month LIBOR. The effect is a synthetically fixed rate of 4.94% on the $400 million notional amount, when including the current applicable margin.</w:t>
      </w:r>
    </w:p>
    <w:p>
      <w:pPr>
        <w:spacing w:after="0" w:line="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$1.4 million based on current outstanding borrowings.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However, we are exposed to currency risk principally through our operations in Canada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January 31, 2020, the U.K. ceased to be a member of the European Union (the “E.U.”) (commonly known as “Brexit”), on terms set out in a withdrawal agreement concluded and ratified by the E.U. and U.K. (“Withdrawal Agreement”). The Withdrawal Agreement provides for a transition period until December 31, 2020 (“Transition Period”), during which time the U.K. will continue to be treated as a member of the E.U., in effect, for legal and regulatory purposes. The U.K. and E.U. continue to negotiate the terms of a future trading relationship to come into effect at the end of the Transition Period. The terms of any future trade deal between the U.K. and the E.U. remain highly uncertain, which has impacted their respective economies, and the chances of the U.K. and E.U. failing to reach agreement before the end of the Transition Period cannot be ruled out, in which case, World Trade Organization rules would apply by default to E.U.-U.K. trade, including the most favored nation tariffs set by each of the U.K. and E.U. In tandem with its negotiations with the E.U., the U.K. is commencing future trade deal negotiations with other key countries, including the U.S. As the future trade deal terms and their impact become clear, we may adjust our U.K. strategy and operations accordingly. In the longer term, any impact from Brexit on us will depend, in part, on the outcome of tariff, trade, regulatory and other negotiations both between the U.K. and E.U. and between the U.K. and U.S. Although it is unknown what the result of those negotiations will be, it is possible that new terms may adversely affect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tabs>
          <w:tab w:leader="none" w:pos="182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2020. Based upon that evaluation, our Chief Executive Officer and Chief Financial Officer concluded that our disclosure controls and procedures were effective as of September 30, 2020.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As discussed in Note 2 to the condensed consolidated financial statements included in this quarterly report on Form 10-Q, the Company completed the Merger with Mobile Mini on July 1, 2020. As permitted by interpretive guidance for newly acquired businesses issued by the SEC Staff, management has excluded the internal control over financial reporting of Mobile Mini from the evaluation of the Company's effectiveness of its disclosure controls and procedures as of September 30, 2020. Since the date of acquisition, Mobile Mini's financial results are included in the Company's condensed consolidated financial statements. As part of our post-closing integration activities, we are engaged in the process of assessing the internal controls. The Company has begun to integrate policies, processes, people, technology and operations for the post-acquisition combined company, and it will continue to evaluate the impact of any related changes to internal control over financial reporting.</w:t>
      </w:r>
    </w:p>
    <w:p>
      <w:pPr>
        <w:spacing w:after="0" w:line="1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Other than the items discussed above, there were no changes in our internal control over financial reporting that occurred during our quarter ended September 30, 2020 that materially affected or are reasonably likely to materially affect, our internal control over financial reporting.</w:t>
      </w:r>
    </w:p>
    <w:p>
      <w:pPr>
        <w:spacing w:after="0" w:line="265" w:lineRule="exact"/>
        <w:rPr>
          <w:sz w:val="20"/>
          <w:szCs w:val="20"/>
          <w:color w:val="auto"/>
        </w:rPr>
      </w:pPr>
    </w:p>
    <w:p>
      <w:pPr>
        <w:ind w:left="4940"/>
        <w:spacing w:after="0"/>
        <w:rPr>
          <w:sz w:val="20"/>
          <w:szCs w:val="20"/>
          <w:color w:val="auto"/>
        </w:rPr>
      </w:pPr>
      <w:r>
        <w:rPr>
          <w:rFonts w:ascii="Arial" w:cs="Arial" w:eastAsia="Arial" w:hAnsi="Arial"/>
          <w:sz w:val="40"/>
          <w:szCs w:val="40"/>
          <w:b w:val="1"/>
          <w:bCs w:val="1"/>
          <w:color w:val="1D2758"/>
        </w:rPr>
        <w:t>PART II</w:t>
      </w:r>
    </w:p>
    <w:p>
      <w:pPr>
        <w:spacing w:after="0" w:line="107"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Legal Proceedings</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As of September 30, 2020, there were no material pending legal proceedings in which we or any of our subsidiaries are a party or to which any of our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68" w:name="page69"/>
    <w:bookmarkEnd w:id="68"/>
    <w:p>
      <w:pPr>
        <w:spacing w:after="0"/>
        <w:tabs>
          <w:tab w:leader="none" w:pos="2100" w:val="left"/>
        </w:tabs>
        <w:rPr>
          <w:sz w:val="20"/>
          <w:szCs w:val="20"/>
          <w:color w:val="auto"/>
        </w:rPr>
      </w:pPr>
      <w:r>
        <w:rPr>
          <w:rFonts w:ascii="Arial" w:cs="Arial" w:eastAsia="Arial" w:hAnsi="Arial"/>
          <w:sz w:val="40"/>
          <w:szCs w:val="40"/>
          <w:b w:val="1"/>
          <w:bCs w:val="1"/>
          <w:color w:val="auto"/>
        </w:rPr>
        <w:t>ITEM 1A.</w:t>
      </w:r>
      <w:r>
        <w:rPr>
          <w:sz w:val="20"/>
          <w:szCs w:val="20"/>
          <w:color w:val="auto"/>
        </w:rPr>
        <w:tab/>
      </w:r>
      <w:r>
        <w:rPr>
          <w:rFonts w:ascii="Arial" w:cs="Arial" w:eastAsia="Arial" w:hAnsi="Arial"/>
          <w:sz w:val="39"/>
          <w:szCs w:val="39"/>
          <w:b w:val="1"/>
          <w:bCs w:val="1"/>
          <w:color w:val="auto"/>
        </w:rPr>
        <w:t>Risk Factors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 for the year ended December 31, 2019, Item 1A of our Quarterly Report on Form 10-Q for the quarterly period ended March 31, 2020, and Item 1A of our Quarterly Report on Form 10-Q for the quarterly period ended June 30, 2020, which have not materially changed, except as noted below.</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largest stockholder may have the ability to influence our business and matters requiring approval by our stockholders.</w:t>
      </w:r>
    </w:p>
    <w:p>
      <w:pPr>
        <w:spacing w:after="0" w:line="2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Sapphire Holding S.à r.l. (“Sapphire Holdings”), which is controlled by TDR Capital LLP (“TDR Capital”), beneficially owns approximately 26% of the issued and outstanding shares of our Common Stock and warrants giving it the right to buy 2,425,000 additional shares of our Common Stock. Pursuant to a stockholders agreement entered into on July 1, 2020, by and among us and TDR Capital and certain of its affiliates, including Sapphire Holdings, TDR Capital has the right to nominate two directors to our board of directors, for so long as TDR Capital beneficially owns at least 15% of our Common Stock and one director for so long as TDR Capital beneficially owns at least 5% of our Common Stock. Two directors nominated by Sapphire Holdings currently serve on our board of directors. Sapphire Holding may have the ability to influence matters requiring approval by our stockholders, including the election and removal of directors, amendments to our certificate of incorporation and bylaws, any proposed Merger, consolidation or sale of all or substantially all of our assets and certain other corporate transactions. Sapphire Holding may have interests that are different from those of other stockholders.</w:t>
      </w:r>
    </w:p>
    <w:p>
      <w:pPr>
        <w:spacing w:after="0" w:line="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August 2018, Sapphire Holdings pledged all of the shares of WillScot’s Class A Common Stock that it owned as security for a margin loan under which Sapphire Holdings borrowed $125.0 million (the "Margin Loan"). The Margin Loan was scheduled to mature on August 23, 2020. On August 21, 2020, Sapphire Holdings entered into an amended and restated margin loan agreement which among other things, extends the maturity date of the Margin Loan to August 29, 2022. As of August 21, 2020, 59,675,708 shares of Common Stock are pledged to secure repayment of amounts outstanding under the Margin Loan. An event of default under the Margin Loan could result in the foreclosure on the pledged securities and another stockholder beneficially owning a significant amount of our Common Stock. There can be no assurance that Sapphire Holdings will be able to extend, repay or refinance the loan on terms acceptable to it or at all.</w:t>
      </w:r>
    </w:p>
    <w:p>
      <w:pPr>
        <w:spacing w:after="0" w:line="200" w:lineRule="exact"/>
        <w:rPr>
          <w:sz w:val="20"/>
          <w:szCs w:val="20"/>
          <w:color w:val="auto"/>
        </w:rPr>
      </w:pPr>
    </w:p>
    <w:p>
      <w:pPr>
        <w:spacing w:after="0" w:line="336"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Unregistered Sales of Equity Securities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66"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3.</w:t>
      </w:r>
      <w:r>
        <w:rPr>
          <w:sz w:val="20"/>
          <w:szCs w:val="20"/>
          <w:color w:val="auto"/>
        </w:rPr>
        <w:tab/>
      </w:r>
      <w:r>
        <w:rPr>
          <w:rFonts w:ascii="Arial" w:cs="Arial" w:eastAsia="Arial" w:hAnsi="Arial"/>
          <w:sz w:val="39"/>
          <w:szCs w:val="39"/>
          <w:b w:val="1"/>
          <w:bCs w:val="1"/>
          <w:color w:val="auto"/>
        </w:rPr>
        <w:t>Defaults Upon Senior Securities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Mine Safety Disclosures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5"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5.</w:t>
      </w:r>
      <w:r>
        <w:rPr>
          <w:sz w:val="20"/>
          <w:szCs w:val="20"/>
          <w:color w:val="auto"/>
        </w:rPr>
        <w:tab/>
      </w:r>
      <w:r>
        <w:rPr>
          <w:rFonts w:ascii="Arial" w:cs="Arial" w:eastAsia="Arial" w:hAnsi="Arial"/>
          <w:sz w:val="39"/>
          <w:szCs w:val="39"/>
          <w:b w:val="1"/>
          <w:bCs w:val="1"/>
          <w:color w:val="auto"/>
        </w:rPr>
        <w:t>Other Information</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3"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6.</w:t>
      </w:r>
      <w:r>
        <w:rPr>
          <w:sz w:val="20"/>
          <w:szCs w:val="20"/>
          <w:color w:val="auto"/>
        </w:rPr>
        <w:tab/>
      </w:r>
      <w:r>
        <w:rPr>
          <w:rFonts w:ascii="Arial" w:cs="Arial" w:eastAsia="Arial" w:hAnsi="Arial"/>
          <w:sz w:val="39"/>
          <w:szCs w:val="39"/>
          <w:b w:val="1"/>
          <w:bCs w:val="1"/>
          <w:color w:val="auto"/>
        </w:rPr>
        <w:t>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Exhibit No.</w:t>
            </w:r>
          </w:p>
        </w:tc>
        <w:tc>
          <w:tcPr>
            <w:tcW w:w="240" w:type="dxa"/>
            <w:vAlign w:val="bottom"/>
            <w:shd w:val="clear" w:color="auto" w:fill="1D2758"/>
          </w:tcPr>
          <w:p>
            <w:pPr>
              <w:spacing w:after="0"/>
              <w:rPr>
                <w:sz w:val="17"/>
                <w:szCs w:val="17"/>
                <w:color w:val="auto"/>
              </w:rPr>
            </w:pPr>
          </w:p>
        </w:tc>
        <w:tc>
          <w:tcPr>
            <w:tcW w:w="10020" w:type="dxa"/>
            <w:vAlign w:val="bottom"/>
            <w:shd w:val="clear" w:color="auto" w:fill="1D2758"/>
          </w:tcPr>
          <w:p>
            <w:pPr>
              <w:ind w:left="4320"/>
              <w:spacing w:after="0"/>
              <w:rPr>
                <w:sz w:val="20"/>
                <w:szCs w:val="20"/>
                <w:color w:val="auto"/>
              </w:rPr>
            </w:pPr>
            <w:r>
              <w:rPr>
                <w:rFonts w:ascii="Arial" w:cs="Arial" w:eastAsia="Arial" w:hAnsi="Arial"/>
                <w:sz w:val="16"/>
                <w:szCs w:val="16"/>
                <w:b w:val="1"/>
                <w:bCs w:val="1"/>
                <w:color w:val="FFFFFF"/>
              </w:rPr>
              <w:t>Exhibit Description</w:t>
            </w:r>
          </w:p>
        </w:tc>
        <w:tc>
          <w:tcPr>
            <w:tcW w:w="0" w:type="dxa"/>
            <w:vAlign w:val="bottom"/>
          </w:tcPr>
          <w:p>
            <w:pPr>
              <w:spacing w:after="0"/>
              <w:rPr>
                <w:sz w:val="1"/>
                <w:szCs w:val="1"/>
                <w:color w:val="auto"/>
              </w:rPr>
            </w:pPr>
          </w:p>
        </w:tc>
      </w:tr>
      <w:tr>
        <w:trPr>
          <w:trHeight w:val="162"/>
        </w:trPr>
        <w:tc>
          <w:tcPr>
            <w:tcW w:w="940" w:type="dxa"/>
            <w:vAlign w:val="bottom"/>
            <w:vMerge w:val="restart"/>
          </w:tcPr>
          <w:p>
            <w:pPr>
              <w:jc w:val="right"/>
              <w:ind w:right="599"/>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2.1</w:t>
              </w:r>
            </w:hyperlink>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20" w:type="dxa"/>
            <w:vAlign w:val="bottom"/>
          </w:tcPr>
          <w:p>
            <w:pPr>
              <w:ind w:left="120"/>
              <w:spacing w:after="0" w:line="162" w:lineRule="exact"/>
              <w:rPr>
                <w:sz w:val="20"/>
                <w:szCs w:val="20"/>
                <w:color w:val="auto"/>
              </w:rPr>
            </w:pPr>
            <w:r>
              <w:rPr>
                <w:rFonts w:ascii="Arial" w:cs="Arial" w:eastAsia="Arial" w:hAnsi="Arial"/>
                <w:sz w:val="16"/>
                <w:szCs w:val="16"/>
                <w:color w:val="auto"/>
              </w:rPr>
              <w:t>Agreement and Plan of Merger, dated as of March 1, 2020, by and among WillScot Corporation, Picasso Merger Sub, Inc. and Mobile</w:t>
            </w:r>
          </w:p>
        </w:tc>
        <w:tc>
          <w:tcPr>
            <w:tcW w:w="0" w:type="dxa"/>
            <w:vAlign w:val="bottom"/>
          </w:tcPr>
          <w:p>
            <w:pPr>
              <w:spacing w:after="0"/>
              <w:rPr>
                <w:sz w:val="1"/>
                <w:szCs w:val="1"/>
                <w:color w:val="auto"/>
              </w:rPr>
            </w:pPr>
          </w:p>
        </w:tc>
      </w:tr>
      <w:tr>
        <w:trPr>
          <w:trHeight w:val="211"/>
        </w:trPr>
        <w:tc>
          <w:tcPr>
            <w:tcW w:w="9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20" w:type="dxa"/>
            <w:vAlign w:val="bottom"/>
          </w:tcPr>
          <w:p>
            <w:pPr>
              <w:ind w:left="120"/>
              <w:spacing w:after="0"/>
              <w:rPr>
                <w:sz w:val="20"/>
                <w:szCs w:val="20"/>
                <w:color w:val="auto"/>
              </w:rPr>
            </w:pPr>
            <w:r>
              <w:rPr>
                <w:rFonts w:ascii="Arial" w:cs="Arial" w:eastAsia="Arial" w:hAnsi="Arial"/>
                <w:sz w:val="16"/>
                <w:szCs w:val="16"/>
                <w:color w:val="auto"/>
              </w:rPr>
              <w:t>Mini, Inc. (incorporated by reference to Exhibit 2.1 of the Company's Current Report on Form 8-K, filed March 5, 2020).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right"/>
              <w:ind w:right="599"/>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2.2</w:t>
              </w:r>
            </w:hyperlink>
          </w:p>
        </w:tc>
        <w:tc>
          <w:tcPr>
            <w:tcW w:w="240" w:type="dxa"/>
            <w:vAlign w:val="bottom"/>
          </w:tcPr>
          <w:p>
            <w:pPr>
              <w:spacing w:after="0"/>
              <w:rPr>
                <w:sz w:val="14"/>
                <w:szCs w:val="14"/>
                <w:color w:val="auto"/>
              </w:rPr>
            </w:pPr>
          </w:p>
        </w:tc>
        <w:tc>
          <w:tcPr>
            <w:tcW w:w="10020" w:type="dxa"/>
            <w:vAlign w:val="bottom"/>
          </w:tcPr>
          <w:p>
            <w:pPr>
              <w:ind w:left="120"/>
              <w:spacing w:after="0" w:line="167" w:lineRule="exact"/>
              <w:rPr>
                <w:sz w:val="20"/>
                <w:szCs w:val="20"/>
                <w:color w:val="auto"/>
              </w:rPr>
            </w:pPr>
            <w:r>
              <w:rPr>
                <w:rFonts w:ascii="Arial" w:cs="Arial" w:eastAsia="Arial" w:hAnsi="Arial"/>
                <w:sz w:val="16"/>
                <w:szCs w:val="16"/>
                <w:color w:val="auto"/>
              </w:rPr>
              <w:t>Amendment to Agreement and Plan of Merger, dated as of May 28, 2020, by and among WillScot Corporation, Picasso Merger Sub, Inc.</w:t>
            </w:r>
          </w:p>
        </w:tc>
        <w:tc>
          <w:tcPr>
            <w:tcW w:w="0" w:type="dxa"/>
            <w:vAlign w:val="bottom"/>
          </w:tcPr>
          <w:p>
            <w:pPr>
              <w:spacing w:after="0"/>
              <w:rPr>
                <w:sz w:val="1"/>
                <w:szCs w:val="1"/>
                <w:color w:val="auto"/>
              </w:rPr>
            </w:pPr>
          </w:p>
        </w:tc>
      </w:tr>
      <w:tr>
        <w:trPr>
          <w:trHeight w:val="219"/>
        </w:trPr>
        <w:tc>
          <w:tcPr>
            <w:tcW w:w="9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20" w:type="dxa"/>
            <w:vAlign w:val="bottom"/>
          </w:tcPr>
          <w:p>
            <w:pPr>
              <w:ind w:left="120"/>
              <w:spacing w:after="0"/>
              <w:rPr>
                <w:sz w:val="20"/>
                <w:szCs w:val="20"/>
                <w:color w:val="auto"/>
              </w:rPr>
            </w:pPr>
            <w:r>
              <w:rPr>
                <w:rFonts w:ascii="Arial" w:cs="Arial" w:eastAsia="Arial" w:hAnsi="Arial"/>
                <w:sz w:val="16"/>
                <w:szCs w:val="16"/>
                <w:color w:val="auto"/>
              </w:rPr>
              <w:t>and Mobile Mini, Inc. (incorporated by reference to Exhibit 2.1 of the Company's Current Report on Form 8-K, filed June 2,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820" w:type="dxa"/>
            <w:vAlign w:val="bottom"/>
            <w:vMerge w:val="restart"/>
          </w:tcPr>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3.1(a)</w:t>
              </w:r>
            </w:hyperlink>
          </w:p>
        </w:tc>
        <w:tc>
          <w:tcPr>
            <w:tcW w:w="360" w:type="dxa"/>
            <w:vAlign w:val="bottom"/>
          </w:tcPr>
          <w:p>
            <w:pPr>
              <w:spacing w:after="0"/>
              <w:rPr>
                <w:sz w:val="16"/>
                <w:szCs w:val="16"/>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Certificate of Amendment to Certificate of Incorporation of WillScot Corporation (incorporated by reference to Exhibit 3.1(a) of the</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Company’s Current Report on Form 8-K, filed 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3.1(b)</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Amended and Restated Certificate of Incorporation of WillScot Mobile Mini Holdings Corp. (incorporated by reference to Exhibit 3.1(b) of</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the Company's Current Report on Form 8-K, filed 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3.2</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Amended and Restated Bylaws of WillScot Mobile Mini Holdings Corp. (incorporated by reference to Exhibit 3.2 of the Company's Current</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Report on Form 8-K, filed 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4.1</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Indenture, dated as of June 15, 2020, by and between Picasso Finance Sub, Inc., and Deutsche Bank Trust Company Americas, as</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trustee (incorporated by reference to Exhibit 4.1 of the Company's Current Report on Form 8-K, filed June 16, 2020).</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Supplemental Indenture, dated July 1, 2020, to the Indenture dated June 15, 2020, by and among Williams Scotsman International, Inc.</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4.2</w:t>
              </w:r>
            </w:hyperlink>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(“WSII”) (as successor to Picasso Finance Sub, Inc.), the guarantors party thereto and Deutsche Bank Trust Company Americas, as</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trustee (incorporated by reference to Exhibit 4.1 of the Company's Current Report on Form 8-K, filed July 1, 2020).</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Supplemental Indenture, dated July 1, 2020, to the Indenture dated August 6, 2018, as supplemented by the First Supplemental</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Indenture dated August 15, 2018, by and among WSII (as successor to Mason Finance Sub, Inc.), the guarantors party thereto and</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4.3</w:t>
              </w:r>
            </w:hyperlink>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Deutsche Bank Trust Company Americas, as trustee (incorporated by reference to Exhibit 4.2 of the Company's Current Report on Form</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8-K, filed July 1, 2020).</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Sixth Amended and Restated Commitment Letter, dated as of May 26, 2020, by and among WillScot Corporation, Bank of America, N.A.,</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BofA Securities, Inc., Deutsche Bank AG New York Branch, Deutsche Bank Securities Inc., JPMorgan Chase Bank, N.A., ING Capital</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10.1</w:t>
              </w:r>
            </w:hyperlink>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LLC, BBVA USA, Bank of the West, PNC Bank, National Association, PNC Capital Markets LLC, MUFG Union Bank, N.A., Bank of</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Montreal, BMO Capital Markets Corp. and M&amp;T Bank</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Shareholders Agreement, dated July 1, 2020, by and among WillScot Mobile Mini Holdings Corp., Sapphire Holdings, S.á r.l., TDR</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10.2</w:t>
              </w:r>
            </w:hyperlink>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Capital Holdings L.P. and TDR Capital LLP (incorporated by reference to Exhibit 1.1 of the Company's Current Report on Form 8-K, filed</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July 1, 2020).</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ABL Credit Agreement, dated July 1, 2020, by and among Williams Scotsman Holdings Corp., WSII, the guarantors party thereto, the</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10.3</w:t>
              </w:r>
            </w:hyperlink>
          </w:p>
        </w:tc>
        <w:tc>
          <w:tcPr>
            <w:tcW w:w="360" w:type="dxa"/>
            <w:vAlign w:val="bottom"/>
          </w:tcPr>
          <w:p>
            <w:pPr>
              <w:spacing w:after="0"/>
              <w:rPr>
                <w:sz w:val="14"/>
                <w:szCs w:val="14"/>
                <w:color w:val="auto"/>
              </w:rPr>
            </w:pPr>
          </w:p>
        </w:tc>
        <w:tc>
          <w:tcPr>
            <w:tcW w:w="9980" w:type="dxa"/>
            <w:vAlign w:val="bottom"/>
          </w:tcPr>
          <w:p>
            <w:pPr>
              <w:ind w:left="100"/>
              <w:spacing w:after="0" w:line="162" w:lineRule="exact"/>
              <w:rPr>
                <w:sz w:val="20"/>
                <w:szCs w:val="20"/>
                <w:color w:val="auto"/>
              </w:rPr>
            </w:pPr>
            <w:r>
              <w:rPr>
                <w:rFonts w:ascii="Arial" w:cs="Arial" w:eastAsia="Arial" w:hAnsi="Arial"/>
                <w:sz w:val="16"/>
                <w:szCs w:val="16"/>
                <w:color w:val="auto"/>
              </w:rPr>
              <w:t>lenders party thereto, and Bank of America, N.A., as administrative agent and collateral agent (incorporated by reference to Exhibit 10.1</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of the Company's Current Report on Form 8-K, filed 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10.4</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WillScot Mobile Mini Holdings Corp. 2020 Incentive Award Plan (incorporated by reference to Exhibit 10.3 of the Company's Current</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Report on Form 8-K, filed 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10.5</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Form of Indemnification Agreement (incorporated by reference to Exhibit 10.2 of the Company's Current Report on Form 8-K, filed July 1,</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10.6</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Form of Restricted Stock Unit Agreement (incorporated by reference to Exhibit 10.4 of the Company's Current Report on Form 8-K, filed</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July 1, 2020).</w:t>
            </w:r>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10.7</w:t>
              </w:r>
            </w:hyperlink>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Form of Performance-Based Restricted Stock Unit Agreement (incorporated by reference to Exhibit 10.5 of the Company's Current Report</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on Form 8-K, filed July 1, 2020).</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6"/>
                <w:szCs w:val="16"/>
                <w:color w:val="auto"/>
              </w:rPr>
            </w:pPr>
            <w:hyperlink w:anchor="page72">
              <w:r>
                <w:rPr>
                  <w:rFonts w:ascii="Arial" w:cs="Arial" w:eastAsia="Arial" w:hAnsi="Arial"/>
                  <w:sz w:val="16"/>
                  <w:szCs w:val="16"/>
                  <w:color w:val="auto"/>
                </w:rPr>
                <w:t>31.1</w:t>
              </w:r>
            </w:hyperlink>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9980" w:type="dxa"/>
            <w:vAlign w:val="bottom"/>
          </w:tcPr>
          <w:p>
            <w:pPr>
              <w:ind w:left="100"/>
              <w:spacing w:after="0"/>
              <w:rPr>
                <w:rFonts w:ascii="Arial" w:cs="Arial" w:eastAsia="Arial" w:hAnsi="Arial"/>
                <w:sz w:val="16"/>
                <w:szCs w:val="16"/>
                <w:color w:val="auto"/>
              </w:rPr>
            </w:pPr>
            <w:hyperlink w:anchor="page72">
              <w:r>
                <w:rPr>
                  <w:rFonts w:ascii="Arial" w:cs="Arial" w:eastAsia="Arial" w:hAnsi="Arial"/>
                  <w:sz w:val="16"/>
                  <w:szCs w:val="16"/>
                  <w:color w:val="auto"/>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6"/>
                <w:szCs w:val="16"/>
                <w:color w:val="auto"/>
              </w:rPr>
            </w:pPr>
            <w:hyperlink w:anchor="page73">
              <w:r>
                <w:rPr>
                  <w:rFonts w:ascii="Arial" w:cs="Arial" w:eastAsia="Arial" w:hAnsi="Arial"/>
                  <w:sz w:val="16"/>
                  <w:szCs w:val="16"/>
                  <w:color w:val="auto"/>
                </w:rPr>
                <w:t>31.2</w:t>
              </w:r>
            </w:hyperlink>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9980" w:type="dxa"/>
            <w:vAlign w:val="bottom"/>
          </w:tcPr>
          <w:p>
            <w:pPr>
              <w:ind w:left="100"/>
              <w:spacing w:after="0"/>
              <w:rPr>
                <w:rFonts w:ascii="Arial" w:cs="Arial" w:eastAsia="Arial" w:hAnsi="Arial"/>
                <w:sz w:val="16"/>
                <w:szCs w:val="16"/>
                <w:color w:val="auto"/>
              </w:rPr>
            </w:pPr>
            <w:hyperlink w:anchor="page73">
              <w:r>
                <w:rPr>
                  <w:rFonts w:ascii="Arial" w:cs="Arial" w:eastAsia="Arial" w:hAnsi="Arial"/>
                  <w:sz w:val="16"/>
                  <w:szCs w:val="16"/>
                  <w:color w:val="auto"/>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6"/>
                <w:szCs w:val="16"/>
                <w:color w:val="auto"/>
              </w:rPr>
            </w:pPr>
            <w:hyperlink w:anchor="page74">
              <w:r>
                <w:rPr>
                  <w:rFonts w:ascii="Arial" w:cs="Arial" w:eastAsia="Arial" w:hAnsi="Arial"/>
                  <w:sz w:val="16"/>
                  <w:szCs w:val="16"/>
                  <w:color w:val="auto"/>
                </w:rPr>
                <w:t>32.1</w:t>
              </w:r>
            </w:hyperlink>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9980" w:type="dxa"/>
            <w:vAlign w:val="bottom"/>
          </w:tcPr>
          <w:p>
            <w:pPr>
              <w:ind w:left="100"/>
              <w:spacing w:after="0"/>
              <w:rPr>
                <w:rFonts w:ascii="Arial" w:cs="Arial" w:eastAsia="Arial" w:hAnsi="Arial"/>
                <w:sz w:val="16"/>
                <w:szCs w:val="16"/>
                <w:color w:val="auto"/>
              </w:rPr>
            </w:pPr>
            <w:hyperlink w:anchor="page74">
              <w:r>
                <w:rPr>
                  <w:rFonts w:ascii="Arial" w:cs="Arial" w:eastAsia="Arial" w:hAnsi="Arial"/>
                  <w:sz w:val="16"/>
                  <w:szCs w:val="16"/>
                  <w:color w:val="auto"/>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6"/>
                <w:szCs w:val="16"/>
                <w:color w:val="auto"/>
              </w:rPr>
            </w:pPr>
            <w:hyperlink w:anchor="page75">
              <w:r>
                <w:rPr>
                  <w:rFonts w:ascii="Arial" w:cs="Arial" w:eastAsia="Arial" w:hAnsi="Arial"/>
                  <w:sz w:val="16"/>
                  <w:szCs w:val="16"/>
                  <w:color w:val="auto"/>
                </w:rPr>
                <w:t>32.2</w:t>
              </w:r>
            </w:hyperlink>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9980" w:type="dxa"/>
            <w:vAlign w:val="bottom"/>
          </w:tcPr>
          <w:p>
            <w:pPr>
              <w:ind w:left="100"/>
              <w:spacing w:after="0"/>
              <w:rPr>
                <w:rFonts w:ascii="Arial" w:cs="Arial" w:eastAsia="Arial" w:hAnsi="Arial"/>
                <w:sz w:val="16"/>
                <w:szCs w:val="16"/>
                <w:color w:val="auto"/>
              </w:rPr>
            </w:pPr>
            <w:hyperlink w:anchor="page75">
              <w:r>
                <w:rPr>
                  <w:rFonts w:ascii="Arial" w:cs="Arial" w:eastAsia="Arial" w:hAnsi="Arial"/>
                  <w:sz w:val="16"/>
                  <w:szCs w:val="16"/>
                  <w:color w:val="auto"/>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167"/>
        </w:trPr>
        <w:tc>
          <w:tcPr>
            <w:tcW w:w="8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360" w:type="dxa"/>
            <w:vAlign w:val="bottom"/>
          </w:tcPr>
          <w:p>
            <w:pPr>
              <w:spacing w:after="0"/>
              <w:rPr>
                <w:sz w:val="14"/>
                <w:szCs w:val="14"/>
                <w:color w:val="auto"/>
              </w:rPr>
            </w:pPr>
          </w:p>
        </w:tc>
        <w:tc>
          <w:tcPr>
            <w:tcW w:w="9980" w:type="dxa"/>
            <w:vAlign w:val="bottom"/>
          </w:tcPr>
          <w:p>
            <w:pPr>
              <w:ind w:left="100"/>
              <w:spacing w:after="0" w:line="167"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360" w:type="dxa"/>
            <w:vAlign w:val="bottom"/>
          </w:tcPr>
          <w:p>
            <w:pPr>
              <w:spacing w:after="0"/>
              <w:rPr>
                <w:sz w:val="18"/>
                <w:szCs w:val="18"/>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9"/>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360" w:type="dxa"/>
            <w:vAlign w:val="bottom"/>
          </w:tcPr>
          <w:p>
            <w:pPr>
              <w:spacing w:after="0"/>
              <w:rPr>
                <w:sz w:val="19"/>
                <w:szCs w:val="19"/>
                <w:color w:val="auto"/>
              </w:rPr>
            </w:pPr>
          </w:p>
        </w:tc>
        <w:tc>
          <w:tcPr>
            <w:tcW w:w="9980" w:type="dxa"/>
            <w:vAlign w:val="bottom"/>
          </w:tcPr>
          <w:p>
            <w:pPr>
              <w:ind w:left="10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117" w:right="3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3"/>
          <w:szCs w:val="23"/>
          <w:color w:val="1D2758"/>
        </w:rPr>
        <w:t>Signature</w:t>
      </w:r>
    </w:p>
    <w:p>
      <w:pPr>
        <w:spacing w:after="0" w:line="1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51"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WillScot Mobile Mini Holdings Corp.</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80" w:type="dxa"/>
            <w:vAlign w:val="bottom"/>
          </w:tcPr>
          <w:p>
            <w:pPr>
              <w:spacing w:after="0"/>
              <w:rPr>
                <w:sz w:val="19"/>
                <w:szCs w:val="19"/>
                <w:color w:val="auto"/>
              </w:rPr>
            </w:pPr>
          </w:p>
        </w:tc>
        <w:tc>
          <w:tcPr>
            <w:tcW w:w="5600" w:type="dxa"/>
            <w:vAlign w:val="bottom"/>
          </w:tcPr>
          <w:p>
            <w:pPr>
              <w:ind w:left="506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09"/>
        </w:trPr>
        <w:tc>
          <w:tcPr>
            <w:tcW w:w="680" w:type="dxa"/>
            <w:vAlign w:val="bottom"/>
          </w:tcPr>
          <w:p>
            <w:pPr>
              <w:spacing w:after="0"/>
              <w:rPr>
                <w:sz w:val="20"/>
                <w:szCs w:val="20"/>
                <w:color w:val="auto"/>
              </w:rPr>
            </w:pPr>
            <w:r>
              <w:rPr>
                <w:rFonts w:ascii="Arial" w:cs="Arial" w:eastAsia="Arial" w:hAnsi="Arial"/>
                <w:sz w:val="16"/>
                <w:szCs w:val="16"/>
                <w:color w:val="auto"/>
              </w:rPr>
              <w:t>Dated:</w:t>
            </w:r>
          </w:p>
        </w:tc>
        <w:tc>
          <w:tcPr>
            <w:tcW w:w="5600" w:type="dxa"/>
            <w:vAlign w:val="bottom"/>
          </w:tcPr>
          <w:p>
            <w:pPr>
              <w:ind w:left="180"/>
              <w:spacing w:after="0"/>
              <w:rPr>
                <w:sz w:val="20"/>
                <w:szCs w:val="20"/>
                <w:color w:val="auto"/>
              </w:rPr>
            </w:pPr>
            <w:r>
              <w:rPr>
                <w:rFonts w:ascii="Arial" w:cs="Arial" w:eastAsia="Arial" w:hAnsi="Arial"/>
                <w:sz w:val="16"/>
                <w:szCs w:val="16"/>
                <w:color w:val="auto"/>
              </w:rPr>
              <w:t>November 6, 2020</w:t>
            </w:r>
          </w:p>
        </w:tc>
        <w:tc>
          <w:tcPr>
            <w:tcW w:w="4900" w:type="dxa"/>
            <w:vAlign w:val="bottom"/>
          </w:tcPr>
          <w:p>
            <w:pPr>
              <w:ind w:left="20"/>
              <w:spacing w:after="0"/>
              <w:rPr>
                <w:sz w:val="20"/>
                <w:szCs w:val="20"/>
                <w:color w:val="auto"/>
              </w:rPr>
            </w:pPr>
            <w:r>
              <w:rPr>
                <w:rFonts w:ascii="Arial" w:cs="Arial" w:eastAsia="Arial" w:hAnsi="Arial"/>
                <w:sz w:val="16"/>
                <w:szCs w:val="16"/>
                <w:color w:val="auto"/>
              </w:rPr>
              <w:t>Timothy D. Boswell</w:t>
            </w:r>
          </w:p>
        </w:tc>
      </w:tr>
      <w:tr>
        <w:trPr>
          <w:trHeight w:val="217"/>
        </w:trPr>
        <w:tc>
          <w:tcPr>
            <w:tcW w:w="6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08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97" w:lineRule="auto"/>
        <w:tabs>
          <w:tab w:leader="none" w:pos="859"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2020</w:t>
      </w:r>
    </w:p>
    <w:p>
      <w:pPr>
        <w:spacing w:after="0" w:line="4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20320</wp:posOffset>
            </wp:positionV>
            <wp:extent cx="28289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78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240"/>
          </w:cols>
          <w:pgMar w:left="320" w:top="11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97" w:lineRule="auto"/>
        <w:tabs>
          <w:tab w:leader="none" w:pos="859"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2020</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240"/>
          </w:cols>
          <w:pgMar w:left="320" w:top="119"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2020</w:t>
      </w:r>
    </w:p>
    <w:p>
      <w:pPr>
        <w:spacing w:after="0" w:line="8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292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260"/>
        <w:spacing w:after="0"/>
        <w:rPr>
          <w:sz w:val="20"/>
          <w:szCs w:val="20"/>
          <w:color w:val="auto"/>
        </w:rPr>
      </w:pPr>
      <w:r>
        <w:rPr>
          <w:rFonts w:ascii="Arial" w:cs="Arial" w:eastAsia="Arial" w:hAnsi="Arial"/>
          <w:sz w:val="16"/>
          <w:szCs w:val="16"/>
          <w:i w:val="1"/>
          <w:iCs w:val="1"/>
          <w:color w:val="auto"/>
        </w:rPr>
        <w:t>(Principal Executive Officer)</w:t>
      </w:r>
    </w:p>
    <w:p>
      <w:pPr>
        <w:spacing w:after="0" w:line="147" w:lineRule="exact"/>
        <w:rPr>
          <w:sz w:val="20"/>
          <w:szCs w:val="20"/>
          <w:color w:val="auto"/>
        </w:rPr>
      </w:pPr>
    </w:p>
    <w:p>
      <w:pPr>
        <w:ind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2020</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292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64" w:lineRule="exact"/>
        <w:rPr>
          <w:sz w:val="20"/>
          <w:szCs w:val="20"/>
          <w:color w:val="auto"/>
        </w:rPr>
      </w:pPr>
    </w:p>
    <w:p>
      <w:pPr>
        <w:ind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MoCorporation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9">
    <w:nsid w:val="6B68079A"/>
    <w:multiLevelType w:val="hybridMultilevel"/>
    <w:lvl w:ilvl="0">
      <w:lvlJc w:val="left"/>
      <w:lvlText w:val="•"/>
      <w:numFmt w:val="bullet"/>
      <w:start w:val="1"/>
    </w:lvl>
    <w:lvl w:ilvl="1">
      <w:lvlJc w:val="left"/>
      <w:lvlText w:val="\endash "/>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3"/>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94" Type="http://schemas.openxmlformats.org/officeDocument/2006/relationships/hyperlink" Target="http://www.sec.gov/Archives/edgar/data/1647088/000110465920029590/tm2011399d7_ex2-1.htm" TargetMode="External"/><Relationship Id="rId95" Type="http://schemas.openxmlformats.org/officeDocument/2006/relationships/hyperlink" Target="http://www.sec.gov/ix?doc=/Archives/edgar/data/1647088/000110465920068763/tm2021384-1_8k.htm" TargetMode="External"/><Relationship Id="rId97" Type="http://schemas.openxmlformats.org/officeDocument/2006/relationships/hyperlink" Target="http://www.sec.gov/Archives/edgar/data/1647088/000110465920079826/tm2023606d2_ex3-1b.htm" TargetMode="External"/><Relationship Id="rId98" Type="http://schemas.openxmlformats.org/officeDocument/2006/relationships/hyperlink" Target="http://www.sec.gov/Archives/edgar/data/1647088/000110465920079826/tm2023606d2_ex3-2.htm" TargetMode="External"/><Relationship Id="rId99" Type="http://schemas.openxmlformats.org/officeDocument/2006/relationships/hyperlink" Target="http://www.sec.gov/Archives/edgar/data/1647088/000110465920079826/tm2023606d2_ex4-1.htm" TargetMode="External"/><Relationship Id="rId100" Type="http://schemas.openxmlformats.org/officeDocument/2006/relationships/hyperlink" Target="http://www.sec.gov/Archives/edgar/data/1647088/000110465920079826/tm2023606d2_ex4-2.htm" TargetMode="External"/><Relationship Id="rId101" Type="http://schemas.openxmlformats.org/officeDocument/2006/relationships/hyperlink" Target="http://www.sec.gov/Archives/edgar/data/1647088/000110465920029590/tm2011399d7_ex10-1.htm" TargetMode="External"/><Relationship Id="rId102" Type="http://schemas.openxmlformats.org/officeDocument/2006/relationships/hyperlink" Target="http://www.sec.gov/Archives/edgar/data/1647088/000110465920079826/tm2023606d2_ex1-1.htm" TargetMode="External"/><Relationship Id="rId103" Type="http://schemas.openxmlformats.org/officeDocument/2006/relationships/hyperlink" Target="http://www.sec.gov/Archives/edgar/data/1647088/000110465920079826/tm2023606d2_ex10-1.htm" TargetMode="External"/><Relationship Id="rId104" Type="http://schemas.openxmlformats.org/officeDocument/2006/relationships/hyperlink" Target="http://www.sec.gov/Archives/edgar/data/1647088/000110465920029590/tm2011399d7_ex10-4.htm" TargetMode="External"/><Relationship Id="rId105" Type="http://schemas.openxmlformats.org/officeDocument/2006/relationships/hyperlink" Target="http://www.sec.gov/Archives/edgar/data/1647088/000110465920079826/tm2023606d2_ex10-2.htm" TargetMode="External"/><Relationship Id="rId106" Type="http://schemas.openxmlformats.org/officeDocument/2006/relationships/hyperlink" Target="http://www.sec.gov/Archives/edgar/data/1647088/000110465920079826/tm2023606d2_ex10-4.htm" TargetMode="External"/><Relationship Id="rId107" Type="http://schemas.openxmlformats.org/officeDocument/2006/relationships/hyperlink" Target="http://www.sec.gov/Archives/edgar/data/1647088/000110465920079826/tm2023606d2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2020-11-06T10:29:47Z</dcterms:created>
  <dcterms:modified xsi:type="dcterms:W3CDTF">2020-11-06T10:29:47Z</dcterms:modified>
</cp:coreProperties>
</file>