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Double Eagle Acquisition Corp.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425 under the Securities Act of 1933 and deemed filed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14a-12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under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Subject Company: Double Eagle Acquisition Corp.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Commission File No.: 1-37552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-756285</wp:posOffset>
            </wp:positionH>
            <wp:positionV relativeFrom="paragraph">
              <wp:posOffset>174625</wp:posOffset>
            </wp:positionV>
            <wp:extent cx="6860540" cy="52914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476" w:right="2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6860540" cy="529145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2019-12-08T03:14:09Z</dcterms:created>
  <dcterms:modified xsi:type="dcterms:W3CDTF">2019-12-08T03:14:09Z</dcterms:modified>
</cp:coreProperties>
</file>