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580"/>
        <w:spacing w:after="0"/>
        <w:rPr>
          <w:sz w:val="20"/>
          <w:szCs w:val="20"/>
          <w:color w:val="auto"/>
        </w:rPr>
      </w:pPr>
      <w:r>
        <w:rPr>
          <w:rFonts w:ascii="Arial" w:cs="Arial" w:eastAsia="Arial" w:hAnsi="Arial"/>
          <w:sz w:val="22"/>
          <w:szCs w:val="22"/>
          <w:b w:val="1"/>
          <w:bCs w:val="1"/>
          <w:color w:val="auto"/>
        </w:rPr>
        <w:t>Date of Report (Date of earliest event reported): November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422910</wp:posOffset>
            </wp:positionV>
            <wp:extent cx="307848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848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5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0" w:type="dxa"/>
            <w:vAlign w:val="bottom"/>
          </w:tcPr>
          <w:p>
            <w:pPr>
              <w:spacing w:after="0"/>
              <w:rPr>
                <w:sz w:val="20"/>
                <w:szCs w:val="20"/>
                <w:color w:val="auto"/>
              </w:rPr>
            </w:pPr>
          </w:p>
        </w:tc>
      </w:tr>
      <w:tr>
        <w:trPr>
          <w:trHeight w:val="351"/>
        </w:trPr>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70"/>
        </w:trPr>
        <w:tc>
          <w:tcPr>
            <w:tcW w:w="2240" w:type="dxa"/>
            <w:vAlign w:val="bottom"/>
          </w:tcPr>
          <w:p>
            <w:pPr>
              <w:jc w:val="center"/>
              <w:ind w:right="362"/>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2"/>
          </w:tcPr>
          <w:p>
            <w:pPr>
              <w:jc w:val="center"/>
              <w:ind w:left="1418"/>
              <w:spacing w:after="0"/>
              <w:rPr>
                <w:sz w:val="20"/>
                <w:szCs w:val="20"/>
                <w:color w:val="auto"/>
              </w:rPr>
            </w:pPr>
            <w:r>
              <w:rPr>
                <w:rFonts w:ascii="Arial" w:cs="Arial" w:eastAsia="Arial" w:hAnsi="Arial"/>
                <w:sz w:val="18"/>
                <w:szCs w:val="18"/>
                <w:b w:val="1"/>
                <w:bCs w:val="1"/>
                <w:color w:val="auto"/>
                <w:w w:val="90"/>
              </w:rPr>
              <w:t>1-12804</w:t>
            </w:r>
          </w:p>
        </w:tc>
        <w:tc>
          <w:tcPr>
            <w:tcW w:w="1460" w:type="dxa"/>
            <w:vAlign w:val="bottom"/>
          </w:tcPr>
          <w:p>
            <w:pPr>
              <w:spacing w:after="0"/>
              <w:rPr>
                <w:sz w:val="24"/>
                <w:szCs w:val="24"/>
                <w:color w:val="auto"/>
              </w:rPr>
            </w:pPr>
          </w:p>
        </w:tc>
        <w:tc>
          <w:tcPr>
            <w:tcW w:w="1800" w:type="dxa"/>
            <w:vAlign w:val="bottom"/>
          </w:tcPr>
          <w:p>
            <w:pPr>
              <w:jc w:val="center"/>
              <w:ind w:left="602"/>
              <w:spacing w:after="0"/>
              <w:rPr>
                <w:sz w:val="20"/>
                <w:szCs w:val="20"/>
                <w:color w:val="auto"/>
              </w:rPr>
            </w:pPr>
            <w:r>
              <w:rPr>
                <w:rFonts w:ascii="Arial" w:cs="Arial" w:eastAsia="Arial" w:hAnsi="Arial"/>
                <w:sz w:val="18"/>
                <w:szCs w:val="18"/>
                <w:b w:val="1"/>
                <w:bCs w:val="1"/>
                <w:color w:val="auto"/>
                <w:w w:val="91"/>
              </w:rPr>
              <w:t>86-0748362</w:t>
            </w:r>
          </w:p>
        </w:tc>
      </w:tr>
      <w:tr>
        <w:trPr>
          <w:trHeight w:val="149"/>
        </w:trPr>
        <w:tc>
          <w:tcPr>
            <w:tcW w:w="224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38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(Commission</w:t>
            </w:r>
          </w:p>
        </w:tc>
        <w:tc>
          <w:tcPr>
            <w:tcW w:w="1800" w:type="dxa"/>
            <w:vAlign w:val="bottom"/>
          </w:tcPr>
          <w:p>
            <w:pPr>
              <w:jc w:val="center"/>
              <w:ind w:left="6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240" w:type="dxa"/>
            <w:vAlign w:val="bottom"/>
          </w:tcPr>
          <w:p>
            <w:pPr>
              <w:jc w:val="center"/>
              <w:ind w:right="342"/>
              <w:spacing w:after="0"/>
              <w:rPr>
                <w:sz w:val="20"/>
                <w:szCs w:val="20"/>
                <w:color w:val="auto"/>
              </w:rPr>
            </w:pPr>
            <w:r>
              <w:rPr>
                <w:rFonts w:ascii="Arial" w:cs="Arial" w:eastAsia="Arial" w:hAnsi="Arial"/>
                <w:sz w:val="14"/>
                <w:szCs w:val="14"/>
                <w:b w:val="1"/>
                <w:bCs w:val="1"/>
                <w:color w:val="auto"/>
                <w:w w:val="94"/>
              </w:rPr>
              <w:t>incorporation)</w:t>
            </w:r>
          </w:p>
        </w:tc>
        <w:tc>
          <w:tcPr>
            <w:tcW w:w="1240" w:type="dxa"/>
            <w:vAlign w:val="bottom"/>
          </w:tcPr>
          <w:p>
            <w:pPr>
              <w:spacing w:after="0"/>
              <w:rPr>
                <w:sz w:val="16"/>
                <w:szCs w:val="16"/>
                <w:color w:val="auto"/>
              </w:rPr>
            </w:pPr>
          </w:p>
        </w:tc>
        <w:tc>
          <w:tcPr>
            <w:tcW w:w="38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8"/>
              </w:rPr>
              <w:t>File Number)</w:t>
            </w:r>
          </w:p>
        </w:tc>
        <w:tc>
          <w:tcPr>
            <w:tcW w:w="1800" w:type="dxa"/>
            <w:vAlign w:val="bottom"/>
          </w:tcPr>
          <w:p>
            <w:pPr>
              <w:jc w:val="center"/>
              <w:ind w:left="602"/>
              <w:spacing w:after="0"/>
              <w:rPr>
                <w:sz w:val="20"/>
                <w:szCs w:val="20"/>
                <w:color w:val="auto"/>
              </w:rPr>
            </w:pPr>
            <w:r>
              <w:rPr>
                <w:rFonts w:ascii="Arial" w:cs="Arial" w:eastAsia="Arial" w:hAnsi="Arial"/>
                <w:sz w:val="14"/>
                <w:szCs w:val="14"/>
                <w:b w:val="1"/>
                <w:bCs w:val="1"/>
                <w:color w:val="auto"/>
                <w:w w:val="94"/>
              </w:rPr>
              <w:t>Identification No.)</w:t>
            </w:r>
          </w:p>
        </w:tc>
      </w:tr>
      <w:tr>
        <w:trPr>
          <w:trHeight w:val="350"/>
        </w:trPr>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7"/>
        </w:trPr>
        <w:tc>
          <w:tcPr>
            <w:tcW w:w="2240" w:type="dxa"/>
            <w:vAlign w:val="bottom"/>
          </w:tcPr>
          <w:p>
            <w:pPr>
              <w:spacing w:after="0"/>
              <w:rPr>
                <w:sz w:val="24"/>
                <w:szCs w:val="24"/>
                <w:color w:val="auto"/>
              </w:rPr>
            </w:pPr>
          </w:p>
        </w:tc>
        <w:tc>
          <w:tcPr>
            <w:tcW w:w="5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4646 E. Van Buren Street, Suite 400</w:t>
            </w:r>
          </w:p>
        </w:tc>
        <w:tc>
          <w:tcPr>
            <w:tcW w:w="1800" w:type="dxa"/>
            <w:vAlign w:val="bottom"/>
          </w:tcPr>
          <w:p>
            <w:pPr>
              <w:spacing w:after="0"/>
              <w:rPr>
                <w:sz w:val="24"/>
                <w:szCs w:val="24"/>
                <w:color w:val="auto"/>
              </w:rPr>
            </w:pPr>
          </w:p>
        </w:tc>
      </w:tr>
      <w:tr>
        <w:trPr>
          <w:trHeight w:val="212"/>
        </w:trPr>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0"/>
              </w:rPr>
              <w:t>Phoenix, Arizona 85008</w:t>
            </w:r>
          </w:p>
        </w:tc>
        <w:tc>
          <w:tcPr>
            <w:tcW w:w="1800" w:type="dxa"/>
            <w:vAlign w:val="bottom"/>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5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800" w:type="dxa"/>
            <w:vAlign w:val="bottom"/>
          </w:tcPr>
          <w:p>
            <w:pPr>
              <w:spacing w:after="0"/>
              <w:rPr>
                <w:sz w:val="16"/>
                <w:szCs w:val="16"/>
                <w:color w:val="auto"/>
              </w:rPr>
            </w:pPr>
          </w:p>
        </w:tc>
      </w:tr>
      <w:tr>
        <w:trPr>
          <w:trHeight w:val="394"/>
        </w:trPr>
        <w:tc>
          <w:tcPr>
            <w:tcW w:w="2240" w:type="dxa"/>
            <w:vAlign w:val="bottom"/>
          </w:tcPr>
          <w:p>
            <w:pPr>
              <w:spacing w:after="0"/>
              <w:rPr>
                <w:sz w:val="24"/>
                <w:szCs w:val="24"/>
                <w:color w:val="auto"/>
              </w:rPr>
            </w:pPr>
          </w:p>
        </w:tc>
        <w:tc>
          <w:tcPr>
            <w:tcW w:w="3620" w:type="dxa"/>
            <w:vAlign w:val="bottom"/>
            <w:gridSpan w:val="2"/>
          </w:tcPr>
          <w:p>
            <w:pPr>
              <w:jc w:val="center"/>
              <w:ind w:left="1178"/>
              <w:spacing w:after="0"/>
              <w:rPr>
                <w:sz w:val="20"/>
                <w:szCs w:val="20"/>
                <w:color w:val="auto"/>
              </w:rPr>
            </w:pPr>
            <w:r>
              <w:rPr>
                <w:rFonts w:ascii="Arial" w:cs="Arial" w:eastAsia="Arial" w:hAnsi="Arial"/>
                <w:sz w:val="18"/>
                <w:szCs w:val="18"/>
                <w:b w:val="1"/>
                <w:bCs w:val="1"/>
                <w:color w:val="auto"/>
                <w:w w:val="90"/>
              </w:rPr>
              <w:t>(480) 894-6311</w:t>
            </w:r>
          </w:p>
        </w:tc>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2240" w:type="dxa"/>
            <w:vAlign w:val="bottom"/>
          </w:tcPr>
          <w:p>
            <w:pPr>
              <w:spacing w:after="0"/>
              <w:rPr>
                <w:sz w:val="16"/>
                <w:szCs w:val="16"/>
                <w:color w:val="auto"/>
              </w:rPr>
            </w:pPr>
          </w:p>
        </w:tc>
        <w:tc>
          <w:tcPr>
            <w:tcW w:w="5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350"/>
        </w:trPr>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3"/>
        </w:trPr>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6"/>
              </w:rPr>
              <w:t>N/A</w:t>
            </w:r>
          </w:p>
        </w:tc>
        <w:tc>
          <w:tcPr>
            <w:tcW w:w="1800" w:type="dxa"/>
            <w:vAlign w:val="bottom"/>
          </w:tcPr>
          <w:p>
            <w:pPr>
              <w:spacing w:after="0"/>
              <w:rPr>
                <w:sz w:val="24"/>
                <w:szCs w:val="24"/>
                <w:color w:val="auto"/>
              </w:rPr>
            </w:pPr>
          </w:p>
        </w:tc>
      </w:tr>
      <w:tr>
        <w:trPr>
          <w:trHeight w:val="186"/>
        </w:trPr>
        <w:tc>
          <w:tcPr>
            <w:tcW w:w="2240" w:type="dxa"/>
            <w:vAlign w:val="bottom"/>
          </w:tcPr>
          <w:p>
            <w:pPr>
              <w:spacing w:after="0"/>
              <w:rPr>
                <w:sz w:val="16"/>
                <w:szCs w:val="16"/>
                <w:color w:val="auto"/>
              </w:rPr>
            </w:pPr>
          </w:p>
        </w:tc>
        <w:tc>
          <w:tcPr>
            <w:tcW w:w="5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(b)</w:t>
        <w:tab/>
        <w:t>Resignation of Named Executive Officer</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November 17, 2016, Mobile Mini, Inc. (the “Company”) disclosed that Lynn M. Courville, the Senior Vice President of Human Resources of the Company, will leave the Company to pursue other opportunities. Ms. Courville will remain with the Company during a transition period during which she will transition her duties and responsibilities. No replacement has yet been announced.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 forward-looking statements contained in this report include, without limitation, statements related to Ms. Courville’s transition period. Forward-looking statements are neither historical facts nor assurances of future performance. Instead, they are based only on the Company’s current beliefs, expectations and assumptions regarding the future of its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and which are described from time to time in the Company’s filings with the Securities and Exchange Commission, including under “Item 1A. Risk Factors” in the Company’s most recent Annual Report on Form 10-K and in the Company’s subsequent reports on Forms 10-Q and 8-K. The Company’s actual results and financial condition may differ materially from those indicated in the forward-looking statements. Therefore, you are cautioned not to place undue reliance on any such forward-looking statements, which speak only as of the date they are made. The Company undertakes no obligation to publicly update or revise any forward-looking statement,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MOBILE MINI,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17, 2016</w:t>
      </w:r>
      <w:r>
        <w:rPr>
          <w:sz w:val="20"/>
          <w:szCs w:val="20"/>
          <w:color w:val="auto"/>
        </w:rPr>
        <w:tab/>
      </w:r>
      <w:r>
        <w:rPr>
          <w:rFonts w:ascii="Arial" w:cs="Arial" w:eastAsia="Arial" w:hAnsi="Arial"/>
          <w:sz w:val="16"/>
          <w:szCs w:val="16"/>
          <w:color w:val="auto"/>
        </w:rPr>
        <w:t>/s/ Christopher J. 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Christopher J. Miner</w:t>
      </w:r>
    </w:p>
    <w:p>
      <w:pPr>
        <w:spacing w:after="0" w:line="2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2019-12-06T04:36:18Z</dcterms:created>
  <dcterms:modified xsi:type="dcterms:W3CDTF">2019-12-06T04:36:18Z</dcterms:modified>
</cp:coreProperties>
</file>