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pPr>
      <w:r>
        <w:rPr>
          <w:rFonts w:ascii="Arial;sans-serif" w:hAnsi="Arial;sans-serif"/>
          <w:b/>
          <w:color w:val="000000"/>
          <w:sz w:val="32"/>
          <w:shd w:fill="FFFFFF" w:val="clear"/>
        </w:rPr>
        <w:t xml:space="preserve">FORM </w:t>
      </w:r>
      <w:r>
        <w:rPr>
          <w:rFonts w:ascii="Arial;sans-serif" w:hAnsi="Arial;sans-serif"/>
          <w:b/>
          <w:color w:val="000000"/>
          <w:sz w:val="32"/>
        </w:rPr>
        <w:t>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996" w:type="dxa"/>
        <w:jc w:val="center"/>
        <w:tblInd w:w="0" w:type="dxa"/>
        <w:tblLayout w:type="fixed"/>
        <w:tblCellMar>
          <w:top w:w="28" w:type="dxa"/>
          <w:left w:w="28" w:type="dxa"/>
          <w:bottom w:w="28" w:type="dxa"/>
          <w:right w:w="28" w:type="dxa"/>
        </w:tblCellMar>
      </w:tblPr>
      <w:tblGrid>
        <w:gridCol w:w="124"/>
        <w:gridCol w:w="109"/>
        <w:gridCol w:w="109"/>
        <w:gridCol w:w="2532"/>
        <w:gridCol w:w="2532"/>
        <w:gridCol w:w="35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8996"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For the quarterly period ended June 30, 2026</w:t>
            </w:r>
          </w:p>
        </w:tc>
      </w:tr>
      <w:tr>
        <w:trPr/>
        <w:tc>
          <w:tcPr>
            <w:tcW w:w="8996"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899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For the transition period from ________ to ________</w:t>
            </w:r>
          </w:p>
        </w:tc>
      </w:tr>
    </w:tbl>
    <w:tbl>
      <w:tblPr>
        <w:tblW w:w="3118" w:type="dxa"/>
        <w:jc w:val="center"/>
        <w:tblInd w:w="0" w:type="dxa"/>
        <w:tblLayout w:type="fixed"/>
        <w:tblCellMar>
          <w:top w:w="28" w:type="dxa"/>
          <w:left w:w="28" w:type="dxa"/>
          <w:bottom w:w="28" w:type="dxa"/>
          <w:right w:w="28" w:type="dxa"/>
        </w:tblCellMar>
      </w:tblPr>
      <w:tblGrid>
        <w:gridCol w:w="793"/>
        <w:gridCol w:w="696"/>
        <w:gridCol w:w="700"/>
        <w:gridCol w:w="272"/>
        <w:gridCol w:w="272"/>
        <w:gridCol w:w="385"/>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Commission File Number:</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001-37552</w:t>
            </w:r>
          </w:p>
        </w:tc>
      </w:tr>
    </w:tbl>
    <w:p>
      <w:pPr>
        <w:pStyle w:val="TextBody"/>
        <w:bidi w:val="0"/>
        <w:spacing w:before="0" w:after="16"/>
        <w:jc w:val="center"/>
        <w:rPr/>
      </w:pPr>
      <w:r>
        <w:rPr/>
        <w:drawing>
          <wp:inline distT="0" distB="0" distL="0" distR="0">
            <wp:extent cx="20383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733425"/>
                    </a:xfrm>
                    <a:prstGeom prst="rect">
                      <a:avLst/>
                    </a:prstGeom>
                  </pic:spPr>
                </pic:pic>
              </a:graphicData>
            </a:graphic>
          </wp:inline>
        </w:drawing>
      </w:r>
      <w:bookmarkStart w:id="0" w:name="i-1"/>
      <w:bookmarkEnd w:id="0"/>
    </w:p>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WILLSCOT HOLDINGS CORPORATION</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7317" w:type="dxa"/>
        <w:jc w:val="center"/>
        <w:tblInd w:w="0" w:type="dxa"/>
        <w:tblLayout w:type="fixed"/>
        <w:tblCellMar>
          <w:top w:w="28" w:type="dxa"/>
          <w:left w:w="28" w:type="dxa"/>
          <w:bottom w:w="28" w:type="dxa"/>
          <w:right w:w="28" w:type="dxa"/>
        </w:tblCellMar>
      </w:tblPr>
      <w:tblGrid>
        <w:gridCol w:w="1566"/>
        <w:gridCol w:w="1378"/>
        <w:gridCol w:w="1391"/>
        <w:gridCol w:w="109"/>
        <w:gridCol w:w="109"/>
        <w:gridCol w:w="109"/>
        <w:gridCol w:w="773"/>
        <w:gridCol w:w="773"/>
        <w:gridCol w:w="1109"/>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82-3430194</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6400 East McDowell Road, Suite 300</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Scottsdale, Arizona 85257</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(Address, including zip code, of principal executive offices)</w:t>
      </w:r>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(480) 894-6311</w:t>
      </w:r>
    </w:p>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 xml:space="preserve">(Former name, former address and former fiscal year, if changed since last report) </w:t>
      </w:r>
    </w:p>
    <w:p>
      <w:pPr>
        <w:pStyle w:val="TextBody"/>
        <w:bidi w:val="0"/>
        <w:spacing w:before="0" w:after="60"/>
        <w:jc w:val="center"/>
        <w:rPr/>
      </w:pPr>
      <w:r>
        <w:rPr/>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623" w:type="dxa"/>
        <w:jc w:val="left"/>
        <w:tblInd w:w="0" w:type="dxa"/>
        <w:tblLayout w:type="fixed"/>
        <w:tblCellMar>
          <w:top w:w="28" w:type="dxa"/>
          <w:left w:w="28" w:type="dxa"/>
          <w:bottom w:w="28" w:type="dxa"/>
          <w:right w:w="28" w:type="dxa"/>
        </w:tblCellMar>
      </w:tblPr>
      <w:tblGrid>
        <w:gridCol w:w="1225"/>
        <w:gridCol w:w="1076"/>
        <w:gridCol w:w="1089"/>
        <w:gridCol w:w="524"/>
        <w:gridCol w:w="524"/>
        <w:gridCol w:w="526"/>
        <w:gridCol w:w="1071"/>
        <w:gridCol w:w="1071"/>
        <w:gridCol w:w="1517"/>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WSC</w:t>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The Nasdaq Capital Market</w:t>
            </w:r>
          </w:p>
        </w:tc>
      </w:tr>
    </w:tbl>
    <w:p>
      <w:pPr>
        <w:pStyle w:val="TextBody"/>
        <w:bidi w:val="0"/>
        <w:spacing w:before="0" w:after="60"/>
        <w:ind w:left="0" w:right="0" w:firstLine="72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 xml:space="preserve">☐ </w:t>
      </w:r>
    </w:p>
    <w:p>
      <w:pPr>
        <w:pStyle w:val="TextBody"/>
        <w:bidi w:val="0"/>
        <w:spacing w:lineRule="auto" w:line="288" w:before="0" w:after="60"/>
        <w:ind w:left="0" w:right="0" w:firstLine="72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60"/>
        <w:ind w:left="0" w:right="0" w:firstLine="72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50" w:type="dxa"/>
        <w:jc w:val="left"/>
        <w:tblInd w:w="0" w:type="dxa"/>
        <w:tblLayout w:type="fixed"/>
        <w:tblCellMar>
          <w:top w:w="28" w:type="dxa"/>
          <w:left w:w="28" w:type="dxa"/>
          <w:bottom w:w="28" w:type="dxa"/>
          <w:right w:w="28" w:type="dxa"/>
        </w:tblCellMar>
      </w:tblPr>
      <w:tblGrid>
        <w:gridCol w:w="721"/>
        <w:gridCol w:w="636"/>
        <w:gridCol w:w="638"/>
        <w:gridCol w:w="690"/>
        <w:gridCol w:w="690"/>
        <w:gridCol w:w="975"/>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Large 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Accelerated filer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Non-accelerated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Smaller reporting company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Emerging growth company </w:t>
            </w:r>
            <w:r>
              <w:rPr>
                <w:color w:val="000000"/>
              </w:rPr>
              <w:t>☐</w:t>
            </w:r>
          </w:p>
        </w:tc>
      </w:tr>
    </w:tbl>
    <w:p>
      <w:pPr>
        <w:pStyle w:val="TextBody"/>
        <w:bidi w:val="0"/>
        <w:spacing w:lineRule="auto" w:line="288" w:before="60" w:after="60"/>
        <w:ind w:left="0" w:right="0" w:firstLine="72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720"/>
        <w:jc w:val="both"/>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60"/>
        <w:ind w:left="0" w:right="0" w:firstLine="720"/>
        <w:jc w:val="both"/>
        <w:rPr>
          <w:rFonts w:ascii="Arial;sans-serif" w:hAnsi="Arial;sans-serif"/>
          <w:b w:val="false"/>
          <w:color w:val="000000"/>
          <w:sz w:val="16"/>
        </w:rPr>
      </w:pPr>
      <w:r>
        <w:rPr>
          <w:rFonts w:ascii="Arial;sans-serif" w:hAnsi="Arial;sans-serif"/>
          <w:b w:val="false"/>
          <w:color w:val="000000"/>
          <w:sz w:val="16"/>
        </w:rPr>
        <w:t>Shares of Common Stock, par value $0.0001 per share, outstanding: 181,190,958 shares at July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jc w:val="both"/>
                        <w:rPr/>
                      </w:pPr>
                      <w:r>
                        <w:rPr/>
                      </w:r>
                    </w:p>
                  </w:txbxContent>
                </v:textbox>
                <w10:wrap type="none"/>
              </v:rect>
            </w:pict>
          </mc:Fallback>
        </mc:AlternateContent>
      </w:r>
    </w:p>
    <w:p>
      <w:pPr>
        <w:pStyle w:val="TextBody"/>
        <w:bidi w:val="0"/>
        <w:spacing w:before="0" w:after="60"/>
        <w:jc w:val="both"/>
        <w:rPr/>
      </w:pPr>
      <w:r>
        <w:rPr/>
      </w:r>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WILLSCOT HOLDINGS CORPORATION</w:t>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Quarterly Report on Form 10-Q</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Table of Contents</w:t>
      </w:r>
    </w:p>
    <w:tbl>
      <w:tblPr>
        <w:tblW w:w="10205" w:type="dxa"/>
        <w:jc w:val="center"/>
        <w:tblInd w:w="0" w:type="dxa"/>
        <w:tblLayout w:type="fixed"/>
        <w:tblCellMar>
          <w:top w:w="28" w:type="dxa"/>
          <w:left w:w="28" w:type="dxa"/>
          <w:bottom w:w="28" w:type="dxa"/>
          <w:right w:w="28" w:type="dxa"/>
        </w:tblCellMar>
      </w:tblPr>
      <w:tblGrid>
        <w:gridCol w:w="205"/>
        <w:gridCol w:w="181"/>
        <w:gridCol w:w="181"/>
        <w:gridCol w:w="231"/>
        <w:gridCol w:w="214"/>
        <w:gridCol w:w="207"/>
        <w:gridCol w:w="268"/>
        <w:gridCol w:w="268"/>
        <w:gridCol w:w="268"/>
        <w:gridCol w:w="3437"/>
        <w:gridCol w:w="1962"/>
        <w:gridCol w:w="2783"/>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37"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0">
              <w:r>
                <w:rPr>
                  <w:rStyle w:val="InternetLink"/>
                  <w:rFonts w:ascii="Arial;sans-serif" w:hAnsi="Arial;sans-serif"/>
                  <w:b/>
                  <w:strike w:val="false"/>
                  <w:dstrike w:val="false"/>
                  <w:color w:val="000000"/>
                  <w:sz w:val="18"/>
                  <w:u w:val="none"/>
                  <w:effect w:val="none"/>
                </w:rPr>
                <w:t>PART I</w:t>
              </w:r>
            </w:hyperlink>
            <w:r>
              <w:rPr>
                <w:rFonts w:ascii="Arial;sans-serif" w:hAnsi="Arial;sans-serif"/>
                <w:b/>
                <w:color w:val="000000"/>
                <w:sz w:val="18"/>
              </w:rPr>
              <w:t xml:space="preserve"> Financial Information</w:t>
            </w:r>
          </w:p>
        </w:tc>
      </w:tr>
      <w:tr>
        <w:trPr/>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
              <w:r>
                <w:rPr>
                  <w:rStyle w:val="InternetLink"/>
                  <w:rFonts w:ascii="Arial;sans-serif" w:hAnsi="Arial;sans-serif"/>
                  <w:b w:val="false"/>
                  <w:strike w:val="false"/>
                  <w:dstrike w:val="false"/>
                  <w:color w:val="000000"/>
                  <w:sz w:val="18"/>
                  <w:u w:val="none"/>
                  <w:effect w:val="none"/>
                </w:rPr>
                <w:t>Item 1</w:t>
              </w:r>
            </w:hyperlink>
          </w:p>
        </w:tc>
        <w:tc>
          <w:tcPr>
            <w:tcW w:w="8986" w:type="dxa"/>
            <w:gridSpan w:val="6"/>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
              <w:r>
                <w:rPr>
                  <w:rStyle w:val="InternetLink"/>
                  <w:rFonts w:ascii="Arial;sans-serif" w:hAnsi="Arial;sans-serif"/>
                  <w:b w:val="false"/>
                  <w:strike w:val="false"/>
                  <w:dstrike w:val="false"/>
                  <w:color w:val="000000"/>
                  <w:sz w:val="18"/>
                  <w:u w:val="none"/>
                  <w:effect w:val="none"/>
                </w:rPr>
                <w:t>Financial Statements</w:t>
              </w:r>
            </w:hyperlink>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6">
              <w:r>
                <w:rPr>
                  <w:rStyle w:val="InternetLink"/>
                  <w:rFonts w:ascii="Arial;sans-serif" w:hAnsi="Arial;sans-serif"/>
                  <w:b w:val="false"/>
                  <w:strike w:val="false"/>
                  <w:dstrike w:val="false"/>
                  <w:color w:val="000000"/>
                  <w:sz w:val="18"/>
                  <w:u w:val="none"/>
                  <w:effect w:val="none"/>
                </w:rPr>
                <w:t xml:space="preserve">Condensed Consolidated Balance Sheets as of </w:t>
              </w:r>
            </w:hyperlink>
            <w:r>
              <w:rPr>
                <w:rFonts w:ascii="Arial;sans-serif" w:hAnsi="Arial;sans-serif"/>
                <w:b w:val="false"/>
                <w:color w:val="000000"/>
                <w:sz w:val="18"/>
              </w:rPr>
              <w:t>June 30, 2026</w:t>
            </w:r>
            <w:hyperlink w:anchor="i060de61eb8e045f28fb07bf182a23eaf_16">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December 31, 2025</w:t>
            </w:r>
          </w:p>
        </w:tc>
      </w:tr>
      <w:tr>
        <w:trPr/>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9">
              <w:r>
                <w:rPr>
                  <w:rStyle w:val="InternetLink"/>
                  <w:rFonts w:ascii="Arial;sans-serif" w:hAnsi="Arial;sans-serif"/>
                  <w:b w:val="false"/>
                  <w:strike w:val="false"/>
                  <w:dstrike w:val="false"/>
                  <w:color w:val="000000"/>
                  <w:sz w:val="18"/>
                  <w:u w:val="none"/>
                  <w:effect w:val="none"/>
                </w:rPr>
                <w:t xml:space="preserve">Condensed Consolidated Statements of Operations for the </w:t>
              </w:r>
            </w:hyperlink>
            <w:r>
              <w:rPr>
                <w:rFonts w:ascii="Arial;sans-serif" w:hAnsi="Arial;sans-serif"/>
                <w:b w:val="false"/>
                <w:color w:val="000000"/>
                <w:sz w:val="18"/>
              </w:rPr>
              <w:t>Three and Six Months Ended June 30,</w:t>
            </w:r>
            <w:hyperlink w:anchor="i060de61eb8e045f28fb07bf182a23eaf_19">
              <w:r>
                <w:rPr>
                  <w:rStyle w:val="InternetLink"/>
                  <w:rFonts w:ascii="Arial;sans-serif" w:hAnsi="Arial;sans-serif"/>
                  <w:b w:val="false"/>
                  <w:strike w:val="false"/>
                  <w:dstrike w:val="false"/>
                  <w:color w:val="000000"/>
                  <w:sz w:val="18"/>
                  <w:u w:val="none"/>
                  <w:effect w:val="none"/>
                </w:rPr>
                <w:t xml:space="preserve"> </w:t>
              </w:r>
            </w:hyperlink>
            <w:r>
              <w:rPr>
                <w:rFonts w:ascii="Arial;sans-serif" w:hAnsi="Arial;sans-serif"/>
                <w:b w:val="false"/>
                <w:color w:val="000000"/>
                <w:sz w:val="18"/>
              </w:rPr>
              <w:t>2026 and 2025</w:t>
            </w:r>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Condensed Consolidated Statements of Comprehensive Income for the Three and Six Months Ended June 30, 2026 and 2025</w:t>
            </w:r>
          </w:p>
        </w:tc>
      </w:tr>
      <w:tr>
        <w:trPr/>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25">
              <w:r>
                <w:rPr>
                  <w:rStyle w:val="InternetLink"/>
                  <w:rFonts w:ascii="Arial;sans-serif" w:hAnsi="Arial;sans-serif"/>
                  <w:b w:val="false"/>
                  <w:strike w:val="false"/>
                  <w:dstrike w:val="false"/>
                  <w:color w:val="000000"/>
                  <w:sz w:val="18"/>
                  <w:u w:val="none"/>
                  <w:effect w:val="none"/>
                </w:rPr>
                <w:t xml:space="preserve">Condensed Consolidated Statements of Changes in Equity for the </w:t>
              </w:r>
            </w:hyperlink>
            <w:r>
              <w:rPr>
                <w:rFonts w:ascii="Arial;sans-serif" w:hAnsi="Arial;sans-serif"/>
                <w:b w:val="false"/>
                <w:color w:val="000000"/>
                <w:sz w:val="18"/>
              </w:rPr>
              <w:t>Three and Six Months Ended June 30, 2026 and 2025</w:t>
            </w:r>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28">
              <w:r>
                <w:rPr>
                  <w:rStyle w:val="InternetLink"/>
                  <w:rFonts w:ascii="Arial;sans-serif" w:hAnsi="Arial;sans-serif"/>
                  <w:b w:val="false"/>
                  <w:strike w:val="false"/>
                  <w:dstrike w:val="false"/>
                  <w:color w:val="000000"/>
                  <w:sz w:val="18"/>
                  <w:u w:val="none"/>
                  <w:effect w:val="none"/>
                </w:rPr>
                <w:t xml:space="preserve">Condensed Consolidated Statements of Cash Flows for the </w:t>
              </w:r>
            </w:hyperlink>
            <w:r>
              <w:rPr>
                <w:rFonts w:ascii="Arial;sans-serif" w:hAnsi="Arial;sans-serif"/>
                <w:b w:val="false"/>
                <w:color w:val="000000"/>
                <w:sz w:val="18"/>
              </w:rPr>
              <w:t>Six Months Ended June 30, 2026</w:t>
            </w:r>
            <w:hyperlink w:anchor="i060de61eb8e045f28fb07bf182a23eaf_28">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2025</w:t>
            </w:r>
          </w:p>
        </w:tc>
      </w:tr>
      <w:tr>
        <w:trPr/>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both"/>
              <w:rPr/>
            </w:pPr>
            <w:hyperlink w:anchor="i060de61eb8e045f28fb07bf182a23eaf_31">
              <w:r>
                <w:rPr>
                  <w:rStyle w:val="InternetLink"/>
                  <w:rFonts w:ascii="Arial;sans-serif" w:hAnsi="Arial;sans-serif"/>
                  <w:b w:val="false"/>
                  <w:strike w:val="false"/>
                  <w:dstrike w:val="false"/>
                  <w:color w:val="000000"/>
                  <w:sz w:val="18"/>
                  <w:u w:val="none"/>
                  <w:effect w:val="none"/>
                </w:rPr>
                <w:t>Notes to the Condensed Consolidated Financial Statements</w:t>
              </w:r>
            </w:hyperlink>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03">
              <w:r>
                <w:rPr>
                  <w:rStyle w:val="InternetLink"/>
                  <w:rFonts w:ascii="Arial;sans-serif" w:hAnsi="Arial;sans-serif"/>
                  <w:b w:val="false"/>
                  <w:strike w:val="false"/>
                  <w:dstrike w:val="false"/>
                  <w:color w:val="000000"/>
                  <w:sz w:val="18"/>
                  <w:u w:val="none"/>
                  <w:effect w:val="none"/>
                </w:rPr>
                <w:t>Item 2</w:t>
              </w:r>
            </w:hyperlink>
          </w:p>
        </w:tc>
        <w:tc>
          <w:tcPr>
            <w:tcW w:w="8986" w:type="dxa"/>
            <w:gridSpan w:val="6"/>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03">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r>
      <w:tr>
        <w:trPr/>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0">
              <w:r>
                <w:rPr>
                  <w:rStyle w:val="InternetLink"/>
                  <w:rFonts w:ascii="Arial;sans-serif" w:hAnsi="Arial;sans-serif"/>
                  <w:b w:val="false"/>
                  <w:strike w:val="false"/>
                  <w:dstrike w:val="false"/>
                  <w:color w:val="000000"/>
                  <w:sz w:val="18"/>
                  <w:u w:val="none"/>
                  <w:effect w:val="none"/>
                </w:rPr>
                <w:t>Item 3</w:t>
              </w:r>
            </w:hyperlink>
          </w:p>
        </w:tc>
        <w:tc>
          <w:tcPr>
            <w:tcW w:w="8986" w:type="dxa"/>
            <w:gridSpan w:val="6"/>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0">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3">
              <w:r>
                <w:rPr>
                  <w:rStyle w:val="InternetLink"/>
                  <w:rFonts w:ascii="Arial;sans-serif" w:hAnsi="Arial;sans-serif"/>
                  <w:b w:val="false"/>
                  <w:strike w:val="false"/>
                  <w:dstrike w:val="false"/>
                  <w:color w:val="000000"/>
                  <w:sz w:val="18"/>
                  <w:u w:val="none"/>
                  <w:effect w:val="none"/>
                </w:rPr>
                <w:t>Item 4</w:t>
              </w:r>
            </w:hyperlink>
          </w:p>
        </w:tc>
        <w:tc>
          <w:tcPr>
            <w:tcW w:w="8986" w:type="dxa"/>
            <w:gridSpan w:val="6"/>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3">
              <w:r>
                <w:rPr>
                  <w:rStyle w:val="InternetLink"/>
                  <w:rFonts w:ascii="Arial;sans-serif" w:hAnsi="Arial;sans-serif"/>
                  <w:b w:val="false"/>
                  <w:strike w:val="false"/>
                  <w:dstrike w:val="false"/>
                  <w:color w:val="000000"/>
                  <w:sz w:val="18"/>
                  <w:u w:val="none"/>
                  <w:effect w:val="none"/>
                </w:rPr>
                <w:t>Controls and Procedures</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6">
              <w:r>
                <w:rPr>
                  <w:rStyle w:val="InternetLink"/>
                  <w:rFonts w:ascii="Arial;sans-serif" w:hAnsi="Arial;sans-serif"/>
                  <w:b/>
                  <w:strike w:val="false"/>
                  <w:dstrike w:val="false"/>
                  <w:color w:val="000000"/>
                  <w:sz w:val="18"/>
                  <w:u w:val="none"/>
                  <w:effect w:val="none"/>
                </w:rPr>
                <w:t>PART II Other Information</w:t>
              </w:r>
            </w:hyperlink>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9">
              <w:r>
                <w:rPr>
                  <w:rStyle w:val="InternetLink"/>
                  <w:rFonts w:ascii="Arial;sans-serif" w:hAnsi="Arial;sans-serif"/>
                  <w:b w:val="false"/>
                  <w:strike w:val="false"/>
                  <w:dstrike w:val="false"/>
                  <w:color w:val="000000"/>
                  <w:sz w:val="18"/>
                  <w:u w:val="none"/>
                  <w:effect w:val="none"/>
                </w:rPr>
                <w:t>Item 1</w:t>
              </w:r>
            </w:hyperlink>
          </w:p>
        </w:tc>
        <w:tc>
          <w:tcPr>
            <w:tcW w:w="8986" w:type="dxa"/>
            <w:gridSpan w:val="6"/>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39">
              <w:r>
                <w:rPr>
                  <w:rStyle w:val="InternetLink"/>
                  <w:rFonts w:ascii="Arial;sans-serif" w:hAnsi="Arial;sans-serif"/>
                  <w:b w:val="false"/>
                  <w:strike w:val="false"/>
                  <w:dstrike w:val="false"/>
                  <w:color w:val="000000"/>
                  <w:sz w:val="18"/>
                  <w:u w:val="none"/>
                  <w:effect w:val="none"/>
                </w:rPr>
                <w:t>Legal Proceedings</w:t>
              </w:r>
            </w:hyperlink>
          </w:p>
        </w:tc>
      </w:tr>
      <w:tr>
        <w:trPr/>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42">
              <w:r>
                <w:rPr>
                  <w:rStyle w:val="InternetLink"/>
                  <w:rFonts w:ascii="Arial;sans-serif" w:hAnsi="Arial;sans-serif"/>
                  <w:b w:val="false"/>
                  <w:strike w:val="false"/>
                  <w:dstrike w:val="false"/>
                  <w:color w:val="000000"/>
                  <w:sz w:val="18"/>
                  <w:u w:val="none"/>
                  <w:effect w:val="none"/>
                </w:rPr>
                <w:t>Item 1A</w:t>
              </w:r>
            </w:hyperlink>
          </w:p>
        </w:tc>
        <w:tc>
          <w:tcPr>
            <w:tcW w:w="8986" w:type="dxa"/>
            <w:gridSpan w:val="6"/>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42">
              <w:r>
                <w:rPr>
                  <w:rStyle w:val="InternetLink"/>
                  <w:rFonts w:ascii="Arial;sans-serif" w:hAnsi="Arial;sans-serif"/>
                  <w:b w:val="false"/>
                  <w:strike w:val="false"/>
                  <w:dstrike w:val="false"/>
                  <w:color w:val="000000"/>
                  <w:sz w:val="18"/>
                  <w:u w:val="none"/>
                  <w:effect w:val="none"/>
                </w:rPr>
                <w:t>Risk Factors</w:t>
              </w:r>
            </w:hyperlink>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45">
              <w:r>
                <w:rPr>
                  <w:rStyle w:val="InternetLink"/>
                  <w:rFonts w:ascii="Arial;sans-serif" w:hAnsi="Arial;sans-serif"/>
                  <w:b w:val="false"/>
                  <w:strike w:val="false"/>
                  <w:dstrike w:val="false"/>
                  <w:color w:val="000000"/>
                  <w:sz w:val="18"/>
                  <w:u w:val="none"/>
                  <w:effect w:val="none"/>
                </w:rPr>
                <w:t>Item 2</w:t>
              </w:r>
            </w:hyperlink>
          </w:p>
        </w:tc>
        <w:tc>
          <w:tcPr>
            <w:tcW w:w="8986" w:type="dxa"/>
            <w:gridSpan w:val="6"/>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45">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r>
      <w:tr>
        <w:trPr/>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48">
              <w:r>
                <w:rPr>
                  <w:rStyle w:val="InternetLink"/>
                  <w:rFonts w:ascii="Arial;sans-serif" w:hAnsi="Arial;sans-serif"/>
                  <w:b w:val="false"/>
                  <w:strike w:val="false"/>
                  <w:dstrike w:val="false"/>
                  <w:color w:val="000000"/>
                  <w:sz w:val="18"/>
                  <w:u w:val="none"/>
                  <w:effect w:val="none"/>
                </w:rPr>
                <w:t>Item 3</w:t>
              </w:r>
            </w:hyperlink>
          </w:p>
        </w:tc>
        <w:tc>
          <w:tcPr>
            <w:tcW w:w="8986" w:type="dxa"/>
            <w:gridSpan w:val="6"/>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48">
              <w:r>
                <w:rPr>
                  <w:rStyle w:val="InternetLink"/>
                  <w:rFonts w:ascii="Arial;sans-serif" w:hAnsi="Arial;sans-serif"/>
                  <w:b w:val="false"/>
                  <w:strike w:val="false"/>
                  <w:dstrike w:val="false"/>
                  <w:color w:val="000000"/>
                  <w:sz w:val="18"/>
                  <w:u w:val="none"/>
                  <w:effect w:val="none"/>
                </w:rPr>
                <w:t>Defaults Upon Senior Securities</w:t>
              </w:r>
            </w:hyperlink>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51">
              <w:r>
                <w:rPr>
                  <w:rStyle w:val="InternetLink"/>
                  <w:rFonts w:ascii="Arial;sans-serif" w:hAnsi="Arial;sans-serif"/>
                  <w:b w:val="false"/>
                  <w:strike w:val="false"/>
                  <w:dstrike w:val="false"/>
                  <w:color w:val="000000"/>
                  <w:sz w:val="18"/>
                  <w:u w:val="none"/>
                  <w:effect w:val="none"/>
                </w:rPr>
                <w:t>Item 4</w:t>
              </w:r>
            </w:hyperlink>
          </w:p>
        </w:tc>
        <w:tc>
          <w:tcPr>
            <w:tcW w:w="8986" w:type="dxa"/>
            <w:gridSpan w:val="6"/>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51">
              <w:r>
                <w:rPr>
                  <w:rStyle w:val="InternetLink"/>
                  <w:rFonts w:ascii="Arial;sans-serif" w:hAnsi="Arial;sans-serif"/>
                  <w:b w:val="false"/>
                  <w:strike w:val="false"/>
                  <w:dstrike w:val="false"/>
                  <w:color w:val="000000"/>
                  <w:sz w:val="18"/>
                  <w:u w:val="none"/>
                  <w:effect w:val="none"/>
                </w:rPr>
                <w:t>Mine Safety Disclosures</w:t>
              </w:r>
            </w:hyperlink>
          </w:p>
        </w:tc>
      </w:tr>
      <w:tr>
        <w:trPr/>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54">
              <w:r>
                <w:rPr>
                  <w:rStyle w:val="InternetLink"/>
                  <w:rFonts w:ascii="Arial;sans-serif" w:hAnsi="Arial;sans-serif"/>
                  <w:b w:val="false"/>
                  <w:strike w:val="false"/>
                  <w:dstrike w:val="false"/>
                  <w:color w:val="000000"/>
                  <w:sz w:val="18"/>
                  <w:u w:val="none"/>
                  <w:effect w:val="none"/>
                </w:rPr>
                <w:t>Item 5</w:t>
              </w:r>
            </w:hyperlink>
          </w:p>
        </w:tc>
        <w:tc>
          <w:tcPr>
            <w:tcW w:w="8986" w:type="dxa"/>
            <w:gridSpan w:val="6"/>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54">
              <w:r>
                <w:rPr>
                  <w:rStyle w:val="InternetLink"/>
                  <w:rFonts w:ascii="Arial;sans-serif" w:hAnsi="Arial;sans-serif"/>
                  <w:b w:val="false"/>
                  <w:strike w:val="false"/>
                  <w:dstrike w:val="false"/>
                  <w:color w:val="000000"/>
                  <w:sz w:val="18"/>
                  <w:u w:val="none"/>
                  <w:effect w:val="none"/>
                </w:rPr>
                <w:t>Other Information</w:t>
              </w:r>
            </w:hyperlink>
          </w:p>
        </w:tc>
      </w:tr>
      <w:tr>
        <w:trPr/>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57">
              <w:r>
                <w:rPr>
                  <w:rStyle w:val="InternetLink"/>
                  <w:rFonts w:ascii="Arial;sans-serif" w:hAnsi="Arial;sans-serif"/>
                  <w:b w:val="false"/>
                  <w:strike w:val="false"/>
                  <w:dstrike w:val="false"/>
                  <w:color w:val="000000"/>
                  <w:sz w:val="18"/>
                  <w:u w:val="none"/>
                  <w:effect w:val="none"/>
                </w:rPr>
                <w:t>Item 6</w:t>
              </w:r>
            </w:hyperlink>
          </w:p>
        </w:tc>
        <w:tc>
          <w:tcPr>
            <w:tcW w:w="8986" w:type="dxa"/>
            <w:gridSpan w:val="6"/>
            <w:tcBorders/>
            <w:shd w:fill="DBDBDB"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57">
              <w:r>
                <w:rPr>
                  <w:rStyle w:val="InternetLink"/>
                  <w:rFonts w:ascii="Arial;sans-serif" w:hAnsi="Arial;sans-serif"/>
                  <w:b w:val="false"/>
                  <w:strike w:val="false"/>
                  <w:dstrike w:val="false"/>
                  <w:color w:val="000000"/>
                  <w:sz w:val="18"/>
                  <w:u w:val="none"/>
                  <w:effect w:val="none"/>
                </w:rPr>
                <w:t>Exhibits</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00"/>
              <w:jc w:val="left"/>
              <w:rPr/>
            </w:pPr>
            <w:hyperlink w:anchor="i060de61eb8e045f28fb07bf182a23eaf_160">
              <w:r>
                <w:rPr>
                  <w:rStyle w:val="InternetLink"/>
                  <w:rFonts w:ascii="Arial;sans-serif" w:hAnsi="Arial;sans-serif"/>
                  <w:b/>
                  <w:strike w:val="false"/>
                  <w:dstrike w:val="false"/>
                  <w:color w:val="000000"/>
                  <w:sz w:val="18"/>
                  <w:u w:val="none"/>
                  <w:effect w:val="none"/>
                </w:rPr>
                <w:t>SIGNATURE</w:t>
              </w:r>
            </w:hyperlink>
          </w:p>
        </w:tc>
      </w:tr>
    </w:tbl>
    <w:p>
      <w:pPr>
        <w:pStyle w:val="TextBody"/>
        <w:bidi w:val="0"/>
        <w:spacing w:before="0" w:after="60"/>
        <w:jc w:val="both"/>
        <w:rPr/>
      </w:pPr>
      <w:r>
        <w:rPr/>
      </w:r>
    </w:p>
    <w:p>
      <w:pPr>
        <w:pStyle w:val="TextBody"/>
        <w:bidi w:val="0"/>
        <w:spacing w:before="0" w:after="60"/>
        <w:jc w:val="center"/>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70840"/>
                <wp:effectExtent l="0" t="0" r="0" b="0"/>
                <wp:wrapNone/>
                <wp:docPr id="3" name="Frame2"/>
                <a:graphic xmlns:a="http://schemas.openxmlformats.org/drawingml/2006/main">
                  <a:graphicData uri="http://schemas.microsoft.com/office/word/2010/wordprocessingShape">
                    <wps:wsp>
                      <wps:cNvSpPr txBox="1"/>
                      <wps:spPr>
                        <a:xfrm>
                          <a:off x="0" y="0"/>
                          <a:ext cx="6480175" cy="370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60"/>
                        <w:jc w:val="center"/>
                        <w:rPr/>
                      </w:pPr>
                      <w:r>
                        <w:rPr/>
                      </w:r>
                    </w:p>
                  </w:txbxContent>
                </v:textbox>
                <w10:wrap type="none"/>
              </v:rect>
            </w:pict>
          </mc:Fallback>
        </mc:AlternateContent>
      </w:r>
    </w:p>
    <w:p>
      <w:pPr>
        <w:pStyle w:val="TextBody"/>
        <w:bidi w:val="0"/>
        <w:spacing w:before="0" w:after="60"/>
        <w:jc w:val="center"/>
        <w:rPr/>
      </w:pPr>
      <w:r>
        <w:rPr/>
      </w:r>
    </w:p>
    <w:p>
      <w:pPr>
        <w:pStyle w:val="TextBody"/>
        <w:bidi w:val="0"/>
        <w:spacing w:lineRule="auto" w:line="240" w:before="0" w:after="0"/>
        <w:ind w:left="0" w:right="0" w:hanging="2160"/>
        <w:jc w:val="center"/>
        <w:rPr>
          <w:rFonts w:ascii="Arial;sans-serif" w:hAnsi="Arial;sans-serif"/>
          <w:b/>
          <w:color w:val="000000"/>
          <w:sz w:val="36"/>
        </w:rPr>
      </w:pPr>
      <w:r>
        <w:rPr>
          <w:rFonts w:ascii="Arial;sans-serif" w:hAnsi="Arial;sans-serif"/>
          <w:b/>
          <w:color w:val="000000"/>
          <w:sz w:val="36"/>
        </w:rPr>
        <w:t>PART I - Financial Information</w:t>
      </w:r>
    </w:p>
    <w:p>
      <w:pPr>
        <w:pStyle w:val="TextBody"/>
        <w:bidi w:val="0"/>
        <w:spacing w:before="0" w:after="0"/>
        <w:ind w:left="0" w:right="0" w:hanging="2160"/>
        <w:jc w:val="center"/>
        <w:rPr/>
      </w:pPr>
      <w:r>
        <w:rPr/>
      </w:r>
    </w:p>
    <w:p>
      <w:pPr>
        <w:pStyle w:val="TextBody"/>
        <w:bidi w:val="0"/>
        <w:spacing w:lineRule="auto" w:line="240" w:before="0" w:after="60"/>
        <w:jc w:val="left"/>
        <w:rPr>
          <w:rFonts w:ascii="Arial;sans-serif" w:hAnsi="Arial;sans-serif"/>
          <w:b/>
          <w:color w:val="000000"/>
          <w:sz w:val="36"/>
        </w:rPr>
      </w:pPr>
      <w:r>
        <w:rPr>
          <w:rFonts w:ascii="Arial;sans-serif" w:hAnsi="Arial;sans-serif"/>
          <w:b/>
          <w:color w:val="000000"/>
          <w:sz w:val="36"/>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Condensed Consolidated Balance Sheets</w:t>
      </w:r>
    </w:p>
    <w:p>
      <w:pPr>
        <w:pStyle w:val="TextBody"/>
        <w:bidi w:val="0"/>
        <w:spacing w:lineRule="auto" w:line="288" w:before="0" w:after="60"/>
        <w:jc w:val="center"/>
        <w:rPr>
          <w:rFonts w:ascii="Arial;sans-serif" w:hAnsi="Arial;sans-serif"/>
          <w:b w:val="false"/>
          <w:color w:val="1D2758"/>
          <w:sz w:val="20"/>
        </w:rPr>
      </w:pPr>
      <w:r>
        <w:rPr>
          <w:rFonts w:ascii="Arial;sans-serif" w:hAnsi="Arial;sans-serif"/>
          <w:b w:val="false"/>
          <w:color w:val="1D2758"/>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531"/>
        <w:gridCol w:w="2053"/>
        <w:gridCol w:w="2084"/>
        <w:gridCol w:w="273"/>
        <w:gridCol w:w="1268"/>
        <w:gridCol w:w="141"/>
        <w:gridCol w:w="109"/>
        <w:gridCol w:w="109"/>
        <w:gridCol w:w="109"/>
        <w:gridCol w:w="239"/>
        <w:gridCol w:w="1109"/>
        <w:gridCol w:w="180"/>
      </w:tblGrid>
      <w:tr>
        <w:trPr/>
        <w:tc>
          <w:tcPr>
            <w:tcW w:w="253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66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1D2758"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June 30, 2026 (unaudited)</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December 31, 2025</w:t>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682"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Trade receivables, net of allowances for credit losses at June 30, 2026 and December 31, 2025 of $70,737 and $61,755, respectively</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422,041 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394,708 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48,930 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45,560 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16,220 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27,709 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557,130 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525,051 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3,138,907 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3,093,321 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391,926 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390,220 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294,918 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310,662 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1,256,689 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1,257,612 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203,186 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224,088 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long-term assets</w:t>
            </w:r>
          </w:p>
        </w:tc>
        <w:tc>
          <w:tcPr>
            <w:tcW w:w="1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5,308,379 </w:t>
            </w:r>
          </w:p>
        </w:tc>
        <w:tc>
          <w:tcPr>
            <w:tcW w:w="14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5,291,116 </w:t>
            </w:r>
          </w:p>
        </w:tc>
        <w:tc>
          <w:tcPr>
            <w:tcW w:w="18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5,865,509 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5,816,167 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Liabilities and equity</w:t>
            </w:r>
          </w:p>
        </w:tc>
        <w:tc>
          <w:tcPr>
            <w:tcW w:w="1682"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152,280 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109,864 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133,813 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125,896 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employee benefits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47,638 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250,567 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237,322 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 – current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68,797 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33,469 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31,094 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686,564 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611,104 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3,461,831 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3,557,074 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516,715 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492,332 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 - non-current</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230,206 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241,933 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59,534 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57,470 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54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4,268,286 </w:t>
            </w:r>
          </w:p>
        </w:tc>
        <w:tc>
          <w:tcPr>
            <w:tcW w:w="14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4,348,809 </w:t>
            </w:r>
          </w:p>
        </w:tc>
        <w:tc>
          <w:tcPr>
            <w:tcW w:w="18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4,954,850 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4,959,913 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Preferred Stock: $0.0001 par, 1,000,000 shares authorized and zero shares issued and outstanding at June 30, 2026 and December 31, 2025</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Common Stock: $0.0001 par, 500,000,000 shares authorized and 181,055,275 and 181,184,438 shares issued and outstanding at June 30, 2026 and December 31, 2025, respectively</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paid-in-capital</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1,706,005 </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1,725,642 </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(70,507)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(69,453)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54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(724,858)</w:t>
            </w:r>
          </w:p>
        </w:tc>
        <w:tc>
          <w:tcPr>
            <w:tcW w:w="1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(799,954)</w:t>
            </w:r>
          </w:p>
        </w:tc>
        <w:tc>
          <w:tcPr>
            <w:tcW w:w="18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910,659 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856,254 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73"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5,865,509 </w:t>
            </w:r>
          </w:p>
        </w:tc>
        <w:tc>
          <w:tcPr>
            <w:tcW w:w="14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5,816,167 </w:t>
            </w:r>
          </w:p>
        </w:tc>
        <w:tc>
          <w:tcPr>
            <w:tcW w:w="180"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6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ind w:left="0" w:right="0" w:firstLine="72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Condensed Consolidated Statements of Operations (Unaudited)</w:t>
      </w:r>
    </w:p>
    <w:p>
      <w:pPr>
        <w:pStyle w:val="TextBody"/>
        <w:bidi w:val="0"/>
        <w:spacing w:lineRule="auto" w:line="288" w:before="0" w:after="60"/>
        <w:jc w:val="center"/>
        <w:rPr>
          <w:rFonts w:ascii="Arial;sans-serif" w:hAnsi="Arial;sans-serif"/>
          <w:b w:val="false"/>
          <w:color w:val="1D2758"/>
          <w:sz w:val="20"/>
        </w:rPr>
      </w:pPr>
      <w:r>
        <w:rPr>
          <w:rFonts w:ascii="Arial;sans-serif" w:hAnsi="Arial;sans-serif"/>
          <w:b w:val="false"/>
          <w:color w:val="1D2758"/>
          <w:sz w:val="20"/>
        </w:rPr>
        <w:t>(in thousands, except share and per share data)</w:t>
      </w:r>
    </w:p>
    <w:tbl>
      <w:tblPr>
        <w:tblW w:w="9476" w:type="dxa"/>
        <w:jc w:val="left"/>
        <w:tblInd w:w="0" w:type="dxa"/>
        <w:tblLayout w:type="fixed"/>
        <w:tblCellMar>
          <w:top w:w="28" w:type="dxa"/>
          <w:left w:w="28" w:type="dxa"/>
          <w:bottom w:w="28" w:type="dxa"/>
          <w:right w:w="28" w:type="dxa"/>
        </w:tblCellMar>
      </w:tblPr>
      <w:tblGrid>
        <w:gridCol w:w="1185"/>
        <w:gridCol w:w="1041"/>
        <w:gridCol w:w="1044"/>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327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449,684 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442,916 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875,206 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877,306 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30,158 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108,113 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204,140 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183,408 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15,694 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306,264 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296,070 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591,939 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596,436 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160,258 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314,266 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301,784 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117,494 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126,900 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214,157 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246,334 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before income tax</w:t>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64,015 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67,923 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107,071 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128,888 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181,012,131 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182,468,243 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181,005,445 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183,071,055 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181,808,591 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183,439,165 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181,641,748 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184,367,127 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Condensed Consolidated Statements of Comprehensive Income (Unaudited)</w:t>
      </w:r>
    </w:p>
    <w:p>
      <w:pPr>
        <w:pStyle w:val="TextBody"/>
        <w:bidi w:val="0"/>
        <w:spacing w:lineRule="auto" w:line="288" w:before="0" w:after="60"/>
        <w:jc w:val="center"/>
        <w:rPr>
          <w:rFonts w:ascii="Arial;sans-serif" w:hAnsi="Arial;sans-serif"/>
          <w:b w:val="false"/>
          <w:color w:val="1D2758"/>
          <w:sz w:val="20"/>
        </w:rPr>
      </w:pPr>
      <w:r>
        <w:rPr>
          <w:rFonts w:ascii="Arial;sans-serif" w:hAnsi="Arial;sans-serif"/>
          <w:b w:val="false"/>
          <w:color w:val="1D2758"/>
          <w:sz w:val="20"/>
        </w:rPr>
        <w:t>(in thousands)</w:t>
      </w:r>
    </w:p>
    <w:tbl>
      <w:tblPr>
        <w:tblW w:w="10205" w:type="dxa"/>
        <w:jc w:val="left"/>
        <w:tblInd w:w="0" w:type="dxa"/>
        <w:tblLayout w:type="fixed"/>
        <w:tblCellMar>
          <w:top w:w="28" w:type="dxa"/>
          <w:left w:w="28" w:type="dxa"/>
          <w:bottom w:w="28" w:type="dxa"/>
          <w:right w:w="28" w:type="dxa"/>
        </w:tblCellMar>
      </w:tblPr>
      <w:tblGrid>
        <w:gridCol w:w="1812"/>
        <w:gridCol w:w="1590"/>
        <w:gridCol w:w="161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1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501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5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currency translation adjustments, net of income tax expense of $0</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(8,161)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16,439 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gain (loss) on derivatives, net of income tax expense (benefit) of $903 and $(1,298) for the three months ended June 30, 2026 and 2025, respectively, and $2,347 and $(3,991) for the six months ended June 30, 2026 and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other comprehensive (loss) income</w:t>
            </w:r>
          </w:p>
        </w:tc>
        <w:tc>
          <w:tcPr>
            <w:tcW w:w="9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(2,007)</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12,356 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4,376 </w:t>
            </w:r>
          </w:p>
        </w:tc>
        <w:tc>
          <w:tcPr>
            <w:tcW w:w="15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60,295 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74,042 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95,370 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Condensed Consolidated Statements of Changes in Equity (Unaudited)</w:t>
      </w:r>
    </w:p>
    <w:p>
      <w:pPr>
        <w:pStyle w:val="TextBody"/>
        <w:bidi w:val="0"/>
        <w:spacing w:lineRule="auto" w:line="288" w:before="0" w:after="60"/>
        <w:jc w:val="center"/>
        <w:rPr>
          <w:rFonts w:ascii="Arial;sans-serif" w:hAnsi="Arial;sans-serif"/>
          <w:b w:val="false"/>
          <w:color w:val="1D2758"/>
          <w:sz w:val="20"/>
        </w:rPr>
      </w:pPr>
      <w:r>
        <w:rPr>
          <w:rFonts w:ascii="Arial;sans-serif" w:hAnsi="Arial;sans-serif"/>
          <w:b w:val="false"/>
          <w:color w:val="1D2758"/>
          <w:sz w:val="20"/>
        </w:rPr>
        <w:t>(in thousands)</w:t>
      </w:r>
    </w:p>
    <w:tbl>
      <w:tblPr>
        <w:tblW w:w="10205" w:type="dxa"/>
        <w:jc w:val="left"/>
        <w:tblInd w:w="0" w:type="dxa"/>
        <w:tblLayout w:type="fixed"/>
        <w:tblCellMar>
          <w:top w:w="28" w:type="dxa"/>
          <w:left w:w="28" w:type="dxa"/>
          <w:bottom w:w="28" w:type="dxa"/>
          <w:right w:w="28" w:type="dxa"/>
        </w:tblCellMar>
      </w:tblPr>
      <w:tblGrid>
        <w:gridCol w:w="986"/>
        <w:gridCol w:w="570"/>
        <w:gridCol w:w="572"/>
        <w:gridCol w:w="413"/>
        <w:gridCol w:w="413"/>
        <w:gridCol w:w="241"/>
        <w:gridCol w:w="311"/>
        <w:gridCol w:w="388"/>
        <w:gridCol w:w="117"/>
        <w:gridCol w:w="242"/>
        <w:gridCol w:w="1127"/>
        <w:gridCol w:w="127"/>
        <w:gridCol w:w="363"/>
        <w:gridCol w:w="1272"/>
        <w:gridCol w:w="189"/>
        <w:gridCol w:w="243"/>
        <w:gridCol w:w="973"/>
        <w:gridCol w:w="127"/>
        <w:gridCol w:w="269"/>
        <w:gridCol w:w="1054"/>
        <w:gridCol w:w="208"/>
      </w:tblGrid>
      <w:tr>
        <w:trPr/>
        <w:tc>
          <w:tcPr>
            <w:tcW w:w="98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 2026</w:t>
            </w:r>
          </w:p>
        </w:tc>
      </w:tr>
      <w:tr>
        <w:trPr/>
        <w:tc>
          <w:tcPr>
            <w:tcW w:w="212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shd w:fill="1D2758" w:val="clear"/>
            <w:tcMar>
              <w:top w:w="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r>
              <w:rPr>
                <w:rFonts w:ascii="Arial;sans-serif" w:hAnsi="Arial;sans-serif"/>
                <w:b/>
                <w:color w:val="FFFFFF"/>
                <w:sz w:val="18"/>
              </w:rPr>
              <w:t>Common Stock</w:t>
            </w:r>
          </w:p>
        </w:tc>
        <w:tc>
          <w:tcPr>
            <w:tcW w:w="1496"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Additional Paid-in-Capital</w:t>
            </w:r>
          </w:p>
        </w:tc>
        <w:tc>
          <w:tcPr>
            <w:tcW w:w="1824"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Accumulated Other Comprehensive Loss</w:t>
            </w:r>
          </w:p>
        </w:tc>
        <w:tc>
          <w:tcPr>
            <w:tcW w:w="1343"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Accumulated Deficit</w:t>
            </w:r>
          </w:p>
        </w:tc>
        <w:tc>
          <w:tcPr>
            <w:tcW w:w="1531"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Total Shareholders' Equity</w:t>
            </w:r>
          </w:p>
        </w:tc>
      </w:tr>
      <w:tr>
        <w:trPr/>
        <w:tc>
          <w:tcPr>
            <w:tcW w:w="212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Shares</w:t>
            </w:r>
          </w:p>
        </w:tc>
        <w:tc>
          <w:tcPr>
            <w:tcW w:w="81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Amount</w:t>
            </w:r>
          </w:p>
        </w:tc>
        <w:tc>
          <w:tcPr>
            <w:tcW w:w="149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2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343"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3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181,184 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8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1,725,642 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(69,453)</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(799,954)</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856,254 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7,107 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(7,285)</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(7,285)</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(12,771)</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(12,771)</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March 31, 2026</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180,995 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1,710,836 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(68,500)</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(771,831)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870,524 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7,895 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(12,868)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(12,868)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181,055 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1,706,005 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(70,507)</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(724,858)</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910,659 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987"/>
        <w:gridCol w:w="571"/>
        <w:gridCol w:w="573"/>
        <w:gridCol w:w="413"/>
        <w:gridCol w:w="413"/>
        <w:gridCol w:w="241"/>
        <w:gridCol w:w="298"/>
        <w:gridCol w:w="396"/>
        <w:gridCol w:w="116"/>
        <w:gridCol w:w="242"/>
        <w:gridCol w:w="1128"/>
        <w:gridCol w:w="127"/>
        <w:gridCol w:w="364"/>
        <w:gridCol w:w="1274"/>
        <w:gridCol w:w="190"/>
        <w:gridCol w:w="243"/>
        <w:gridCol w:w="973"/>
        <w:gridCol w:w="127"/>
        <w:gridCol w:w="238"/>
        <w:gridCol w:w="1108"/>
        <w:gridCol w:w="183"/>
      </w:tblGrid>
      <w:tr>
        <w:trPr/>
        <w:tc>
          <w:tcPr>
            <w:tcW w:w="98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 2025</w:t>
            </w:r>
          </w:p>
        </w:tc>
      </w:tr>
      <w:tr>
        <w:trPr/>
        <w:tc>
          <w:tcPr>
            <w:tcW w:w="213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6"/>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Common Stock</w:t>
            </w:r>
          </w:p>
        </w:tc>
        <w:tc>
          <w:tcPr>
            <w:tcW w:w="1497"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Additional Paid-in-Capital</w:t>
            </w:r>
          </w:p>
        </w:tc>
        <w:tc>
          <w:tcPr>
            <w:tcW w:w="1828"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Accumulated Other Comprehensive Loss</w:t>
            </w:r>
          </w:p>
        </w:tc>
        <w:tc>
          <w:tcPr>
            <w:tcW w:w="1343"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Accumulated Deficit</w:t>
            </w:r>
          </w:p>
        </w:tc>
        <w:tc>
          <w:tcPr>
            <w:tcW w:w="152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Total Shareholders' Equity</w:t>
            </w:r>
          </w:p>
        </w:tc>
      </w:tr>
      <w:tr>
        <w:trPr/>
        <w:tc>
          <w:tcPr>
            <w:tcW w:w="213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Shares</w:t>
            </w:r>
          </w:p>
        </w:tc>
        <w:tc>
          <w:tcPr>
            <w:tcW w:w="81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Amount</w:t>
            </w:r>
          </w:p>
        </w:tc>
        <w:tc>
          <w:tcPr>
            <w:tcW w:w="1497"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28"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343"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2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183,565 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9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1,836,165 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(70,627)</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(746,964)</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1,018,593 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(7,980)</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(7,980)</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(32,117)</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(32,117)</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(7,718)</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(7,718)</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(13,044)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8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183,109 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1,793,859 </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(78,607)</w:t>
            </w:r>
          </w:p>
        </w:tc>
        <w:tc>
          <w:tcPr>
            <w:tcW w:w="19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(703,909)</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1,011,362 </w:t>
            </w:r>
          </w:p>
        </w:tc>
        <w:tc>
          <w:tcPr>
            <w:tcW w:w="18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12,356 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12,356 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(1,533)</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(40,079)</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(40,079)</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(12,899)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82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182,237 </w:t>
            </w:r>
          </w:p>
        </w:tc>
        <w:tc>
          <w:tcPr>
            <w:tcW w:w="2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1,756,797 </w:t>
            </w:r>
          </w:p>
        </w:tc>
        <w:tc>
          <w:tcPr>
            <w:tcW w:w="1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(66,251)</w:t>
            </w:r>
          </w:p>
        </w:tc>
        <w:tc>
          <w:tcPr>
            <w:tcW w:w="19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(655,970)</w:t>
            </w:r>
          </w:p>
        </w:tc>
        <w:tc>
          <w:tcPr>
            <w:tcW w:w="1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1,034,595 </w:t>
            </w:r>
          </w:p>
        </w:tc>
        <w:tc>
          <w:tcPr>
            <w:tcW w:w="18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Condensed Consolidated Statements of Cash Flows (Unaudited)</w:t>
      </w:r>
    </w:p>
    <w:p>
      <w:pPr>
        <w:pStyle w:val="TextBody"/>
        <w:bidi w:val="0"/>
        <w:spacing w:lineRule="auto" w:line="288" w:before="0" w:after="0"/>
        <w:jc w:val="center"/>
        <w:rPr>
          <w:rFonts w:ascii="Arial;sans-serif" w:hAnsi="Arial;sans-serif"/>
          <w:b w:val="false"/>
          <w:color w:val="1D2758"/>
          <w:sz w:val="20"/>
        </w:rPr>
      </w:pPr>
      <w:r>
        <w:rPr>
          <w:rFonts w:ascii="Arial;sans-serif" w:hAnsi="Arial;sans-serif"/>
          <w:b w:val="false"/>
          <w:color w:val="1D2758"/>
          <w:sz w:val="20"/>
        </w:rPr>
        <w:t>(in thousands)</w:t>
      </w:r>
    </w:p>
    <w:tbl>
      <w:tblPr>
        <w:tblW w:w="9278" w:type="dxa"/>
        <w:jc w:val="left"/>
        <w:tblInd w:w="0" w:type="dxa"/>
        <w:tblLayout w:type="fixed"/>
        <w:tblCellMar>
          <w:top w:w="28" w:type="dxa"/>
          <w:left w:w="28" w:type="dxa"/>
          <w:bottom w:w="28" w:type="dxa"/>
          <w:right w:w="28" w:type="dxa"/>
        </w:tblCellMar>
      </w:tblPr>
      <w:tblGrid>
        <w:gridCol w:w="2394"/>
        <w:gridCol w:w="2102"/>
        <w:gridCol w:w="2118"/>
        <w:gridCol w:w="211"/>
        <w:gridCol w:w="826"/>
        <w:gridCol w:w="109"/>
        <w:gridCol w:w="109"/>
        <w:gridCol w:w="109"/>
        <w:gridCol w:w="109"/>
        <w:gridCol w:w="211"/>
        <w:gridCol w:w="826"/>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661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39,737 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19,756 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on sale of rental equipment and other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debt discounts and debt issuance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income tax expense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(3,609)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assets and liabilities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and 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(12,346)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411,938 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Acquisitions, net of cash acquired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(223,974)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(157,821)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(10,920)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(197,532)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(273,099)</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Receipts from borrowings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278,931 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860,307 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(880,890)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 of financing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Receipts from issuance of Common Stock from the exercise of options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Taxes paid on employee stock awards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(7,983)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(151,269)</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(135,942)</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Effect of exchange rate changes on cash and cash equivalents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Net change in cash and cash equivalents </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3,849 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end of the period</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18,167 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12,850 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paid,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 paid, net</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 accrued or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120"/>
        <w:jc w:val="center"/>
        <w:rPr>
          <w:rFonts w:ascii="Arial;sans-serif" w:hAnsi="Arial;sans-serif"/>
          <w:b w:val="false"/>
          <w:color w:val="1D2758"/>
          <w:sz w:val="26"/>
        </w:rPr>
      </w:pPr>
      <w:r>
        <w:rPr>
          <w:rFonts w:ascii="Arial;sans-serif" w:hAnsi="Arial;sans-serif"/>
          <w:b w:val="false"/>
          <w:color w:val="1D2758"/>
          <w:sz w:val="26"/>
        </w:rPr>
        <w:t>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both"/>
        <w:rPr>
          <w:rFonts w:ascii="Arial;sans-serif" w:hAnsi="Arial;sans-serif"/>
          <w:b w:val="false"/>
          <w:color w:val="1D2758"/>
          <w:sz w:val="26"/>
        </w:rPr>
      </w:pPr>
      <w:r>
        <w:rPr>
          <w:rFonts w:ascii="Arial;sans-serif" w:hAnsi="Arial;sans-serif"/>
          <w:b w:val="false"/>
          <w:color w:val="1D2758"/>
          <w:sz w:val="26"/>
        </w:rPr>
        <w:t>NOTE 1 - Summary of Significant Accounting Policies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Organization and Nature of Operations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WillScot Holdings Corporation (“WillScot” and, together with its subsidiaries, the “Company”) is a leading business services provider specializing in innovative and flexible turnkey space solutions in the United States (“US”), Canada, and Mexico. The Company leases, sells, delivers and installs modular space solutions (modular office complexes, mobile offices, classrooms, blast-resistant modules, clearspan structures and sanitation solutions) and portable storage products (portable storage containers and climate-controlled containers and trailers) through an integrated network of branch locations that spans North America. WillScot also offers its customers a thoughtfully curated selection of solutions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overall customer experience. The Company operates a hybrid in-house and outsourced logistics and service infrastructure that provides delivery, site work, installation, disassembly, removal and other services to customers for an additional fee as part of leasing and sales operations. </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Basis of Presentation and Principles of Consolidation</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unaudited condensed consolidated financial statements comprise the financial statements of WillScot and its subsidiaries that it controls due to ownership of a </w:t>
      </w:r>
      <w:r>
        <w:rPr>
          <w:rFonts w:ascii="Arial;sans-serif" w:hAnsi="Arial;sans-serif"/>
          <w:b w:val="false"/>
          <w:color w:val="000000"/>
          <w:sz w:val="18"/>
          <w:shd w:fill="FFFFFF" w:val="clear"/>
        </w:rPr>
        <w:t>majority voting interest, and contain all adjustments, which are of a normal and recurring nature, considered necessary by management to present fairly the financial position, results of operations and cash flows for the interim periods presented. Subsidiaries are fully consolidated from the dat</w:t>
      </w:r>
      <w:r>
        <w:rPr>
          <w:rFonts w:ascii="Arial;sans-serif" w:hAnsi="Arial;sans-serif"/>
          <w:b w:val="false"/>
          <w:color w:val="000000"/>
          <w:sz w:val="18"/>
        </w:rPr>
        <w:t xml:space="preserve">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 in consolidation. </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results of operations for the three and six months ended June 30, 2026 </w:t>
      </w:r>
      <w:r>
        <w:rPr>
          <w:rFonts w:ascii="Arial;sans-serif" w:hAnsi="Arial;sans-serif"/>
          <w:b w:val="false"/>
          <w:color w:val="000000"/>
          <w:sz w:val="18"/>
          <w:shd w:fill="FFFFFF" w:val="clear"/>
        </w:rPr>
        <w:t xml:space="preserve">are not necessarily indicative of the results to be expected for the full year. For further information, refer to the consolidated financial statements and notes included in the Company's Annual Report on Form 10-K for the year ended December 31, 2025.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Recently Issued Accounting Standards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November 2024, the Financial Accounting Standards Board ("FASB") issued Accounting Standards Update ("ASU") No. 2024-03 </w:t>
      </w:r>
      <w:r>
        <w:rPr>
          <w:rFonts w:ascii="Arial;sans-serif" w:hAnsi="Arial;sans-serif"/>
          <w:b w:val="false"/>
          <w:i/>
          <w:color w:val="000000"/>
          <w:sz w:val="18"/>
        </w:rPr>
        <w:t>Income Statement - Reporting Comprehensive Income - Expense Disaggregation Disclosures (Subtopic 220-40): Disaggregation of Income Statement Expenses</w:t>
      </w:r>
      <w:r>
        <w:rPr>
          <w:color w:val="000000"/>
        </w:rPr>
        <w:t xml:space="preserve"> </w:t>
      </w:r>
      <w:r>
        <w:rPr>
          <w:rFonts w:ascii="Arial;sans-serif" w:hAnsi="Arial;sans-serif"/>
          <w:b w:val="false"/>
          <w:color w:val="000000"/>
          <w:sz w:val="18"/>
        </w:rPr>
        <w:t>("ASU 2024-03"). ASU 2024-03 requires incremental disclosures about specific expense categories, including purchases of inventory, employee compensation, depreciation, amortization, and selling expenses. The amendments are effective for annual reporting periods beginning after December 15, 2026, and interim reporting periods within annual reporting periods beginning after December 15, 2027. Early adoption is permitted and the amendments may be applied either prospectively or retrospectively. The Company is evaluating the impact of ASU 2024-03 on its disclosures.</w:t>
      </w:r>
    </w:p>
    <w:p>
      <w:pPr>
        <w:pStyle w:val="TextBody"/>
        <w:bidi w:val="0"/>
        <w:spacing w:lineRule="auto" w:line="288" w:before="0" w:after="0"/>
        <w:ind w:left="0" w:right="0" w:firstLine="720"/>
        <w:jc w:val="both"/>
        <w:rPr/>
      </w:pPr>
      <w:r>
        <w:rPr>
          <w:rFonts w:ascii="Arial;sans-serif" w:hAnsi="Arial;sans-serif"/>
          <w:b w:val="false"/>
          <w:color w:val="000000"/>
          <w:sz w:val="18"/>
        </w:rPr>
        <w:t xml:space="preserve">In September 2025, the FASB issued ASU No. 2025-06 </w:t>
      </w:r>
      <w:r>
        <w:rPr>
          <w:rFonts w:ascii="Arial;sans-serif" w:hAnsi="Arial;sans-serif"/>
          <w:b w:val="false"/>
          <w:i/>
          <w:color w:val="000000"/>
          <w:sz w:val="18"/>
        </w:rPr>
        <w:t xml:space="preserve">Intangibles - Goodwill and Other Internal-Use Software (Subtopic 350-40): Targeted Improvements to the Accounting for Internal-Use Software </w:t>
      </w:r>
      <w:r>
        <w:rPr>
          <w:rFonts w:ascii="Arial;sans-serif" w:hAnsi="Arial;sans-serif"/>
          <w:b w:val="false"/>
          <w:color w:val="000000"/>
          <w:sz w:val="18"/>
        </w:rPr>
        <w:t>("ASU 2025-06") to modernize the accounting guidance for costs incurred to develop internal-use software, including which costs are required to be recognized as an asset. ASU 2025-06 is effective for annual and interim reporting periods beginning after December 15, 2027. The Company is evaluating the impact of ASU 2025-06 on its consolidated financial statements and disclosures.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2 - Restructuring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December 2025, the Company's Board of Directors (the "Board of Directors") approved a comprehensive network optimization initiative (the "Network Optimization Plan") designed to reduce real estate costs while maintaining market coverage and customer service capabilities. The Network Optimization Plan encompassed exiting approximately 665 acres of real estate representing 108 branch and drop lot locations and approximately 25% of the Company's leased acreage. To enable these exits, management identified rental fleet units with a net book value of $312.1 million to be abandoned, representing approximately 53,000 units (approximately 31,000 portable storage units and 22,000 modular space units). For the year ended December 31, 2025, the Company recorded restructuring costs for the Network Optimization Plan of $301.9 million, consisting of accelerated depreciation of rental equipment. As of June 30, 2026, the Company has disposed of approximately 23,000 portable storage units and 11,000 modular space units related to the Network Optimization Plan. The Company expects to substantially complete all real estate exits and related rental equipment disposals under the Network Optimization Plan by 2029.</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Expenses associated with the Network Optimization Plan include accelerated depreciation, disposal costs, relocation costs, and other related costs. Disposal costs consist of demolition costs, waste removal fees, and scrapping fees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recorded within restructuring costs when incurred. Relocation costs consist primarily of costs to relocate units to other branch locations and are recorded within costs of leasing when incurred. The Company does not expect to exit locations until the end of the contractual lease term; therefore, rental expense will continue to be incurred within selling, general and administrative ("SG&amp;A") expense as the Company consumes its right to use the real estate.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following table presents charges relating to the </w:t>
      </w:r>
      <w:r>
        <w:rPr>
          <w:rFonts w:ascii="Arial;sans-serif" w:hAnsi="Arial;sans-serif"/>
          <w:b w:val="false"/>
          <w:color w:val="000000"/>
          <w:sz w:val="18"/>
          <w:shd w:fill="FFFFFF" w:val="clear"/>
        </w:rPr>
        <w:t>Network Optimization Plan</w:t>
      </w:r>
      <w:r>
        <w:rPr>
          <w:color w:val="000000"/>
        </w:rPr>
        <w:t xml:space="preserve"> </w:t>
      </w:r>
      <w:r>
        <w:rPr>
          <w:rFonts w:ascii="Arial;sans-serif" w:hAnsi="Arial;sans-serif"/>
          <w:b w:val="false"/>
          <w:color w:val="000000"/>
          <w:sz w:val="18"/>
        </w:rPr>
        <w:t>recognized in the three and six months ended June 30,</w:t>
      </w:r>
      <w:r>
        <w:rPr>
          <w:color w:val="000000"/>
          <w:shd w:fill="FFFFFF" w:val="clear"/>
        </w:rPr>
        <w:t xml:space="preserve"> </w:t>
      </w:r>
      <w:r>
        <w:rPr>
          <w:rFonts w:ascii="Arial;sans-serif" w:hAnsi="Arial;sans-serif"/>
          <w:b w:val="false"/>
          <w:color w:val="000000"/>
          <w:sz w:val="18"/>
          <w:shd w:fill="FFFFFF" w:val="clear"/>
        </w:rPr>
        <w:t>2026 and the total costs incurred to date:</w:t>
      </w:r>
    </w:p>
    <w:tbl>
      <w:tblPr>
        <w:tblW w:w="9942" w:type="dxa"/>
        <w:jc w:val="left"/>
        <w:tblInd w:w="0" w:type="dxa"/>
        <w:tblLayout w:type="fixed"/>
        <w:tblCellMar>
          <w:top w:w="28" w:type="dxa"/>
          <w:left w:w="28" w:type="dxa"/>
          <w:bottom w:w="28" w:type="dxa"/>
          <w:right w:w="28" w:type="dxa"/>
        </w:tblCellMar>
      </w:tblPr>
      <w:tblGrid>
        <w:gridCol w:w="783"/>
        <w:gridCol w:w="687"/>
        <w:gridCol w:w="689"/>
        <w:gridCol w:w="696"/>
        <w:gridCol w:w="2034"/>
        <w:gridCol w:w="359"/>
        <w:gridCol w:w="580"/>
        <w:gridCol w:w="1985"/>
        <w:gridCol w:w="300"/>
        <w:gridCol w:w="324"/>
        <w:gridCol w:w="1270"/>
        <w:gridCol w:w="235"/>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15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308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 June 30, 2026</w:t>
            </w:r>
          </w:p>
        </w:tc>
        <w:tc>
          <w:tcPr>
            <w:tcW w:w="2865"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 2026</w:t>
            </w:r>
          </w:p>
        </w:tc>
        <w:tc>
          <w:tcPr>
            <w:tcW w:w="1829"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Costs to Date</w:t>
            </w:r>
          </w:p>
        </w:tc>
      </w:tr>
      <w:tr>
        <w:trPr/>
        <w:tc>
          <w:tcPr>
            <w:tcW w:w="215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08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286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29" w:type="dxa"/>
            <w:gridSpan w:val="3"/>
            <w:tcBorders/>
            <w:shd w:fill="1D2758"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As of June 30, 2026</w:t>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Disposal costs</w:t>
            </w:r>
          </w:p>
        </w:tc>
        <w:tc>
          <w:tcPr>
            <w:tcW w:w="6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03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5,086 </w:t>
            </w:r>
          </w:p>
        </w:tc>
        <w:tc>
          <w:tcPr>
            <w:tcW w:w="3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98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16,336 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16,336 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Relocation costs</w:t>
            </w:r>
          </w:p>
        </w:tc>
        <w:tc>
          <w:tcPr>
            <w:tcW w:w="2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depreciation</w:t>
            </w:r>
          </w:p>
        </w:tc>
        <w:tc>
          <w:tcPr>
            <w:tcW w:w="27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301,863 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costs</w:t>
            </w:r>
          </w:p>
        </w:tc>
        <w:tc>
          <w:tcPr>
            <w:tcW w:w="2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charges</w:t>
            </w:r>
          </w:p>
        </w:tc>
        <w:tc>
          <w:tcPr>
            <w:tcW w:w="6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03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6,163 </w:t>
            </w:r>
          </w:p>
        </w:tc>
        <w:tc>
          <w:tcPr>
            <w:tcW w:w="3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98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17,791 </w:t>
            </w:r>
          </w:p>
        </w:tc>
        <w:tc>
          <w:tcPr>
            <w:tcW w:w="30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319,654 </w:t>
            </w:r>
          </w:p>
        </w:tc>
        <w:tc>
          <w:tcPr>
            <w:tcW w:w="2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presents cash activity and balances relating to the Network Optimization Plan liabilities:</w:t>
      </w:r>
    </w:p>
    <w:tbl>
      <w:tblPr>
        <w:tblW w:w="7063" w:type="dxa"/>
        <w:jc w:val="left"/>
        <w:tblInd w:w="0" w:type="dxa"/>
        <w:tblLayout w:type="fixed"/>
        <w:tblCellMar>
          <w:top w:w="28" w:type="dxa"/>
          <w:left w:w="28" w:type="dxa"/>
          <w:bottom w:w="28" w:type="dxa"/>
          <w:right w:w="28" w:type="dxa"/>
        </w:tblCellMar>
      </w:tblPr>
      <w:tblGrid>
        <w:gridCol w:w="1050"/>
        <w:gridCol w:w="921"/>
        <w:gridCol w:w="923"/>
        <w:gridCol w:w="318"/>
        <w:gridCol w:w="928"/>
        <w:gridCol w:w="164"/>
        <w:gridCol w:w="422"/>
        <w:gridCol w:w="933"/>
        <w:gridCol w:w="219"/>
        <w:gridCol w:w="301"/>
        <w:gridCol w:w="665"/>
        <w:gridCol w:w="219"/>
      </w:tblGrid>
      <w:tr>
        <w:trPr/>
        <w:tc>
          <w:tcPr>
            <w:tcW w:w="10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41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Disposal Costs</w:t>
            </w:r>
          </w:p>
        </w:tc>
        <w:tc>
          <w:tcPr>
            <w:tcW w:w="157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Relocation Costs</w:t>
            </w:r>
          </w:p>
        </w:tc>
        <w:tc>
          <w:tcPr>
            <w:tcW w:w="118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Other Costs</w:t>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Liability as of December 31, 2025</w:t>
            </w:r>
          </w:p>
        </w:tc>
        <w:tc>
          <w:tcPr>
            <w:tcW w:w="31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and related charges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(14,002)</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Liability as of June 30, 2026</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2,334 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June 30, 2026, the Company expects the initiative to result in total future costs of approximately $43 million, consisting of rental equipment disposal costs of approximately $27 million and rental equipment relocation costs of approximately $16 million. The amount and timing of the actual charges may vary due to a variety of factors, including the ability of vendors to accommodate disposal volumes and additional time needed to exit leased properties. The Company’s estimates for the charges discussed above exclude any potential income tax effects.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3 - Revenue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Revenue Disaggregation</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Geographic Areas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had total revenue in the following geographic areas for the three and six months ended June 30, 2026 and 2025 as follows:</w:t>
      </w:r>
    </w:p>
    <w:tbl>
      <w:tblPr>
        <w:tblW w:w="6918" w:type="dxa"/>
        <w:jc w:val="left"/>
        <w:tblInd w:w="0" w:type="dxa"/>
        <w:tblLayout w:type="fixed"/>
        <w:tblCellMar>
          <w:top w:w="28" w:type="dxa"/>
          <w:left w:w="28" w:type="dxa"/>
          <w:bottom w:w="28" w:type="dxa"/>
          <w:right w:w="28" w:type="dxa"/>
        </w:tblCellMar>
      </w:tblPr>
      <w:tblGrid>
        <w:gridCol w:w="484"/>
        <w:gridCol w:w="425"/>
        <w:gridCol w:w="426"/>
        <w:gridCol w:w="211"/>
        <w:gridCol w:w="826"/>
        <w:gridCol w:w="109"/>
        <w:gridCol w:w="109"/>
        <w:gridCol w:w="109"/>
        <w:gridCol w:w="109"/>
        <w:gridCol w:w="211"/>
        <w:gridCol w:w="826"/>
        <w:gridCol w:w="109"/>
        <w:gridCol w:w="211"/>
        <w:gridCol w:w="976"/>
        <w:gridCol w:w="109"/>
        <w:gridCol w:w="109"/>
        <w:gridCol w:w="109"/>
        <w:gridCol w:w="109"/>
        <w:gridCol w:w="211"/>
        <w:gridCol w:w="97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964"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571,557 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550,716 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1,089,117 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1,081,762 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10,554 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Major Product and Service Lines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Equipment leasing is the Company's core business and the primary driver of the Company's revenue and cash flows. This includes turnkey space solutions along with VAPS. Leasing is complemented by new unit sales and sales of rental units. In connection with its leasing and sales activities, the Company provides services including delivery and installation, maintenance, removal, and other ad hoc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Company’s revenue by major product and service line for the three and six months ended June 30, 2026 and 2025 was as follows:</w:t>
      </w:r>
    </w:p>
    <w:tbl>
      <w:tblPr>
        <w:tblW w:w="9017" w:type="dxa"/>
        <w:jc w:val="left"/>
        <w:tblInd w:w="0" w:type="dxa"/>
        <w:tblLayout w:type="fixed"/>
        <w:tblCellMar>
          <w:top w:w="28" w:type="dxa"/>
          <w:left w:w="28" w:type="dxa"/>
          <w:bottom w:w="28" w:type="dxa"/>
          <w:right w:w="28" w:type="dxa"/>
        </w:tblCellMar>
      </w:tblPr>
      <w:tblGrid>
        <w:gridCol w:w="1245"/>
        <w:gridCol w:w="1093"/>
        <w:gridCol w:w="1096"/>
        <w:gridCol w:w="211"/>
        <w:gridCol w:w="826"/>
        <w:gridCol w:w="109"/>
        <w:gridCol w:w="109"/>
        <w:gridCol w:w="109"/>
        <w:gridCol w:w="109"/>
        <w:gridCol w:w="211"/>
        <w:gridCol w:w="826"/>
        <w:gridCol w:w="109"/>
        <w:gridCol w:w="211"/>
        <w:gridCol w:w="976"/>
        <w:gridCol w:w="109"/>
        <w:gridCol w:w="109"/>
        <w:gridCol w:w="109"/>
        <w:gridCol w:w="109"/>
        <w:gridCol w:w="211"/>
        <w:gridCol w:w="97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964"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343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Modular space leasing revenue</w:t>
            </w:r>
            <w:r>
              <w:rPr>
                <w:rFonts w:ascii="Arial;sans-serif" w:hAnsi="Arial;sans-serif"/>
                <w:b w:val="false"/>
                <w:color w:val="000000"/>
                <w:sz w:val="12"/>
              </w:rPr>
              <w:t>(a)</w:t>
            </w:r>
          </w:p>
        </w:tc>
        <w:tc>
          <w:tcPr>
            <w:tcW w:w="2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256,829 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251,374 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500,590 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497,238 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Portable storage leasing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VAPS and third-party leasing revenues</w:t>
            </w:r>
            <w:r>
              <w:rPr>
                <w:rFonts w:ascii="Arial;sans-serif" w:hAnsi="Arial;sans-serif"/>
                <w:b w:val="false"/>
                <w:color w:val="000000"/>
                <w:sz w:val="12"/>
              </w:rPr>
              <w:t>(b)</w:t>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103,386 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100,030 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200,521 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196,369 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leasing-related revenue</w:t>
            </w:r>
            <w:r>
              <w:rPr>
                <w:rFonts w:ascii="Arial;sans-serif" w:hAnsi="Arial;sans-serif"/>
                <w:b w:val="false"/>
                <w:color w:val="000000"/>
                <w:sz w:val="12"/>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 revenue</w:t>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449,684 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442,916 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875,206 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877,306 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 and installation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leasing and services revenue</w:t>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585,528 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551,368 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1,110,572 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1,074,419 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 sales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 sales revenue</w:t>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12,036 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16,095 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26,626 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30,158 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 xml:space="preserve">(a) Includes revenue from clearspan structures. </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(b) Includes $12.6 million and $9.5 million of service revenue for the three months ended June 30, 2026 and 2025, respectively and $22.8 million and $18.7 million of service revenue for the six months ended June 30, 2026 and 2025, respectively.</w:t>
      </w:r>
    </w:p>
    <w:p>
      <w:pPr>
        <w:pStyle w:val="TextBody"/>
        <w:bidi w:val="0"/>
        <w:spacing w:lineRule="auto" w:line="288" w:before="0" w:after="120"/>
        <w:jc w:val="both"/>
        <w:rPr/>
      </w:pPr>
      <w:r>
        <w:rPr>
          <w:rFonts w:ascii="Arial;sans-serif" w:hAnsi="Arial;sans-serif"/>
          <w:b w:val="false"/>
          <w:color w:val="000000"/>
          <w:sz w:val="16"/>
        </w:rPr>
        <w:t>(c) Includes primarily damage billings, delinquent payment charges, other processing fees associated with leasing arrangements, and is partially offset by write-offs of specific uncollectible lease receivables recorded as a reduction to revenue of $10.3 million</w:t>
      </w:r>
      <w:r>
        <w:rPr>
          <w:color w:val="000000"/>
        </w:rPr>
        <w:t xml:space="preserve"> </w:t>
      </w:r>
      <w:r>
        <w:rPr>
          <w:rFonts w:ascii="Arial;sans-serif" w:hAnsi="Arial;sans-serif"/>
          <w:b w:val="false"/>
          <w:color w:val="000000"/>
          <w:sz w:val="16"/>
        </w:rPr>
        <w:t>and $15.1 million, for the three months ended June 30, 2026 and 2025, respectively and $23.4 million</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6"/>
        </w:rPr>
        <w:t>$25.7 million for the six months ended June 30, 2026 and 2025, respectively.</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Revenue</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majority of revenue (71% and 74% for the three months ended June 30, 2026 and 2025, respectively, and 73% and 75% for the six months ended June 30, 2026, and 2025, respectively) was generated by lease income subject to the guidance of Accounting Standards Codification ("ASC"), </w:t>
      </w:r>
      <w:r>
        <w:rPr>
          <w:rFonts w:ascii="Arial;sans-serif" w:hAnsi="Arial;sans-serif"/>
          <w:b w:val="false"/>
          <w:i/>
          <w:color w:val="000000"/>
          <w:sz w:val="18"/>
        </w:rPr>
        <w:t>Leases (Topic 842)</w:t>
      </w:r>
      <w:r>
        <w:rPr>
          <w:color w:val="000000"/>
          <w:shd w:fill="FFFFFF" w:val="clear"/>
        </w:rPr>
        <w:t xml:space="preserve"> </w:t>
      </w:r>
      <w:r>
        <w:rPr>
          <w:rFonts w:ascii="Arial;sans-serif" w:hAnsi="Arial;sans-serif"/>
          <w:b w:val="false"/>
          <w:color w:val="000000"/>
          <w:sz w:val="18"/>
          <w:shd w:fill="FFFFFF" w:val="clear"/>
        </w:rPr>
        <w:t>("ASC 842")</w:t>
      </w:r>
      <w:r>
        <w:rPr>
          <w:rFonts w:ascii="Arial;sans-serif" w:hAnsi="Arial;sans-serif"/>
          <w:b w:val="false"/>
          <w:color w:val="000000"/>
          <w:sz w:val="18"/>
        </w:rPr>
        <w:t xml:space="preserve">. The remaining revenue was generated by performance obligations in contracts with customers for services or the sale of units subject to the guidance of ASC, </w:t>
      </w:r>
      <w:r>
        <w:rPr>
          <w:rFonts w:ascii="Arial;sans-serif" w:hAnsi="Arial;sans-serif"/>
          <w:b w:val="false"/>
          <w:i/>
          <w:color w:val="000000"/>
          <w:sz w:val="18"/>
        </w:rPr>
        <w:t>Revenue from Contracts with Customers (Topic 606)</w:t>
      </w:r>
      <w:r>
        <w:rPr>
          <w:color w:val="000000"/>
        </w:rPr>
        <w:t xml:space="preserve"> </w:t>
      </w:r>
      <w:r>
        <w:rPr>
          <w:rFonts w:ascii="Arial;sans-serif" w:hAnsi="Arial;sans-serif"/>
          <w:b w:val="false"/>
          <w:color w:val="000000"/>
          <w:sz w:val="18"/>
          <w:shd w:fill="FFFFFF" w:val="clear"/>
        </w:rPr>
        <w:t>("ASC 606")</w:t>
      </w:r>
      <w:r>
        <w:rPr>
          <w:rFonts w:ascii="Arial;sans-serif" w:hAnsi="Arial;sans-serif"/>
          <w:b w:val="false"/>
          <w:color w:val="000000"/>
          <w:sz w:val="18"/>
        </w:rPr>
        <w: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Receivables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Concentration of credit risk with respect to the Company's receivables is limited because of a large number of geographically diverse customers who operate in a variety of end markets. The Company manages credit risk through credit approvals, credit limits, and other monitoring procedures. </w:t>
      </w:r>
    </w:p>
    <w:p>
      <w:pPr>
        <w:pStyle w:val="TextBody"/>
        <w:bidi w:val="0"/>
        <w:spacing w:lineRule="auto" w:line="288" w:before="0" w:after="60"/>
        <w:ind w:left="0" w:right="0" w:firstLine="720"/>
        <w:jc w:val="both"/>
        <w:rPr/>
      </w:pPr>
      <w:r>
        <w:rPr>
          <w:rFonts w:ascii="Arial;sans-serif" w:hAnsi="Arial;sans-serif"/>
          <w:b w:val="false"/>
          <w:color w:val="000000"/>
          <w:sz w:val="18"/>
        </w:rPr>
        <w:t>The Company's allowance for credit losses reflects its estimate of the amount of receivables that the Company will be unable to collect. T</w:t>
      </w:r>
      <w:r>
        <w:rPr>
          <w:rFonts w:ascii="Arial;sans-serif" w:hAnsi="Arial;sans-serif"/>
          <w:b w:val="false"/>
          <w:color w:val="000000"/>
          <w:sz w:val="18"/>
          <w:shd w:fill="FFFFFF" w:val="clear"/>
        </w:rPr>
        <w:t>he estimated losses are calculated using the l</w:t>
      </w:r>
      <w:r>
        <w:rPr>
          <w:rFonts w:ascii="Arial;sans-serif" w:hAnsi="Arial;sans-serif"/>
          <w:b w:val="false"/>
          <w:color w:val="000000"/>
          <w:sz w:val="18"/>
        </w:rPr>
        <w:t xml:space="preserve">oss rate method based upon a review of outstanding receivables, related aging, and historical collection experience. The Company's estimate is sensitive to changing circumstances, and the Company may be required to increase or decrease its allowance in future periods in response to changing circumstances, including changes in the economy or in the particular circumstances of individual customers. The Company has elected the practical expedient to assume that current conditions as of the balance sheet date do not change for the remaining life of the asset. Specifically identifiable receivables not deemed probable of collection are recorded as a reduction of revenue. The remaining provision for credit losses is recorded as selling, general and administrative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Activity in the allowance for credit losses for the three and six months ended June 30, 2026 and 2025 was as follows: </w:t>
      </w:r>
    </w:p>
    <w:tbl>
      <w:tblPr>
        <w:tblW w:w="10205" w:type="dxa"/>
        <w:jc w:val="left"/>
        <w:tblInd w:w="0" w:type="dxa"/>
        <w:tblLayout w:type="fixed"/>
        <w:tblCellMar>
          <w:top w:w="28" w:type="dxa"/>
          <w:left w:w="28" w:type="dxa"/>
          <w:bottom w:w="28" w:type="dxa"/>
          <w:right w:w="28" w:type="dxa"/>
        </w:tblCellMar>
      </w:tblPr>
      <w:tblGrid>
        <w:gridCol w:w="1742"/>
        <w:gridCol w:w="1529"/>
        <w:gridCol w:w="1532"/>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480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48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62,389 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100,291 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61,755 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101,693 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Write-offs to leasing revenue</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(10,348)</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(15,072)</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(23,373)</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(25,661)</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Write-offs to delivery and installation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Write-offs to new units sales revenue</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Write-offs to rental units sales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write-offs recorded as a reduction to revenue, net of recoveries</w:t>
            </w:r>
          </w:p>
        </w:tc>
        <w:tc>
          <w:tcPr>
            <w:tcW w:w="93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(13,616)</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(19,571)</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(30,754)</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(33,336)</w:t>
            </w:r>
          </w:p>
        </w:tc>
        <w:tc>
          <w:tcPr>
            <w:tcW w:w="15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70,737 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88,360 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70,737 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88,360 </w:t>
            </w:r>
          </w:p>
        </w:tc>
        <w:tc>
          <w:tcPr>
            <w:tcW w:w="15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Contract Assets and Liabilities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June 30, 2026 and December 31, 2025, the Company recorded deferred revenue related to service revenue billed in advance of </w:t>
      </w:r>
      <w:r>
        <w:rPr>
          <w:rFonts w:ascii="Arial;sans-serif" w:hAnsi="Arial;sans-serif"/>
          <w:b w:val="false"/>
          <w:color w:val="000000"/>
          <w:sz w:val="18"/>
        </w:rPr>
        <w:t>$145.8 million</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$134.6 million</w:t>
      </w:r>
      <w:r>
        <w:rPr>
          <w:rFonts w:ascii="Arial;sans-serif" w:hAnsi="Arial;sans-serif"/>
          <w:b w:val="false"/>
          <w:color w:val="000000"/>
          <w:sz w:val="18"/>
          <w:shd w:fill="FFFFFF" w:val="clear"/>
        </w:rPr>
        <w:t xml:space="preserve">, respectively. During the </w:t>
      </w:r>
      <w:r>
        <w:rPr>
          <w:rFonts w:ascii="Arial;sans-serif" w:hAnsi="Arial;sans-serif"/>
          <w:b w:val="false"/>
          <w:color w:val="000000"/>
          <w:sz w:val="18"/>
        </w:rPr>
        <w:t>three and six months ended June 30,</w:t>
      </w:r>
      <w:r>
        <w:rPr>
          <w:color w:val="000000"/>
          <w:shd w:fill="FFFFFF" w:val="clear"/>
        </w:rPr>
        <w:t xml:space="preserve"> </w:t>
      </w:r>
      <w:r>
        <w:rPr>
          <w:rFonts w:ascii="Arial;sans-serif" w:hAnsi="Arial;sans-serif"/>
          <w:b w:val="false"/>
          <w:color w:val="000000"/>
          <w:sz w:val="18"/>
          <w:shd w:fill="FFFFFF" w:val="clear"/>
        </w:rPr>
        <w:t xml:space="preserve">2026, the Company recognized revenue of </w:t>
      </w:r>
      <w:r>
        <w:rPr>
          <w:rFonts w:ascii="Arial;sans-serif" w:hAnsi="Arial;sans-serif"/>
          <w:b w:val="false"/>
          <w:color w:val="000000"/>
          <w:sz w:val="18"/>
        </w:rPr>
        <w:t xml:space="preserve">$21.5 million and $47.3 million, respectively, </w:t>
      </w:r>
      <w:r>
        <w:rPr>
          <w:rFonts w:ascii="Arial;sans-serif" w:hAnsi="Arial;sans-serif"/>
          <w:b w:val="false"/>
          <w:color w:val="000000"/>
          <w:sz w:val="18"/>
          <w:shd w:fill="FFFFFF" w:val="clear"/>
        </w:rPr>
        <w:t xml:space="preserve">for service revenue billed in advance that was recorded as deferred revenue as of December 31, 2025.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Company does not have material contract assets, and it did not recognize any material impairments of any contract assets. The Company's uncompleted contracts with customers have unsatisfied (or partially satisfied) performance obligations. For the future services revenues that are expected to be recognized within twelve months, the Compa</w:t>
      </w:r>
      <w:r>
        <w:rPr>
          <w:rFonts w:ascii="Arial;sans-serif" w:hAnsi="Arial;sans-serif"/>
          <w:b w:val="false"/>
          <w:color w:val="000000"/>
          <w:sz w:val="18"/>
        </w:rPr>
        <w:t>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exemption to omit disclosure of such amounts.</w:t>
      </w:r>
    </w:p>
    <w:p>
      <w:pPr>
        <w:pStyle w:val="TextBody"/>
        <w:bidi w:val="0"/>
        <w:spacing w:lineRule="auto" w:line="288" w:before="0" w:after="0"/>
        <w:ind w:left="0" w:right="0" w:firstLine="720"/>
        <w:jc w:val="both"/>
        <w:rPr/>
      </w:pPr>
      <w:r>
        <w:rPr>
          <w:rFonts w:ascii="Arial;sans-serif" w:hAnsi="Arial;sans-serif"/>
          <w:b w:val="false"/>
          <w:color w:val="000000"/>
          <w:sz w:val="18"/>
        </w:rPr>
        <w:t>The primary costs to obtain contracts fo</w:t>
      </w:r>
      <w:r>
        <w:rPr>
          <w:rFonts w:ascii="Arial;sans-serif" w:hAnsi="Arial;sans-serif"/>
          <w:b w:val="false"/>
          <w:color w:val="000000"/>
          <w:sz w:val="18"/>
          <w:shd w:fill="FFFFFF" w:val="clear"/>
        </w:rPr>
        <w:t>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4 - Rental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Rental equipment, net at the respective balance sheet dates consisted of the following:</w:t>
      </w:r>
    </w:p>
    <w:tbl>
      <w:tblPr>
        <w:tblW w:w="6151" w:type="dxa"/>
        <w:jc w:val="left"/>
        <w:tblInd w:w="0" w:type="dxa"/>
        <w:tblLayout w:type="fixed"/>
        <w:tblCellMar>
          <w:top w:w="28" w:type="dxa"/>
          <w:left w:w="28" w:type="dxa"/>
          <w:bottom w:w="28" w:type="dxa"/>
          <w:right w:w="28" w:type="dxa"/>
        </w:tblCellMar>
      </w:tblPr>
      <w:tblGrid>
        <w:gridCol w:w="985"/>
        <w:gridCol w:w="863"/>
        <w:gridCol w:w="866"/>
        <w:gridCol w:w="211"/>
        <w:gridCol w:w="976"/>
        <w:gridCol w:w="109"/>
        <w:gridCol w:w="109"/>
        <w:gridCol w:w="109"/>
        <w:gridCol w:w="109"/>
        <w:gridCol w:w="285"/>
        <w:gridCol w:w="1321"/>
        <w:gridCol w:w="208"/>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June 30, 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December 31, 2025</w:t>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Modular space units</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3,805,857 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3,836,964 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Portable storage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996,648 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1,097,908 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Value added products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233,429 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229,920 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rental equipment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5,035,934 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5,164,792 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(1,897,027)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(2,071,471)</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3,138,907 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3,093,321 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At June 30, 2026 and December 31, 2025, rental equipment included $137.6 million and $312.1 million, respectively, related to rental fleet assets that the Company intends to dispose of in connection with the Network Optimization Plan. The assets will be derecognized when physically disposed.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5 - Intangible Assets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net at the respective balance sheet dates consisted of the following:</w:t>
      </w:r>
    </w:p>
    <w:tbl>
      <w:tblPr>
        <w:tblW w:w="10205" w:type="dxa"/>
        <w:jc w:val="left"/>
        <w:tblInd w:w="0" w:type="dxa"/>
        <w:tblLayout w:type="fixed"/>
        <w:tblCellMar>
          <w:top w:w="28" w:type="dxa"/>
          <w:left w:w="28" w:type="dxa"/>
          <w:bottom w:w="28" w:type="dxa"/>
          <w:right w:w="28" w:type="dxa"/>
        </w:tblCellMar>
      </w:tblPr>
      <w:tblGrid>
        <w:gridCol w:w="789"/>
        <w:gridCol w:w="484"/>
        <w:gridCol w:w="485"/>
        <w:gridCol w:w="510"/>
        <w:gridCol w:w="510"/>
        <w:gridCol w:w="512"/>
        <w:gridCol w:w="109"/>
        <w:gridCol w:w="109"/>
        <w:gridCol w:w="109"/>
        <w:gridCol w:w="247"/>
        <w:gridCol w:w="967"/>
        <w:gridCol w:w="127"/>
        <w:gridCol w:w="109"/>
        <w:gridCol w:w="109"/>
        <w:gridCol w:w="109"/>
        <w:gridCol w:w="279"/>
        <w:gridCol w:w="1117"/>
        <w:gridCol w:w="146"/>
        <w:gridCol w:w="109"/>
        <w:gridCol w:w="109"/>
        <w:gridCol w:w="109"/>
        <w:gridCol w:w="268"/>
        <w:gridCol w:w="1069"/>
        <w:gridCol w:w="139"/>
        <w:gridCol w:w="109"/>
        <w:gridCol w:w="109"/>
        <w:gridCol w:w="109"/>
        <w:gridCol w:w="219"/>
        <w:gridCol w:w="859"/>
        <w:gridCol w:w="170"/>
      </w:tblGrid>
      <w:tr>
        <w:trPr/>
        <w:tc>
          <w:tcPr>
            <w:tcW w:w="78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27"/>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June 30, 2026</w:t>
            </w:r>
          </w:p>
        </w:tc>
      </w:tr>
      <w:tr>
        <w:trPr/>
        <w:tc>
          <w:tcPr>
            <w:tcW w:w="175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53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Accumulated impairment loss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175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15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234,108 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(161,119)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72,989 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names</w:t>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(27,763)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15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intangible assets</w:t>
            </w:r>
          </w:p>
        </w:tc>
        <w:tc>
          <w:tcPr>
            <w:tcW w:w="15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526,108 </w:t>
            </w:r>
          </w:p>
        </w:tc>
        <w:tc>
          <w:tcPr>
            <w:tcW w:w="1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(190,382)</w:t>
            </w:r>
          </w:p>
        </w:tc>
        <w:tc>
          <w:tcPr>
            <w:tcW w:w="13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203,186 </w:t>
            </w:r>
          </w:p>
        </w:tc>
        <w:tc>
          <w:tcPr>
            <w:tcW w:w="17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9"/>
        <w:gridCol w:w="484"/>
        <w:gridCol w:w="485"/>
        <w:gridCol w:w="510"/>
        <w:gridCol w:w="510"/>
        <w:gridCol w:w="512"/>
        <w:gridCol w:w="109"/>
        <w:gridCol w:w="109"/>
        <w:gridCol w:w="109"/>
        <w:gridCol w:w="247"/>
        <w:gridCol w:w="967"/>
        <w:gridCol w:w="127"/>
        <w:gridCol w:w="109"/>
        <w:gridCol w:w="109"/>
        <w:gridCol w:w="109"/>
        <w:gridCol w:w="279"/>
        <w:gridCol w:w="1117"/>
        <w:gridCol w:w="146"/>
        <w:gridCol w:w="109"/>
        <w:gridCol w:w="109"/>
        <w:gridCol w:w="109"/>
        <w:gridCol w:w="268"/>
        <w:gridCol w:w="1069"/>
        <w:gridCol w:w="139"/>
        <w:gridCol w:w="109"/>
        <w:gridCol w:w="109"/>
        <w:gridCol w:w="109"/>
        <w:gridCol w:w="219"/>
        <w:gridCol w:w="859"/>
        <w:gridCol w:w="170"/>
      </w:tblGrid>
      <w:tr>
        <w:trPr/>
        <w:tc>
          <w:tcPr>
            <w:tcW w:w="78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27"/>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December 31, 2025</w:t>
            </w:r>
          </w:p>
        </w:tc>
      </w:tr>
      <w:tr>
        <w:trPr/>
        <w:tc>
          <w:tcPr>
            <w:tcW w:w="175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53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Accumulated impairment loss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175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15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234,108 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(144,959)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89,149 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15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(1,375)</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names</w:t>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(23,146)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15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intangible assets</w:t>
            </w:r>
          </w:p>
        </w:tc>
        <w:tc>
          <w:tcPr>
            <w:tcW w:w="15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526,108 </w:t>
            </w:r>
          </w:p>
        </w:tc>
        <w:tc>
          <w:tcPr>
            <w:tcW w:w="1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(169,480)</w:t>
            </w:r>
          </w:p>
        </w:tc>
        <w:tc>
          <w:tcPr>
            <w:tcW w:w="13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224,088 </w:t>
            </w:r>
          </w:p>
        </w:tc>
        <w:tc>
          <w:tcPr>
            <w:tcW w:w="17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Amortization expense related to intangible assets was $10.2 million and $11.8 million for the three months ended June 30, 2026 and 2025, respectively, and $20.9 million and $23.1 million for the six months ended June 30, and 2025, respectively.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As of June 30, 2026, the expected future amortization expense for intangible assets was as follows for the years ended December 31:</w:t>
      </w:r>
    </w:p>
    <w:tbl>
      <w:tblPr>
        <w:tblW w:w="2616" w:type="dxa"/>
        <w:jc w:val="left"/>
        <w:tblInd w:w="0" w:type="dxa"/>
        <w:tblLayout w:type="fixed"/>
        <w:tblCellMar>
          <w:top w:w="28" w:type="dxa"/>
          <w:left w:w="28" w:type="dxa"/>
          <w:bottom w:w="28" w:type="dxa"/>
          <w:right w:w="28" w:type="dxa"/>
        </w:tblCellMar>
      </w:tblPr>
      <w:tblGrid>
        <w:gridCol w:w="555"/>
        <w:gridCol w:w="487"/>
        <w:gridCol w:w="488"/>
        <w:gridCol w:w="211"/>
        <w:gridCol w:w="721"/>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08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2026 (remaining)</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19,308 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18,037 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78,186 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6 - Debt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carrying value of debt outstanding at the respective balance sheet dates consisted of the following:</w:t>
      </w:r>
    </w:p>
    <w:tbl>
      <w:tblPr>
        <w:tblW w:w="9939" w:type="dxa"/>
        <w:jc w:val="left"/>
        <w:tblInd w:w="0" w:type="dxa"/>
        <w:tblLayout w:type="fixed"/>
        <w:tblCellMar>
          <w:top w:w="28" w:type="dxa"/>
          <w:left w:w="28" w:type="dxa"/>
          <w:bottom w:w="28" w:type="dxa"/>
          <w:right w:w="28" w:type="dxa"/>
        </w:tblCellMar>
      </w:tblPr>
      <w:tblGrid>
        <w:gridCol w:w="1163"/>
        <w:gridCol w:w="1020"/>
        <w:gridCol w:w="1027"/>
        <w:gridCol w:w="384"/>
        <w:gridCol w:w="384"/>
        <w:gridCol w:w="386"/>
        <w:gridCol w:w="109"/>
        <w:gridCol w:w="109"/>
        <w:gridCol w:w="109"/>
        <w:gridCol w:w="494"/>
        <w:gridCol w:w="494"/>
        <w:gridCol w:w="496"/>
        <w:gridCol w:w="109"/>
        <w:gridCol w:w="109"/>
        <w:gridCol w:w="109"/>
        <w:gridCol w:w="211"/>
        <w:gridCol w:w="976"/>
        <w:gridCol w:w="109"/>
        <w:gridCol w:w="109"/>
        <w:gridCol w:w="109"/>
        <w:gridCol w:w="109"/>
        <w:gridCol w:w="285"/>
        <w:gridCol w:w="1321"/>
        <w:gridCol w:w="208"/>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 except rates)</w:t>
            </w:r>
          </w:p>
        </w:tc>
        <w:tc>
          <w:tcPr>
            <w:tcW w:w="115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Interest rate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Year of maturity</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June 30, 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December 31, 2025</w:t>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1,390,520 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1,491,267 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496,718 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6.625%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494,609 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493,803 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2030 Secured Notes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494,180 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7.375%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445,671 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445,342 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166,858 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3,495,300 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3,588,168 </w:t>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31,094 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3,461,831 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3,557,074 </w:t>
            </w:r>
          </w:p>
        </w:tc>
        <w:tc>
          <w:tcPr>
            <w:tcW w:w="20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Maturities of debt, including finance leases, during the periods subsequent to June 30, 2026 are as follows: </w:t>
      </w:r>
    </w:p>
    <w:tbl>
      <w:tblPr>
        <w:tblW w:w="2871" w:type="dxa"/>
        <w:jc w:val="left"/>
        <w:tblInd w:w="0" w:type="dxa"/>
        <w:tblLayout w:type="fixed"/>
        <w:tblCellMar>
          <w:top w:w="28" w:type="dxa"/>
          <w:left w:w="28" w:type="dxa"/>
          <w:bottom w:w="28" w:type="dxa"/>
          <w:right w:w="28" w:type="dxa"/>
        </w:tblCellMar>
      </w:tblPr>
      <w:tblGrid>
        <w:gridCol w:w="555"/>
        <w:gridCol w:w="487"/>
        <w:gridCol w:w="488"/>
        <w:gridCol w:w="211"/>
        <w:gridCol w:w="97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3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2026 (remaining)</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21,919 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541,107 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1,932,911 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483,907 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3,551,735 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Asset-Based Lending Facility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Certain subsidiaries of the Company, including Williams Scotsman, Inc. ("WSI"), have an asset-based credit agreement that provides for revolving credit facilities in the aggregate principal amount of up to $3.0 billion, consisting of: (i) a senior secured asset-based US dollar revolving credit facility in the aggregate principal amount of $2.75 billion (the “US Facility”), (ii) a $250.0 million senior secured asset-based multicurrency revolving credit facility (the "Multicurrency Facility," and together with the US Facility, the "ABL Facility"), available to be drawn in US Dollars or Canadian Dollars, and (iii) an accordion feature that permits the Company to increase the lenders' commitments in an aggregate amount not to exceed the greater of $1.0 billion and the amount of suppressed availability (as defined in the ABL Facility), plus any voluntary prepayments that are accompanied by permanent commitment reductions under the ABL Facility, subject to the satisfaction of customary conditions including lender approval.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As of June 30, 2026, the weighted average interest rate for borrowings under the ABL Facility, as adjusted for the effects of the interest rate swap agreements, was 4.94%. Refer to Note 9 for a more detailed discussion on interest rate management.</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Borrowing availability under the US Facility and the Multicurrency Facility is equal to the lesser of (i) the aggregate revolver commitments and (ii) the borrowing base ("Line Cap"). At June 30, 2026, the Line Cap was $3.0 billion and the Company had $1.5 billion of available borrowing capacity under the ABL Facility, including $1.3 billion under the US Facility and $226.3 million under the Multicurrency Facility. Borrowing capacity under the ABL Facility is made available for up to $200.0 million letters of credit and $250.0 million of swingline loans. At June 30, 2026, the available capacity was $175.6 million of letters of credit and $250.0 million of swingline loans. At June 30, 2026, letters of credit and bank guarantees carried fees of 1.50%. The Company had issued $24.4 million of standby letters of credit under the ABL Facility at June 30, 2026. The Company had approximately $1.4 billion outstanding principal under the ABL Facility at June 30, 2026. Debt issuance costs of $15.0 million and $16.7 million were included in the carrying value of the ABL Facility at June 30, 2026 and </w:t>
      </w:r>
      <w:r>
        <w:rPr>
          <w:rFonts w:ascii="Arial;sans-serif" w:hAnsi="Arial;sans-serif"/>
          <w:b w:val="false"/>
          <w:color w:val="000000"/>
          <w:sz w:val="18"/>
          <w:shd w:fill="FFFFFF" w:val="clear"/>
        </w:rPr>
        <w:t>December 31, 2025, respectively</w:t>
      </w:r>
      <w:r>
        <w:rPr>
          <w:rFonts w:ascii="Arial;sans-serif" w:hAnsi="Arial;sans-serif"/>
          <w:b w:val="false"/>
          <w:color w:val="000000"/>
          <w:sz w:val="18"/>
        </w:rPr>
        <w: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obligations of the US Facility borrowers are unconditionally guaranteed by WSI and each existing and subsequently acquired or organized direct or indirect wholly-owned US organized restricted subsidiary of WSI, other than excluded subsidiaries (together with WSI, the "US Guarantors"). The obligations of the Multicurrency Facility borrowers are unconditionally guaranteed by the US Facility borrowers and the US Guarantors, and each existing and subsequently acquired or organized direct or indirect wholly-owned Canadian organized restricted subsidiary of the Company other than certain excluded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2028 Secured Notes, 2029 Secured Notes, 2030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2028 Secured Notes, if the lien associated with the ABL Facility represents the only lien outstanding on the collateral under the 2029 Secured Notes, 2030 Secured Notes, and the 2031 Secured Notes (other than certain permitted liens), the collateral securing the 2029 Secured Notes, 2030 Secured Notes, and the 2031 Secured Notes will be released and the 2029 Secured Notes, 2030 Secured Notes, and the 2031 Secured Notes will become unsecured subject to satisfaction of customary conditions.</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Finance Leases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maintains finance leases primarily for transportation-related equipment. Obligations under finance leases were $172.4 million at June 30, 2026 and $166.9 million at December 31, 2025. </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Covenant Compliance</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was in compliance with all debt covenants and restrictions associated with its debt instruments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7 – Equity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stock compensation vesting and stock option exercises, the Company issued 223,737 shares of Common Stock during the six months ended June 30, 2026.</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February 2025, the Board of Directors approved a quarterly dividend program. Dividends are subject to declaration by the Board of Directors and requirements of the ABL Facility, the indentures governing the Secured Notes, and Delaware law. </w:t>
      </w:r>
      <w:r>
        <w:rPr>
          <w:rFonts w:ascii="Arial;sans-serif" w:hAnsi="Arial;sans-serif"/>
          <w:b w:val="false"/>
          <w:color w:val="000000"/>
          <w:sz w:val="18"/>
          <w:shd w:fill="FFFFFF" w:val="clear"/>
        </w:rPr>
        <w:t xml:space="preserve">The Board of Directors declared quarterly dividends of </w:t>
      </w:r>
      <w:r>
        <w:rPr>
          <w:rFonts w:ascii="Arial;sans-serif" w:hAnsi="Arial;sans-serif"/>
          <w:b w:val="false"/>
          <w:color w:val="000000"/>
          <w:sz w:val="18"/>
        </w:rPr>
        <w:t>$0.07 per share for the first and second quarters of 2026 and 2025.</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September 2024, the Board of Directors authorized a share repurchase program pursuant to which the Company may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and conditions, business, legal, and other considerations. The Company may repurchase its shares in open-market transactions or through privately negotiated transactions in accordance with federal securities laws, at the Company's discretion. The repurchase program, which has no expiration date, may be increased, suspended, or terminated at any time and remains subject to the discretion of the Board of Directors. The program is expected to be implemented over the course of several years and will be conducted subject to the requirements of the ABL Facility, the indentures governing the Secured Notes, and Delaware law.</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During the </w:t>
      </w:r>
      <w:r>
        <w:rPr>
          <w:rFonts w:ascii="Arial;sans-serif" w:hAnsi="Arial;sans-serif"/>
          <w:b w:val="false"/>
          <w:color w:val="000000"/>
          <w:sz w:val="18"/>
          <w:shd w:fill="FFFFFF" w:val="clear"/>
        </w:rPr>
        <w:t>six months ended June 30, 2026 and 2025</w:t>
      </w:r>
      <w:r>
        <w:rPr>
          <w:rFonts w:ascii="Arial;sans-serif" w:hAnsi="Arial;sans-serif"/>
          <w:b w:val="false"/>
          <w:color w:val="000000"/>
          <w:sz w:val="18"/>
        </w:rPr>
        <w:t xml:space="preserve">, respectively, the Company repurchased 352,900 and 2,628,041 shares of Common Stock for $7.3 million and $71.9 million, respectively, excluding excise tax. As of June 30, 2026, $717.1 million of the authorization for future repurchases of Common Stock remained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Accumulated Other Comprehensive Loss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changes in accumulated other comprehensive loss ("AOCI"), net of tax, for the </w:t>
      </w:r>
      <w:r>
        <w:rPr>
          <w:rFonts w:ascii="Arial;sans-serif" w:hAnsi="Arial;sans-serif"/>
          <w:b w:val="false"/>
          <w:color w:val="000000"/>
          <w:sz w:val="18"/>
          <w:shd w:fill="FFFFFF" w:val="clear"/>
        </w:rPr>
        <w:t>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420"/>
        <w:gridCol w:w="1082"/>
        <w:gridCol w:w="1085"/>
        <w:gridCol w:w="373"/>
        <w:gridCol w:w="1387"/>
        <w:gridCol w:w="192"/>
        <w:gridCol w:w="109"/>
        <w:gridCol w:w="109"/>
        <w:gridCol w:w="109"/>
        <w:gridCol w:w="627"/>
        <w:gridCol w:w="1915"/>
        <w:gridCol w:w="327"/>
        <w:gridCol w:w="109"/>
        <w:gridCol w:w="109"/>
        <w:gridCol w:w="109"/>
        <w:gridCol w:w="211"/>
        <w:gridCol w:w="772"/>
        <w:gridCol w:w="160"/>
      </w:tblGrid>
      <w:tr>
        <w:trPr/>
        <w:tc>
          <w:tcPr>
            <w:tcW w:w="142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8" w:type="dxa"/>
            <w:gridSpan w:val="15"/>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 2026</w:t>
            </w:r>
          </w:p>
        </w:tc>
      </w:tr>
      <w:tr>
        <w:trPr/>
        <w:tc>
          <w:tcPr>
            <w:tcW w:w="358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95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Foreign currency translation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Unrealized (losses) gains on hedging activities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Total</w:t>
            </w:r>
          </w:p>
        </w:tc>
      </w:tr>
      <w:tr>
        <w:trPr/>
        <w:tc>
          <w:tcPr>
            <w:tcW w:w="35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37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(66,004)</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91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(3,449)</w:t>
            </w:r>
          </w:p>
        </w:tc>
        <w:tc>
          <w:tcPr>
            <w:tcW w:w="3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(69,453)</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 income before reclassifications</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76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w:t>
            </w:r>
          </w:p>
        </w:tc>
        <w:tc>
          <w:tcPr>
            <w:tcW w:w="3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March 31, 2026</w:t>
            </w:r>
          </w:p>
        </w:tc>
        <w:tc>
          <w:tcPr>
            <w:tcW w:w="1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(69,420)</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(68,500)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 income before reclassifications</w:t>
            </w:r>
          </w:p>
        </w:tc>
        <w:tc>
          <w:tcPr>
            <w:tcW w:w="176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(4,745)</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3,057 </w:t>
            </w:r>
          </w:p>
        </w:tc>
        <w:tc>
          <w:tcPr>
            <w:tcW w:w="3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(1,688)</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37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(74,165)</w:t>
            </w:r>
          </w:p>
        </w:tc>
        <w:tc>
          <w:tcPr>
            <w:tcW w:w="19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91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3,658 </w:t>
            </w:r>
          </w:p>
        </w:tc>
        <w:tc>
          <w:tcPr>
            <w:tcW w:w="3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(70,507)</w:t>
            </w:r>
          </w:p>
        </w:tc>
        <w:tc>
          <w:tcPr>
            <w:tcW w:w="16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9"/>
        <w:gridCol w:w="1081"/>
        <w:gridCol w:w="1083"/>
        <w:gridCol w:w="373"/>
        <w:gridCol w:w="1386"/>
        <w:gridCol w:w="192"/>
        <w:gridCol w:w="109"/>
        <w:gridCol w:w="109"/>
        <w:gridCol w:w="109"/>
        <w:gridCol w:w="582"/>
        <w:gridCol w:w="1992"/>
        <w:gridCol w:w="300"/>
        <w:gridCol w:w="109"/>
        <w:gridCol w:w="109"/>
        <w:gridCol w:w="109"/>
        <w:gridCol w:w="211"/>
        <w:gridCol w:w="772"/>
        <w:gridCol w:w="160"/>
      </w:tblGrid>
      <w:tr>
        <w:trPr/>
        <w:tc>
          <w:tcPr>
            <w:tcW w:w="141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2" w:type="dxa"/>
            <w:gridSpan w:val="15"/>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 2025</w:t>
            </w:r>
          </w:p>
        </w:tc>
      </w:tr>
      <w:tr>
        <w:trPr/>
        <w:tc>
          <w:tcPr>
            <w:tcW w:w="358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95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Foreign currency translation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Unrealized gains (losses) on hedging activities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Total</w:t>
            </w:r>
          </w:p>
        </w:tc>
      </w:tr>
      <w:tr>
        <w:trPr/>
        <w:tc>
          <w:tcPr>
            <w:tcW w:w="358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37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(80,720)</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99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10,093 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(70,627)</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7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(2,431)</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(2,431)</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1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(80,559)</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1,952 </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(78,607)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17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16,278 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(1,469)</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14,809 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37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(64,281)</w:t>
            </w:r>
          </w:p>
        </w:tc>
        <w:tc>
          <w:tcPr>
            <w:tcW w:w="19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99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(1,970)</w:t>
            </w:r>
          </w:p>
        </w:tc>
        <w:tc>
          <w:tcPr>
            <w:tcW w:w="30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(66,251)</w:t>
            </w:r>
          </w:p>
        </w:tc>
        <w:tc>
          <w:tcPr>
            <w:tcW w:w="16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Arial;sans-serif" w:hAnsi="Arial;sans-serif"/>
          <w:b w:val="false"/>
          <w:color w:val="000000"/>
          <w:sz w:val="18"/>
        </w:rPr>
        <w:t xml:space="preserve">The Company reclassified amounts from AOCI into the condensed consolidated statements of operations within interest expense related to the interest rate swaps. </w:t>
      </w:r>
      <w:r>
        <w:rPr>
          <w:rFonts w:ascii="Arial;sans-serif" w:hAnsi="Arial;sans-serif"/>
          <w:b w:val="false"/>
          <w:color w:val="000000"/>
          <w:sz w:val="18"/>
          <w:shd w:fill="FFFFFF" w:val="clear"/>
        </w:rPr>
        <w:t>Associated with these reclassifications, t</w:t>
      </w:r>
      <w:r>
        <w:rPr>
          <w:rFonts w:ascii="Arial;sans-serif" w:hAnsi="Arial;sans-serif"/>
          <w:b w:val="false"/>
          <w:color w:val="000000"/>
          <w:sz w:val="18"/>
        </w:rPr>
        <w:t xml:space="preserve">he Company recorded tax expense of $0.1 million and $0.7 million for the three months ended June 30, 2026 and 2025, respectively, and $0.2 million and $1.3 million for the six months ended June 30, 2026 and 2025, respectively. The interest rate swaps are discussed in Note 9.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8 – 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recorded $17.0 million and $32.0 million of income tax expense for the three and six months ended June 30, 2026, respectively, and $20.0 million and $37.9 million for the three and six months ended June 30, 2025, respectively. The Company’s effective tax rate was 26.6% and 29.9% for the three and six months ended June 30, 2026, respectively, and 29.4% for both the three and six months ended June 30, 2025. </w:t>
      </w:r>
    </w:p>
    <w:p>
      <w:pPr>
        <w:pStyle w:val="TextBody"/>
        <w:bidi w:val="0"/>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effective tax rate for the three and six months ended June 30, 2026 and 2025 was higher than the US federal statutory rate of 21% primarily due to state and provincial taxes, non-deductible executive compensation and a discrete tax expense related to equity compensation.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9 - Derivatives</w:t>
      </w:r>
    </w:p>
    <w:p>
      <w:pPr>
        <w:pStyle w:val="TextBody"/>
        <w:bidi w:val="0"/>
        <w:spacing w:lineRule="auto" w:line="276"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uses interest rate swaps designated as cash flow hedges to manage fluctuations in interest rates on variable rate debt. The gains and losses are recorded in accumulated other comprehensive loss and reclassified into interest expense, net during the hedged interest period. Cash inflows and outflows related to interest rate swaps are presented in interest paid, net within the supplemental section of the condensed consolidated statement of cash flows.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Secured Overnight Financing Rate ("SOFR") and makes payments based on a fixed interest rate of 3.44% on the notional amount. 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fixed interest rate of 3.70% on the notional amount.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swap agreements were designated and qualified as hedges of the Company's exposure to changes in interest payment cash flows created by fluctuations in variable interest rates on the ABL Facility. The swap agreements terminate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June 30, 2027. At June 30, 2026, the floating rate that the Company received under the terms of these swap agreements was 3.65% for the swap agreements entered in January 2023 and 3.64% for the swap agreements entered in January 2024.</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derivative instruments designated as hedges were as follows:</w:t>
      </w:r>
    </w:p>
    <w:tbl>
      <w:tblPr>
        <w:tblW w:w="7138" w:type="dxa"/>
        <w:jc w:val="left"/>
        <w:tblInd w:w="0" w:type="dxa"/>
        <w:tblLayout w:type="fixed"/>
        <w:tblCellMar>
          <w:top w:w="28" w:type="dxa"/>
          <w:left w:w="28" w:type="dxa"/>
          <w:bottom w:w="28" w:type="dxa"/>
          <w:right w:w="28" w:type="dxa"/>
        </w:tblCellMar>
      </w:tblPr>
      <w:tblGrid>
        <w:gridCol w:w="625"/>
        <w:gridCol w:w="549"/>
        <w:gridCol w:w="550"/>
        <w:gridCol w:w="769"/>
        <w:gridCol w:w="769"/>
        <w:gridCol w:w="772"/>
        <w:gridCol w:w="291"/>
        <w:gridCol w:w="849"/>
        <w:gridCol w:w="150"/>
        <w:gridCol w:w="362"/>
        <w:gridCol w:w="1188"/>
        <w:gridCol w:w="26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231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Balance Sheet Location</w:t>
            </w:r>
          </w:p>
        </w:tc>
        <w:tc>
          <w:tcPr>
            <w:tcW w:w="1290" w:type="dxa"/>
            <w:gridSpan w:val="3"/>
            <w:tcBorders/>
            <w:shd w:fill="1D2758"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June 30, 2026</w:t>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December 31, 2025</w:t>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23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3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29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the interest rate swaps was based on dealer quotes of market forward rates, a Level 2 input on the fair value hierarchy (see Note 10), and reflected the amount that the Company would receive or pay for contracts involving the same attributes and maturity dates.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following table discloses the impact of the interest rate swaps, excluding the impact of income taxes, on other comprehensive income (“OCI”), AOCI and the Company’s condensed consolidated statements of operations for the six months ended June 30, </w:t>
      </w:r>
      <w:r>
        <w:rPr>
          <w:rFonts w:ascii="Arial;sans-serif" w:hAnsi="Arial;sans-serif"/>
          <w:b w:val="false"/>
          <w:color w:val="000000"/>
          <w:sz w:val="18"/>
        </w:rPr>
        <w:t>2026 and 2025</w:t>
      </w:r>
      <w:r>
        <w:rPr>
          <w:rFonts w:ascii="Arial;sans-serif" w:hAnsi="Arial;sans-serif"/>
          <w:b w:val="false"/>
          <w:color w:val="000000"/>
          <w:sz w:val="18"/>
          <w:shd w:fill="FFFFFF" w:val="clear"/>
        </w:rPr>
        <w:t>:</w:t>
      </w:r>
    </w:p>
    <w:tbl>
      <w:tblPr>
        <w:tblW w:w="7549" w:type="dxa"/>
        <w:jc w:val="left"/>
        <w:tblInd w:w="0" w:type="dxa"/>
        <w:tblLayout w:type="fixed"/>
        <w:tblCellMar>
          <w:top w:w="28" w:type="dxa"/>
          <w:left w:w="28" w:type="dxa"/>
          <w:bottom w:w="28" w:type="dxa"/>
          <w:right w:w="28" w:type="dxa"/>
        </w:tblCellMar>
      </w:tblPr>
      <w:tblGrid>
        <w:gridCol w:w="1218"/>
        <w:gridCol w:w="1070"/>
        <w:gridCol w:w="1072"/>
        <w:gridCol w:w="365"/>
        <w:gridCol w:w="1247"/>
        <w:gridCol w:w="188"/>
        <w:gridCol w:w="109"/>
        <w:gridCol w:w="109"/>
        <w:gridCol w:w="109"/>
        <w:gridCol w:w="340"/>
        <w:gridCol w:w="1284"/>
        <w:gridCol w:w="175"/>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80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(loss) recognized in OCI</w:t>
            </w:r>
          </w:p>
        </w:tc>
        <w:tc>
          <w:tcPr>
            <w:tcW w:w="36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10,217 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(11,170)</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Location of gain recognized in income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reclassified from AOCI into income</w:t>
            </w:r>
          </w:p>
        </w:tc>
        <w:tc>
          <w:tcPr>
            <w:tcW w:w="36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4,884 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See Note 7 for the net impact of the interest swaps, including the impact of income taxes, on OCI and AOCI.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10 - Fair Value Measures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tbl>
      <w:tblPr>
        <w:tblW w:w="10205" w:type="dxa"/>
        <w:jc w:val="left"/>
        <w:tblInd w:w="0" w:type="dxa"/>
        <w:tblLayout w:type="fixed"/>
        <w:tblCellMar>
          <w:top w:w="28" w:type="dxa"/>
          <w:left w:w="28" w:type="dxa"/>
          <w:bottom w:w="28" w:type="dxa"/>
          <w:right w:w="28" w:type="dxa"/>
        </w:tblCellMar>
      </w:tblPr>
      <w:tblGrid>
        <w:gridCol w:w="287"/>
        <w:gridCol w:w="251"/>
        <w:gridCol w:w="254"/>
        <w:gridCol w:w="2773"/>
        <w:gridCol w:w="2748"/>
        <w:gridCol w:w="3892"/>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Level 1 -</w:t>
            </w:r>
          </w:p>
        </w:tc>
        <w:tc>
          <w:tcPr>
            <w:tcW w:w="94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Observable inputs such as quoted prices in active markets for identical assets or liabilities;</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Level 2 -</w:t>
            </w:r>
          </w:p>
        </w:tc>
        <w:tc>
          <w:tcPr>
            <w:tcW w:w="941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Observable inputs, other than Level 1 inputs in active markets, that are observable either directly or indirectly; and</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Level 3 -</w:t>
            </w:r>
          </w:p>
        </w:tc>
        <w:tc>
          <w:tcPr>
            <w:tcW w:w="941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Unobservable inputs for which there is little or no market data, which require the reporting entity to develop its own assumptions.</w:t>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w:t>
      </w:r>
      <w:r>
        <w:rPr>
          <w:rFonts w:ascii="Arial;sans-serif" w:hAnsi="Arial;sans-serif"/>
          <w:b w:val="false"/>
          <w:color w:val="000000"/>
          <w:sz w:val="18"/>
          <w:shd w:fill="FFFFFF" w:val="clear"/>
        </w:rPr>
        <w:t>June 30, 2026</w:t>
      </w:r>
      <w:r>
        <w:rPr>
          <w:color w:val="000000"/>
        </w:rPr>
        <w:t xml:space="preserve"> </w:t>
      </w:r>
      <w:r>
        <w:rPr>
          <w:rFonts w:ascii="Arial;sans-serif" w:hAnsi="Arial;sans-serif"/>
          <w:b w:val="false"/>
          <w:color w:val="000000"/>
          <w:sz w:val="18"/>
        </w:rPr>
        <w:t xml:space="preserve">and December 31, 2025 approximate their respective book values. The carrying value of the ABL Facility, excluding debt issuance costs, approximates fair value as the interest rates are variable and reflective of current market rates.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values of the Secured Notes are based on their last trading price at the end of each period obtained from a third party. The following table shows the carrying amounts and fair values of these financial liabilities measured using Level 2 inputs:</w:t>
      </w:r>
    </w:p>
    <w:tbl>
      <w:tblPr>
        <w:tblW w:w="7584" w:type="dxa"/>
        <w:jc w:val="left"/>
        <w:tblInd w:w="0" w:type="dxa"/>
        <w:tblLayout w:type="fixed"/>
        <w:tblCellMar>
          <w:top w:w="28" w:type="dxa"/>
          <w:left w:w="28" w:type="dxa"/>
          <w:bottom w:w="28" w:type="dxa"/>
          <w:right w:w="28" w:type="dxa"/>
        </w:tblCellMar>
      </w:tblPr>
      <w:tblGrid>
        <w:gridCol w:w="652"/>
        <w:gridCol w:w="573"/>
        <w:gridCol w:w="574"/>
        <w:gridCol w:w="256"/>
        <w:gridCol w:w="1186"/>
        <w:gridCol w:w="132"/>
        <w:gridCol w:w="211"/>
        <w:gridCol w:w="976"/>
        <w:gridCol w:w="109"/>
        <w:gridCol w:w="256"/>
        <w:gridCol w:w="1186"/>
        <w:gridCol w:w="132"/>
        <w:gridCol w:w="211"/>
        <w:gridCol w:w="97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June 30, 2026</w:t>
            </w:r>
          </w:p>
        </w:tc>
        <w:tc>
          <w:tcPr>
            <w:tcW w:w="2915" w:type="dxa"/>
            <w:gridSpan w:val="6"/>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December 31, 2025</w:t>
            </w:r>
          </w:p>
        </w:tc>
      </w:tr>
      <w:tr>
        <w:trPr/>
        <w:tc>
          <w:tcPr>
            <w:tcW w:w="1799"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i/>
                <w:color w:val="FFFFFF"/>
                <w:sz w:val="18"/>
              </w:rPr>
            </w:pPr>
            <w:r>
              <w:rPr>
                <w:rFonts w:ascii="Arial;sans-serif" w:hAnsi="Arial;sans-serif"/>
                <w:b/>
                <w:i/>
                <w:color w:val="FFFFFF"/>
                <w:sz w:val="18"/>
              </w:rPr>
              <w:t>(in thousands)</w:t>
            </w:r>
          </w:p>
        </w:tc>
        <w:tc>
          <w:tcPr>
            <w:tcW w:w="1574"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Carrying Amount</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Fair Value</w:t>
            </w:r>
          </w:p>
        </w:tc>
        <w:tc>
          <w:tcPr>
            <w:tcW w:w="1574"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Carrying Amount</w:t>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Fair Value</w:t>
            </w:r>
          </w:p>
        </w:tc>
      </w:tr>
      <w:tr>
        <w:trPr/>
        <w:tc>
          <w:tcPr>
            <w:tcW w:w="17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497,307 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496,135 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496,718 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498,640 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 Secured Notes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494,609 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493,803 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2030 Secured Notes</w:t>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494,773 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515,440 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494,180 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517,465 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445,671 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1,932,360 </w:t>
            </w:r>
          </w:p>
        </w:tc>
        <w:tc>
          <w:tcPr>
            <w:tcW w:w="1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1,988,890 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1,930,043 </w:t>
            </w:r>
          </w:p>
        </w:tc>
        <w:tc>
          <w:tcPr>
            <w:tcW w:w="1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2,002,864 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of June 30, 2026, the carrying values of the 2028 Secured Notes, the 2029 Secured Notes, the 2030 Secured Notes, and the 2031 Secured Notes included $2.7 million, $5.4 million, $5.2 million, and $4.3 million, respectively, of unamortized debt issuance costs, which were presented as direct reductions of the corresponding liabilities. As of December 31, 2025, the carrying values of the 2028 Secured Notes, the 2029 Secured Notes, the 2030 Secured Notes, and the 2031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Secured Notes included $3.3 million, $6.2 million, $5.8 million, and $4.7 million, respectively, of unamortized debt issuance costs, which were presented as direct reductions of the corresponding liabilities.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derivative assets and liabilities in the condensed consolidated balance sheets are disclosed in Note 9.</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11 - Stock-Based Compensation</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Stock-based compensation expense includes grants of stock options, time-based restricted stock units ("Time-Based RSUs"), performance-based restricted stock units ("Performance-Based RSUs," together with Time-Based RSUs, the "RSUs"), and restricted stock awards ("RSAs"). Stock options are valued based on the Black-Scholes option-pricing model. Time-Based RSUs and RSAs are valued based on the intrinsic value of the difference between the exercise price of the award, if any, and the fair market value of WillScot's Common Stock on the grant date. </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Restricted Stock Awards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RSA activity for the six months ended June 30, 2026 and 2025</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58"/>
        <w:gridCol w:w="579"/>
        <w:gridCol w:w="581"/>
        <w:gridCol w:w="503"/>
        <w:gridCol w:w="376"/>
        <w:gridCol w:w="378"/>
        <w:gridCol w:w="109"/>
        <w:gridCol w:w="109"/>
        <w:gridCol w:w="109"/>
        <w:gridCol w:w="545"/>
        <w:gridCol w:w="1593"/>
        <w:gridCol w:w="282"/>
        <w:gridCol w:w="109"/>
        <w:gridCol w:w="109"/>
        <w:gridCol w:w="109"/>
        <w:gridCol w:w="503"/>
        <w:gridCol w:w="376"/>
        <w:gridCol w:w="378"/>
        <w:gridCol w:w="109"/>
        <w:gridCol w:w="109"/>
        <w:gridCol w:w="109"/>
        <w:gridCol w:w="529"/>
        <w:gridCol w:w="1548"/>
        <w:gridCol w:w="395"/>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21"/>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181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181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67,365 </w:t>
            </w:r>
          </w:p>
        </w:tc>
        <w:tc>
          <w:tcPr>
            <w:tcW w:w="3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36,346 </w:t>
            </w:r>
          </w:p>
        </w:tc>
        <w:tc>
          <w:tcPr>
            <w:tcW w:w="3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38.11 </w:t>
            </w:r>
          </w:p>
        </w:tc>
        <w:tc>
          <w:tcPr>
            <w:tcW w:w="3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44,219 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64,070 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(14,358)</w:t>
            </w:r>
          </w:p>
        </w:tc>
        <w:tc>
          <w:tcPr>
            <w:tcW w:w="3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(49,712)</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(32,332)</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38.20 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79"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47,514 </w:t>
            </w:r>
          </w:p>
        </w:tc>
        <w:tc>
          <w:tcPr>
            <w:tcW w:w="37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25.62 </w:t>
            </w:r>
          </w:p>
        </w:tc>
        <w:tc>
          <w:tcPr>
            <w:tcW w:w="28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68,084 </w:t>
            </w:r>
          </w:p>
        </w:tc>
        <w:tc>
          <w:tcPr>
            <w:tcW w:w="37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28.42 </w:t>
            </w:r>
          </w:p>
        </w:tc>
        <w:tc>
          <w:tcPr>
            <w:tcW w:w="39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RSAs recognized in SG&amp;A expense on the condensed consolidated statements of operations was $0.4 million for both the three months ended June 30, 2026 and 2025. Compensation expense for RSAs recognized in SG&amp;A expense was $0.5 million and $0.7 million for the six months ended June 30, 2026 and 2025, respectively. At June 30, 2026, unrecognized compensation cost related to RSAs totaled $1.1 million and was expected to be recognized over the remaining weighted average vesting period of 0.9 years.</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Time-Based RSUs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Time-Based RSU activity for the six months ended June 30, 2026 and 2025</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37"/>
        <w:gridCol w:w="560"/>
        <w:gridCol w:w="562"/>
        <w:gridCol w:w="554"/>
        <w:gridCol w:w="468"/>
        <w:gridCol w:w="368"/>
        <w:gridCol w:w="109"/>
        <w:gridCol w:w="109"/>
        <w:gridCol w:w="109"/>
        <w:gridCol w:w="531"/>
        <w:gridCol w:w="1553"/>
        <w:gridCol w:w="275"/>
        <w:gridCol w:w="109"/>
        <w:gridCol w:w="109"/>
        <w:gridCol w:w="109"/>
        <w:gridCol w:w="554"/>
        <w:gridCol w:w="381"/>
        <w:gridCol w:w="368"/>
        <w:gridCol w:w="109"/>
        <w:gridCol w:w="109"/>
        <w:gridCol w:w="109"/>
        <w:gridCol w:w="516"/>
        <w:gridCol w:w="1510"/>
        <w:gridCol w:w="387"/>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21"/>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175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175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75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102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932,175 </w:t>
            </w:r>
          </w:p>
        </w:tc>
        <w:tc>
          <w:tcPr>
            <w:tcW w:w="3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3"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35.95 </w:t>
            </w:r>
          </w:p>
        </w:tc>
        <w:tc>
          <w:tcPr>
            <w:tcW w:w="27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576,652 </w:t>
            </w:r>
          </w:p>
        </w:tc>
        <w:tc>
          <w:tcPr>
            <w:tcW w:w="3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0"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43.87 </w:t>
            </w:r>
          </w:p>
        </w:tc>
        <w:tc>
          <w:tcPr>
            <w:tcW w:w="38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1,080,919 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391,843 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35.27 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2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(54,548)</w:t>
            </w:r>
          </w:p>
        </w:tc>
        <w:tc>
          <w:tcPr>
            <w:tcW w:w="3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3"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32.15 </w:t>
            </w:r>
          </w:p>
        </w:tc>
        <w:tc>
          <w:tcPr>
            <w:tcW w:w="27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(33,936)</w:t>
            </w:r>
          </w:p>
        </w:tc>
        <w:tc>
          <w:tcPr>
            <w:tcW w:w="3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0"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41.25 </w:t>
            </w:r>
          </w:p>
        </w:tc>
        <w:tc>
          <w:tcPr>
            <w:tcW w:w="38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(243,830)</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(240,020)</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1022"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1,714,716 </w:t>
            </w:r>
          </w:p>
        </w:tc>
        <w:tc>
          <w:tcPr>
            <w:tcW w:w="36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3"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26.88 </w:t>
            </w:r>
          </w:p>
        </w:tc>
        <w:tc>
          <w:tcPr>
            <w:tcW w:w="275"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694,539 </w:t>
            </w:r>
          </w:p>
        </w:tc>
        <w:tc>
          <w:tcPr>
            <w:tcW w:w="36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0"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40.52 </w:t>
            </w:r>
          </w:p>
        </w:tc>
        <w:tc>
          <w:tcPr>
            <w:tcW w:w="38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3"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3"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3"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Time-Based RSUs recognized in SG&amp;A expense was $4.4 million and $2.6 million for the three months ended June 30, 2026 and 2025, respectively. Compensation expense for Time-Based RSUs recognized in SG&amp;A expense was $8.0 million and $5.1 million for the six months ended June 30, 2026 and 2025, respectively. At June 30, 2026, unrecognized compensation cost related to Time-Based RSUs totaled $34.4 million and was expected to be recognized over the remaining weighted average vesting period of 2.4 years.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For 88,771 Time-Based RSUs granted in February 2026, the awards cliff vest after three years. All other outstanding Time-Based RSUs vest ratably over periods ranging from one year to four years.</w:t>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Performance-Based RSUs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Performance-Based RSU activity for the six months ended June 30, 2026 and 2025</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28"/>
        <w:gridCol w:w="553"/>
        <w:gridCol w:w="554"/>
        <w:gridCol w:w="554"/>
        <w:gridCol w:w="467"/>
        <w:gridCol w:w="365"/>
        <w:gridCol w:w="109"/>
        <w:gridCol w:w="109"/>
        <w:gridCol w:w="109"/>
        <w:gridCol w:w="526"/>
        <w:gridCol w:w="1536"/>
        <w:gridCol w:w="272"/>
        <w:gridCol w:w="109"/>
        <w:gridCol w:w="109"/>
        <w:gridCol w:w="109"/>
        <w:gridCol w:w="554"/>
        <w:gridCol w:w="467"/>
        <w:gridCol w:w="365"/>
        <w:gridCol w:w="109"/>
        <w:gridCol w:w="109"/>
        <w:gridCol w:w="109"/>
        <w:gridCol w:w="511"/>
        <w:gridCol w:w="1494"/>
        <w:gridCol w:w="378"/>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21"/>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17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17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1,188,986 </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52.49 </w:t>
            </w:r>
          </w:p>
        </w:tc>
        <w:tc>
          <w:tcPr>
            <w:tcW w:w="2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1,768,460 </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47.02 </w:t>
            </w:r>
          </w:p>
        </w:tc>
        <w:tc>
          <w:tcPr>
            <w:tcW w:w="3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331,112 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26.89 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406,265 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(41,581)</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47.59 </w:t>
            </w:r>
          </w:p>
        </w:tc>
        <w:tc>
          <w:tcPr>
            <w:tcW w:w="2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(30,955)</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55.52 </w:t>
            </w:r>
          </w:p>
        </w:tc>
        <w:tc>
          <w:tcPr>
            <w:tcW w:w="3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Vested</w:t>
            </w:r>
            <w:r>
              <w:rPr>
                <w:rFonts w:ascii="Arial;sans-serif" w:hAnsi="Arial;sans-serif"/>
                <w:b w:val="false"/>
                <w:color w:val="000000"/>
                <w:sz w:val="12"/>
              </w:rPr>
              <w:t>(a)</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(314,086)</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69.52 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(620,326)</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1021"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1,164,431 </w:t>
            </w:r>
          </w:p>
        </w:tc>
        <w:tc>
          <w:tcPr>
            <w:tcW w:w="365"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40.79 </w:t>
            </w:r>
          </w:p>
        </w:tc>
        <w:tc>
          <w:tcPr>
            <w:tcW w:w="27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1,523,444 </w:t>
            </w:r>
          </w:p>
        </w:tc>
        <w:tc>
          <w:tcPr>
            <w:tcW w:w="365"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47.65 </w:t>
            </w:r>
          </w:p>
        </w:tc>
        <w:tc>
          <w:tcPr>
            <w:tcW w:w="37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 The Performance-Based RSUs vested at a weighted average of 0% of target, or 0 shares, and 78% of target, or 482,083 shares, during the six months ended June 30, 2026 and 2025, respectively.</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Compensation expense for Performance-Based RSUs recognized in SG&amp;A expense </w:t>
      </w:r>
      <w:r>
        <w:rPr>
          <w:rFonts w:ascii="Arial;sans-serif" w:hAnsi="Arial;sans-serif"/>
          <w:b w:val="false"/>
          <w:color w:val="000000"/>
          <w:sz w:val="18"/>
          <w:shd w:fill="FFFFFF" w:val="clear"/>
        </w:rPr>
        <w:t>was</w:t>
      </w:r>
      <w:r>
        <w:rPr>
          <w:color w:val="000000"/>
        </w:rPr>
        <w:t xml:space="preserve"> </w:t>
      </w:r>
      <w:r>
        <w:rPr>
          <w:rFonts w:ascii="Arial;sans-serif" w:hAnsi="Arial;sans-serif"/>
          <w:b w:val="false"/>
          <w:color w:val="000000"/>
          <w:sz w:val="18"/>
        </w:rPr>
        <w:t xml:space="preserve">$2.9 million </w:t>
      </w:r>
      <w:r>
        <w:rPr>
          <w:rFonts w:ascii="Arial;sans-serif" w:hAnsi="Arial;sans-serif"/>
          <w:b w:val="false"/>
          <w:color w:val="000000"/>
          <w:sz w:val="18"/>
          <w:shd w:fill="FFFFFF" w:val="clear"/>
        </w:rPr>
        <w:t>and $5.3 million for the three months ended June 30, 2026</w:t>
      </w:r>
      <w:r>
        <w:rPr>
          <w:color w:val="000000"/>
        </w:rPr>
        <w:t xml:space="preserve"> </w:t>
      </w:r>
      <w:r>
        <w:rPr>
          <w:rFonts w:ascii="Arial;sans-serif" w:hAnsi="Arial;sans-serif"/>
          <w:b w:val="false"/>
          <w:color w:val="000000"/>
          <w:sz w:val="18"/>
        </w:rPr>
        <w:t>and 2025, respectively. Compensation expense for Performance-Based RSUs recognized in SG&amp;A expense was $5.9 million and $10.9 million for the six months ended June 30, 2026 and 2025, respectively. At June 30, 2026, unrecognized compensation cost related to unvested Performance-Based RSUs, assuming maximum attainment of performance-based metrics, totaled $27.9 million, which would be recognized over the remaining weighted average vesting period of 1.4 years.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For 274,410 Performance-Based RSUs granted in February 2026, the awards cliff vest based on the achievement of performance-based conditions over the vesting period of three years. At the end of each fiscal year during the vesting period, the target number of RSUs may be adjusted from 0% to 300% based on the Company's level of attainment of performance measures, including financial return metrics such as Revenue, Return on Invested Capital and Adjusted Free Cash Flow, as defined by the Company's Compensation Committee.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For 56,702 Performance-Based RSUs granted in February 2026, the awards cliff vest based on achievement of the relative total stockholder return ("TSR") of the Company's Common Stock as compared to the TSR of the constituents in the S&amp;P SmallCap 600 Index over the vesting period of three years. The target number of RSUs may be adjusted from 0% to 300% based on the TSR attainment levels defined by the Company's Compensation Committee at the end of each measurement period during the vesting period. The grant date fair value of the TSR Performance-Based RSUs was determined using a Monte Carlo simulation model.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For 243,158 Performance-Based RSUs granted in 2021, the awards cliff vest based on achievement of specified share prices of the Company's Common Stock at annual measurement dates over a performance period of 4.8 years. The target number of RSUs may be adjusted from 0 to 583,334 based on the stock price attainment levels defined by the Company's Compensation Committee. The 243,159 RSU target payout is tied to a stock price of $47.50, with a payout ranging from 0 RSUs (for a stock price less than $42.50) to 583,334 RSUs (for a stock price of $60.00 or greater).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All other outstanding Performance-Based RSUs cliff vest based on achievement of the relative TSR of the Company's Common Stock as compared to the TSR of the constituents in the S&amp;P MidCap 400 Index over the vesting period of three years. The target number of RSUs may be adjusted from 0% to 200% based on the TSR attainment levels defined by the Company's Compensation Committee.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stock options activity for the six months ended June 30, 2026</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99"/>
        <w:gridCol w:w="615"/>
        <w:gridCol w:w="617"/>
        <w:gridCol w:w="499"/>
        <w:gridCol w:w="380"/>
        <w:gridCol w:w="338"/>
        <w:gridCol w:w="109"/>
        <w:gridCol w:w="109"/>
        <w:gridCol w:w="109"/>
        <w:gridCol w:w="534"/>
        <w:gridCol w:w="1561"/>
        <w:gridCol w:w="276"/>
        <w:gridCol w:w="109"/>
        <w:gridCol w:w="109"/>
        <w:gridCol w:w="109"/>
        <w:gridCol w:w="457"/>
        <w:gridCol w:w="412"/>
        <w:gridCol w:w="413"/>
        <w:gridCol w:w="109"/>
        <w:gridCol w:w="109"/>
        <w:gridCol w:w="109"/>
        <w:gridCol w:w="519"/>
        <w:gridCol w:w="1518"/>
        <w:gridCol w:w="386"/>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21"/>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 2026</w:t>
            </w:r>
          </w:p>
        </w:tc>
      </w:tr>
      <w:tr>
        <w:trPr/>
        <w:tc>
          <w:tcPr>
            <w:tcW w:w="193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WillScot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Converted</w:t>
              <w:br/>
              <w:t>Mobile Mini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r>
      <w:tr>
        <w:trPr/>
        <w:tc>
          <w:tcPr>
            <w:tcW w:w="1931"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79"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754,188 </w:t>
            </w:r>
          </w:p>
        </w:tc>
        <w:tc>
          <w:tcPr>
            <w:tcW w:w="33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1"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2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10,884 </w:t>
            </w:r>
          </w:p>
        </w:tc>
        <w:tc>
          <w:tcPr>
            <w:tcW w:w="41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8"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3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9"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1"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(10,884)</w:t>
            </w:r>
          </w:p>
        </w:tc>
        <w:tc>
          <w:tcPr>
            <w:tcW w:w="41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8"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3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854,188 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Fully vested and exercisable at end of period</w:t>
            </w:r>
          </w:p>
        </w:tc>
        <w:tc>
          <w:tcPr>
            <w:tcW w:w="87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following table summarizes the Company's stock options activity for the six months ended June 30, </w:t>
      </w:r>
      <w:r>
        <w:rPr>
          <w:rFonts w:ascii="Arial;sans-serif" w:hAnsi="Arial;sans-serif"/>
          <w:b w:val="false"/>
          <w:color w:val="000000"/>
          <w:sz w:val="18"/>
          <w:shd w:fill="FFFFFF" w:val="clear"/>
        </w:rPr>
        <w:t>2025:</w:t>
      </w:r>
    </w:p>
    <w:tbl>
      <w:tblPr>
        <w:tblW w:w="10205" w:type="dxa"/>
        <w:jc w:val="left"/>
        <w:tblInd w:w="0" w:type="dxa"/>
        <w:tblLayout w:type="fixed"/>
        <w:tblCellMar>
          <w:top w:w="28" w:type="dxa"/>
          <w:left w:w="28" w:type="dxa"/>
          <w:bottom w:w="28" w:type="dxa"/>
          <w:right w:w="28" w:type="dxa"/>
        </w:tblCellMar>
      </w:tblPr>
      <w:tblGrid>
        <w:gridCol w:w="659"/>
        <w:gridCol w:w="581"/>
        <w:gridCol w:w="582"/>
        <w:gridCol w:w="499"/>
        <w:gridCol w:w="373"/>
        <w:gridCol w:w="329"/>
        <w:gridCol w:w="109"/>
        <w:gridCol w:w="109"/>
        <w:gridCol w:w="109"/>
        <w:gridCol w:w="514"/>
        <w:gridCol w:w="1503"/>
        <w:gridCol w:w="266"/>
        <w:gridCol w:w="109"/>
        <w:gridCol w:w="109"/>
        <w:gridCol w:w="109"/>
        <w:gridCol w:w="611"/>
        <w:gridCol w:w="486"/>
        <w:gridCol w:w="488"/>
        <w:gridCol w:w="109"/>
        <w:gridCol w:w="109"/>
        <w:gridCol w:w="109"/>
        <w:gridCol w:w="500"/>
        <w:gridCol w:w="1462"/>
        <w:gridCol w:w="371"/>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3" w:type="dxa"/>
            <w:gridSpan w:val="21"/>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 2025</w:t>
            </w:r>
          </w:p>
        </w:tc>
      </w:tr>
      <w:tr>
        <w:trPr/>
        <w:tc>
          <w:tcPr>
            <w:tcW w:w="182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WillScot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Converted Mobile Mini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r>
      <w:tr>
        <w:trPr/>
        <w:tc>
          <w:tcPr>
            <w:tcW w:w="1822"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7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814,889 </w:t>
            </w:r>
          </w:p>
        </w:tc>
        <w:tc>
          <w:tcPr>
            <w:tcW w:w="48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2"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37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(786,204)</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7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28,685 </w:t>
            </w:r>
          </w:p>
        </w:tc>
        <w:tc>
          <w:tcPr>
            <w:tcW w:w="488"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37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Fully vested and exercisable at end of period</w:t>
            </w:r>
          </w:p>
        </w:tc>
        <w:tc>
          <w:tcPr>
            <w:tcW w:w="872"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28,685 </w:t>
            </w:r>
          </w:p>
        </w:tc>
        <w:tc>
          <w:tcPr>
            <w:tcW w:w="48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37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At June 30, 2026, the intrinsic value of stock options outstanding was $10.4 million, and the intrinsic value of stock options fully vested and exercisable was $8.2 million. At June 30, 2026, the weighted-average remaining contractual term of options fully vested and exercisable was 1.7 years. The weighted-average remaining contractual term of all outstanding options was 4.6 years.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stock options recognized in SG&amp;A expense was $0.3 million for the three months ended June 30, 2026 and $0.6 million for the six months ended June 30, 2026. At June 30, 2026, unrecognized compensation cost related to stock options totaled $2.1 million and was expected to be recognized over the remaining weighted average vesting period of 1.9 years.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each stock option award granted during the six months ended June 30, 2026 was estimated on the grant date using the Black-Scholes option-pricing model. The assumptions are listed in the table below.</w:t>
      </w:r>
    </w:p>
    <w:tbl>
      <w:tblPr>
        <w:tblW w:w="4591" w:type="dxa"/>
        <w:jc w:val="center"/>
        <w:tblInd w:w="0" w:type="dxa"/>
        <w:tblLayout w:type="fixed"/>
        <w:tblCellMar>
          <w:top w:w="28" w:type="dxa"/>
          <w:left w:w="28" w:type="dxa"/>
          <w:bottom w:w="28" w:type="dxa"/>
          <w:right w:w="28" w:type="dxa"/>
        </w:tblCellMar>
      </w:tblPr>
      <w:tblGrid>
        <w:gridCol w:w="1194"/>
        <w:gridCol w:w="1049"/>
        <w:gridCol w:w="1057"/>
        <w:gridCol w:w="428"/>
        <w:gridCol w:w="221"/>
        <w:gridCol w:w="642"/>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Assumptions</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64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Expected dividend</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Risk-free rate</w:t>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64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Expected term</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years</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Exercise price</w:t>
            </w:r>
          </w:p>
        </w:tc>
        <w:tc>
          <w:tcPr>
            <w:tcW w:w="42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grant date fair value</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8.09</w:t>
            </w:r>
          </w:p>
        </w:tc>
      </w:tr>
    </w:tbl>
    <w:p>
      <w:pPr>
        <w:pStyle w:val="TextBody"/>
        <w:bidi w:val="0"/>
        <w:spacing w:before="0" w:after="6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pPr>
      <w:r>
        <w:rPr>
          <w:rFonts w:ascii="Arial;sans-serif" w:hAnsi="Arial;sans-serif"/>
          <w:b w:val="false"/>
          <w:color w:val="1D2758"/>
          <w:sz w:val="26"/>
        </w:rPr>
        <w:t>NOTE 12 - Commitments and Contingencies</w:t>
      </w:r>
      <w:r>
        <w:rPr>
          <w:color w:val="008A5F"/>
        </w:rPr>
        <w:t xml:space="preserve">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June 30, 2026, with respect to these outstanding matters, the Company believes that the amount or range of reasonably possible loss will not, either individually or in the aggregate, have a material adverse effect on the Company's consolidated financial position, results of operations, or cash flows. However, the outcome of such matters is inherently unpredictable and subject to significant uncertainties.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13 - Segment Reporting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has one reportable segment. Refer to Note 3 for revenue by geographic area and revenue by major product and service lines. Refer to the Condensed Consolidated Balance Sheets for total assets. Refer to the Condensed Consolidated Statements of Cash Flows for total expenditures for additions to long-lived assets.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defines EBITDA as net income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measure of profit or loss used by the Chief Operating Decision Maker ("CODM") to evaluate operating segment performance and allocate resources is Adjusted EBITDA. Adjusted EBITDA is used to determine capital allocation between operating segments and certain aspects of management's compensation. Management believes that evaluating operating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 inclusive of indirect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sets forth certain information regarding significant revenue and expense categories fo</w:t>
      </w:r>
      <w:r>
        <w:rPr>
          <w:rFonts w:ascii="Arial;sans-serif" w:hAnsi="Arial;sans-serif"/>
          <w:b w:val="false"/>
          <w:color w:val="000000"/>
          <w:sz w:val="18"/>
          <w:shd w:fill="FFFFFF" w:val="clear"/>
        </w:rPr>
        <w:t xml:space="preserve">r the </w:t>
      </w:r>
      <w:r>
        <w:rPr>
          <w:rFonts w:ascii="Arial;sans-serif" w:hAnsi="Arial;sans-serif"/>
          <w:b w:val="false"/>
          <w:color w:val="000000"/>
          <w:sz w:val="18"/>
        </w:rPr>
        <w:t>three and six months ended June 30,</w:t>
      </w:r>
      <w:r>
        <w:rPr>
          <w:color w:val="000000"/>
          <w:shd w:fill="FFFFFF" w:val="clear"/>
        </w:rPr>
        <w:t xml:space="preserve"> </w:t>
      </w:r>
      <w:r>
        <w:rPr>
          <w:rFonts w:ascii="Arial;sans-serif" w:hAnsi="Arial;sans-serif"/>
          <w:b w:val="false"/>
          <w:color w:val="000000"/>
          <w:sz w:val="18"/>
          <w:shd w:fill="FFFFFF" w:val="clear"/>
        </w:rPr>
        <w:t>2026 and 2025:</w:t>
      </w:r>
    </w:p>
    <w:tbl>
      <w:tblPr>
        <w:tblW w:w="8347" w:type="dxa"/>
        <w:jc w:val="left"/>
        <w:tblInd w:w="0" w:type="dxa"/>
        <w:tblLayout w:type="fixed"/>
        <w:tblCellMar>
          <w:top w:w="28" w:type="dxa"/>
          <w:left w:w="28" w:type="dxa"/>
          <w:bottom w:w="28" w:type="dxa"/>
          <w:right w:w="28" w:type="dxa"/>
        </w:tblCellMar>
      </w:tblPr>
      <w:tblGrid>
        <w:gridCol w:w="1110"/>
        <w:gridCol w:w="974"/>
        <w:gridCol w:w="976"/>
        <w:gridCol w:w="211"/>
        <w:gridCol w:w="828"/>
        <w:gridCol w:w="109"/>
        <w:gridCol w:w="109"/>
        <w:gridCol w:w="109"/>
        <w:gridCol w:w="109"/>
        <w:gridCol w:w="211"/>
        <w:gridCol w:w="828"/>
        <w:gridCol w:w="109"/>
        <w:gridCol w:w="211"/>
        <w:gridCol w:w="826"/>
        <w:gridCol w:w="109"/>
        <w:gridCol w:w="109"/>
        <w:gridCol w:w="109"/>
        <w:gridCol w:w="109"/>
        <w:gridCol w:w="211"/>
        <w:gridCol w:w="826"/>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2664"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3060"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14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 leasing and other rental-related</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346,298 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342,886 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674,685 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680,937 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VAPS and third-party leasing</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 revenue</w:t>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59,730 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55,384 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106,609 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104,419 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Installation revenue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30,158 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Less:</w:t>
            </w:r>
            <w:r>
              <w:rPr>
                <w:rFonts w:ascii="Arial;sans-serif" w:hAnsi="Arial;sans-serif"/>
                <w:b w:val="false"/>
                <w:color w:val="000000"/>
                <w:sz w:val="12"/>
              </w:rPr>
              <w:t>(a)</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 leasing and other rental-related</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VAPS and third-party leasing</w:t>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34,567 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Installation</w:t>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58,312 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100,500 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76,314 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Employee SG&amp;A expense</w:t>
            </w:r>
            <w:r>
              <w:rPr>
                <w:rFonts w:ascii="Arial;sans-serif" w:hAnsi="Arial;sans-serif"/>
                <w:b w:val="false"/>
                <w:color w:val="000000"/>
                <w:sz w:val="12"/>
              </w:rPr>
              <w:t>(b)</w:t>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72,703 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67,471 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144,412 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135,736 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(c)</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248,913 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438,898 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477,698 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(a) The significant expense categories and amounts align with the segment-level information that is regularly provided to the CODM.</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(b) Employee SG&amp;A expense consists of salaries and wages, bonuses, commissions, payroll taxes, and employee benefits.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(c) Other segment items consist of service agreements, professional fees, real estate and occupancy costs, travel, bad debt expense, marketing and advertising, taxes, and other miscellaneous expenses.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following table presents reconciliations of the Company’s net income to Adjusted EBITDA for the three and six months ended June 30, </w:t>
      </w:r>
      <w:r>
        <w:rPr>
          <w:rFonts w:ascii="Arial;sans-serif" w:hAnsi="Arial;sans-serif"/>
          <w:b w:val="false"/>
          <w:color w:val="000000"/>
          <w:sz w:val="18"/>
          <w:shd w:fill="FFFFFF" w:val="clear"/>
        </w:rPr>
        <w:t>2026</w:t>
      </w:r>
      <w:r>
        <w:rPr>
          <w:color w:val="000000"/>
        </w:rPr>
        <w:t xml:space="preserve"> </w:t>
      </w:r>
      <w:r>
        <w:rPr>
          <w:rFonts w:ascii="Arial;sans-serif" w:hAnsi="Arial;sans-serif"/>
          <w:b w:val="false"/>
          <w:color w:val="000000"/>
          <w:sz w:val="18"/>
        </w:rPr>
        <w:t>and 2025:</w:t>
      </w:r>
    </w:p>
    <w:tbl>
      <w:tblPr>
        <w:tblW w:w="10205" w:type="dxa"/>
        <w:jc w:val="left"/>
        <w:tblInd w:w="0" w:type="dxa"/>
        <w:tblLayout w:type="fixed"/>
        <w:tblCellMar>
          <w:top w:w="28" w:type="dxa"/>
          <w:left w:w="28" w:type="dxa"/>
          <w:bottom w:w="28" w:type="dxa"/>
          <w:right w:w="28" w:type="dxa"/>
        </w:tblCellMar>
      </w:tblPr>
      <w:tblGrid>
        <w:gridCol w:w="1822"/>
        <w:gridCol w:w="1546"/>
        <w:gridCol w:w="1549"/>
        <w:gridCol w:w="211"/>
        <w:gridCol w:w="827"/>
        <w:gridCol w:w="109"/>
        <w:gridCol w:w="109"/>
        <w:gridCol w:w="109"/>
        <w:gridCol w:w="109"/>
        <w:gridCol w:w="211"/>
        <w:gridCol w:w="827"/>
        <w:gridCol w:w="109"/>
        <w:gridCol w:w="211"/>
        <w:gridCol w:w="826"/>
        <w:gridCol w:w="109"/>
        <w:gridCol w:w="109"/>
        <w:gridCol w:w="109"/>
        <w:gridCol w:w="109"/>
        <w:gridCol w:w="211"/>
        <w:gridCol w:w="826"/>
        <w:gridCol w:w="157"/>
      </w:tblGrid>
      <w:tr>
        <w:trPr/>
        <w:tc>
          <w:tcPr>
            <w:tcW w:w="182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2667"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491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14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49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117,446 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209,724 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Currency losses (gains), net</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91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91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9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Integration and transaction costs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w:t>
            </w:r>
            <w:r>
              <w:rPr>
                <w:rFonts w:ascii="Arial;sans-serif" w:hAnsi="Arial;sans-serif"/>
                <w:b w:val="false"/>
                <w:color w:val="000000"/>
                <w:sz w:val="12"/>
              </w:rPr>
              <w:t>(a)</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438,898 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477,698 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 xml:space="preserve">(a) For the six months ended June 30, 2026, other included $1.8 million in non-equity executive transition costs.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14 - Earnings Per Share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the weighted average shares of Common Stock outstanding for the basic earnings per share calculation to the weighted average shares of Common Stock outstanding for the diluted earnings per share calculation:</w:t>
      </w:r>
    </w:p>
    <w:tbl>
      <w:tblPr>
        <w:tblW w:w="9406" w:type="dxa"/>
        <w:jc w:val="left"/>
        <w:tblInd w:w="0" w:type="dxa"/>
        <w:tblLayout w:type="fixed"/>
        <w:tblCellMar>
          <w:top w:w="28" w:type="dxa"/>
          <w:left w:w="28" w:type="dxa"/>
          <w:bottom w:w="28" w:type="dxa"/>
          <w:right w:w="28" w:type="dxa"/>
        </w:tblCellMar>
      </w:tblPr>
      <w:tblGrid>
        <w:gridCol w:w="1452"/>
        <w:gridCol w:w="1275"/>
        <w:gridCol w:w="1278"/>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400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13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5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40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1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basic</w:t>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181,012 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182,468 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181,005 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183,071 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Dilutive effect of outstanding securities: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RSAs</w:t>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dilutive</w:t>
            </w:r>
          </w:p>
        </w:tc>
        <w:tc>
          <w:tcPr>
            <w:tcW w:w="1015"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181,809 </w:t>
            </w:r>
          </w:p>
        </w:tc>
        <w:tc>
          <w:tcPr>
            <w:tcW w:w="1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183,439 </w:t>
            </w:r>
          </w:p>
        </w:tc>
        <w:tc>
          <w:tcPr>
            <w:tcW w:w="1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181,642 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184,367 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potential shares of Common Stock were excluded from the computation of dilutive EPS:</w:t>
      </w:r>
    </w:p>
    <w:tbl>
      <w:tblPr>
        <w:tblW w:w="8031" w:type="dxa"/>
        <w:jc w:val="left"/>
        <w:tblInd w:w="0" w:type="dxa"/>
        <w:tblLayout w:type="fixed"/>
        <w:tblCellMar>
          <w:top w:w="28" w:type="dxa"/>
          <w:left w:w="28" w:type="dxa"/>
          <w:bottom w:w="28" w:type="dxa"/>
          <w:right w:w="28" w:type="dxa"/>
        </w:tblCellMar>
      </w:tblPr>
      <w:tblGrid>
        <w:gridCol w:w="918"/>
        <w:gridCol w:w="671"/>
        <w:gridCol w:w="675"/>
        <w:gridCol w:w="384"/>
        <w:gridCol w:w="291"/>
        <w:gridCol w:w="291"/>
        <w:gridCol w:w="291"/>
        <w:gridCol w:w="291"/>
        <w:gridCol w:w="291"/>
        <w:gridCol w:w="384"/>
        <w:gridCol w:w="291"/>
        <w:gridCol w:w="291"/>
        <w:gridCol w:w="109"/>
        <w:gridCol w:w="109"/>
        <w:gridCol w:w="109"/>
        <w:gridCol w:w="342"/>
        <w:gridCol w:w="274"/>
        <w:gridCol w:w="259"/>
        <w:gridCol w:w="259"/>
        <w:gridCol w:w="259"/>
        <w:gridCol w:w="259"/>
        <w:gridCol w:w="342"/>
        <w:gridCol w:w="274"/>
        <w:gridCol w:w="367"/>
      </w:tblGrid>
      <w:tr>
        <w:trPr/>
        <w:tc>
          <w:tcPr>
            <w:tcW w:w="9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2264"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96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87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77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RSAs</w:t>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1,413 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1,443 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3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shares</w:t>
            </w:r>
          </w:p>
        </w:tc>
        <w:tc>
          <w:tcPr>
            <w:tcW w:w="675"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2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2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2,544 </w:t>
            </w:r>
          </w:p>
        </w:tc>
        <w:tc>
          <w:tcPr>
            <w:tcW w:w="2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3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hanging="1440"/>
        <w:jc w:val="left"/>
        <w:rPr>
          <w:rFonts w:ascii="Arial;sans-serif" w:hAnsi="Arial;sans-serif"/>
          <w:b/>
          <w:color w:val="000000"/>
          <w:sz w:val="36"/>
        </w:rPr>
      </w:pPr>
      <w:r>
        <w:rPr>
          <w:rFonts w:ascii="Arial;sans-serif" w:hAnsi="Arial;sans-serif"/>
          <w:b/>
          <w:color w:val="000000"/>
          <w:sz w:val="36"/>
        </w:rPr>
        <w:t xml:space="preserve">ITEM 2.    Management’s Discussion and Analysis of Financial Condition and Results of Operations </w:t>
      </w:r>
    </w:p>
    <w:p>
      <w:pPr>
        <w:pStyle w:val="TextBody"/>
        <w:bidi w:val="0"/>
        <w:spacing w:lineRule="auto" w:line="26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Management’s Discussion and Analysis of Financial Condition and Results of Operations (“MD&amp;A”) is intended to help the reader understand the operations and present business environment of WillScot Holdings Corporation (“WillScot”) and its subsidiaries (collectively with WillScot, the “Company,” “we,” “us” or “our”). MD&amp;A is provided as a supplement to, and should be read in conjunction with, our condensed consolidated financial statements and the accompanying notes thereto, contained in Part I, Item 1. Financial Statements of this Quarterly Report on Form 10-Q. All references to "Notes" in this MD&amp;A are to the notes to our condensed consolidated financial statements. The discussion of results of operations in this MD&amp;A is presented on a historical basis, as of or for the three and six months ended June 30, 2026 or prior periods.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financial statements were prepared in conformity with accounting principles generally accepted in the United States (“GAAP”). We use certain non-GAAP financial measures to supplement the GAAP reported results to highlight key metrics that are used by management to evaluate Company performance. Reconciliations of GAAP financial information to the disclosed non-GAAP measures are provided in the "Reconciliation of Non-GAAP Financial Measures" section of MD&amp;A.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Executive Summary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a leading business services provider specializing in innovative and flexible turnkey space solutions. We offer our customers an extensive selection of space solutions with over 130,000 modular space units and over 174,000 portable storage units in our fleet. Our diverse product offering includes:</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Modular Space Solutions</w:t>
      </w:r>
      <w:r>
        <w:rPr>
          <w:rFonts w:ascii="Arial;sans-serif" w:hAnsi="Arial;sans-serif"/>
          <w:b w:val="false"/>
          <w:color w:val="000000"/>
          <w:sz w:val="18"/>
        </w:rPr>
        <w:t>: modular office complexes, mobile offices, classrooms, ground level offices, blast-resistant modules, clearspan structures, and sanitation solutions.</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Portable Storage Solutions</w:t>
      </w:r>
      <w:r>
        <w:rPr>
          <w:rFonts w:ascii="Arial;sans-serif" w:hAnsi="Arial;sans-serif"/>
          <w:b w:val="false"/>
          <w:color w:val="000000"/>
          <w:sz w:val="18"/>
        </w:rPr>
        <w:t xml:space="preserve">: portable storage containers and climate-controlled containers and trailers.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Value-Added Products ("VAPS")</w:t>
      </w:r>
      <w:r>
        <w:rPr>
          <w:rFonts w:ascii="Arial;sans-serif" w:hAnsi="Arial;sans-serif"/>
          <w:b w:val="false"/>
          <w:color w:val="000000"/>
          <w:sz w:val="18"/>
        </w:rPr>
        <w:t xml:space="preserve">: a thoughtfully curated selection of solutions that supports our "Right from the Start" value proposition, including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customer experience.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operate a hybrid in-house and outsourced logistics and service infrastructure that provides delivery, sitework, installation, disassembly, removal and other services to our customers for an additional fee as part of our leasing and sales operations. We also provide other services to our customers, including technical expertise and oversight regarding building design and permitting, site preparation, and project management, including expansion or contraction of installed space based on changes in project requirements. We serve diverse end markets across all sectors of the economy throughout the United States ("US"), Canada, and Mexico. As of June 30, 2026, our branch network included approximately 240 branch locations and additional drop lots to service our over 85,000 customers.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primarily lease, rather than sell, our space solutions to customers, which results in a diversified and predictable recurring revenue stream. Over 90% of new lease orders are on our standard lease agreement, pre-negotiated master lease, or enterprise account agreements. Rental contracts with customers are generally based on a 28-day or monthly rate and billing cycle. The initial lease periods vary, and our leases are customarily renewable on a month-to-month basis after their initial term and continue until cancelled by the customer or us. As our customers value flexibility, they consistently extend their leases or renew on a month-to-month basis such that the average effective duration of our consolidated lease portfolio, excluding seasonal portable storage units, was approximately 41 months as of June 30, 2026. We believe our lease revenue is predictable due to its recurring nature and the underlying stability and diversification of our lease portfolio. We complement our core leasing business by selling both new and used units, allowing us to leverage scale, achieve purchasing benefits, and redeploy capital employed in our lease fleet.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customers operate in diversified end markets, including construction and infrastructure, commercial and industrial, energy and natural resources, and government and institutions. Core to our operating model is the ability to redeploy standardized assets across end markets. We track several leading market indicators to predict demand, including Gross Domestic Product in North America, the Architecture Billings Index, and non-residential construction square foot starts. These indicators, among others, support our demand forecast for our two largest end markets, the commercial and industrial sector and the construction and infrastructure market, which collectively accounted for approximately 86% of our revenues for the six months ended June 30, 2026.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Significant Developments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Network Optimization Plan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December 2025, we finalized our multi-year Network Optimization Plan, identifying real estate locations for exit, which was approved by the Board of Directors. We believe these actions will reduce expected annual real estate cost increases, leave adequate idle fleet to meet future projected demand, and maintain market coverage and customer service capabilities. Exiting those locations necessitates the disposal of certain rental equipment. The Network Optimization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encompasses exiting approximately 665 acres of real estate over four years, representing 108 branch and drop lot locations and approximately 25% of our leased acreage. To enable these exits, we identified rental fleet units with a net book value of $312.1 million to be abandoned, representing approximately 53,000 units (approximately 31,000 portable storage units and 22,000 modular space units), concentrated on long idle, nonstandard, or higher repair cost units.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of June 30, 2026, the Company has disposed of approximately 23,000 portable storage units and 11,000 modular space units related to the Network Optimization Plan. Portable storage units were generally recycled, for which we received proceeds to partially offset the cash paid for the disposal of modular units. For the six months ended June 30, 2026, we recorded restructuring and other related costs for the Network Optimization Plan of $17.8 million, consisting primarily of asset disposal costs. Total cash paid to implement the Network Optimization plan was $14.9 million for the six months ended June 30, 2026, and was partially offset by total cash proceeds of $6.8 million from portable storage unit recycling. As of June 30, 2026, we expect the initiative to result in total future costs of approximately $43 million, consisting of rental equipment disposal costs of approximately $27 million and rental equipment relocation costs of approximately $16 million.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Dividends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February and May </w:t>
      </w:r>
      <w:r>
        <w:rPr>
          <w:rFonts w:ascii="Arial;sans-serif" w:hAnsi="Arial;sans-serif"/>
          <w:b w:val="false"/>
          <w:color w:val="000000"/>
          <w:sz w:val="18"/>
          <w:shd w:fill="FFFFFF" w:val="clear"/>
        </w:rPr>
        <w:t>2026</w:t>
      </w:r>
      <w:r>
        <w:rPr>
          <w:rFonts w:ascii="Arial;sans-serif" w:hAnsi="Arial;sans-serif"/>
          <w:b w:val="false"/>
          <w:color w:val="000000"/>
          <w:sz w:val="18"/>
        </w:rPr>
        <w:t xml:space="preserve">, our Board of Directors declared quarterly dividends of $0.07 per share. Dividends paid were $25.4 million for the </w:t>
      </w:r>
      <w:r>
        <w:rPr>
          <w:rFonts w:ascii="Arial;sans-serif" w:hAnsi="Arial;sans-serif"/>
          <w:b w:val="false"/>
          <w:color w:val="000000"/>
          <w:sz w:val="18"/>
          <w:shd w:fill="FFFFFF" w:val="clear"/>
        </w:rPr>
        <w:t>six months ended June 30, 2026. We intend to continue our quarterly dividend program, subject to Board approval, the requirements of our debt instruments, and based on available cash flow, capital allocation priorities, and market conditions.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Share Repurchases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the six months ended June 30, 2026, we repurchased 352,900 shares of Common Stock for $7.3 million, excluding excise tax. As of June 30, 2026, $717.1 million of the authorization for future repurchases of the Common Stock remained available. We executed share repurchases as part of our capital allocation strategy to enhance shareholder value and optimize capital deployment in light of current market valuations. Refer to Part II. Item 2. Unregistered Sales of Equity Securities and Use of Proceeds included in this Quarterly Report on Form 10-Q for more information on our share repurchase program.</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Second Quarter Summary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For the three months ended June 30, 2026, as compared to the three months ended June 30, 2025, results and key drivers of our financial performance included the following:</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Total revenues</w:t>
      </w:r>
      <w:r>
        <w:rPr>
          <w:color w:val="000000"/>
        </w:rPr>
        <w:t xml:space="preserve"> </w:t>
      </w:r>
      <w:r>
        <w:rPr>
          <w:rFonts w:ascii="Arial;sans-serif" w:hAnsi="Arial;sans-serif"/>
          <w:b w:val="false"/>
          <w:color w:val="000000"/>
          <w:sz w:val="18"/>
        </w:rPr>
        <w:t xml:space="preserve">increased $23.1 million, or 3.9%, to $612.2 million. The increase in revenue was driven by a $27.4 million increase in delivery and installation revenue related to increased sitework for large complex projects and improved activation activity and a $6.8 million increase in leasing revenue. The increases were partially due to $12.6 million of total revenue, including both leasing and delivery and installation, associated with a significant event project in the three months ended June 30, 2026. The increase in total revenue was partially offset by a $7.0 million decline in new sales and a $4.1 million decline in rental unit sales.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Leasing revenue</w:t>
      </w:r>
      <w:r>
        <w:rPr>
          <w:color w:val="000000"/>
        </w:rPr>
        <w:t xml:space="preserve"> </w:t>
      </w:r>
      <w:r>
        <w:rPr>
          <w:rFonts w:ascii="Arial;sans-serif" w:hAnsi="Arial;sans-serif"/>
          <w:b w:val="false"/>
          <w:color w:val="000000"/>
          <w:sz w:val="18"/>
        </w:rPr>
        <w:t xml:space="preserve">increased $6.8 million, or 1.5%, primarily driven by a $5.5 million, or 2.2%, increase in modular space leasing revenue, a $3.4 million, or 3.4%, increase in VAPS and third-party leasing revenue, and a decrease of $4.7 million of write-offs of aged receivables recorded as a reduction to revenue. The increase was partially offset by a $4.6 million, or 5.8%, decrease in portable storage leasing revenue. </w:t>
      </w:r>
    </w:p>
    <w:p>
      <w:pPr>
        <w:pStyle w:val="TextBody"/>
        <w:bidi w:val="0"/>
        <w:spacing w:lineRule="auto" w:line="288" w:before="0" w:after="60"/>
        <w:ind w:left="0" w:right="0" w:hanging="360"/>
        <w:jc w:val="both"/>
        <w:rPr/>
      </w:pPr>
      <w:r>
        <w:rPr>
          <w:strike/>
          <w:color w:val="000000"/>
        </w:rPr>
        <w:t>•</w:t>
      </w:r>
      <w:r>
        <w:rPr>
          <w:rFonts w:ascii="Arial;sans-serif" w:hAnsi="Arial;sans-serif"/>
          <w:b/>
          <w:color w:val="000000"/>
          <w:sz w:val="18"/>
        </w:rPr>
        <w:t>Delivery and installation revenue</w:t>
      </w:r>
      <w:r>
        <w:rPr>
          <w:color w:val="000000"/>
        </w:rPr>
        <w:t xml:space="preserve"> </w:t>
      </w:r>
      <w:r>
        <w:rPr>
          <w:rFonts w:ascii="Arial;sans-serif" w:hAnsi="Arial;sans-serif"/>
          <w:b w:val="false"/>
          <w:color w:val="000000"/>
          <w:sz w:val="18"/>
        </w:rPr>
        <w:t>increased $27.4 million, or 25.3%, driven by an increase in large complex projects and higher overall activity.</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 xml:space="preserve">Sales revenue: </w:t>
      </w:r>
      <w:r>
        <w:rPr>
          <w:rFonts w:ascii="Arial;sans-serif" w:hAnsi="Arial;sans-serif"/>
          <w:b w:val="false"/>
          <w:color w:val="000000"/>
          <w:sz w:val="18"/>
        </w:rPr>
        <w:t xml:space="preserve">new unit sales revenue decreased $7.0 million, or 32.5%, and rental unit sales revenue decreased $4.1 million, or 25.2%.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Generated </w:t>
      </w:r>
      <w:r>
        <w:rPr>
          <w:rFonts w:ascii="Arial;sans-serif" w:hAnsi="Arial;sans-serif"/>
          <w:b/>
          <w:color w:val="000000"/>
          <w:sz w:val="18"/>
        </w:rPr>
        <w:t>net income</w:t>
      </w:r>
      <w:r>
        <w:rPr>
          <w:color w:val="000000"/>
        </w:rPr>
        <w:t xml:space="preserve"> </w:t>
      </w:r>
      <w:r>
        <w:rPr>
          <w:rFonts w:ascii="Arial;sans-serif" w:hAnsi="Arial;sans-serif"/>
          <w:b w:val="false"/>
          <w:color w:val="000000"/>
          <w:sz w:val="18"/>
        </w:rPr>
        <w:t>of $47.0 million for the three months ended June 30, 2026, representing a decrease of $1.0 million, or 2.0%, as compared to the same period in 2025. Discrete costs during the period included $6.2 million of charges related to the Network Optimization Plan.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Generated </w:t>
      </w:r>
      <w:r>
        <w:rPr>
          <w:rFonts w:ascii="Arial;sans-serif" w:hAnsi="Arial;sans-serif"/>
          <w:b/>
          <w:color w:val="000000"/>
          <w:sz w:val="18"/>
        </w:rPr>
        <w:t>Adjusted EBITDA</w:t>
      </w:r>
      <w:r>
        <w:rPr>
          <w:color w:val="000000"/>
        </w:rPr>
        <w:t xml:space="preserve"> </w:t>
      </w:r>
      <w:r>
        <w:rPr>
          <w:rFonts w:ascii="Arial;sans-serif" w:hAnsi="Arial;sans-serif"/>
          <w:b w:val="false"/>
          <w:color w:val="000000"/>
          <w:sz w:val="18"/>
        </w:rPr>
        <w:t xml:space="preserve">of $227.9 million for the three months ended June 30, 2026, representing a decrease of $21.0 million, or 8.4%, as compared to the same period in 2025.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Net cash provided by operating activities</w:t>
      </w:r>
      <w:r>
        <w:rPr>
          <w:color w:val="000000"/>
        </w:rPr>
        <w:t xml:space="preserve"> </w:t>
      </w:r>
      <w:r>
        <w:rPr>
          <w:rFonts w:ascii="Arial;sans-serif" w:hAnsi="Arial;sans-serif"/>
          <w:b w:val="false"/>
          <w:color w:val="000000"/>
          <w:sz w:val="18"/>
        </w:rPr>
        <w:t>decreased $43.0 million to $162.3 million for the three months ended June 30, 2026. The decrease in net cash provided by operating activities included $6.1 million of cash outflows related to the execution of our Network Optimization Plan.</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 xml:space="preserve">Net cash used in investing activities </w:t>
      </w:r>
      <w:r>
        <w:rPr>
          <w:rFonts w:ascii="Arial;sans-serif" w:hAnsi="Arial;sans-serif"/>
          <w:b w:val="false"/>
          <w:color w:val="000000"/>
          <w:sz w:val="18"/>
        </w:rPr>
        <w:t>decreased $95.1 million to $113.0 million. The three months ended June 30, 2025 included $133.8 million in cash used for acquisitions. Capital expenditures for rental equipment increased $36.8 million for the three months ended June 30, 2026. The increase in capital expenditures was driven by increased investments in differentiated fleet to support activations for large complex projects. Net capital expenditures ("Net CAPEX") increased $38.8 million for the three months ended June 30, 2026.</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Generated </w:t>
      </w:r>
      <w:r>
        <w:rPr>
          <w:rFonts w:ascii="Arial;sans-serif" w:hAnsi="Arial;sans-serif"/>
          <w:b/>
          <w:color w:val="000000"/>
          <w:sz w:val="18"/>
        </w:rPr>
        <w:t>Adjusted Free Cash Flow</w:t>
      </w:r>
      <w:r>
        <w:rPr>
          <w:color w:val="000000"/>
        </w:rPr>
        <w:t xml:space="preserve"> </w:t>
      </w:r>
      <w:r>
        <w:rPr>
          <w:rFonts w:ascii="Arial;sans-serif" w:hAnsi="Arial;sans-serif"/>
          <w:b w:val="false"/>
          <w:color w:val="000000"/>
          <w:sz w:val="18"/>
        </w:rPr>
        <w:t xml:space="preserve">of $55.1 million for the three months ended June 30, 2026 as compared to $130.3 million for the three months ended June 30, 2025. During the three months ended June 30, 2026, we deployed Adjusted Free Cash Flow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Reduce outstanding borrowings under the senior secured asset-based revolving credit facility (the “ABL Facility”) by $25.6 million.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Pay a $0.07 per share dividend, returning $12.7 million to our shareholders.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believe that the predictability of our Adjusted Free Cash Flow allows us to pursue multiple capital allocation priorities opportunistically, including investing in organic opportunities that we see in the market, maintaining appropriate leverage, executing accretive acquisitions, and returning capital to shareholders via share repurchases and dividend distributions. We also believe our strong operating cash flow generation, countercyclical Net CAPEX profile, and $1.5 billion of available borrowing capacity under our ABL Facility, provide ample liquidity to execute our strategy.</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measures to evaluate our operating results, we use Adjusted EBITDA, Net CAPEX, and Adjusted Free Cash Flow, which are non-GAAP financial measures. As such, we include in this Form 10-Q reconciliations of these non-GAAP financial measures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Consolidated Results of Operations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Three Months Ended June 30, 2026 Compared to the Three Months Ended June 30, 2025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Certain consolidated results of operations for the three months ended June 30, 2026 and 2025 are presented below. </w:t>
      </w:r>
    </w:p>
    <w:tbl>
      <w:tblPr>
        <w:tblW w:w="7371" w:type="dxa"/>
        <w:jc w:val="left"/>
        <w:tblInd w:w="0" w:type="dxa"/>
        <w:tblLayout w:type="fixed"/>
        <w:tblCellMar>
          <w:top w:w="28" w:type="dxa"/>
          <w:left w:w="28" w:type="dxa"/>
          <w:bottom w:w="28" w:type="dxa"/>
          <w:right w:w="28" w:type="dxa"/>
        </w:tblCellMar>
      </w:tblPr>
      <w:tblGrid>
        <w:gridCol w:w="1105"/>
        <w:gridCol w:w="969"/>
        <w:gridCol w:w="971"/>
        <w:gridCol w:w="211"/>
        <w:gridCol w:w="826"/>
        <w:gridCol w:w="109"/>
        <w:gridCol w:w="109"/>
        <w:gridCol w:w="109"/>
        <w:gridCol w:w="109"/>
        <w:gridCol w:w="211"/>
        <w:gridCol w:w="826"/>
        <w:gridCol w:w="109"/>
        <w:gridCol w:w="109"/>
        <w:gridCol w:w="109"/>
        <w:gridCol w:w="109"/>
        <w:gridCol w:w="297"/>
        <w:gridCol w:w="867"/>
        <w:gridCol w:w="216"/>
      </w:tblGrid>
      <w:tr>
        <w:trPr/>
        <w:tc>
          <w:tcPr>
            <w:tcW w:w="110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1380"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 xml:space="preserve">2026 vs. 2025 </w:t>
            </w:r>
          </w:p>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 Change</w:t>
            </w:r>
          </w:p>
        </w:tc>
      </w:tr>
      <w:tr>
        <w:trPr/>
        <w:tc>
          <w:tcPr>
            <w:tcW w:w="3045"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449,684 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442,916 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6,768 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27,392 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(7,033)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(4,059)</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23,068 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108,113 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12,775 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(1,360)</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(16,204)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306,264 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296,070 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10,194 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160,258 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15,245 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117,494 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126,900 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(9,406)</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(5,498)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before income tax</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64,015 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67,923 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(3,908)</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(966)</w:t>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1788"/>
        <w:gridCol w:w="1564"/>
        <w:gridCol w:w="1574"/>
        <w:gridCol w:w="211"/>
        <w:gridCol w:w="826"/>
        <w:gridCol w:w="271"/>
        <w:gridCol w:w="109"/>
        <w:gridCol w:w="109"/>
        <w:gridCol w:w="109"/>
        <w:gridCol w:w="211"/>
        <w:gridCol w:w="826"/>
        <w:gridCol w:w="271"/>
        <w:gridCol w:w="109"/>
        <w:gridCol w:w="109"/>
        <w:gridCol w:w="109"/>
        <w:gridCol w:w="279"/>
        <w:gridCol w:w="1051"/>
        <w:gridCol w:w="679"/>
      </w:tblGrid>
      <w:tr>
        <w:trPr/>
        <w:tc>
          <w:tcPr>
            <w:tcW w:w="178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492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2026 vs. 2025 Change</w:t>
            </w:r>
          </w:p>
        </w:tc>
      </w:tr>
      <w:tr>
        <w:trPr/>
        <w:tc>
          <w:tcPr>
            <w:tcW w:w="492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 except units on rent and monthly rental rate)</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248,913 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(21,029)</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 for rental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36,765 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113,747 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74,984 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38,763 </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modular space units on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89,835 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27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27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960 </w:t>
            </w:r>
          </w:p>
        </w:tc>
        <w:tc>
          <w:tcPr>
            <w:tcW w:w="6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bps</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portable storage units on rent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100,270 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107,514 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(7,244)</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bps</w:t>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Comparison of Three Months Ended June 30, 2026 and 2025</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Total revenue increased $23.1 million, or 3.9%, to $612.2 million for the three months ended June 30, 2026 from $589.1 million for the three months ended June 30, 2025. The increase in revenue was primarily driven by a $27.4 million increase in delivery and installation revenue related to improved activation activity in the quarter, increased sitework for large complex projects, and a $6.8 million increase in leasing revenue. The increases were partially due to $12.6 million of total revenue, including both leasing and delivery and installation, associated with a significant event project in the three months ended June 30, 2026. The increase in total revenue was partially offset by a $7.0 million decline in new sales compared to the same period in 2025.</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Leasing revenue increased $6.8 million, or 1.5%, as compared to the same period in 2025, primarily driven by a $5.5 million, or 2.2%, increase in modular space leasing revenue, a $3.4 million, or 3.4%, increase in VAPS and third-party leasing revenue, and a decrease of $4.7 million of write-offs of aged receivables recorded as a reduction to revenue. The increase was partially offset by a $4.6 million, or 5.8%, decrease in portable storage leasing revenue. Delivery and installation revenue increased $27.4 million, or 25.3%, primarily driven by an increase in activations and sitework for large complex projects. New unit sales decreased $7.0 million, or 32.5% and rental unit sales decreased $4.1 million, or 25.2%.</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Total average units on rent for the three months ended June 30, 2026 and 2025 were 190,105 and 197,799, respectively, representing a decrease of 7,694 units, or 3.9%. Lower demand was driven by reduced non-residential construction project starts due to higher interest rates and increased economic uncertainty, partially offset by increased demand for large complex projects like data centers and a significant event project in the three months ended June 30, 2026.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Modular space average units on rent decreased 450 units, or 0.5%, for the three months ended June 30, 2026 as compared to the three months ended June 30, 2025. The average modular space utilization rate during the three months ended June 30, 2026 was 69.2% as compared to 59.6% during the same period in 2025 due to a decrease in the number of modular space units in our fleet as a result of our Network Optimization Plan. The decline in modular space units on rent was primarily driven by weaker non-residential construction starts, partially offset by increased demand for large complex projects.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Portable storage average units on rent decreased by 7,244 units, or 6.7%, for the three months ended June 30, 2026 driven by lower demand. The average portable storage unit utilization rate during the three months ended June 30, 2026 was 57.3% as compared to 50.8% during the same period in 2025 due to a decrease in the number of portable storage units in our fleet as a result of our Network Optimization Plan.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Modular space average monthly rental rates increased 2.8% year over year to $1,272 for the three months ended June 30, 2026, driven by our long-term price optimization strategies and VAPS penetration opportunities. Average portable storage monthly rental rates increased 1.8% year over year to $287 for the three months ended June 30, 2026 as a result of the mix effects from higher rates on climate-controlled containers and trailers. Total VAPS revenues, which are included in leasing revenue, increased to $103.4 million for the three months ended June 30, 2026 from $100.0 million for the three months ended June 30, 2025.</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Gross profit increased $10.2 million, or 3.4%, to $306.3 million for the three months ended June 30, 2026 from $296.1 million for the three months ended June 30, 2025. The increase in gross profit was a result of a $16.2 million decrease in depreciation of rental equipment resulting from our Network Optimization Plan and increased delivery and installation gross profit of $5.2 million. The increase in gross profit was partially offset by a $6.0 million decrease in leasing gross profit and a $5.2 million decrease in new and rental unit sales gross profit. The decrease in leasing gross profit was primarily driven by a decline in units on rent over the course of 2025, partially offset by a sequential increase in units on rent. The decrease was also driven by an $12.8 million increase in cost of leasing as further described below during the three months ended June 30, 2026.</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Cost of leasing and services increased by $34.9 million, or 19.0%, for the three months ended June 30, 2026 as compared to the three months ended June 30, 2025 to support increased activations, including additional large complex project demand, driven primarily by an increase in subcontractor costs of $23.7 million, or 37.4%, and an increase in labor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costs of $7.3 million, or 10.5%. These increased costs drove a $15.2 million increase to installation expense and a $12.8 million increase to cost of leasing.</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Cost of sales decreased by $5.9 million, or 27.8%, primarily driven by lower sales volume. Our resulting gross profit percentage was 50.0% and 50.3% for the three months ended June 30, 2026 and 2025, respectively. </w:t>
      </w:r>
    </w:p>
    <w:p>
      <w:pPr>
        <w:pStyle w:val="TextBody"/>
        <w:bidi w:val="0"/>
        <w:spacing w:lineRule="auto" w:line="288" w:before="0" w:after="120"/>
        <w:ind w:left="0" w:right="0" w:firstLine="720"/>
        <w:jc w:val="both"/>
        <w:rPr/>
      </w:pPr>
      <w:r>
        <w:rPr>
          <w:rFonts w:ascii="Arial;sans-serif" w:hAnsi="Arial;sans-serif"/>
          <w:b/>
          <w:i/>
          <w:color w:val="000000"/>
          <w:sz w:val="18"/>
        </w:rPr>
        <w:t>Selling, general and administrative expense ("SG&amp;A"):</w:t>
      </w:r>
      <w:r>
        <w:rPr>
          <w:color w:val="000000"/>
        </w:rPr>
        <w:t xml:space="preserve"> </w:t>
      </w:r>
      <w:r>
        <w:rPr>
          <w:rFonts w:ascii="Arial;sans-serif" w:hAnsi="Arial;sans-serif"/>
          <w:b w:val="false"/>
          <w:color w:val="000000"/>
          <w:sz w:val="18"/>
        </w:rPr>
        <w:t xml:space="preserve">SG&amp;A increased $15.2 million, or 10.5%, to $160.3 million for the three months ended June 30, 2026, as compared to $145.0 million for the three months ended June 30, 2025. The increase was driven by a a $16.4 million increase in the provision for credit losses and a $5.2 million increase in employee SG&amp;A, excluding stock compensation, which was primarily related to variable compensation. These increased costs were partially offset by a $2.3 million decrease in service agreements and professional fees and a $1.4 million decrease in travel and entertainment expense. The $16.4 million increase in the provision for credit losses was partially offset by a decrease in accounts receivable write-offs recorded as a reduction to revenue for a net decrease to income before income tax of $10.5 million for the three months ended June 30, 2026 as compared to the three months ended June 30, 2025. </w:t>
      </w:r>
    </w:p>
    <w:p>
      <w:pPr>
        <w:pStyle w:val="TextBody"/>
        <w:bidi w:val="0"/>
        <w:spacing w:lineRule="auto" w:line="288" w:before="0" w:after="120"/>
        <w:ind w:left="0" w:right="0" w:firstLine="720"/>
        <w:jc w:val="both"/>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Adjusted EBITDA decreased $21.0 million, or 8.4%, to $227.9 million for the three months ended June 30, 2026 from $248.9 million for the three months ended June 30, 2025. The decrease was driven by a $6.0 million decrease in leasing gross profit, a $5.2 million decrease in new and rental unit sales gross profit, and a $15.2 million increase in SG&amp;A. This decrease was partially offset by increased delivery and installation gross profit of $5.2 million.</w:t>
      </w:r>
    </w:p>
    <w:p>
      <w:pPr>
        <w:pStyle w:val="TextBody"/>
        <w:bidi w:val="0"/>
        <w:spacing w:lineRule="auto" w:line="288" w:before="0" w:after="120"/>
        <w:ind w:left="0" w:right="0" w:firstLine="720"/>
        <w:jc w:val="both"/>
        <w:rPr/>
      </w:pPr>
      <w:r>
        <w:rPr>
          <w:rFonts w:ascii="Arial;sans-serif" w:hAnsi="Arial;sans-serif"/>
          <w:b/>
          <w:i/>
          <w:color w:val="000000"/>
          <w:sz w:val="18"/>
        </w:rPr>
        <w:t>Other depreciation and amortization:</w:t>
      </w:r>
      <w:r>
        <w:rPr>
          <w:color w:val="000000"/>
        </w:rPr>
        <w:t xml:space="preserve"> </w:t>
      </w:r>
      <w:r>
        <w:rPr>
          <w:rFonts w:ascii="Arial;sans-serif" w:hAnsi="Arial;sans-serif"/>
          <w:b w:val="false"/>
          <w:color w:val="000000"/>
          <w:sz w:val="18"/>
        </w:rPr>
        <w:t>Other depreciation and amortization decreased $1.2 million to $23.0 million for the three months ended June 30, 2026 as compared to $24.2 million for the three months ended June 30, 2025.</w:t>
      </w:r>
    </w:p>
    <w:p>
      <w:pPr>
        <w:pStyle w:val="TextBody"/>
        <w:bidi w:val="0"/>
        <w:spacing w:lineRule="auto" w:line="288" w:before="0" w:after="120"/>
        <w:ind w:left="0" w:right="0" w:firstLine="720"/>
        <w:jc w:val="both"/>
        <w:rPr/>
      </w:pPr>
      <w:r>
        <w:rPr>
          <w:rFonts w:ascii="Arial;sans-serif" w:hAnsi="Arial;sans-serif"/>
          <w:b/>
          <w:i/>
          <w:color w:val="000000"/>
          <w:sz w:val="18"/>
        </w:rPr>
        <w:t xml:space="preserve">Restructuring costs: </w:t>
      </w:r>
      <w:r>
        <w:rPr>
          <w:rFonts w:ascii="Arial;sans-serif" w:hAnsi="Arial;sans-serif"/>
          <w:b w:val="false"/>
          <w:color w:val="000000"/>
          <w:sz w:val="18"/>
        </w:rPr>
        <w:t xml:space="preserve">Restructuring costs of $5.4 million for the three months ended June 30, 2026 were primarily due to asset disposal costs as part of the Network Optimization Plan implemented in December 2025. </w:t>
      </w:r>
    </w:p>
    <w:p>
      <w:pPr>
        <w:pStyle w:val="TextBody"/>
        <w:bidi w:val="0"/>
        <w:spacing w:lineRule="auto" w:line="268" w:before="0" w:after="120"/>
        <w:ind w:left="0" w:right="0" w:firstLine="720"/>
        <w:jc w:val="both"/>
        <w:rPr/>
      </w:pPr>
      <w:r>
        <w:rPr>
          <w:rFonts w:ascii="Arial;sans-serif" w:hAnsi="Arial;sans-serif"/>
          <w:b/>
          <w:i/>
          <w:color w:val="000000"/>
          <w:sz w:val="18"/>
        </w:rPr>
        <w:t>Interest expense, net:</w:t>
      </w:r>
      <w:r>
        <w:rPr>
          <w:color w:val="000000"/>
        </w:rPr>
        <w:t xml:space="preserve"> </w:t>
      </w:r>
      <w:r>
        <w:rPr>
          <w:rFonts w:ascii="Arial;sans-serif" w:hAnsi="Arial;sans-serif"/>
          <w:b w:val="false"/>
          <w:color w:val="000000"/>
          <w:sz w:val="18"/>
        </w:rPr>
        <w:t>Interest expense, net decreased $5.5 million, or 9.3%, to $53.5 million for the three months ended June 30, 2026 from $59.0 million for the three months ended June 30, 2025. The decrease in net interest expense was driven by a decrease in outstanding debt and our overall weighted average interest rate.</w:t>
      </w:r>
    </w:p>
    <w:p>
      <w:pPr>
        <w:pStyle w:val="TextBody"/>
        <w:bidi w:val="0"/>
        <w:spacing w:lineRule="auto" w:line="288" w:before="0" w:after="120"/>
        <w:ind w:left="0" w:right="0" w:firstLine="720"/>
        <w:jc w:val="both"/>
        <w:rPr/>
      </w:pPr>
      <w:r>
        <w:rPr>
          <w:rFonts w:ascii="Arial;sans-serif" w:hAnsi="Arial;sans-serif"/>
          <w:b/>
          <w:i/>
          <w:color w:val="000000"/>
          <w:sz w:val="18"/>
        </w:rPr>
        <w:t>Income tax expense:</w:t>
      </w:r>
      <w:r>
        <w:rPr>
          <w:color w:val="000000"/>
        </w:rPr>
        <w:t xml:space="preserve"> </w:t>
      </w:r>
      <w:r>
        <w:rPr>
          <w:rFonts w:ascii="Arial;sans-serif" w:hAnsi="Arial;sans-serif"/>
          <w:b w:val="false"/>
          <w:color w:val="000000"/>
          <w:sz w:val="18"/>
        </w:rPr>
        <w:t>Income tax expense decreased $2.9 million to $17.0 million for the three months ended June 30, 2026 compared to $20.0 million for the three months ended June 30, 2025. The decrease in expense was primarily driven by a decrease in income before income tax for the three months ended June 30, 2026.</w:t>
      </w:r>
    </w:p>
    <w:p>
      <w:pPr>
        <w:pStyle w:val="TextBody"/>
        <w:bidi w:val="0"/>
        <w:spacing w:lineRule="auto" w:line="288" w:before="0" w:after="0"/>
        <w:ind w:left="0" w:right="0" w:firstLine="720"/>
        <w:jc w:val="both"/>
        <w:rPr/>
      </w:pPr>
      <w:r>
        <w:rPr>
          <w:rFonts w:ascii="Arial;sans-serif" w:hAnsi="Arial;sans-serif"/>
          <w:b/>
          <w:i/>
          <w:color w:val="000000"/>
          <w:sz w:val="18"/>
        </w:rPr>
        <w:t>Capital expenditures for rental equipment:</w:t>
      </w:r>
      <w:r>
        <w:rPr>
          <w:color w:val="000000"/>
        </w:rPr>
        <w:t xml:space="preserve"> </w:t>
      </w:r>
      <w:r>
        <w:rPr>
          <w:rFonts w:ascii="Arial;sans-serif" w:hAnsi="Arial;sans-serif"/>
          <w:b w:val="false"/>
          <w:color w:val="000000"/>
          <w:sz w:val="18"/>
        </w:rPr>
        <w:t>Capital expenditures for rental equipment increased $36.8 million, to $122.0 million for the three months ended June 30, 2026 from $85.3 million for the three months ended June 30, 2025 as a result of new fleet investments in FLEX and complex units and increased investments in refurbishments to provide capacity to deliver on large project demand. Net CAPEX increased $38.8 million, or 43.1%, to $113.7 million for the three months ended June 30, 2026 from $75.0 million for the three months ended June 30, 2025, primarily driven by the increase in capital expenditures for rental equipment.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Six Months Ended June 30, 2026 Compared to the Six Months Ended June 30, 2025</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Certain consolidated results of operations for the six months ended June 30, 2026 and 2025 are presented below. </w:t>
      </w:r>
    </w:p>
    <w:tbl>
      <w:tblPr>
        <w:tblW w:w="8181" w:type="dxa"/>
        <w:jc w:val="left"/>
        <w:tblInd w:w="0" w:type="dxa"/>
        <w:tblLayout w:type="fixed"/>
        <w:tblCellMar>
          <w:top w:w="28" w:type="dxa"/>
          <w:left w:w="28" w:type="dxa"/>
          <w:bottom w:w="28" w:type="dxa"/>
          <w:right w:w="28" w:type="dxa"/>
        </w:tblCellMar>
      </w:tblPr>
      <w:tblGrid>
        <w:gridCol w:w="1105"/>
        <w:gridCol w:w="969"/>
        <w:gridCol w:w="971"/>
        <w:gridCol w:w="211"/>
        <w:gridCol w:w="826"/>
        <w:gridCol w:w="109"/>
        <w:gridCol w:w="109"/>
        <w:gridCol w:w="109"/>
        <w:gridCol w:w="109"/>
        <w:gridCol w:w="211"/>
        <w:gridCol w:w="826"/>
        <w:gridCol w:w="109"/>
        <w:gridCol w:w="109"/>
        <w:gridCol w:w="109"/>
        <w:gridCol w:w="109"/>
        <w:gridCol w:w="398"/>
        <w:gridCol w:w="1502"/>
        <w:gridCol w:w="290"/>
      </w:tblGrid>
      <w:tr>
        <w:trPr/>
        <w:tc>
          <w:tcPr>
            <w:tcW w:w="110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2026 vs. 2025 $ Change</w:t>
            </w:r>
          </w:p>
        </w:tc>
      </w:tr>
      <w:tr>
        <w:trPr/>
        <w:tc>
          <w:tcPr>
            <w:tcW w:w="3045"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875,206 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877,306 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(2,100)</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38,253 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(20,476)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(3,532)</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12,145 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204,140 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183,408 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20,732 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31,613 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(13,483)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(826)</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(21,394)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591,939 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596,436 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(4,497)</w:t>
            </w:r>
          </w:p>
        </w:tc>
        <w:tc>
          <w:tcPr>
            <w:tcW w:w="29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314,266 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301,784 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12,482 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16,313 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214,157 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246,334 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(32,177)</w:t>
            </w:r>
          </w:p>
        </w:tc>
        <w:tc>
          <w:tcPr>
            <w:tcW w:w="29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(10,360)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before income tax</w:t>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107,071 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128,888 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(21,817)</w:t>
            </w:r>
          </w:p>
        </w:tc>
        <w:tc>
          <w:tcPr>
            <w:tcW w:w="29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(15,898)</w:t>
            </w:r>
          </w:p>
        </w:tc>
        <w:tc>
          <w:tcPr>
            <w:tcW w:w="29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1788"/>
        <w:gridCol w:w="1564"/>
        <w:gridCol w:w="1574"/>
        <w:gridCol w:w="211"/>
        <w:gridCol w:w="826"/>
        <w:gridCol w:w="271"/>
        <w:gridCol w:w="109"/>
        <w:gridCol w:w="109"/>
        <w:gridCol w:w="109"/>
        <w:gridCol w:w="211"/>
        <w:gridCol w:w="826"/>
        <w:gridCol w:w="271"/>
        <w:gridCol w:w="109"/>
        <w:gridCol w:w="109"/>
        <w:gridCol w:w="109"/>
        <w:gridCol w:w="279"/>
        <w:gridCol w:w="1051"/>
        <w:gridCol w:w="679"/>
      </w:tblGrid>
      <w:tr>
        <w:trPr/>
        <w:tc>
          <w:tcPr>
            <w:tcW w:w="178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492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vMerge w:val="restart"/>
            <w:tcBorders/>
            <w:shd w:fill="1D2758"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2026 vs. 2025 Change</w:t>
            </w:r>
          </w:p>
        </w:tc>
      </w:tr>
      <w:tr>
        <w:trPr/>
        <w:tc>
          <w:tcPr>
            <w:tcW w:w="492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 except units on rent and monthly rental rate)</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438,898 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477,698 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(38,800)</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 for rental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157,821 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66,153 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203,093 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136,816 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66,277 </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modular space units on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88,784 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(1,614)</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27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27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67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bps</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portable storage units on rent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99,318 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109,079 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(9,761)</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bps</w:t>
            </w:r>
          </w:p>
        </w:tc>
      </w:tr>
      <w:tr>
        <w:trPr/>
        <w:tc>
          <w:tcPr>
            <w:tcW w:w="49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Comparison of Six Months Ended June 30, 2026 and 2025</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Total revenue increased $12.1 million, or 1.1%, to $1,160.8 million for the six months ended June 30, 2026 from $1,148.6 million for the six months ended June 30, 2025. The increase in revenue was driven by a $38.3 million increase in delivery and installation revenue related to improved activation activity and increased sitework for large complex projects. These increases were partially due to $14.0 million of total revenue, including both leasing and delivery and installation, associated with a significant event project in the six months ended June 30, 2026.</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Leasing revenue decreased $2.1 million, or 0.2%, as compared to the same period in 2025, primarily driven by a $9.1 million, or 5.8%, decrease in portable storage leasing revenue. The decrease was partially offset by a $4.2 million, or 2.1%, increase in VAPS and third-party leasing revenue and a $3.4 million, or 0.7%, increase in modular space leasing revenue. New unit sales decreased $20.5 million, or 46.5%, and rental unit sales decreased $3.5 million, or 11.7%, due to lower sales volume.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Total average units on rent for the six months ended June 30, 2026 and 2025 were 188,102 and 199,477, respectively. Lower demand was driven by reduced non-residential construction project starts due to higher interest rates and increased economic uncertainty, partially offset by increased demand for large complex projects like data centers.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Modular space average units on rent decreased 1,614 units, or 1.8%, for the six months ended June 30, 2026 as compared to the six months ended June 30, 2025. The decline in modular space units on rent was primarily driven by weaker non-residential construction starts, partially offset by increased demand for large complex projects. The average modular space utilization rate during the six months ended June 30, 2026 was 68.6% as compared to 59.5% during the same period in 2025 due to a decrease in the number of modular space units in our fleet as a result of our Network Optimization Plan.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Portable storage average units on rent decreased by 9,761 units, or 8.9%, for the six months ended June 30, 2026 driven by lower demand in 2026. The average portable storage utilization rate during the six months ended June 30, 2026 was 56.6% as compared to 53.4% during the same period in 2025 due to a decrease in the number of portable storage space units in our fleet as a result of our Network Optimization Plan.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Modular space average monthly rental rates increased 2.8% to $1,256 for the six months ended June 30, 2026, driven by our long-term price optimization strategies and VAPS penetration opportunities. Average portable storage monthly rental rates increased 4.0% to $285 for the six months ended June 30, 2026 as a result of the mix effects from higher rates on climate-controlled containers and trailers. Total VAPS revenues, which are included in leasing revenues, increased to $200.5 million for the six months ended June 30, 2026 from $196.4 million for the six months ended June 30, 2025.</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Gross profit decreased $4.5 million, or 0.8%, to $591.9 million for the six months ended June 30, 2026 from $596.4 million for the six months ended June 30, 2025. The decrease in gross profit was primarily a result of a $22.8 million decrease in leasing gross profit and a $9.7 million decrease in new and rental unit sales gross profit. The decrease was partially offset by a $21.4 million decrease in depreciation of rental equipment from our Network Optimization Plan and increased delivery and installation gross profit of $6.6 million. The decrease in leasing gross profit was due to the decline in units on rent, as well as an increase in variable costs to support increased activations during the quarter.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Cost of leasing and services increased by $52.3 million, or 15.2%, for the six months ended June 30, 2026 as compared to the six months ended June 30, 2025 to support increased activations, including additional large complex project demand, driven primarily by an increase in subcontractor costs of $33.4 million, or 29.0%, and an increase in labor cost of $10.1 million, or 7.5%. These increased costs drove a $24.2 million increase to installation expense and an $20.7 million increase to cost of leasing.</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Cost of sales decreased by $14.3 million, or 32.2%, primarily driven by lower sales volume. Our resulting gross profit percentage was 51.0% and 51.9% for the six months ended June 30, 2026 and 2025, respectively.</w:t>
      </w:r>
    </w:p>
    <w:p>
      <w:pPr>
        <w:pStyle w:val="TextBody"/>
        <w:bidi w:val="0"/>
        <w:spacing w:lineRule="auto" w:line="288" w:before="0" w:after="120"/>
        <w:ind w:left="0" w:right="0" w:firstLine="720"/>
        <w:jc w:val="both"/>
        <w:rPr/>
      </w:pPr>
      <w:r>
        <w:rPr>
          <w:rFonts w:ascii="Arial;sans-serif" w:hAnsi="Arial;sans-serif"/>
          <w:b/>
          <w:i/>
          <w:color w:val="000000"/>
          <w:sz w:val="18"/>
        </w:rPr>
        <w:t>Selling, general and administrative expense:</w:t>
      </w:r>
      <w:r>
        <w:rPr>
          <w:color w:val="000000"/>
        </w:rPr>
        <w:t xml:space="preserve"> </w:t>
      </w:r>
      <w:r>
        <w:rPr>
          <w:rFonts w:ascii="Arial;sans-serif" w:hAnsi="Arial;sans-serif"/>
          <w:b w:val="false"/>
          <w:color w:val="000000"/>
          <w:sz w:val="18"/>
        </w:rPr>
        <w:t xml:space="preserve">SG&amp;A increased $12.5 million, or 4.1%, to $314.3 million for the six months ended June 30, 2026, as compared to $301.8 million for the six months ended June 30, 2025. The increase was primarily driven by a $19.1 million, or 198.3%, increase in the provision for credit losses and a $8.7 million increase in employee SG&amp;A, excluding stock compensation, which was primarily related to variable compensation. These increased costs were partially offset by a $6.7 million, or 38.8%, decrease in travel and entertainment expense and a $5.6 million, or 13.7%, decrease in service agreements and professional fees. The $19.1 million increase in the provision for credit losses was partially offset by a decrease in accounts receivable write-offs recorded as a reduction to revenue for a net decrease to income before income tax of $16.5 million for the six months ended June 30, 2026 as compared to the six months ended June 30, 2025. </w:t>
      </w:r>
    </w:p>
    <w:p>
      <w:pPr>
        <w:pStyle w:val="TextBody"/>
        <w:bidi w:val="0"/>
        <w:spacing w:lineRule="auto" w:line="288" w:before="0" w:after="120"/>
        <w:ind w:left="0" w:right="0" w:firstLine="720"/>
        <w:jc w:val="both"/>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Adjusted EBITDA decreased $38.8 million, or 8.1%, to $438.9 million for the six months ended June 30, 2026 from $477.7 million for the six months ended June 30, 2025. The decrease was driven by increased cost of leasing of $20.7 million, increased SG&amp;A of $12.5 million, and decreased new and rental unit sales gross profit of $9.7 million. The decrease was partially offset by increased delivery and installation gross profit of $6.6 million for the six months ended June 30, 2026 as compared to the six months ended June 30, 2025.</w:t>
      </w:r>
    </w:p>
    <w:p>
      <w:pPr>
        <w:pStyle w:val="TextBody"/>
        <w:bidi w:val="0"/>
        <w:spacing w:lineRule="auto" w:line="288" w:before="0" w:after="120"/>
        <w:ind w:left="0" w:right="0" w:firstLine="720"/>
        <w:jc w:val="both"/>
        <w:rPr/>
      </w:pPr>
      <w:r>
        <w:rPr>
          <w:rFonts w:ascii="Arial;sans-serif" w:hAnsi="Arial;sans-serif"/>
          <w:b/>
          <w:i/>
          <w:color w:val="000000"/>
          <w:sz w:val="18"/>
        </w:rPr>
        <w:t>Other depreciation and amortization:</w:t>
      </w:r>
      <w:r>
        <w:rPr>
          <w:color w:val="000000"/>
        </w:rPr>
        <w:t xml:space="preserve"> </w:t>
      </w:r>
      <w:r>
        <w:rPr>
          <w:rFonts w:ascii="Arial;sans-serif" w:hAnsi="Arial;sans-serif"/>
          <w:b w:val="false"/>
          <w:color w:val="000000"/>
          <w:sz w:val="18"/>
        </w:rPr>
        <w:t>Other depreciation and amortization decreased $0.6 million to $46.7 million for the six months ended June 30, 2026 as compared to $47.3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pPr>
      <w:r>
        <w:rPr>
          <w:rFonts w:ascii="Arial;sans-serif" w:hAnsi="Arial;sans-serif"/>
          <w:b/>
          <w:i/>
          <w:color w:val="000000"/>
          <w:sz w:val="18"/>
        </w:rPr>
        <w:t>Interest expense, net:</w:t>
      </w:r>
      <w:r>
        <w:rPr>
          <w:color w:val="000000"/>
        </w:rPr>
        <w:t xml:space="preserve"> </w:t>
      </w:r>
      <w:r>
        <w:rPr>
          <w:rFonts w:ascii="Arial;sans-serif" w:hAnsi="Arial;sans-serif"/>
          <w:b w:val="false"/>
          <w:color w:val="000000"/>
          <w:sz w:val="18"/>
        </w:rPr>
        <w:t>Interest expense decreased $10.4 million to $107.1 million for the six months ended June 30, 2026 from $117.4 million for the six months ended June 30, 2025. The decrease in net interest expense was driven by a decrease in outstanding debt and our overall weighted average interest rate.</w:t>
      </w:r>
    </w:p>
    <w:p>
      <w:pPr>
        <w:pStyle w:val="TextBody"/>
        <w:bidi w:val="0"/>
        <w:spacing w:lineRule="auto" w:line="288" w:before="0" w:after="120"/>
        <w:ind w:left="0" w:right="0" w:firstLine="720"/>
        <w:jc w:val="both"/>
        <w:rPr/>
      </w:pPr>
      <w:r>
        <w:rPr>
          <w:rFonts w:ascii="Arial;sans-serif" w:hAnsi="Arial;sans-serif"/>
          <w:b/>
          <w:i/>
          <w:color w:val="000000"/>
          <w:sz w:val="18"/>
        </w:rPr>
        <w:t>Income tax expense:</w:t>
      </w:r>
      <w:r>
        <w:rPr>
          <w:color w:val="000000"/>
        </w:rPr>
        <w:t xml:space="preserve"> </w:t>
      </w:r>
      <w:r>
        <w:rPr>
          <w:rFonts w:ascii="Arial;sans-serif" w:hAnsi="Arial;sans-serif"/>
          <w:b w:val="false"/>
          <w:color w:val="000000"/>
          <w:sz w:val="18"/>
        </w:rPr>
        <w:t>Income tax expense decreased $5.9 million to $32.0 million for the six months ended June 30, 2026 from $37.9 million for the six months ended June 30, 2025. The decrease in expense was driven by a decrease in income before income tax for the six months ended June 30, 2026 as compared to the six months ended June 30, 2025.</w:t>
      </w:r>
    </w:p>
    <w:p>
      <w:pPr>
        <w:pStyle w:val="TextBody"/>
        <w:bidi w:val="0"/>
        <w:spacing w:lineRule="auto" w:line="288" w:before="0" w:after="0"/>
        <w:ind w:left="0" w:right="0" w:firstLine="720"/>
        <w:jc w:val="both"/>
        <w:rPr/>
      </w:pPr>
      <w:r>
        <w:rPr>
          <w:rFonts w:ascii="Arial;sans-serif" w:hAnsi="Arial;sans-serif"/>
          <w:b/>
          <w:i/>
          <w:color w:val="000000"/>
          <w:sz w:val="18"/>
        </w:rPr>
        <w:t>Capital expenditures for rental equipment:</w:t>
      </w:r>
      <w:r>
        <w:rPr>
          <w:color w:val="000000"/>
        </w:rPr>
        <w:t xml:space="preserve"> </w:t>
      </w:r>
      <w:r>
        <w:rPr>
          <w:rFonts w:ascii="Arial;sans-serif" w:hAnsi="Arial;sans-serif"/>
          <w:b w:val="false"/>
          <w:color w:val="000000"/>
          <w:sz w:val="18"/>
        </w:rPr>
        <w:t>Capital expenditures for rental equipment increased $66.2 million, or 41.9%, to $224.0 million for the six months ended June 30, 2026 from $157.8 million for the six months ended June 30, 2025 as a result of new fleet investments in FLEX and complex units and increased investments in refurbishments to provide capacity to deliver on large project demand. Net CAPEX increased $66.3 million, or 48.4%, to $203.1 million for the six months ended June 30, 2026 from $136.8 million for the six months ended June 30, 2025, primarily driven by the increase in capital expenditures for rental equipment.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Reconciliation of Non-GAAP Financial Measures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measurements, we use certain non-GAAP financial measures to evaluate our operating results. Set forth below are definitions of the non-GAAP financial measures used in this Quarterly Report on Form 10-Q, reconciliations of these non-GAAP financial measures to the most directly comparable GAAP financial measures, and the reasons why we believe these measures provide useful information to investors.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Adjusted EBITDA</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EBITDA as net income plus net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Currency (gains) losses, net on monetary assets and liabilities denominated in foreign currencies other than the subsidiaries’ functional currency.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Costs to integrate acquired companies, including outside professional fees, non-capitalized costs associated with system integrations, non-lease branch and fleet relocation expenses, employee relocation and training costs, and other costs required to realize cost or revenue synergies.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Non-cash charges for stock compensation plans.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exits prior to the approval of the Network Optimization Plan, and non-equity executive transition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Chief Operating Decision Maker ("CODM") evaluates business performance utilizing Adjusted EBITDA as shown in the reconciliation of the Company’s consolidated net income to Adjusted EBITDA below. We believe that evaluating performance excluding such items noted above is meaningful because it provides insight with respect to the intrinsic and ongoing operating results of the Company and captures the business performance, inclusive of indirect costs. We believe that Adjusted EBITDA is useful to investors because it (i) allows investors to compare performance over various reporting periods on a consistent basis by removing from operating results the impact of items that do not reflect core operating performance; (ii) is used by our board of directors and management to assess our performance; (iii) may, subject to certain limitations, enable investors to compare the performance of the Company to its competitors; (iv) provides additional tools for investors to use in evaluating ongoing operating results and trends; and (v) aligns with definitions in our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reconciliations of net income to Adjusted EBITDA:</w:t>
      </w:r>
    </w:p>
    <w:tbl>
      <w:tblPr>
        <w:tblW w:w="10205" w:type="dxa"/>
        <w:jc w:val="left"/>
        <w:tblInd w:w="0" w:type="dxa"/>
        <w:tblLayout w:type="fixed"/>
        <w:tblCellMar>
          <w:top w:w="28" w:type="dxa"/>
          <w:left w:w="28" w:type="dxa"/>
          <w:bottom w:w="28" w:type="dxa"/>
          <w:right w:w="28" w:type="dxa"/>
        </w:tblCellMar>
      </w:tblPr>
      <w:tblGrid>
        <w:gridCol w:w="1680"/>
        <w:gridCol w:w="1401"/>
        <w:gridCol w:w="1404"/>
        <w:gridCol w:w="211"/>
        <w:gridCol w:w="826"/>
        <w:gridCol w:w="109"/>
        <w:gridCol w:w="109"/>
        <w:gridCol w:w="109"/>
        <w:gridCol w:w="109"/>
        <w:gridCol w:w="211"/>
        <w:gridCol w:w="826"/>
        <w:gridCol w:w="109"/>
        <w:gridCol w:w="211"/>
        <w:gridCol w:w="826"/>
        <w:gridCol w:w="109"/>
        <w:gridCol w:w="109"/>
        <w:gridCol w:w="109"/>
        <w:gridCol w:w="109"/>
        <w:gridCol w:w="211"/>
        <w:gridCol w:w="826"/>
        <w:gridCol w:w="109"/>
        <w:gridCol w:w="109"/>
        <w:gridCol w:w="109"/>
        <w:gridCol w:w="109"/>
        <w:gridCol w:w="155"/>
      </w:tblGrid>
      <w:tr>
        <w:trPr/>
        <w:tc>
          <w:tcPr>
            <w:tcW w:w="168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117,446 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Currency losses (gains),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Integration and transaction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w:t>
            </w:r>
            <w:r>
              <w:rPr>
                <w:rFonts w:ascii="Arial;sans-serif" w:hAnsi="Arial;sans-serif"/>
                <w:b w:val="false"/>
                <w:color w:val="000000"/>
                <w:sz w:val="12"/>
              </w:rPr>
              <w:t>(a)</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227,884 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438,898 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477,698 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 xml:space="preserve">(a) For the six months ended June 30, 2026, other included $1.8 million in non-equity executive transition costs. </w:t>
      </w:r>
    </w:p>
    <w:p>
      <w:pPr>
        <w:pStyle w:val="TextBody"/>
        <w:bidi w:val="0"/>
        <w:spacing w:before="60" w:after="283"/>
        <w:jc w:val="both"/>
        <w:rPr/>
      </w:pPr>
      <w:r>
        <w:rPr/>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Net CAPEX</w:t>
      </w:r>
    </w:p>
    <w:p>
      <w:pPr>
        <w:pStyle w:val="TextBody"/>
        <w:bidi w:val="0"/>
        <w:spacing w:lineRule="auto" w:line="288" w:before="0" w:after="60"/>
        <w:ind w:left="0" w:right="0" w:firstLine="720"/>
        <w:jc w:val="both"/>
        <w:rPr/>
      </w:pPr>
      <w:r>
        <w:rPr>
          <w:rFonts w:ascii="Arial;sans-serif" w:hAnsi="Arial;sans-serif"/>
          <w:b w:val="false"/>
          <w:color w:val="000000"/>
          <w:sz w:val="18"/>
        </w:rPr>
        <w:t>We define N</w:t>
      </w:r>
      <w:r>
        <w:rPr>
          <w:rFonts w:ascii="Arial;sans-serif" w:hAnsi="Arial;sans-serif"/>
          <w:b w:val="false"/>
          <w:color w:val="000000"/>
          <w:sz w:val="18"/>
          <w:shd w:fill="FFFFFF" w:val="clear"/>
        </w:rPr>
        <w:t>et CAPEX as purchases of rental equipment and refurbishments and purchases of property, plant and equipment, less proceeds from the sale of rental equipment (</w:t>
      </w:r>
      <w:r>
        <w:rPr>
          <w:rFonts w:ascii="Arial;sans-serif" w:hAnsi="Arial;sans-serif"/>
          <w:b w:val="false"/>
          <w:color w:val="000000"/>
          <w:sz w:val="18"/>
        </w:rPr>
        <w:t>excluding proceeds from the implementation of the Network Optimization Plan and real estate exits prior to the approval of the Network Optimization Plan)</w:t>
      </w:r>
      <w:r>
        <w:rPr>
          <w:color w:val="000000"/>
          <w:shd w:fill="FFFFFF" w:val="clear"/>
        </w:rPr>
        <w:t xml:space="preserve"> </w:t>
      </w:r>
      <w:r>
        <w:rPr>
          <w:rFonts w:ascii="Arial;sans-serif" w:hAnsi="Arial;sans-serif"/>
          <w:b w:val="false"/>
          <w:color w:val="000000"/>
          <w:sz w:val="18"/>
          <w:shd w:fill="FFFFFF" w:val="clear"/>
        </w:rPr>
        <w:t>and proceeds from the sale of property, plant and equipment,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The following table provides reconciliations of Net CAPEX:</w:t>
      </w:r>
    </w:p>
    <w:tbl>
      <w:tblPr>
        <w:tblW w:w="10205" w:type="dxa"/>
        <w:jc w:val="left"/>
        <w:tblInd w:w="0" w:type="dxa"/>
        <w:tblLayout w:type="fixed"/>
        <w:tblCellMar>
          <w:top w:w="28" w:type="dxa"/>
          <w:left w:w="28" w:type="dxa"/>
          <w:bottom w:w="28" w:type="dxa"/>
          <w:right w:w="28" w:type="dxa"/>
        </w:tblCellMar>
      </w:tblPr>
      <w:tblGrid>
        <w:gridCol w:w="1608"/>
        <w:gridCol w:w="1412"/>
        <w:gridCol w:w="1418"/>
        <w:gridCol w:w="211"/>
        <w:gridCol w:w="863"/>
        <w:gridCol w:w="109"/>
        <w:gridCol w:w="109"/>
        <w:gridCol w:w="109"/>
        <w:gridCol w:w="109"/>
        <w:gridCol w:w="211"/>
        <w:gridCol w:w="758"/>
        <w:gridCol w:w="109"/>
        <w:gridCol w:w="211"/>
        <w:gridCol w:w="863"/>
        <w:gridCol w:w="109"/>
        <w:gridCol w:w="109"/>
        <w:gridCol w:w="109"/>
        <w:gridCol w:w="109"/>
        <w:gridCol w:w="211"/>
        <w:gridCol w:w="863"/>
        <w:gridCol w:w="109"/>
        <w:gridCol w:w="109"/>
        <w:gridCol w:w="109"/>
        <w:gridCol w:w="109"/>
        <w:gridCol w:w="159"/>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693"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43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18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18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(122,034)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(85,269)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(223,974)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(157,821)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Proceeds from sale of rental equipment for Network Optimization Plan</w:t>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Proceeds from sale of rental equipment for real estate exits prior to approval of the Network Optimization Plan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CAPEX for Rental Equipment</w:t>
            </w:r>
          </w:p>
        </w:tc>
        <w:tc>
          <w:tcPr>
            <w:tcW w:w="107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(110,306)</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(69,000)</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(197,648)</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(127,489)</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(74,984)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(203,093)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(136,816)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Adjusted Free Cash Flow</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We define Adjusted Free Cash Flow as net cash provided by operating activities; less purchases of rental equipment and property, plant and equipment and plus proceeds from sale of rental equipment and property, plant and equipment, which are all included in cash flows from investing activitie</w:t>
      </w:r>
      <w:r>
        <w:rPr>
          <w:rFonts w:ascii="Arial;sans-serif" w:hAnsi="Arial;sans-serif"/>
          <w:b w:val="false"/>
          <w:color w:val="000000"/>
          <w:sz w:val="18"/>
        </w:rPr>
        <w:t>s; and excluding payments for and proceeds from the implementation of the Network Optimization Plan and real estate exits prior to the approval of the Network Optimization Plan and payments for executive transition costs. Man</w:t>
      </w:r>
      <w:r>
        <w:rPr>
          <w:rFonts w:ascii="Arial;sans-serif" w:hAnsi="Arial;sans-serif"/>
          <w:b w:val="false"/>
          <w:color w:val="000000"/>
          <w:sz w:val="18"/>
          <w:shd w:fill="FFFFFF" w:val="clear"/>
        </w:rPr>
        <w:t>agement believes that the presentation of Adjusted Free Cash Flow provides useful additional information concerning cash flow available to fund our capital allocation alternatives and allows investors to compare cash generation performance over various reporting periods and against peers. The following table provides reconciliations of net cash provided by operating activities to Adjusted Free Cash Flow.</w:t>
      </w:r>
    </w:p>
    <w:tbl>
      <w:tblPr>
        <w:tblW w:w="10205" w:type="dxa"/>
        <w:jc w:val="left"/>
        <w:tblInd w:w="0" w:type="dxa"/>
        <w:tblLayout w:type="fixed"/>
        <w:tblCellMar>
          <w:top w:w="28" w:type="dxa"/>
          <w:left w:w="28" w:type="dxa"/>
          <w:bottom w:w="28" w:type="dxa"/>
          <w:right w:w="28" w:type="dxa"/>
        </w:tblCellMar>
      </w:tblPr>
      <w:tblGrid>
        <w:gridCol w:w="1744"/>
        <w:gridCol w:w="1369"/>
        <w:gridCol w:w="1372"/>
        <w:gridCol w:w="211"/>
        <w:gridCol w:w="826"/>
        <w:gridCol w:w="109"/>
        <w:gridCol w:w="109"/>
        <w:gridCol w:w="109"/>
        <w:gridCol w:w="109"/>
        <w:gridCol w:w="211"/>
        <w:gridCol w:w="826"/>
        <w:gridCol w:w="109"/>
        <w:gridCol w:w="211"/>
        <w:gridCol w:w="826"/>
        <w:gridCol w:w="109"/>
        <w:gridCol w:w="109"/>
        <w:gridCol w:w="109"/>
        <w:gridCol w:w="109"/>
        <w:gridCol w:w="211"/>
        <w:gridCol w:w="826"/>
        <w:gridCol w:w="109"/>
        <w:gridCol w:w="109"/>
        <w:gridCol w:w="109"/>
        <w:gridCol w:w="109"/>
        <w:gridCol w:w="155"/>
      </w:tblGrid>
      <w:tr>
        <w:trPr/>
        <w:tc>
          <w:tcPr>
            <w:tcW w:w="174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162,264 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205,311 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353,322 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411,938 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to implement Network Optimization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 for Network Optimization Plan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to implement real estate exits prior to approval of the Network Optimization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 for real estate exits prior to approval of the Network Optimization Plan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for executive transition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Free Cash Flow</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55,086 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130,327 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170,642 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275,122 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Liquidity and Capital Resources</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principal sources of liquidity include cash flows generated from operating activities, borrowings under our ABL Facility, and sales of debt securities. 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Adjusted Free Cash Flow, which together support both organic operations and other capital allocation priorities. We believe that our liquidity sources are sufficient to satisfy our anticipated operating, debt service, and capital cash requirements over the next twelve months and thereafter for the foreseeable future.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regularly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Borrowing availability under our ABL Facility is equal to the lesser of $3.0 billion and the applicable borrowing bases. The borrowing bases are a function of, among other considerations, the value of the assets in the relevant collateral pool, of which our rental equipment represents the largest component. At June 30, 2026, we had $1.5 billion of available borrowing capacity under the ABL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 xml:space="preserve">Cash Flows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summarizes our change in cash and cash equivalents for the periods presented:</w:t>
      </w:r>
    </w:p>
    <w:tbl>
      <w:tblPr>
        <w:tblW w:w="7868" w:type="dxa"/>
        <w:jc w:val="left"/>
        <w:tblInd w:w="0" w:type="dxa"/>
        <w:tblLayout w:type="fixed"/>
        <w:tblCellMar>
          <w:top w:w="28" w:type="dxa"/>
          <w:left w:w="28" w:type="dxa"/>
          <w:bottom w:w="28" w:type="dxa"/>
          <w:right w:w="28" w:type="dxa"/>
        </w:tblCellMar>
      </w:tblPr>
      <w:tblGrid>
        <w:gridCol w:w="1887"/>
        <w:gridCol w:w="1657"/>
        <w:gridCol w:w="1660"/>
        <w:gridCol w:w="211"/>
        <w:gridCol w:w="826"/>
        <w:gridCol w:w="109"/>
        <w:gridCol w:w="109"/>
        <w:gridCol w:w="109"/>
        <w:gridCol w:w="109"/>
        <w:gridCol w:w="211"/>
        <w:gridCol w:w="82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5204"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2026</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353,322 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411,938 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(151,269)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(135,942)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3,580 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3,849 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Comparison of the Six Months Ended June 30, 2026 and 2025</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operating activities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for the six months ended June 30, 2026 was $353.3 million as compared to $411.9 million for the six months ended June 30, 2025, a decrease of $58.6 million. The decrease in net cash provided by operating activities resulted from a $65.7 million decrease in the net movements of the operating assets and liabilities. The decrease in net cash provided by operating activities included $19.5 million of cash outflows related to the execution of our Network Optimization Plan and executive transition costs. </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investing activities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Net cash used in investing activities for the six months ended June 30, 2026 was $197.5 million as compared to $273.1 million for the six months ended June 30, 2025, a $75.6 million decrease in net cash used in investing activities. The decrease in net cash used in investing activities resulted from a $135.3 million decrease in cash used in acquisitions, net of cash acquired. The decrease was partially offset by a $66.2 million increase in the purchase of rental equipment and refurbishments during the six months ended June 30, 2026 as a result of increased investments in refurbishments and new fleet investments in FLEX and complex units to provide capacity to deliver on large project demand.</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financing activities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Net cash used in financing activities for the six months ended June 30, 2026 was $151.3 million as compared to $135.9 million for the six months ended June 30, 2025, an increase of $15.3 million. The increase was primarily due to a $81.9 million increase in repayments of borrowings, net of receipts from borrowings. The increase was partially offset by a $66.0 million decrease in cash used for the repurchase and cancellation of Common Stock during the six months ended June 30, 2026.</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Material cash requirements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Company’s material cash requirements include the following contractual and other obligations: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Debt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outstanding debt related to the ABL Facility, 2028 Secured Notes, 2029 Secured Notes, 2030 Secured Notes, 2031 Secured Notes, and finance leases totaling $3.5 billion as of June 30, 2026, $33.5 million of which is obligated to be repaid within the next twelve months. The Company has no maturities of debt until 2028 other than for finance leases. Refer to Note 6 for further information regarding outstanding debt.</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Operating leases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commitments for future minimum rental payments relating to operating leases, which are primarily for real estate. As of June 30, 2026, the Company had lease obligations of $356.4 million, with $75.2 million payable within the next twelve months.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Other</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the cash requirements described above, the Company has a dividend program subject to quarterly declaration by the Board of Directors as well as a share repurchase program authorized by the Board of Directors, which allows the Company to repurchase up to $1.0 billion of outstanding shares of Common Stock. As of June 30, 2026, $717.1 million of the authorization for future repurchases of our Common Stock remained available. These programs do not obligate the Company to issue dividends or repurchase shares.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Critical Accounting Estimates</w:t>
      </w:r>
    </w:p>
    <w:p>
      <w:pPr>
        <w:pStyle w:val="TextBody"/>
        <w:bidi w:val="0"/>
        <w:spacing w:lineRule="auto" w:line="288" w:before="0" w:after="0"/>
        <w:ind w:left="0" w:right="0" w:firstLine="720"/>
        <w:jc w:val="both"/>
        <w:rPr/>
      </w:pPr>
      <w:r>
        <w:rPr>
          <w:rFonts w:ascii="Arial;sans-serif" w:hAnsi="Arial;sans-serif"/>
          <w:b w:val="false"/>
          <w:color w:val="000000"/>
          <w:sz w:val="18"/>
        </w:rPr>
        <w:t xml:space="preserve">The Company's discussion and analysis of its financial condition, results of operations, liquidity and capital resources is based on its condensed consolidated financial statements, which have been prepared in accordance with GAAP. GAAP requires that management makes estimates and judgments that affect the reported amount of assets, liabilities, revenue, expenses, and the related disclosure of contingent assets and liabilities. The Company's management bases these estimates on historical experience and on various other assumptions that they consider reasonable under the circumstances and reevaluate their estimates and judgments as appropriate. The actual results may differ materially and adversely from its estimates. </w:t>
      </w:r>
      <w:r>
        <w:rPr>
          <w:rFonts w:ascii="Arial;sans-serif" w:hAnsi="Arial;sans-serif"/>
          <w:b w:val="false"/>
          <w:color w:val="000000"/>
          <w:sz w:val="18"/>
          <w:shd w:fill="FFFFFF" w:val="clear"/>
        </w:rPr>
        <w:t xml:space="preserve">For a </w:t>
      </w:r>
      <w:r>
        <w:rPr>
          <w:rFonts w:ascii="Arial;sans-serif" w:hAnsi="Arial;sans-serif"/>
          <w:b w:val="false"/>
          <w:color w:val="000000"/>
          <w:sz w:val="18"/>
        </w:rPr>
        <w:t>complete discussion of the Company's significant critical accounting estimates, see the “Critical Accounting Estimates” section in Part II, Item 7 of the Company's Annual Report on Form 10-K for the year ended December 31, 2025 (the "2025 Annual Report on Form 10-K"). There were no significant changes to the Company's critical accounting estimates during the six months ended June 30,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Recently Issued Accounting Standards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Refer to Part I, Item 1, Note 1 of the notes to our condensed consolidated financial statements included in this Quarterly Report on Form 10-Q for our assessment of recently issued accounting standards.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Cautionary Note Regarding Forward-Looking Statements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or implied by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economic conditions and changes therein, including financial market conditions and levels of end market demand, as a result of macroeconomic and geopolitical conditions, including international armed conflicts;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effectively compete in the modular space and portable storage industries;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effectively manage our credit risk, collect on our accounts receivable, or recover our rental equipment from customers;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implement our Network Optimization Plan;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laws and regulations governing antitrust, climate related disclosures, cybersecurity and information technology, privacy, government contracts, anti-corruption, and the environment;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the actions of activist shareholders;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successfully acquire and integrate new operations;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risks associated with cybersecurity threats and failure of our management information systems;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trade policies and changes in trade policies, including the imposition of or increases in tariffs, their enforcement, trade restrictions, and broader economic measures and their consequences;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fluctuations in interest rates and commodity prices;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risks associated with labor relations, labor costs and labor disruptions;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changes in the competitive environment of our customers as a result of the economic climate in which they operate and/or economic or financial disruptions to their industry;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ability to adequately protect our intellectual property and other proprietary rights that are material to our business;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natural disasters and other business disruptions such as pandemics;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establish and maintain the appropriate physical presence in our markets;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property, casualty or other losses not covered by our insurance;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ability to close our unit sales transactions;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achieve sustainability goals;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operational, economic, political, and regulatory risks;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effective management of our rental equipment;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the effect of changes in state building codes on our ability to remarket our buildings;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significant increases in the costs and restrictions on the availability of raw materials and labor;</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fluctuations in fuel costs or a reduction in fuel supplies;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reliance on third-party manufacturers and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impairment of our goodwill and intangible assets;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ability to use our net operating loss carryforwards and other tax attributes;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ability to recognize deferred tax assets, such as those related to tax loss carryforwards, and utilize future tax savings;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unanticipated changes in tax obligations, adoption of new tax legislation, or exposure to additional income tax liabilities;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access the capital and credit markets or the ability of key counterparties to perform their obligations to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service our debt and operate our business;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incur significant additional amounts of debt and avoid risks associated with substantial indebtedness;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covenants that limit our operating and financial flexibility;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such other risks and uncertainties described in the periodic reports we file with the SEC from time to time (including our 2025 Annual Report on Form 10-K), which are available through the SEC’s EDGAR system at www.sec.gov and on our website.</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Any forward-looking statement speaks only at the date which it is made, and we undertake no obligation, and disclaims any obligation, to update or revise any forward-looking statements, whether as a result of new information, future events or otherwise, except as required by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Arial;sans-serif" w:hAnsi="Arial;sans-serif"/>
          <w:b/>
          <w:color w:val="000000"/>
          <w:sz w:val="36"/>
        </w:rPr>
      </w:pPr>
      <w:r>
        <w:rPr>
          <w:rFonts w:ascii="Arial;sans-serif" w:hAnsi="Arial;sans-serif"/>
          <w:b/>
          <w:color w:val="000000"/>
          <w:sz w:val="36"/>
        </w:rPr>
        <w:t>ITEM 3.    Quantitative and Qualitative Disclosures about Market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exposed to certain market risks from changes in foreign currency exchange rates and interest rates. Changes in these factors cause fluctuations in our earnings and cash flows. We evaluate and manage exposure to these market risks as follows: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primarily exposed to interest rate risk through our ABL Facility, which bears interest at variable rates. We had $1.4 billion in outstanding principal under the ABL Facility at June 30, 2026. To manage interest rate risk, in January 2024 and January 2023, we executed interest rate swap agreements relating to an aggregate of $500.0 million and $750.0 million, respectively, in notional amount of variable-rate debt under our ABL Facility. The January 2024 and January 2023 swap agreements provide for us to pay effective fixed interest rates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quarter to date interest expense by approximately $0.4 million based on outstanding borrowings at June 30, 2026. Excluding the impact of the swaps, an increase in interest rates by 100 basis points on our ABL Facility would have increased quarter to date interest expense by approximately $3.5 million based on outstanding borrowings at June 30, 2026.</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currently generate approximately 94% of our consolidated net revenues in the US, and the reporting currency for our condensed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condensed consolidated financial statements.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other expenses, net, on the condensed consolidated statements of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hanging="1440"/>
        <w:jc w:val="left"/>
        <w:rPr>
          <w:rFonts w:ascii="Arial;sans-serif" w:hAnsi="Arial;sans-serif"/>
          <w:b/>
          <w:color w:val="000000"/>
          <w:sz w:val="36"/>
        </w:rPr>
      </w:pPr>
      <w:r>
        <w:rPr>
          <w:rFonts w:ascii="Arial;sans-serif" w:hAnsi="Arial;sans-serif"/>
          <w:b/>
          <w:color w:val="000000"/>
          <w:sz w:val="36"/>
        </w:rPr>
        <w:t>ITEM 4.    Controls and Procedures</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management, with participation of our Chief Executive Officer and Chief Financial Officer, has evaluated the effectiveness of our disclosure controls and procedures as defined in Rule 13a-15(e) under the Securities Exchange Act of 1934 as amended (the "Exchange Act") as of June 30, 2026. Based upon that evaluation, our Chief Executive Officer and Chief Financial Officer concluded that our disclosure controls and procedures were effective as of June 30, 2026. </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Changes in Internal Controls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that occurred during the quarter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PART II - Other Information</w:t>
      </w:r>
    </w:p>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Arial;sans-serif" w:hAnsi="Arial;sans-serif"/>
          <w:b/>
          <w:color w:val="000000"/>
          <w:sz w:val="36"/>
        </w:rPr>
      </w:pPr>
      <w:r>
        <w:rPr>
          <w:rFonts w:ascii="Arial;sans-serif" w:hAnsi="Arial;sans-serif"/>
          <w:b/>
          <w:color w:val="000000"/>
          <w:sz w:val="36"/>
        </w:rPr>
        <w:t>ITEM 1. Legal Proceedings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June 30, 2026,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Arial;sans-serif" w:hAnsi="Arial;sans-serif"/>
          <w:b/>
          <w:color w:val="000000"/>
          <w:sz w:val="36"/>
          <w:shd w:fill="FFFFFF" w:val="clear"/>
        </w:rPr>
      </w:pPr>
      <w:r>
        <w:rPr>
          <w:rFonts w:ascii="Arial;sans-serif" w:hAnsi="Arial;sans-serif"/>
          <w:b/>
          <w:color w:val="000000"/>
          <w:sz w:val="36"/>
          <w:shd w:fill="FFFFFF" w:val="clear"/>
        </w:rPr>
        <w:t xml:space="preserve">ITEM 1A. Risk Factors </w:t>
      </w:r>
    </w:p>
    <w:p>
      <w:pPr>
        <w:pStyle w:val="TextBody"/>
        <w:bidi w:val="0"/>
        <w:spacing w:lineRule="auto" w:line="288" w:before="0" w:after="0"/>
        <w:ind w:left="0" w:right="0" w:firstLine="720"/>
        <w:jc w:val="both"/>
        <w:rPr/>
      </w:pPr>
      <w:r>
        <w:rPr>
          <w:rFonts w:ascii="Arial;sans-serif" w:hAnsi="Arial;sans-serif"/>
          <w:b w:val="false"/>
          <w:color w:val="000000"/>
          <w:sz w:val="18"/>
          <w:shd w:fill="FFFFFF" w:val="clear"/>
        </w:rPr>
        <w:t xml:space="preserve">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Part 1. Item 1A. of our </w:t>
      </w:r>
      <w:r>
        <w:rPr>
          <w:rFonts w:ascii="Arial;sans-serif" w:hAnsi="Arial;sans-serif"/>
          <w:b w:val="false"/>
          <w:color w:val="000000"/>
          <w:sz w:val="18"/>
        </w:rPr>
        <w:t>2025</w:t>
      </w:r>
      <w:r>
        <w:rPr>
          <w:color w:val="000000"/>
          <w:shd w:fill="FFFFFF" w:val="clear"/>
        </w:rPr>
        <w:t xml:space="preserve"> </w:t>
      </w:r>
      <w:r>
        <w:rPr>
          <w:rFonts w:ascii="Arial;sans-serif" w:hAnsi="Arial;sans-serif"/>
          <w:b w:val="false"/>
          <w:color w:val="000000"/>
          <w:sz w:val="18"/>
          <w:shd w:fill="FFFFFF" w:val="clear"/>
        </w:rPr>
        <w:t>Annual Report on Form 10-K, which have not materially changed.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Arial;sans-serif" w:hAnsi="Arial;sans-serif"/>
          <w:b/>
          <w:color w:val="000000"/>
          <w:sz w:val="36"/>
        </w:rPr>
      </w:pPr>
      <w:r>
        <w:rPr>
          <w:rFonts w:ascii="Arial;sans-serif" w:hAnsi="Arial;sans-serif"/>
          <w:b/>
          <w:color w:val="000000"/>
          <w:sz w:val="36"/>
        </w:rPr>
        <w:t>ITEM 2.    Unregistered Sales of Equity Securities and Use of Proceeds</w:t>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The following table summarizes our purchase of Common Stock during the second quarter of 2026. </w:t>
      </w:r>
    </w:p>
    <w:tbl>
      <w:tblPr>
        <w:tblW w:w="10205" w:type="dxa"/>
        <w:jc w:val="left"/>
        <w:tblInd w:w="0" w:type="dxa"/>
        <w:tblLayout w:type="fixed"/>
        <w:tblCellMar>
          <w:top w:w="28" w:type="dxa"/>
          <w:left w:w="28" w:type="dxa"/>
          <w:bottom w:w="28" w:type="dxa"/>
          <w:right w:w="28" w:type="dxa"/>
        </w:tblCellMar>
      </w:tblPr>
      <w:tblGrid>
        <w:gridCol w:w="374"/>
        <w:gridCol w:w="328"/>
        <w:gridCol w:w="330"/>
        <w:gridCol w:w="659"/>
        <w:gridCol w:w="659"/>
        <w:gridCol w:w="661"/>
        <w:gridCol w:w="109"/>
        <w:gridCol w:w="109"/>
        <w:gridCol w:w="109"/>
        <w:gridCol w:w="295"/>
        <w:gridCol w:w="569"/>
        <w:gridCol w:w="153"/>
        <w:gridCol w:w="109"/>
        <w:gridCol w:w="109"/>
        <w:gridCol w:w="109"/>
        <w:gridCol w:w="846"/>
        <w:gridCol w:w="846"/>
        <w:gridCol w:w="849"/>
        <w:gridCol w:w="109"/>
        <w:gridCol w:w="109"/>
        <w:gridCol w:w="109"/>
        <w:gridCol w:w="567"/>
        <w:gridCol w:w="1660"/>
        <w:gridCol w:w="428"/>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shd w:fill="1D2758"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Period</w:t>
            </w:r>
          </w:p>
        </w:tc>
        <w:tc>
          <w:tcPr>
            <w:tcW w:w="1979"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Total Number of Shares and Equivalents Purchased (in thousands)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 xml:space="preserve">Average Price Paid </w:t>
              <w:br/>
              <w:t>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Total Number of Shares and Equivalents Purchased as part of Publicly Announced Plan (in thousands)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Maximum Dollar Value of Shares and Equivalents that May Yet Be Purchased Under the Plans (in millions)</w:t>
            </w:r>
          </w:p>
        </w:tc>
      </w:tr>
      <w:tr>
        <w:trPr/>
        <w:tc>
          <w:tcPr>
            <w:tcW w:w="10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April 1, 2026 to April 30, 2026</w:t>
            </w:r>
          </w:p>
        </w:tc>
        <w:tc>
          <w:tcPr>
            <w:tcW w:w="13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717.1 </w:t>
            </w:r>
          </w:p>
        </w:tc>
        <w:tc>
          <w:tcPr>
            <w:tcW w:w="4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1, 2026 to May 31, 2026</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717.1 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June 1, 2026 to June 30, 2026</w:t>
            </w:r>
          </w:p>
        </w:tc>
        <w:tc>
          <w:tcPr>
            <w:tcW w:w="13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717.1 </w:t>
            </w:r>
          </w:p>
        </w:tc>
        <w:tc>
          <w:tcPr>
            <w:tcW w:w="4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Arial;sans-serif" w:hAnsi="Arial;sans-serif"/>
          <w:b w:val="false"/>
          <w:color w:val="000000"/>
          <w:sz w:val="18"/>
        </w:rPr>
      </w:pPr>
      <w:r>
        <w:rPr>
          <w:rFonts w:ascii="Arial;sans-serif" w:hAnsi="Arial;sans-serif"/>
          <w:b w:val="false"/>
          <w:color w:val="000000"/>
          <w:sz w:val="18"/>
        </w:rPr>
        <w:t>In September 2024, our Board of Directors authorized a share repurchase program pursuant to which the Company may repurchase up to $1.0 billion of its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and other considerations. We may repurchase our shares in open market transactions or through privately negotiated transactions in accordance with federal securities laws, at our discretion. The repurchase program, which has no expiration date, may be increased, suspended, or terminated at any time and remains subject to the discretion of our Board of Directors. The program is expected to be implemented over the course of several years and will be conducted subject to the covenants in our ABL Facility and the indentures governing our Senior Secured Notes. There were no repurchases of shares under the share repurchase program during the second quarter of 2026. As of June 30, 2026, $717.1 million of the $1.0 billion share repurchase authorization remained available for use.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Arial;sans-serif" w:hAnsi="Arial;sans-serif"/>
          <w:b/>
          <w:color w:val="000000"/>
          <w:sz w:val="36"/>
        </w:rPr>
      </w:pPr>
      <w:r>
        <w:rPr>
          <w:rFonts w:ascii="Arial;sans-serif" w:hAnsi="Arial;sans-serif"/>
          <w:b/>
          <w:color w:val="000000"/>
          <w:sz w:val="36"/>
        </w:rPr>
        <w:t xml:space="preserve">ITEM 3.    Defaults Upon Senior Securities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Arial;sans-serif" w:hAnsi="Arial;sans-serif"/>
          <w:b/>
          <w:color w:val="000000"/>
          <w:sz w:val="36"/>
        </w:rPr>
      </w:pPr>
      <w:r>
        <w:rPr>
          <w:rFonts w:ascii="Arial;sans-serif" w:hAnsi="Arial;sans-serif"/>
          <w:b/>
          <w:color w:val="000000"/>
          <w:sz w:val="36"/>
        </w:rPr>
        <w:t>ITEM 4.    Mine Safety Disclosures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hanging="1440"/>
        <w:jc w:val="left"/>
        <w:rPr>
          <w:rFonts w:ascii="Arial;sans-serif" w:hAnsi="Arial;sans-serif"/>
          <w:b/>
          <w:color w:val="000000"/>
          <w:sz w:val="36"/>
        </w:rPr>
      </w:pPr>
      <w:r>
        <w:rPr>
          <w:rFonts w:ascii="Arial;sans-serif" w:hAnsi="Arial;sans-serif"/>
          <w:b/>
          <w:color w:val="000000"/>
          <w:sz w:val="36"/>
        </w:rPr>
        <w:t>ITEM 5.    Other Information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three months ended June 30, 2026, no director or Section 16 officer of the Company adopted or terminated a "Rule 10b5-1 trading arrangement" or "non-Rule 10b5-1 trading arrangement," as each term is defined in Item 408(a) of Regulation S-K.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ITEM 6.     Exhibits</w:t>
      </w:r>
    </w:p>
    <w:tbl>
      <w:tblPr>
        <w:tblW w:w="10205" w:type="dxa"/>
        <w:jc w:val="left"/>
        <w:tblInd w:w="0" w:type="dxa"/>
        <w:tblLayout w:type="fixed"/>
        <w:tblCellMar>
          <w:top w:w="28" w:type="dxa"/>
          <w:left w:w="28" w:type="dxa"/>
          <w:bottom w:w="28" w:type="dxa"/>
          <w:right w:w="28" w:type="dxa"/>
        </w:tblCellMar>
      </w:tblPr>
      <w:tblGrid>
        <w:gridCol w:w="319"/>
        <w:gridCol w:w="281"/>
        <w:gridCol w:w="282"/>
        <w:gridCol w:w="3080"/>
        <w:gridCol w:w="2929"/>
        <w:gridCol w:w="2939"/>
        <w:gridCol w:w="109"/>
        <w:gridCol w:w="109"/>
        <w:gridCol w:w="157"/>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Exhibit No.</w:t>
            </w:r>
          </w:p>
        </w:tc>
        <w:tc>
          <w:tcPr>
            <w:tcW w:w="8948" w:type="dxa"/>
            <w:gridSpan w:val="3"/>
            <w:tcBorders/>
            <w:shd w:fill="1D275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Exhibit 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Arial;sans-serif" w:hAnsi="Arial;sans-serif"/>
                  <w:b w:val="false"/>
                  <w:color w:val="000000"/>
                  <w:sz w:val="18"/>
                </w:rPr>
                <w:t>10.1</w:t>
              </w:r>
            </w:hyperlink>
          </w:p>
        </w:tc>
        <w:tc>
          <w:tcPr>
            <w:tcW w:w="894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80"/>
                  <w:sz w:val="18"/>
                </w:rPr>
                <w:t>WillScot Holdings Corporation 2026 Incentive Award Plan (incorporated by reference to Appendix A to the Company’s Definitive Proxy Statement on Schedule 14A, filed on April 22, 2026)</w:t>
              </w:r>
            </w:hyperlink>
            <w:r>
              <w:rPr>
                <w:rFonts w:ascii="Arial;sans-serif" w:hAnsi="Arial;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ex311-q22026.htm">
              <w:r>
                <w:rPr>
                  <w:rStyle w:val="InternetLink"/>
                  <w:rFonts w:ascii="Arial;sans-serif" w:hAnsi="Arial;sans-serif"/>
                  <w:b w:val="false"/>
                  <w:color w:val="000080"/>
                  <w:sz w:val="18"/>
                </w:rPr>
                <w:t>31.1</w:t>
              </w:r>
            </w:hyperlink>
            <w:r>
              <w:rPr>
                <w:rFonts w:ascii="Arial;sans-serif" w:hAnsi="Arial;sans-serif"/>
                <w:b w:val="false"/>
                <w:color w:val="000000"/>
                <w:sz w:val="18"/>
              </w:rPr>
              <w:t>*</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11-q22026.htm">
              <w:r>
                <w:rPr>
                  <w:rStyle w:val="InternetLink"/>
                  <w:rFonts w:ascii="Arial;sans-serif" w:hAnsi="Arial;sans-serif"/>
                  <w:b w:val="false"/>
                  <w:color w:val="000000"/>
                  <w:sz w:val="18"/>
                </w:rPr>
                <w:t>Certification of Chief Executive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ex312-q22026.htm">
              <w:r>
                <w:rPr>
                  <w:rStyle w:val="InternetLink"/>
                  <w:rFonts w:ascii="Arial;sans-serif" w:hAnsi="Arial;sans-serif"/>
                  <w:b w:val="false"/>
                  <w:color w:val="000080"/>
                  <w:sz w:val="18"/>
                </w:rPr>
                <w:t>31.2</w:t>
              </w:r>
            </w:hyperlink>
            <w:r>
              <w:rPr>
                <w:rFonts w:ascii="Arial;sans-serif" w:hAnsi="Arial;sans-serif"/>
                <w:b w:val="false"/>
                <w:color w:val="000000"/>
                <w:sz w:val="18"/>
              </w:rPr>
              <w:t>*</w:t>
            </w:r>
          </w:p>
        </w:tc>
        <w:tc>
          <w:tcPr>
            <w:tcW w:w="894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312-q22026.htm">
              <w:r>
                <w:rPr>
                  <w:rStyle w:val="InternetLink"/>
                  <w:rFonts w:ascii="Arial;sans-serif" w:hAnsi="Arial;sans-serif"/>
                  <w:b w:val="false"/>
                  <w:color w:val="000000"/>
                  <w:sz w:val="18"/>
                </w:rPr>
                <w:t>Certification of Chief Financial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ex321-q22026.htm">
              <w:r>
                <w:rPr>
                  <w:rStyle w:val="InternetLink"/>
                  <w:rFonts w:ascii="Arial;sans-serif" w:hAnsi="Arial;sans-serif"/>
                  <w:b w:val="false"/>
                  <w:color w:val="000080"/>
                  <w:sz w:val="18"/>
                </w:rPr>
                <w:t>32.1</w:t>
              </w:r>
            </w:hyperlink>
            <w:r>
              <w:rPr>
                <w:rFonts w:ascii="Arial;sans-serif" w:hAnsi="Arial;sans-serif"/>
                <w:b w:val="false"/>
                <w:color w:val="000000"/>
                <w:sz w:val="18"/>
              </w:rPr>
              <w:t>**</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21-q22026.htm">
              <w:r>
                <w:rPr>
                  <w:rStyle w:val="InternetLink"/>
                  <w:rFonts w:ascii="Arial;sans-serif" w:hAnsi="Arial;sans-serif"/>
                  <w:b w:val="false"/>
                  <w:color w:val="000000"/>
                  <w:sz w:val="18"/>
                </w:rPr>
                <w:t>Certification of Chief Executive Officer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ex322-q22026.htm">
              <w:r>
                <w:rPr>
                  <w:rStyle w:val="InternetLink"/>
                  <w:rFonts w:ascii="Arial;sans-serif" w:hAnsi="Arial;sans-serif"/>
                  <w:b w:val="false"/>
                  <w:color w:val="000080"/>
                  <w:sz w:val="18"/>
                </w:rPr>
                <w:t>32.2</w:t>
              </w:r>
            </w:hyperlink>
            <w:r>
              <w:rPr>
                <w:rFonts w:ascii="Arial;sans-serif" w:hAnsi="Arial;sans-serif"/>
                <w:b w:val="false"/>
                <w:color w:val="000000"/>
                <w:sz w:val="18"/>
              </w:rPr>
              <w:t>**</w:t>
            </w:r>
          </w:p>
        </w:tc>
        <w:tc>
          <w:tcPr>
            <w:tcW w:w="894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322-q22026.htm">
              <w:r>
                <w:rPr>
                  <w:rStyle w:val="InternetLink"/>
                  <w:rFonts w:ascii="Arial;sans-serif" w:hAnsi="Arial;sans-serif"/>
                  <w:b w:val="false"/>
                  <w:color w:val="000000"/>
                  <w:sz w:val="18"/>
                </w:rPr>
                <w:t>Certification of Chief Financial Officer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894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894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894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8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for the cover page of this Quarterly Report on Form 10-Q, included in the Exhibit 101 Inline XBRL Document Set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Furnished (and not filed) herewith pursuant to Item 601(b)(32)(ii) of Regulation S-K under the Exchange Act</w:t>
      </w:r>
    </w:p>
    <w:p>
      <w:pPr>
        <w:pStyle w:val="TextBody"/>
        <w:bidi w:val="0"/>
        <w:spacing w:lineRule="auto" w:line="288" w:before="0" w:after="0"/>
        <w:jc w:val="both"/>
        <w:rPr>
          <w:color w:val="000000"/>
        </w:rPr>
      </w:pPr>
      <w:r>
        <w:rPr>
          <w:color w:val="000000"/>
        </w:rPr>
        <w:t xml:space="preserve">† </w:t>
      </w:r>
      <w:r>
        <w:rPr>
          <w:rFonts w:ascii="Arial;sans-serif" w:hAnsi="Arial;sans-serif"/>
          <w:b w:val="false"/>
          <w:color w:val="000000"/>
          <w:sz w:val="16"/>
        </w:rPr>
        <w:t>Indicates a management contract or compensatory plan or arrangement.</w:t>
      </w:r>
    </w:p>
    <w:p>
      <w:pPr>
        <w:pStyle w:val="TextBody"/>
        <w:bidi w:val="0"/>
        <w:spacing w:before="0" w:after="0"/>
        <w:jc w:val="both"/>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left"/>
        <w:rPr>
          <w:rFonts w:ascii="Arial;sans-serif" w:hAnsi="Arial;sans-serif"/>
          <w:b w:val="false"/>
          <w:color w:val="000000"/>
          <w:sz w:val="36"/>
        </w:rPr>
      </w:pPr>
      <w:r>
        <w:rPr>
          <w:rFonts w:ascii="Arial;sans-serif" w:hAnsi="Arial;sans-serif"/>
          <w:b w:val="false"/>
          <w:color w:val="000000"/>
          <w:sz w:val="36"/>
        </w:rPr>
        <w:t>Signature</w:t>
      </w:r>
    </w:p>
    <w:p>
      <w:pPr>
        <w:pStyle w:val="TextBody"/>
        <w:bidi w:val="0"/>
        <w:spacing w:lineRule="auto" w:line="288" w:before="0" w:after="100"/>
        <w:ind w:left="0" w:right="0" w:firstLine="7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8560" w:type="dxa"/>
        <w:jc w:val="left"/>
        <w:tblInd w:w="0" w:type="dxa"/>
        <w:tblLayout w:type="fixed"/>
        <w:tblCellMar>
          <w:top w:w="28" w:type="dxa"/>
          <w:left w:w="28" w:type="dxa"/>
          <w:bottom w:w="28" w:type="dxa"/>
          <w:right w:w="28" w:type="dxa"/>
        </w:tblCellMar>
      </w:tblPr>
      <w:tblGrid>
        <w:gridCol w:w="239"/>
        <w:gridCol w:w="210"/>
        <w:gridCol w:w="211"/>
        <w:gridCol w:w="444"/>
        <w:gridCol w:w="444"/>
        <w:gridCol w:w="446"/>
        <w:gridCol w:w="419"/>
        <w:gridCol w:w="419"/>
        <w:gridCol w:w="419"/>
        <w:gridCol w:w="1544"/>
        <w:gridCol w:w="1544"/>
        <w:gridCol w:w="2221"/>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WillScot Holdings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By:</w:t>
            </w:r>
          </w:p>
        </w:tc>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MATTHEW T. JACOBSEN</w:t>
            </w:r>
          </w:p>
        </w:tc>
      </w:tr>
      <w:tr>
        <w:trPr/>
        <w:tc>
          <w:tcPr>
            <w:tcW w:w="6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Dated:</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August 6, 2026</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Matthew T. Jacobsen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i/>
                <w:color w:val="000000"/>
                <w:sz w:val="18"/>
              </w:rPr>
            </w:pPr>
            <w:r>
              <w:rPr>
                <w:rFonts w:ascii="Arial;sans-serif" w:hAnsi="Arial;sans-serif"/>
                <w:b w:val="false"/>
                <w:i/>
                <w:color w:val="000000"/>
                <w:sz w:val="18"/>
              </w:rPr>
              <w:t xml:space="preserve">Chief Financial Officer </w:t>
              <w:br/>
              <w:t>(Principal Financial Officer and Duly Authorized Signing Officer)</w:t>
            </w:r>
          </w:p>
        </w:tc>
      </w:tr>
    </w:tbl>
    <w:p>
      <w:pPr>
        <w:pStyle w:val="TextBody"/>
        <w:bidi w:val="0"/>
        <w:spacing w:before="0" w:after="60"/>
        <w:ind w:left="0" w:right="0" w:firstLine="720"/>
        <w:jc w:val="both"/>
        <w:rPr/>
      </w:pPr>
      <w:r>
        <w:rPr/>
      </w:r>
    </w:p>
    <w:p>
      <w:pPr>
        <w:pStyle w:val="TextBody"/>
        <w:bidi w:val="0"/>
        <w:spacing w:before="0" w:after="60"/>
        <w:jc w:val="center"/>
        <w:rPr/>
      </w:pPr>
      <w:r>
        <w:rPr/>
      </w:r>
    </w:p>
    <w:p>
      <w:pPr>
        <w:pStyle w:val="TextBody"/>
        <w:bidi w:val="0"/>
        <w:spacing w:before="0" w:after="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Timothy D. Boswell,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WillScot Holdings Corporation;</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August 6, 2026 </w:t>
      </w:r>
    </w:p>
    <w:tbl>
      <w:tblPr>
        <w:tblW w:w="46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72"/>
        <w:gridCol w:w="1172"/>
        <w:gridCol w:w="1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President, Chief Executive Officer, and Director </w:t>
              <w:br/>
              <w:t>(Principal Executive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Matthew Jacobsen,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WillScot Holdings Corporation;</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August 6, 2026 </w:t>
      </w:r>
    </w:p>
    <w:tbl>
      <w:tblPr>
        <w:tblW w:w="31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7"/>
        <w:gridCol w:w="727"/>
        <w:gridCol w:w="10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MATTHEW T. JACOBSEN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T. Jacobsen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Financial Officer </w:t>
              <w:br/>
              <w:t>(Principal Financial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49" w:type="dxa"/>
        <w:jc w:val="center"/>
        <w:tblInd w:w="0" w:type="dxa"/>
        <w:tblLayout w:type="fixed"/>
        <w:tblCellMar>
          <w:top w:w="28" w:type="dxa"/>
          <w:left w:w="28" w:type="dxa"/>
          <w:bottom w:w="28" w:type="dxa"/>
          <w:right w:w="28" w:type="dxa"/>
        </w:tblCellMar>
      </w:tblPr>
      <w:tblGrid>
        <w:gridCol w:w="1103"/>
        <w:gridCol w:w="970"/>
        <w:gridCol w:w="1376"/>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Certification of Chief Executive Officer</w:t>
            </w:r>
          </w:p>
        </w:tc>
      </w:tr>
    </w:tbl>
    <w:p>
      <w:pPr>
        <w:pStyle w:val="TextBody"/>
        <w:bidi w:val="0"/>
        <w:spacing w:before="0" w:after="0"/>
        <w:jc w:val="both"/>
        <w:rPr/>
      </w:pPr>
      <w:r>
        <w:rPr/>
      </w:r>
    </w:p>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Holdings Corporation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quarterly report on Form 10-Q of the Company for the period ended June 30, 2026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August 6, 2026 </w:t>
      </w:r>
    </w:p>
    <w:tbl>
      <w:tblPr>
        <w:tblW w:w="69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1"/>
        <w:gridCol w:w="1831"/>
        <w:gridCol w:w="25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President, Chief Executive Officer, and Director (Principal Executive Officer)</w:t>
            </w:r>
          </w:p>
        </w:tc>
      </w:tr>
    </w:tbl>
    <w:p>
      <w:pPr>
        <w:pStyle w:val="TextBody"/>
        <w:bidi w:val="0"/>
        <w:spacing w:before="120" w:after="283"/>
        <w:ind w:left="0" w:right="0" w:firstLine="36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60" w:type="dxa"/>
        <w:jc w:val="center"/>
        <w:tblInd w:w="0" w:type="dxa"/>
        <w:tblLayout w:type="fixed"/>
        <w:tblCellMar>
          <w:top w:w="28" w:type="dxa"/>
          <w:left w:w="28" w:type="dxa"/>
          <w:bottom w:w="28" w:type="dxa"/>
          <w:right w:w="28" w:type="dxa"/>
        </w:tblCellMar>
      </w:tblPr>
      <w:tblGrid>
        <w:gridCol w:w="1075"/>
        <w:gridCol w:w="945"/>
        <w:gridCol w:w="1340"/>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Certification of Chief Financial Officer</w:t>
            </w:r>
          </w:p>
        </w:tc>
      </w:tr>
    </w:tbl>
    <w:p>
      <w:pPr>
        <w:pStyle w:val="TextBody"/>
        <w:bidi w:val="0"/>
        <w:spacing w:before="0" w:after="0"/>
        <w:jc w:val="center"/>
        <w:rPr/>
      </w:pPr>
      <w:r>
        <w:rPr/>
      </w:r>
    </w:p>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Holdings Corporation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quarterly report on Form 10-Q of the Company for the period ended June 30, 2026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August 6, 2026 </w:t>
      </w:r>
    </w:p>
    <w:tbl>
      <w:tblPr>
        <w:tblW w:w="31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7"/>
        <w:gridCol w:w="727"/>
        <w:gridCol w:w="10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MATTHEW T. JACOBSEN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T. Jacobsen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Financial Officer </w:t>
              <w:br/>
              <w:t>(Principal Financial Officer)</w:t>
            </w:r>
          </w:p>
        </w:tc>
      </w:tr>
    </w:tbl>
    <w:p>
      <w:pPr>
        <w:pStyle w:val="TextBody"/>
        <w:bidi w:val="0"/>
        <w:spacing w:before="120" w:after="283"/>
        <w:ind w:left="0" w:right="0" w:firstLine="36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47088/000164708826000021/wsc-20260422.htm" TargetMode="External"/><Relationship Id="rId4" Type="http://schemas.openxmlformats.org/officeDocument/2006/relationships/hyperlink" Target="https://www.sec.gov/ix?doc=/Archives/edgar/data/1647088/000164708826000021/wsc-2026042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19971</Words>
  <Characters>111301</Characters>
  <CharactersWithSpaces>129788</CharactersWithSpaces>
  <Paragraphs>2843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