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6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44"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December 22, 2025 (December 18,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2645410</wp:posOffset>
            </wp:positionH>
            <wp:positionV relativeFrom="paragraph">
              <wp:posOffset>301625</wp:posOffset>
            </wp:positionV>
            <wp:extent cx="1842770" cy="6172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42770" cy="6172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1"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WILLSCOT HOLDINGS CORPORATION</w:t>
      </w:r>
    </w:p>
    <w:p>
      <w:pPr>
        <w:spacing w:after="0" w:line="31"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441" w:right="339" w:bottom="1440" w:gutter="0" w:footer="0" w:header="0"/>
        </w:sectPr>
      </w:pPr>
    </w:p>
    <w:p>
      <w:pPr>
        <w:spacing w:after="0" w:line="270" w:lineRule="exact"/>
        <w:rPr>
          <w:sz w:val="24"/>
          <w:szCs w:val="24"/>
          <w:color w:val="auto"/>
        </w:rPr>
      </w:pPr>
    </w:p>
    <w:p>
      <w:pPr>
        <w:ind w:left="17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jc w:val="center"/>
        <w:ind w:right="1980"/>
        <w:spacing w:after="0"/>
        <w:rPr>
          <w:sz w:val="20"/>
          <w:szCs w:val="20"/>
          <w:color w:val="auto"/>
        </w:rPr>
      </w:pPr>
      <w:r>
        <w:rPr>
          <w:rFonts w:ascii="Times New Roman" w:cs="Times New Roman" w:eastAsia="Times New Roman" w:hAnsi="Times New Roman"/>
          <w:sz w:val="17"/>
          <w:szCs w:val="17"/>
          <w:b w:val="1"/>
          <w:bCs w:val="1"/>
          <w:color w:val="auto"/>
        </w:rPr>
        <w:t>001-37552</w:t>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82-3430194</w:t>
      </w:r>
    </w:p>
    <w:p>
      <w:pPr>
        <w:spacing w:after="0" w:line="94" w:lineRule="exact"/>
        <w:rPr>
          <w:sz w:val="24"/>
          <w:szCs w:val="24"/>
          <w:color w:val="auto"/>
        </w:rPr>
      </w:pPr>
    </w:p>
    <w:p>
      <w:pPr>
        <w:sectPr>
          <w:pgSz w:w="11900" w:h="16838" w:orient="portrait"/>
          <w:cols w:equalWidth="0" w:num="3">
            <w:col w:w="4580" w:space="720"/>
            <w:col w:w="2760" w:space="720"/>
            <w:col w:w="2460"/>
          </w:cols>
          <w:pgMar w:left="320" w:top="441" w:right="339" w:bottom="1440" w:gutter="0" w:footer="0" w:header="0"/>
          <w:type w:val="continuous"/>
        </w:sectPr>
      </w:pPr>
    </w:p>
    <w:p>
      <w:pPr>
        <w:ind w:left="50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3980" w:space="720"/>
            <w:col w:w="2500" w:space="720"/>
            <w:col w:w="3320"/>
          </w:cols>
          <w:pgMar w:left="320" w:top="441" w:right="339" w:bottom="1440" w:gutter="0" w:footer="0" w:header="0"/>
          <w:type w:val="continuous"/>
        </w:sectPr>
      </w:pPr>
    </w:p>
    <w:p>
      <w:pPr>
        <w:spacing w:after="0" w:line="24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6400 E McDowell Road, Suite 300</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Scottsdale, Arizona 85257</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of principal executive offices)</w:t>
      </w:r>
    </w:p>
    <w:p>
      <w:pPr>
        <w:spacing w:after="0" w:line="22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(480) 894-6311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287"/>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287"/>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287"/>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53"/>
        <w:spacing w:after="0" w:line="511" w:lineRule="auto"/>
        <w:tabs>
          <w:tab w:leader="none" w:pos="33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 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37"/>
        </w:trPr>
        <w:tc>
          <w:tcPr>
            <w:tcW w:w="43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3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580" w:type="dxa"/>
            <w:vAlign w:val="bottom"/>
            <w:tcBorders>
              <w:top w:val="single" w:sz="8" w:color="auto"/>
              <w:right w:val="single" w:sz="8" w:color="auto"/>
            </w:tcBorders>
          </w:tcPr>
          <w:p>
            <w:pPr>
              <w:ind w:left="600"/>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360" w:type="dxa"/>
            <w:vAlign w:val="bottom"/>
            <w:tcBorders>
              <w:bottom w:val="single" w:sz="8" w:color="auto"/>
              <w:right w:val="single" w:sz="8" w:color="auto"/>
            </w:tcBorders>
          </w:tcPr>
          <w:p>
            <w:pPr>
              <w:spacing w:after="0"/>
              <w:rPr>
                <w:sz w:val="2"/>
                <w:szCs w:val="2"/>
                <w:color w:val="auto"/>
              </w:rPr>
            </w:pPr>
          </w:p>
        </w:tc>
        <w:tc>
          <w:tcPr>
            <w:tcW w:w="4580" w:type="dxa"/>
            <w:vAlign w:val="bottom"/>
            <w:tcBorders>
              <w:bottom w:val="single" w:sz="8" w:color="auto"/>
              <w:right w:val="single" w:sz="8" w:color="auto"/>
            </w:tcBorders>
          </w:tcPr>
          <w:p>
            <w:pPr>
              <w:spacing w:after="0"/>
              <w:rPr>
                <w:sz w:val="2"/>
                <w:szCs w:val="2"/>
                <w:color w:val="auto"/>
              </w:rPr>
            </w:pPr>
          </w:p>
        </w:tc>
      </w:tr>
      <w:tr>
        <w:trPr>
          <w:trHeight w:val="237"/>
        </w:trPr>
        <w:tc>
          <w:tcPr>
            <w:tcW w:w="43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2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WSC</w:t>
            </w:r>
          </w:p>
        </w:tc>
        <w:tc>
          <w:tcPr>
            <w:tcW w:w="458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The Nasdaq Capital Markets</w:t>
            </w: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360" w:type="dxa"/>
            <w:vAlign w:val="bottom"/>
            <w:tcBorders>
              <w:bottom w:val="single" w:sz="8" w:color="auto"/>
              <w:right w:val="single" w:sz="8" w:color="auto"/>
            </w:tcBorders>
          </w:tcPr>
          <w:p>
            <w:pPr>
              <w:spacing w:after="0"/>
              <w:rPr>
                <w:sz w:val="2"/>
                <w:szCs w:val="2"/>
                <w:color w:val="auto"/>
              </w:rPr>
            </w:pPr>
          </w:p>
        </w:tc>
        <w:tc>
          <w:tcPr>
            <w:tcW w:w="4580" w:type="dxa"/>
            <w:vAlign w:val="bottom"/>
            <w:tcBorders>
              <w:bottom w:val="single" w:sz="8" w:color="auto"/>
              <w:right w:val="single" w:sz="8" w:color="auto"/>
            </w:tcBorders>
          </w:tcPr>
          <w:p>
            <w:pPr>
              <w:spacing w:after="0"/>
              <w:rPr>
                <w:sz w:val="2"/>
                <w:szCs w:val="2"/>
                <w:color w:val="auto"/>
              </w:rPr>
            </w:pPr>
          </w:p>
        </w:tc>
      </w:tr>
    </w:tbl>
    <w:p>
      <w:pPr>
        <w:spacing w:after="0" w:line="198" w:lineRule="exact"/>
        <w:rPr>
          <w:sz w:val="24"/>
          <w:szCs w:val="24"/>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type w:val="continuous"/>
        </w:sectPr>
      </w:pPr>
    </w:p>
    <w:bookmarkStart w:id="1" w:name="page2"/>
    <w:bookmarkEnd w:id="1"/>
    <w:p>
      <w:pPr>
        <w:spacing w:after="0"/>
        <w:tabs>
          <w:tab w:leader="none" w:pos="1460" w:val="left"/>
        </w:tabs>
        <w:rPr>
          <w:sz w:val="20"/>
          <w:szCs w:val="20"/>
          <w:color w:val="auto"/>
        </w:rPr>
      </w:pPr>
      <w:r>
        <w:rPr>
          <w:rFonts w:ascii="Times New Roman" w:cs="Times New Roman" w:eastAsia="Times New Roman" w:hAnsi="Times New Roman"/>
          <w:sz w:val="18"/>
          <w:szCs w:val="18"/>
          <w:b w:val="1"/>
          <w:bCs w:val="1"/>
          <w:color w:val="auto"/>
        </w:rPr>
        <w:t>Item 2.05</w:t>
      </w:r>
      <w:r>
        <w:rPr>
          <w:sz w:val="20"/>
          <w:szCs w:val="20"/>
          <w:color w:val="auto"/>
        </w:rPr>
        <w:tab/>
      </w:r>
      <w:r>
        <w:rPr>
          <w:rFonts w:ascii="Times New Roman" w:cs="Times New Roman" w:eastAsia="Times New Roman" w:hAnsi="Times New Roman"/>
          <w:sz w:val="17"/>
          <w:szCs w:val="17"/>
          <w:b w:val="1"/>
          <w:bCs w:val="1"/>
          <w:color w:val="auto"/>
        </w:rPr>
        <w:t>Costs Associated with Exit or Disposal Activities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Network Optimization Initiative</w:t>
      </w:r>
    </w:p>
    <w:p>
      <w:pPr>
        <w:spacing w:after="0" w:line="10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September 30, 2025, WillScot Holdings Corporation ("the Company") operated a branch network consisting of approximately 400 physical properties, of which 260 locations were considered branch locations and the rest were considered drop lots. Real estate leases for branch locations are typically under long-term contracts that may include initial terms of five to ten years with one or two five-year extensions, whereas non-branch locations used for unit storage often have shorter contractual terms.</w:t>
      </w:r>
    </w:p>
    <w:p>
      <w:pPr>
        <w:spacing w:after="0" w:line="13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year, following the integration of its modular and storage field operations in 2024, the Company evaluated its real estate footprint on a property-by-property basis to opportunistically reduce overall real estate costs while maintaining market coverage as noted in the third quarter 2025 financial results press release and included on Form 10-Q for the period ended September 30, 2025. To exit certain real estate positions, the Company disposed of certain rental fleet units, with a primary focus on long idle, non-standard, or higher repair cost units, while maintaining adequate idle fleet to meet projected demand. During the eleven months ended November 30, 2025, rental equipment identified for disposal was depreciated to its salvage value, resulting in approximately $41 million of incremental rental equipment depreciation.</w:t>
      </w:r>
    </w:p>
    <w:p>
      <w:pPr>
        <w:spacing w:after="0" w:line="16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December of 2025, the Company finalized a plan for a multi-year network optimization initiative ("the Network Optimization Plan") based on a robust, strategic analysis, identifying additional real estate locations for exit. Exiting those locations necessitates the disposal of certain rental equipment.</w:t>
      </w:r>
    </w:p>
    <w:p>
      <w:pPr>
        <w:spacing w:after="0" w:line="13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December 18, 2025, the Company's Board of Directors approved the Network Optimization Plan as a restructuring plan involving exiting approximately 725 acres of leased real estate over the next four years, representing 115 branch and drop lot locations and approximately 25% of the Company's leased acreage, and abandoning rental fleet units with a net book value of up to $315 million (before consideration of approximately $8 million in scrap proceeds) to enable these exits. Management has identified rental fleet units with a net book value of $311 million to be abandoned, representing approximately 51,000 units (approximately 30,000 portable storage units and 21,000 modular space units), concentrated on long idle, non-standard, or higher repair cost units. The Company believes these actions will reduce expected annual real estate cost increases over the next four years by approximately $25 million to $30 million, leave adequate idle fleet to meet future projected demand, and maintain all market coverage and customer service capabilities.</w:t>
      </w:r>
    </w:p>
    <w:p>
      <w:pPr>
        <w:spacing w:after="0" w:line="15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Significant costs associated with the Network Optimization Plan include non-cash accelerated depreciation of approximately $303 million (after consideration of scrap proceeds of approximately $8 million) recorded in the fourth quarter of 2025 and unit disposal costs requiring future cash expenditures estimated to be approximately $40 million to $50 million recorded in future periods as the units are disposed through 2029. The Company anticipates incurring net cash costs of approximately $20 million in 2026 and believes these actions will be accretive to profitability in 2027 and beyond. The Company anticipates incurring other costs associated with the real estate exits but does not expect them to be material. Both the accelerated depreciation and disposal costs will be reported as restructuring costs as a component of the Company’s other operating expenses.</w:t>
      </w:r>
    </w:p>
    <w:p>
      <w:pPr>
        <w:spacing w:after="0" w:line="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13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the U.S. Private Securities Litigation Reform Act of 1995 and Section 21E of the Securities Exchange Act of 1934, as amended. The words “estimates,” “expects,” “anticipates,” “believes,” “forecasts,” “plans,” “intends,” “may,” “will,” “should,” “shall,” and variations of these words and similar expressions identify forward-looking statements, which are generally not historical in nature and relate to expectations for future financial performance or business strategies or objectives. Certain of these forward-looking statements include statements relating to our restructuring activities under the Network Optimization Plan and the timing thereof, including costs and charges related to the real estate exits and fleet disposals described under Item 2.05, including the amount and timing of such charges. Forward-looking statements are subject to a number of risks, uncertainties, assumptions and other important factors, many of which are outside our control, which could cause actual results or outcomes to differ materially from those discussed in the forward-looking statements. Although the Company believes that these forward-looking statements are based on reasonable assumptions, it can give no assurance that any such forward-looking statement will materialize. Important factors that may affect actual results or outcomes include, among others, industry, global, economic, and other conditions. These forward-looking statements are also subject to the risks and uncertainties described in the periodic reports we file from time to time (including our Form 10-K for the year ended December 31, 2024), which are available through the SEC's EDGAR system at sec.gov and on our website. Any forward-looking statement speaks only at the date on which it is made, and the Company undertakes no obligation, and disclaims any obligation, to update or revise any forward-looking statements, whether as a result of new information, future events, or otherwise,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33"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8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45"/>
        </w:trPr>
        <w:tc>
          <w:tcPr>
            <w:tcW w:w="1360" w:type="dxa"/>
            <w:vAlign w:val="bottom"/>
            <w:gridSpan w:val="2"/>
          </w:tcPr>
          <w:p>
            <w:pPr>
              <w:ind w:left="140"/>
              <w:spacing w:after="0"/>
              <w:rPr>
                <w:sz w:val="20"/>
                <w:szCs w:val="20"/>
                <w:color w:val="auto"/>
              </w:rPr>
            </w:pPr>
            <w:r>
              <w:rPr>
                <w:rFonts w:ascii="Times New Roman" w:cs="Times New Roman" w:eastAsia="Times New Roman" w:hAnsi="Times New Roman"/>
                <w:sz w:val="18"/>
                <w:szCs w:val="18"/>
                <w:i w:val="1"/>
                <w:iCs w:val="1"/>
                <w:color w:val="auto"/>
              </w:rPr>
              <w:t>(d) Exhibits</w:t>
            </w:r>
          </w:p>
        </w:tc>
        <w:tc>
          <w:tcPr>
            <w:tcW w:w="9880" w:type="dxa"/>
            <w:vAlign w:val="bottom"/>
          </w:tcPr>
          <w:p>
            <w:pPr>
              <w:spacing w:after="0"/>
              <w:rPr>
                <w:sz w:val="24"/>
                <w:szCs w:val="24"/>
                <w:color w:val="auto"/>
              </w:rPr>
            </w:pPr>
          </w:p>
        </w:tc>
      </w:tr>
      <w:tr>
        <w:trPr>
          <w:trHeight w:val="432"/>
        </w:trPr>
        <w:tc>
          <w:tcPr>
            <w:tcW w:w="13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228"/>
        </w:trPr>
        <w:tc>
          <w:tcPr>
            <w:tcW w:w="124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9"/>
                <w:szCs w:val="19"/>
                <w:color w:val="auto"/>
              </w:rPr>
            </w:pPr>
          </w:p>
        </w:tc>
        <w:tc>
          <w:tcPr>
            <w:tcW w:w="98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765"/>
        </w:trPr>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14" w:right="339" w:bottom="1440" w:gutter="0" w:footer="0" w:header="0"/>
        </w:sectPr>
      </w:pPr>
    </w:p>
    <w:bookmarkStart w:id="3" w:name="page4"/>
    <w:bookmarkEnd w:id="3"/>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1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12"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b w:val="1"/>
          <w:bCs w:val="1"/>
          <w:color w:val="auto"/>
        </w:rPr>
        <w:t>WillScot Holdings Corporation</w:t>
      </w:r>
    </w:p>
    <w:p>
      <w:pPr>
        <w:spacing w:after="0" w:line="324" w:lineRule="exact"/>
        <w:rPr>
          <w:sz w:val="20"/>
          <w:szCs w:val="20"/>
          <w:color w:val="auto"/>
        </w:rPr>
      </w:pPr>
    </w:p>
    <w:p>
      <w:pPr>
        <w:ind w:left="5400"/>
        <w:spacing w:after="0"/>
        <w:tabs>
          <w:tab w:leader="none" w:pos="58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Hezron Timothy Lopez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34290</wp:posOffset>
            </wp:positionV>
            <wp:extent cx="34201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57" w:lineRule="exact"/>
        <w:rPr>
          <w:sz w:val="20"/>
          <w:szCs w:val="20"/>
          <w:color w:val="auto"/>
        </w:rPr>
      </w:pPr>
    </w:p>
    <w:p>
      <w:pPr>
        <w:spacing w:after="0"/>
        <w:tabs>
          <w:tab w:leader="none" w:pos="660" w:val="left"/>
          <w:tab w:leader="none" w:pos="5840" w:val="left"/>
        </w:tabs>
        <w:rPr>
          <w:sz w:val="20"/>
          <w:szCs w:val="20"/>
          <w:color w:val="auto"/>
        </w:rPr>
      </w:pPr>
      <w:r>
        <w:rPr>
          <w:rFonts w:ascii="Times New Roman" w:cs="Times New Roman" w:eastAsia="Times New Roman" w:hAnsi="Times New Roman"/>
          <w:sz w:val="18"/>
          <w:szCs w:val="18"/>
          <w:color w:val="auto"/>
        </w:rPr>
        <w:t>Dated:</w:t>
        <w:tab/>
        <w:t>December 22, 2025</w:t>
      </w:r>
      <w:r>
        <w:rPr>
          <w:sz w:val="20"/>
          <w:szCs w:val="20"/>
          <w:color w:val="auto"/>
        </w:rPr>
        <w:tab/>
      </w:r>
      <w:r>
        <w:rPr>
          <w:rFonts w:ascii="Times New Roman" w:cs="Times New Roman" w:eastAsia="Times New Roman" w:hAnsi="Times New Roman"/>
          <w:sz w:val="17"/>
          <w:szCs w:val="17"/>
          <w:color w:val="auto"/>
        </w:rPr>
        <w:t>Name: Hezron Timothy Lopez</w:t>
      </w:r>
    </w:p>
    <w:p>
      <w:pPr>
        <w:spacing w:after="0" w:line="3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Title: Executive Vice President, Chief Legal &amp; Compliance Officer &amp;</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ESG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1334770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080"/>
      </w:cols>
      <w:pgMar w:left="320" w:top="1089"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2025-12-22T05:27:45Z</dcterms:created>
  <dcterms:modified xsi:type="dcterms:W3CDTF">2025-12-22T05:27:45Z</dcterms:modified>
</cp:coreProperties>
</file>