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FORM 8-K</w:t>
      </w:r>
    </w:p>
    <w:p>
      <w:pPr>
        <w:spacing w:after="0" w:line="68"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CURRENT REPORT</w:t>
      </w:r>
    </w:p>
    <w:p>
      <w:pPr>
        <w:spacing w:after="0" w:line="136" w:lineRule="exact"/>
        <w:rPr>
          <w:sz w:val="24"/>
          <w:szCs w:val="24"/>
          <w:color w:val="auto"/>
        </w:rPr>
      </w:pPr>
    </w:p>
    <w:p>
      <w:pPr>
        <w:ind w:left="2880"/>
        <w:spacing w:after="0"/>
        <w:rPr>
          <w:sz w:val="20"/>
          <w:szCs w:val="20"/>
          <w:color w:val="auto"/>
        </w:rPr>
      </w:pPr>
      <w:r>
        <w:rPr>
          <w:rFonts w:ascii="Arial" w:cs="Arial" w:eastAsia="Arial" w:hAnsi="Arial"/>
          <w:sz w:val="14"/>
          <w:szCs w:val="14"/>
          <w:b w:val="1"/>
          <w:bCs w:val="1"/>
          <w:color w:val="auto"/>
        </w:rPr>
        <w:t>PURSUANT TO SECTION 13 OR 15(d) OF THE SECURITIES EXCHANGE ACT</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4"/>
          <w:szCs w:val="14"/>
          <w:color w:val="auto"/>
        </w:rPr>
        <w:t>February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2042160</wp:posOffset>
            </wp:positionH>
            <wp:positionV relativeFrom="paragraph">
              <wp:posOffset>77470</wp:posOffset>
            </wp:positionV>
            <wp:extent cx="28803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WILLSCOT MOBILE MINI HOLDINGS CORP.</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40"/>
          </w:cols>
          <w:pgMar w:left="460" w:top="1436" w:right="499" w:bottom="1440" w:gutter="0" w:footer="0" w:header="0"/>
        </w:sectPr>
      </w:pPr>
    </w:p>
    <w:p>
      <w:pPr>
        <w:spacing w:after="0" w:line="272" w:lineRule="exact"/>
        <w:rPr>
          <w:sz w:val="24"/>
          <w:szCs w:val="24"/>
          <w:color w:val="auto"/>
        </w:rPr>
      </w:pPr>
    </w:p>
    <w:p>
      <w:pPr>
        <w:jc w:val="center"/>
        <w:ind w:left="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jc w:val="center"/>
        <w:ind w:right="1320"/>
        <w:spacing w:after="0"/>
        <w:rPr>
          <w:sz w:val="20"/>
          <w:szCs w:val="20"/>
          <w:color w:val="auto"/>
        </w:rPr>
      </w:pPr>
      <w:r>
        <w:rPr>
          <w:rFonts w:ascii="Arial" w:cs="Arial" w:eastAsia="Arial" w:hAnsi="Arial"/>
          <w:sz w:val="15"/>
          <w:szCs w:val="15"/>
          <w:b w:val="1"/>
          <w:bCs w:val="1"/>
          <w:color w:val="auto"/>
        </w:rPr>
        <w:t>001-37552</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82-3430194</w:t>
      </w:r>
    </w:p>
    <w:p>
      <w:pPr>
        <w:spacing w:after="0" w:line="86" w:lineRule="exact"/>
        <w:rPr>
          <w:sz w:val="24"/>
          <w:szCs w:val="24"/>
          <w:color w:val="auto"/>
        </w:rPr>
      </w:pPr>
    </w:p>
    <w:p>
      <w:pPr>
        <w:sectPr>
          <w:pgSz w:w="11900" w:h="16838" w:orient="portrait"/>
          <w:cols w:equalWidth="0" w:num="3">
            <w:col w:w="4520" w:space="720"/>
            <w:col w:w="2060" w:space="720"/>
            <w:col w:w="2920"/>
          </w:cols>
          <w:pgMar w:left="460" w:top="1436" w:right="499" w:bottom="1440" w:gutter="0" w:footer="0" w:header="0"/>
          <w:type w:val="continuous"/>
        </w:sectPr>
      </w:pPr>
    </w:p>
    <w:p>
      <w:pPr>
        <w:ind w:left="122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93" w:lineRule="exact"/>
        <w:rPr>
          <w:sz w:val="24"/>
          <w:szCs w:val="24"/>
          <w:color w:val="auto"/>
        </w:rPr>
      </w:pPr>
    </w:p>
    <w:p>
      <w:pPr>
        <w:sectPr>
          <w:pgSz w:w="11900" w:h="16838" w:orient="portrait"/>
          <w:cols w:equalWidth="0" w:num="3">
            <w:col w:w="4120" w:space="580"/>
            <w:col w:w="1820" w:space="720"/>
            <w:col w:w="3700"/>
          </w:cols>
          <w:pgMar w:left="460" w:top="1436" w:right="49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4646 E Van Buren St., Suite 400</w:t>
      </w:r>
    </w:p>
    <w:p>
      <w:pPr>
        <w:jc w:val="center"/>
        <w:ind w:right="-39"/>
        <w:spacing w:after="0"/>
        <w:rPr>
          <w:sz w:val="20"/>
          <w:szCs w:val="20"/>
          <w:color w:val="auto"/>
        </w:rPr>
      </w:pPr>
      <w:r>
        <w:rPr>
          <w:rFonts w:ascii="Arial" w:cs="Arial" w:eastAsia="Arial" w:hAnsi="Arial"/>
          <w:sz w:val="14"/>
          <w:szCs w:val="14"/>
          <w:b w:val="1"/>
          <w:bCs w:val="1"/>
          <w:color w:val="auto"/>
        </w:rPr>
        <w:t>Phoenix, Arizona 85008</w:t>
      </w:r>
    </w:p>
    <w:p>
      <w:pPr>
        <w:sectPr>
          <w:pgSz w:w="11900" w:h="16838" w:orient="portrait"/>
          <w:cols w:equalWidth="0" w:num="1">
            <w:col w:w="10940"/>
          </w:cols>
          <w:pgMar w:left="460" w:top="1436" w:right="499" w:bottom="1440" w:gutter="0" w:footer="0" w:header="0"/>
          <w:type w:val="continuous"/>
        </w:sectPr>
      </w:pP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of principal executive offices)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(480) 894-6311</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4" w:lineRule="exact"/>
        <w:rPr>
          <w:sz w:val="24"/>
          <w:szCs w:val="24"/>
          <w:color w:val="auto"/>
        </w:rPr>
      </w:pPr>
    </w:p>
    <w:p>
      <w:pPr>
        <w:ind w:left="840" w:hanging="238"/>
        <w:spacing w:after="0"/>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30" w:lineRule="exact"/>
        <w:rPr>
          <w:rFonts w:ascii="MS PGothic" w:cs="MS PGothic" w:eastAsia="MS PGothic" w:hAnsi="MS PGothic"/>
          <w:sz w:val="20"/>
          <w:szCs w:val="20"/>
          <w:color w:val="auto"/>
        </w:rPr>
      </w:pPr>
    </w:p>
    <w:p>
      <w:pPr>
        <w:ind w:left="840" w:hanging="238"/>
        <w:spacing w:after="0" w:line="205"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14"/>
          <w:szCs w:val="14"/>
          <w:color w:val="auto"/>
        </w:rPr>
        <w:t>Soliciting material pursuant to Rule 14a-12 under the Exchange Act (17 CFR 240.14a-12)</w:t>
      </w:r>
    </w:p>
    <w:p>
      <w:pPr>
        <w:spacing w:after="0" w:line="38" w:lineRule="exact"/>
        <w:rPr>
          <w:rFonts w:ascii="MS PGothic" w:cs="MS PGothic" w:eastAsia="MS PGothic" w:hAnsi="MS PGothic"/>
          <w:sz w:val="20"/>
          <w:szCs w:val="20"/>
          <w:color w:val="auto"/>
        </w:rPr>
      </w:pPr>
    </w:p>
    <w:p>
      <w:pPr>
        <w:ind w:left="840" w:hanging="238"/>
        <w:spacing w:after="0" w:line="211"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38" w:lineRule="exact"/>
        <w:rPr>
          <w:rFonts w:ascii="MS PGothic" w:cs="MS PGothic" w:eastAsia="MS PGothic" w:hAnsi="MS PGothic"/>
          <w:sz w:val="20"/>
          <w:szCs w:val="20"/>
          <w:color w:val="auto"/>
        </w:rPr>
      </w:pPr>
    </w:p>
    <w:p>
      <w:pPr>
        <w:ind w:left="840" w:hanging="238"/>
        <w:spacing w:after="0" w:line="211"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14"/>
          <w:szCs w:val="14"/>
          <w:color w:val="auto"/>
        </w:rPr>
        <w:t>Pre commencement communications pursuant to Rule 13e-4(c) under the Exchange Act (17 CFR 240.13e-4(c))</w:t>
      </w:r>
    </w:p>
    <w:p>
      <w:pPr>
        <w:spacing w:after="0" w:line="200" w:lineRule="exact"/>
        <w:rPr>
          <w:sz w:val="24"/>
          <w:szCs w:val="24"/>
          <w:color w:val="auto"/>
        </w:rPr>
      </w:pPr>
    </w:p>
    <w:p>
      <w:pPr>
        <w:spacing w:after="0" w:line="209" w:lineRule="exact"/>
        <w:rPr>
          <w:sz w:val="24"/>
          <w:szCs w:val="24"/>
          <w:color w:val="auto"/>
        </w:rPr>
      </w:pPr>
    </w:p>
    <w:tbl>
      <w:tblPr>
        <w:tblLayout w:type="fixed"/>
        <w:tblInd w:w="160" w:type="dxa"/>
        <w:tblCellMar>
          <w:top w:w="0" w:type="dxa"/>
          <w:left w:w="0" w:type="dxa"/>
          <w:bottom w:w="0" w:type="dxa"/>
          <w:right w:w="0" w:type="dxa"/>
        </w:tblCellMar>
      </w:tblPr>
      <w:tr>
        <w:trPr>
          <w:trHeight w:val="172"/>
        </w:trPr>
        <w:tc>
          <w:tcPr>
            <w:tcW w:w="4080" w:type="dxa"/>
            <w:vAlign w:val="bottom"/>
            <w:gridSpan w:val="3"/>
          </w:tcPr>
          <w:p>
            <w:pPr>
              <w:jc w:val="center"/>
              <w:ind w:right="420"/>
              <w:spacing w:after="0"/>
              <w:rPr>
                <w:sz w:val="20"/>
                <w:szCs w:val="20"/>
                <w:color w:val="auto"/>
              </w:rPr>
            </w:pPr>
            <w:r>
              <w:rPr>
                <w:rFonts w:ascii="Arial" w:cs="Arial" w:eastAsia="Arial" w:hAnsi="Arial"/>
                <w:sz w:val="14"/>
                <w:szCs w:val="14"/>
                <w:color w:val="auto"/>
              </w:rPr>
              <w:t>Securities registered pursuant to Section 12(b) of the Act:</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363"/>
        </w:trPr>
        <w:tc>
          <w:tcPr>
            <w:tcW w:w="12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20" w:type="dxa"/>
            <w:vAlign w:val="bottom"/>
          </w:tcPr>
          <w:p>
            <w:pPr>
              <w:spacing w:after="0"/>
              <w:rPr>
                <w:sz w:val="24"/>
                <w:szCs w:val="24"/>
                <w:color w:val="auto"/>
              </w:rPr>
            </w:pPr>
          </w:p>
        </w:tc>
        <w:tc>
          <w:tcPr>
            <w:tcW w:w="2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Trading Symbol(s)</w:t>
            </w:r>
          </w:p>
        </w:tc>
        <w:tc>
          <w:tcPr>
            <w:tcW w:w="3600" w:type="dxa"/>
            <w:vAlign w:val="bottom"/>
          </w:tcPr>
          <w:p>
            <w:pPr>
              <w:jc w:val="center"/>
              <w:ind w:left="487"/>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080" w:type="dxa"/>
            <w:vAlign w:val="bottom"/>
            <w:gridSpan w:val="3"/>
          </w:tcPr>
          <w:p>
            <w:pPr>
              <w:jc w:val="center"/>
              <w:ind w:right="420"/>
              <w:spacing w:after="0"/>
              <w:rPr>
                <w:sz w:val="20"/>
                <w:szCs w:val="20"/>
                <w:color w:val="auto"/>
              </w:rPr>
            </w:pPr>
            <w:r>
              <w:rPr>
                <w:rFonts w:ascii="Arial" w:cs="Arial" w:eastAsia="Arial" w:hAnsi="Arial"/>
                <w:sz w:val="15"/>
                <w:szCs w:val="15"/>
                <w:color w:val="auto"/>
              </w:rPr>
              <w:t>Common stock, par value $0.0001 per share</w:t>
            </w:r>
          </w:p>
        </w:tc>
        <w:tc>
          <w:tcPr>
            <w:tcW w:w="88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WSC</w:t>
            </w:r>
          </w:p>
        </w:tc>
        <w:tc>
          <w:tcPr>
            <w:tcW w:w="1020" w:type="dxa"/>
            <w:vAlign w:val="bottom"/>
          </w:tcPr>
          <w:p>
            <w:pPr>
              <w:spacing w:after="0"/>
              <w:rPr>
                <w:sz w:val="17"/>
                <w:szCs w:val="17"/>
                <w:color w:val="auto"/>
              </w:rPr>
            </w:pPr>
          </w:p>
        </w:tc>
        <w:tc>
          <w:tcPr>
            <w:tcW w:w="3600" w:type="dxa"/>
            <w:vAlign w:val="bottom"/>
          </w:tcPr>
          <w:p>
            <w:pPr>
              <w:jc w:val="center"/>
              <w:ind w:left="507"/>
              <w:spacing w:after="0"/>
              <w:rPr>
                <w:sz w:val="20"/>
                <w:szCs w:val="20"/>
                <w:color w:val="auto"/>
              </w:rPr>
            </w:pPr>
            <w:r>
              <w:rPr>
                <w:rFonts w:ascii="Arial" w:cs="Arial" w:eastAsia="Arial" w:hAnsi="Arial"/>
                <w:sz w:val="14"/>
                <w:szCs w:val="14"/>
                <w:color w:val="auto"/>
              </w:rPr>
              <w:t>The Nasdaq Capital Markets</w:t>
            </w:r>
          </w:p>
        </w:tc>
      </w:tr>
      <w:tr>
        <w:trPr>
          <w:trHeight w:val="307"/>
        </w:trPr>
        <w:tc>
          <w:tcPr>
            <w:tcW w:w="4080" w:type="dxa"/>
            <w:vAlign w:val="bottom"/>
            <w:gridSpan w:val="3"/>
          </w:tcPr>
          <w:p>
            <w:pPr>
              <w:jc w:val="center"/>
              <w:ind w:right="400"/>
              <w:spacing w:after="0"/>
              <w:rPr>
                <w:sz w:val="20"/>
                <w:szCs w:val="20"/>
                <w:color w:val="auto"/>
              </w:rPr>
            </w:pPr>
            <w:r>
              <w:rPr>
                <w:rFonts w:ascii="Arial" w:cs="Arial" w:eastAsia="Arial" w:hAnsi="Arial"/>
                <w:sz w:val="15"/>
                <w:szCs w:val="15"/>
                <w:color w:val="auto"/>
              </w:rPr>
              <w:t>Warrants to purchase common stock</w:t>
            </w:r>
            <w:r>
              <w:rPr>
                <w:rFonts w:ascii="Arial" w:cs="Arial" w:eastAsia="Arial" w:hAnsi="Arial"/>
                <w:sz w:val="19"/>
                <w:szCs w:val="19"/>
                <w:color w:val="auto"/>
                <w:vertAlign w:val="superscript"/>
              </w:rPr>
              <w:t>(1)</w:t>
            </w:r>
          </w:p>
        </w:tc>
        <w:tc>
          <w:tcPr>
            <w:tcW w:w="2260" w:type="dxa"/>
            <w:vAlign w:val="bottom"/>
            <w:gridSpan w:val="3"/>
          </w:tcPr>
          <w:p>
            <w:pPr>
              <w:jc w:val="center"/>
              <w:ind w:right="140"/>
              <w:spacing w:after="0"/>
              <w:rPr>
                <w:sz w:val="20"/>
                <w:szCs w:val="20"/>
                <w:color w:val="auto"/>
              </w:rPr>
            </w:pPr>
            <w:r>
              <w:rPr>
                <w:rFonts w:ascii="Arial" w:cs="Arial" w:eastAsia="Arial" w:hAnsi="Arial"/>
                <w:sz w:val="15"/>
                <w:szCs w:val="15"/>
                <w:color w:val="auto"/>
              </w:rPr>
              <w:t>WSCTW</w:t>
            </w:r>
          </w:p>
        </w:tc>
        <w:tc>
          <w:tcPr>
            <w:tcW w:w="3600" w:type="dxa"/>
            <w:vAlign w:val="bottom"/>
          </w:tcPr>
          <w:p>
            <w:pPr>
              <w:jc w:val="center"/>
              <w:ind w:left="487"/>
              <w:spacing w:after="0"/>
              <w:rPr>
                <w:sz w:val="20"/>
                <w:szCs w:val="20"/>
                <w:color w:val="auto"/>
              </w:rPr>
            </w:pPr>
            <w:r>
              <w:rPr>
                <w:rFonts w:ascii="Arial" w:cs="Arial" w:eastAsia="Arial" w:hAnsi="Arial"/>
                <w:sz w:val="15"/>
                <w:szCs w:val="15"/>
                <w:color w:val="auto"/>
              </w:rPr>
              <w:t>OTC Markets Group Inc.</w:t>
            </w:r>
          </w:p>
        </w:tc>
      </w:tr>
    </w:tbl>
    <w:p>
      <w:pPr>
        <w:spacing w:after="0" w:line="302" w:lineRule="exact"/>
        <w:rPr>
          <w:sz w:val="24"/>
          <w:szCs w:val="24"/>
          <w:color w:val="auto"/>
        </w:rPr>
      </w:pPr>
    </w:p>
    <w:p>
      <w:pPr>
        <w:ind w:right="20" w:firstLine="2"/>
        <w:spacing w:after="0" w:line="209" w:lineRule="auto"/>
        <w:tabs>
          <w:tab w:leader="none" w:pos="152" w:val="left"/>
        </w:tabs>
        <w:numPr>
          <w:ilvl w:val="0"/>
          <w:numId w:val="2"/>
        </w:numPr>
        <w:rPr>
          <w:rFonts w:ascii="Arial" w:cs="Arial" w:eastAsia="Arial" w:hAnsi="Arial"/>
          <w:sz w:val="18"/>
          <w:szCs w:val="18"/>
          <w:color w:val="auto"/>
          <w:vertAlign w:val="superscript"/>
        </w:rPr>
      </w:pPr>
      <w:r>
        <w:rPr>
          <w:rFonts w:ascii="Arial" w:cs="Arial" w:eastAsia="Arial" w:hAnsi="Arial"/>
          <w:sz w:val="12"/>
          <w:szCs w:val="12"/>
          <w:color w:val="auto"/>
        </w:rPr>
        <w:t>Issued in connection with the registrant’s acquisition of Modular Space Holdings, Inc. in August 2018, which are exercisable for one share of the registrant’s common stock at an exercise price of $15.50 per share.</w:t>
      </w:r>
    </w:p>
    <w:p>
      <w:pPr>
        <w:spacing w:after="0" w:line="304" w:lineRule="exact"/>
        <w:rPr>
          <w:sz w:val="24"/>
          <w:szCs w:val="24"/>
          <w:color w:val="auto"/>
        </w:rPr>
      </w:pPr>
    </w:p>
    <w:p>
      <w:pPr>
        <w:ind w:right="60"/>
        <w:spacing w:after="0" w:line="23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7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201930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1436" w:right="499" w:bottom="1440" w:gutter="0" w:footer="0" w:header="0"/>
          <w:type w:val="continuous"/>
        </w:sectPr>
      </w:pPr>
    </w:p>
    <w:bookmarkStart w:id="1" w:name="page2"/>
    <w:bookmarkEnd w:id="1"/>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2.02</w:t>
        <w:tab/>
        <w:t>Results of Operations and Financial Condition.</w:t>
      </w:r>
    </w:p>
    <w:p>
      <w:pPr>
        <w:spacing w:after="0" w:line="262"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On February 24, 2022, WillScot Mobile Mini Holdings Corp. issued a press release announcing financial results for the fourth quarter ended December 31, 2021, a copy of which is attached as Exhibit 99.1.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information in this Item 2.02 and Exhibit 99.1 attached hereto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filing.</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4"/>
          <w:szCs w:val="14"/>
          <w:b w:val="1"/>
          <w:bCs w:val="1"/>
          <w:color w:val="auto"/>
        </w:rPr>
        <w:t>Item 9.01</w:t>
        <w:tab/>
        <w:t>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 Exhibits</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Exhibit No.</w:t>
        <w:tab/>
        <w:t>Exhibit Description</w:t>
      </w:r>
    </w:p>
    <w:p>
      <w:pPr>
        <w:spacing w:after="0" w:line="276" w:lineRule="exact"/>
        <w:rPr>
          <w:sz w:val="20"/>
          <w:szCs w:val="20"/>
          <w:color w:val="auto"/>
        </w:rPr>
      </w:pPr>
    </w:p>
    <w:p>
      <w:pPr>
        <w:ind w:left="840"/>
        <w:spacing w:after="0"/>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99.1</w:t>
      </w:r>
      <w:r>
        <w:rPr>
          <w:sz w:val="20"/>
          <w:szCs w:val="20"/>
          <w:color w:val="auto"/>
        </w:rPr>
        <w:tab/>
      </w:r>
      <w:hyperlink w:anchor="page4">
        <w:r>
          <w:rPr>
            <w:rFonts w:ascii="Arial" w:cs="Arial" w:eastAsia="Arial" w:hAnsi="Arial"/>
            <w:sz w:val="14"/>
            <w:szCs w:val="14"/>
            <w:u w:val="single" w:color="auto"/>
            <w:color w:val="0000FF"/>
          </w:rPr>
          <w:t>Press Release, dated February 24, 2022, announcing financial results for the fourth quarter ended December 31, 2021</w:t>
        </w:r>
      </w:hyperlink>
    </w:p>
    <w:p>
      <w:pPr>
        <w:spacing w:after="0" w:line="1"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4"/>
          <w:szCs w:val="14"/>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824865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440" w:right="4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4"/>
          <w:szCs w:val="14"/>
          <w:b w:val="1"/>
          <w:bCs w:val="1"/>
          <w:color w:val="auto"/>
        </w:rPr>
        <w:t>SIGNATURE</w:t>
      </w:r>
    </w:p>
    <w:p>
      <w:pPr>
        <w:spacing w:after="0" w:line="262"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WillScot Mobile Mini Holdings Corp.</w:t>
      </w:r>
    </w:p>
    <w:p>
      <w:pPr>
        <w:spacing w:after="0" w:line="29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J. MINER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19050</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3" w:lineRule="exact"/>
        <w:rPr>
          <w:sz w:val="20"/>
          <w:szCs w:val="20"/>
          <w:color w:val="auto"/>
        </w:rPr>
      </w:pPr>
    </w:p>
    <w:p>
      <w:pPr>
        <w:spacing w:after="0"/>
        <w:tabs>
          <w:tab w:leader="none" w:pos="760" w:val="left"/>
          <w:tab w:leader="none" w:pos="57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February 24, 2022</w:t>
      </w:r>
      <w:r>
        <w:rPr>
          <w:sz w:val="20"/>
          <w:szCs w:val="20"/>
          <w:color w:val="auto"/>
        </w:rPr>
        <w:tab/>
      </w:r>
      <w:r>
        <w:rPr>
          <w:rFonts w:ascii="Arial" w:cs="Arial" w:eastAsia="Arial" w:hAnsi="Arial"/>
          <w:sz w:val="16"/>
          <w:szCs w:val="16"/>
          <w:color w:val="auto"/>
        </w:rPr>
        <w:t>Christopher J. Miner</w:t>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Executive Vice President &amp; Chief Legal Officer</w:t>
      </w:r>
    </w:p>
    <w:p>
      <w:pPr>
        <w:sectPr>
          <w:pgSz w:w="11900" w:h="16838" w:orient="portrait"/>
          <w:cols w:equalWidth="0" w:num="1">
            <w:col w:w="11000"/>
          </w:cols>
          <w:pgMar w:left="340" w:top="1247" w:right="559" w:bottom="1440" w:gutter="0" w:footer="0" w:header="0"/>
        </w:sectPr>
      </w:pPr>
    </w:p>
    <w:bookmarkStart w:id="3" w:name="page4"/>
    <w:bookmarkEnd w:id="3"/>
    <w:p>
      <w:pPr>
        <w:jc w:val="center"/>
        <w:ind w:left="340" w:right="200"/>
        <w:spacing w:after="0" w:line="288" w:lineRule="auto"/>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t>WILLSCOT MOBILE MINI HOLDINGS REPORTS FOURTH QUARTER AND FULL YEAR 2021 RESULTS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Momentum, Organic Reinvestment, and M&amp;A Support 2022 Outlook And Long-Term Growth Opportunities</w:t>
      </w:r>
    </w:p>
    <w:p>
      <w:pPr>
        <w:spacing w:after="0" w:line="28" w:lineRule="exact"/>
        <w:rPr>
          <w:sz w:val="20"/>
          <w:szCs w:val="20"/>
          <w:color w:val="auto"/>
        </w:rPr>
      </w:pPr>
    </w:p>
    <w:p>
      <w:pPr>
        <w:jc w:val="both"/>
        <w:ind w:right="20"/>
        <w:spacing w:after="0" w:line="215" w:lineRule="auto"/>
        <w:rPr>
          <w:sz w:val="20"/>
          <w:szCs w:val="20"/>
          <w:color w:val="auto"/>
        </w:rPr>
      </w:pPr>
      <w:r>
        <w:rPr>
          <w:rFonts w:ascii="Arial" w:cs="Arial" w:eastAsia="Arial" w:hAnsi="Arial"/>
          <w:sz w:val="20"/>
          <w:szCs w:val="20"/>
          <w:b w:val="1"/>
          <w:bCs w:val="1"/>
          <w:color w:val="auto"/>
        </w:rPr>
        <w:t xml:space="preserve">PHOENIX (February 24, 2022) </w:t>
      </w:r>
      <w:r>
        <w:rPr>
          <w:rFonts w:ascii="Arial" w:cs="Arial" w:eastAsia="Arial" w:hAnsi="Arial"/>
          <w:sz w:val="16"/>
          <w:szCs w:val="16"/>
          <w:color w:val="auto"/>
        </w:rPr>
        <w:t>- WillScot Mobile Mini Holdings Corp. (“WillScot Mobile Mini Holdings” or the “Company”) (Nasdaq: WSC), the North</w:t>
      </w:r>
      <w:r>
        <w:rPr>
          <w:rFonts w:ascii="Arial" w:cs="Arial" w:eastAsia="Arial" w:hAnsi="Arial"/>
          <w:sz w:val="20"/>
          <w:szCs w:val="20"/>
          <w:b w:val="1"/>
          <w:bCs w:val="1"/>
          <w:color w:val="auto"/>
        </w:rPr>
        <w:t xml:space="preserve"> </w:t>
      </w:r>
      <w:r>
        <w:rPr>
          <w:rFonts w:ascii="Arial" w:cs="Arial" w:eastAsia="Arial" w:hAnsi="Arial"/>
          <w:sz w:val="16"/>
          <w:szCs w:val="16"/>
          <w:color w:val="auto"/>
        </w:rPr>
        <w:t>American leader in innovative flexible work space and portable storage solutions, today announced fourth quarter and full year 2021 results and provided an update on operations and the current market environment, including the following highlights:</w:t>
      </w:r>
    </w:p>
    <w:p>
      <w:pPr>
        <w:spacing w:after="0" w:line="225" w:lineRule="exact"/>
        <w:rPr>
          <w:sz w:val="20"/>
          <w:szCs w:val="20"/>
          <w:color w:val="auto"/>
        </w:rPr>
      </w:pPr>
    </w:p>
    <w:p>
      <w:pPr>
        <w:jc w:val="both"/>
        <w:ind w:left="660" w:hanging="328"/>
        <w:spacing w:after="0" w:line="228" w:lineRule="auto"/>
        <w:tabs>
          <w:tab w:leader="none" w:pos="649"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color w:val="auto"/>
        </w:rPr>
        <w:t>Continued execution and commercial momentum in all operating segments resulted in fourth quarter revenue of $518 million, net income of $74 million, and Adjusted EBITDA of $211 million; full year 2021 revenue of $1,895 million, net income of $160 million, and Adjusted EBITDA of $740 million.</w:t>
      </w:r>
    </w:p>
    <w:p>
      <w:pPr>
        <w:spacing w:after="0" w:line="2" w:lineRule="exact"/>
        <w:rPr>
          <w:rFonts w:ascii="Arial" w:cs="Arial" w:eastAsia="Arial" w:hAnsi="Arial"/>
          <w:sz w:val="16"/>
          <w:szCs w:val="16"/>
          <w:b w:val="1"/>
          <w:bCs w:val="1"/>
          <w:i w:val="1"/>
          <w:iCs w:val="1"/>
          <w:color w:val="auto"/>
        </w:rPr>
      </w:pPr>
    </w:p>
    <w:p>
      <w:pPr>
        <w:ind w:left="640" w:hanging="308"/>
        <w:spacing w:after="0" w:line="228" w:lineRule="auto"/>
        <w:tabs>
          <w:tab w:leader="none" w:pos="6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Invested $147 million in and fully integrated seven acquisitions in second half of 2021.</w:t>
      </w:r>
    </w:p>
    <w:p>
      <w:pPr>
        <w:ind w:left="640" w:hanging="308"/>
        <w:spacing w:after="0" w:line="228"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Generated $303 million Free Cash Flow and Free Cash Flow Margin of 16.0% in 2021, while reinvesting for growth.</w:t>
      </w:r>
    </w:p>
    <w:p>
      <w:pPr>
        <w:ind w:left="660" w:hanging="328"/>
        <w:spacing w:after="0" w:line="197" w:lineRule="auto"/>
        <w:tabs>
          <w:tab w:leader="none" w:pos="649"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Returned $364 million to shareholders by repurchasing 12.9 million shares and stock equivalents in 2021, or 4% of economic share count as of December 31</w:t>
      </w:r>
      <w:r>
        <w:rPr>
          <w:rFonts w:ascii="Arial" w:cs="Arial" w:eastAsia="Arial" w:hAnsi="Arial"/>
          <w:sz w:val="21"/>
          <w:szCs w:val="21"/>
          <w:color w:val="auto"/>
          <w:vertAlign w:val="superscript"/>
        </w:rPr>
        <w:t>st</w:t>
      </w:r>
      <w:r>
        <w:rPr>
          <w:rFonts w:ascii="Arial" w:cs="Arial" w:eastAsia="Arial" w:hAnsi="Arial"/>
          <w:sz w:val="16"/>
          <w:szCs w:val="16"/>
          <w:color w:val="auto"/>
        </w:rPr>
        <w:t>, 2020</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 w:lineRule="exact"/>
        <w:rPr>
          <w:rFonts w:ascii="Arial" w:cs="Arial" w:eastAsia="Arial" w:hAnsi="Arial"/>
          <w:sz w:val="16"/>
          <w:szCs w:val="16"/>
          <w:b w:val="1"/>
          <w:bCs w:val="1"/>
          <w:color w:val="auto"/>
        </w:rPr>
      </w:pPr>
    </w:p>
    <w:p>
      <w:pPr>
        <w:ind w:left="660" w:hanging="328"/>
        <w:spacing w:after="0" w:line="24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Reaffirmed full-year 2022 outlook of $810 million to $850 million Adjusted EBITDA, reflecting robust demand across all end markets, representing 10% to 15% growth versus 2021.</w:t>
      </w:r>
    </w:p>
    <w:p>
      <w:pPr>
        <w:spacing w:after="0" w:line="223"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Brad Soultz, Chief Executive Officer of WillScot Mobile Mini Holdings, commented "Our team’s results and achievements in 2021 underscore our unique position; we operate in a category of one; we are extending our market leadership position by executing idiosyncratic growth initiatives that are within our control; and we are compounding that growth with smart M&amp;A. Given the trajectory upon which we exited 2021 and supportive end markets, I am confident that 2022 will be no less exciting for our business. We had a fantastic year, I want to thank the entire team for their hard work and dedication, and I'm excited for the opportunities ahead of us."</w:t>
      </w:r>
    </w:p>
    <w:p>
      <w:pPr>
        <w:spacing w:after="0" w:line="227"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Soultz continued, "While we are relentless in our focus on the future, I would be remiss in not pointing out a few significant milestones the team achieved in 2021. Our organic operational and financial momentum built steadily through the course of the year, driving over $300 million of free cash flow. Predictable free cash flow coupled with our accelerating run-rate gave us full optionality to reinvest organically, cultivate our acquisition pipeline, and repurchase our stock, all of which are driving sustainable growth, returns, and shareholder value creation. We successfully migrated the legacy WillScot business onto Mobile Mini's SAP platform - a herculean task that resulted in minimal disruption and evidences the consistent execution capabilities of our team. We further expanded our best-in-class team, adding expertise in operations, marketing, data analytics, and M&amp;A. We closed seven tuck-in acquisitions in the second half of 2021, adding 15,700 storage units, 5,800 modular units, and over 100 new team members to our market-leading organization. We repurchased 4% of our economic share count relative to the end of 2020, and view repurchases as a powerful long-term value creation lever for our shareholders. We introduced our ESG program and key focus areas. And we held our inaugural Investor Day to share our growth strategy for the next five years."</w:t>
      </w:r>
    </w:p>
    <w:p>
      <w:pPr>
        <w:spacing w:after="0" w:line="229" w:lineRule="exact"/>
        <w:rPr>
          <w:sz w:val="20"/>
          <w:szCs w:val="20"/>
          <w:color w:val="auto"/>
        </w:rPr>
      </w:pPr>
    </w:p>
    <w:p>
      <w:pPr>
        <w:jc w:val="both"/>
        <w:ind w:right="40"/>
        <w:spacing w:after="0" w:line="228" w:lineRule="auto"/>
        <w:rPr>
          <w:sz w:val="20"/>
          <w:szCs w:val="20"/>
          <w:color w:val="auto"/>
        </w:rPr>
      </w:pPr>
      <w:r>
        <w:rPr>
          <w:rFonts w:ascii="Arial" w:cs="Arial" w:eastAsia="Arial" w:hAnsi="Arial"/>
          <w:sz w:val="16"/>
          <w:szCs w:val="16"/>
          <w:color w:val="auto"/>
        </w:rPr>
        <w:t>“Going forward, we will remain laser focused on continuing the commercial momentum in our business. We are rolling out our VAPS offering for Storage and continue to expand our VAPS offering for Modular. We are driving rate optimization and have tangible opportunities to extend our customer value proposition through market penetration and M&amp;A. We will continue to execute the integration and realization of cost synergies associated with our prior acquisitions.</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Operationally, we are investing in our human capital at all levels in the organization to support our growth aspirations with a specific focus on career development and our diversity and inclusion initiatives. And we are continuing to invest in technology by harmonizing our customer relationship management systems, which will support all of our commercial initiatives. As characterized at our Investor Day, it is not a matter of if we achieve the $1B Adjusted EBITDA milestone, rather when and by how far we eclipse it."</w:t>
      </w:r>
    </w:p>
    <w:p>
      <w:pPr>
        <w:sectPr>
          <w:pgSz w:w="11900" w:h="16838" w:orient="portrait"/>
          <w:cols w:equalWidth="0" w:num="1">
            <w:col w:w="11240"/>
          </w:cols>
          <w:pgMar w:left="320" w:top="1405" w:right="339" w:bottom="1440" w:gutter="0" w:footer="0" w:header="0"/>
        </w:sectPr>
      </w:pPr>
    </w:p>
    <w:bookmarkStart w:id="4" w:name="page5"/>
    <w:bookmarkEnd w:id="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3060" w:type="dxa"/>
            <w:vAlign w:val="bottom"/>
            <w:gridSpan w:val="3"/>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Three Months Ended December 31,</w:t>
            </w:r>
          </w:p>
        </w:tc>
        <w:tc>
          <w:tcPr>
            <w:tcW w:w="320" w:type="dxa"/>
            <w:vAlign w:val="bottom"/>
            <w:shd w:val="clear" w:color="auto" w:fill="1D2758"/>
          </w:tcPr>
          <w:p>
            <w:pPr>
              <w:spacing w:after="0"/>
              <w:rPr>
                <w:sz w:val="18"/>
                <w:szCs w:val="18"/>
                <w:color w:val="auto"/>
              </w:rPr>
            </w:pPr>
          </w:p>
        </w:tc>
        <w:tc>
          <w:tcPr>
            <w:tcW w:w="2900" w:type="dxa"/>
            <w:vAlign w:val="bottom"/>
            <w:gridSpan w:val="3"/>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4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8"/>
                <w:szCs w:val="18"/>
                <w:color w:val="auto"/>
              </w:rPr>
            </w:pPr>
          </w:p>
        </w:tc>
        <w:tc>
          <w:tcPr>
            <w:tcW w:w="140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34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32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32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517,920</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437,647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1,894,897</w:t>
            </w:r>
          </w:p>
        </w:tc>
        <w:tc>
          <w:tcPr>
            <w:tcW w:w="3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1,367,645</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Consolidated 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74,223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3,866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160,144</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75,340</w:t>
            </w:r>
          </w:p>
        </w:tc>
      </w:tr>
      <w:tr>
        <w:trPr>
          <w:trHeight w:val="219"/>
        </w:trPr>
        <w:tc>
          <w:tcPr>
            <w:tcW w:w="4780" w:type="dxa"/>
            <w:vAlign w:val="bottom"/>
            <w:shd w:val="clear" w:color="auto" w:fill="E7E7E8"/>
          </w:tcPr>
          <w:p>
            <w:pPr>
              <w:ind w:left="20"/>
              <w:spacing w:after="0" w:line="219"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211,164</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179,684</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740,393</w:t>
            </w:r>
          </w:p>
        </w:tc>
        <w:tc>
          <w:tcPr>
            <w:tcW w:w="3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530,307</w:t>
            </w: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Adjusted EBITDA Margin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40.8 %</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41.1 %</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39.1 %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38.8 %</w:t>
            </w:r>
          </w:p>
        </w:tc>
      </w:tr>
      <w:tr>
        <w:trPr>
          <w:trHeight w:val="216"/>
        </w:trPr>
        <w:tc>
          <w:tcPr>
            <w:tcW w:w="47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147,847</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129,717</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539,902</w:t>
            </w:r>
          </w:p>
        </w:tc>
        <w:tc>
          <w:tcPr>
            <w:tcW w:w="3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304,812</w:t>
            </w: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51,318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87,430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303,027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162,279</w:t>
            </w:r>
          </w:p>
        </w:tc>
      </w:tr>
      <w:tr>
        <w:trPr>
          <w:trHeight w:val="216"/>
        </w:trPr>
        <w:tc>
          <w:tcPr>
            <w:tcW w:w="4780" w:type="dxa"/>
            <w:vAlign w:val="bottom"/>
            <w:shd w:val="clear" w:color="auto" w:fill="EFEFEF"/>
          </w:tcPr>
          <w:p>
            <w:pPr>
              <w:ind w:left="20"/>
              <w:spacing w:after="0"/>
              <w:rPr>
                <w:sz w:val="20"/>
                <w:szCs w:val="20"/>
                <w:color w:val="auto"/>
              </w:rPr>
            </w:pPr>
            <w:r>
              <w:rPr>
                <w:rFonts w:ascii="Arial" w:cs="Arial" w:eastAsia="Arial" w:hAnsi="Arial"/>
                <w:sz w:val="16"/>
                <w:szCs w:val="16"/>
                <w:color w:val="auto"/>
              </w:rPr>
              <w:t>Fully Diluted Shares Outstanding</w:t>
            </w:r>
          </w:p>
        </w:tc>
        <w:tc>
          <w:tcPr>
            <w:tcW w:w="180" w:type="dxa"/>
            <w:vAlign w:val="bottom"/>
            <w:shd w:val="clear" w:color="auto" w:fill="EFEFEF"/>
          </w:tcPr>
          <w:p>
            <w:pPr>
              <w:spacing w:after="0"/>
              <w:rPr>
                <w:sz w:val="18"/>
                <w:szCs w:val="18"/>
                <w:color w:val="auto"/>
              </w:rPr>
            </w:pPr>
          </w:p>
        </w:tc>
        <w:tc>
          <w:tcPr>
            <w:tcW w:w="1400" w:type="dxa"/>
            <w:vAlign w:val="bottom"/>
            <w:shd w:val="clear" w:color="auto" w:fill="EFEFEF"/>
          </w:tcPr>
          <w:p>
            <w:pPr>
              <w:jc w:val="right"/>
              <w:ind w:right="179"/>
              <w:spacing w:after="0"/>
              <w:rPr>
                <w:sz w:val="20"/>
                <w:szCs w:val="20"/>
                <w:color w:val="auto"/>
              </w:rPr>
            </w:pPr>
            <w:r>
              <w:rPr>
                <w:rFonts w:ascii="Arial" w:cs="Arial" w:eastAsia="Arial" w:hAnsi="Arial"/>
                <w:sz w:val="16"/>
                <w:szCs w:val="16"/>
                <w:color w:val="auto"/>
              </w:rPr>
              <w:t>229,965,703</w:t>
            </w:r>
          </w:p>
        </w:tc>
        <w:tc>
          <w:tcPr>
            <w:tcW w:w="340" w:type="dxa"/>
            <w:vAlign w:val="bottom"/>
            <w:shd w:val="clear" w:color="auto" w:fill="EFEFEF"/>
          </w:tcPr>
          <w:p>
            <w:pPr>
              <w:spacing w:after="0"/>
              <w:rPr>
                <w:sz w:val="18"/>
                <w:szCs w:val="18"/>
                <w:color w:val="auto"/>
              </w:rPr>
            </w:pPr>
          </w:p>
        </w:tc>
        <w:tc>
          <w:tcPr>
            <w:tcW w:w="1320" w:type="dxa"/>
            <w:vAlign w:val="bottom"/>
            <w:shd w:val="clear" w:color="auto" w:fill="EFEFEF"/>
          </w:tcPr>
          <w:p>
            <w:pPr>
              <w:jc w:val="right"/>
              <w:ind w:right="179"/>
              <w:spacing w:after="0"/>
              <w:rPr>
                <w:sz w:val="20"/>
                <w:szCs w:val="20"/>
                <w:color w:val="auto"/>
              </w:rPr>
            </w:pPr>
            <w:r>
              <w:rPr>
                <w:rFonts w:ascii="Arial" w:cs="Arial" w:eastAsia="Arial" w:hAnsi="Arial"/>
                <w:sz w:val="16"/>
                <w:szCs w:val="16"/>
                <w:color w:val="auto"/>
              </w:rPr>
              <w:t>233,625,946</w:t>
            </w:r>
          </w:p>
        </w:tc>
        <w:tc>
          <w:tcPr>
            <w:tcW w:w="320" w:type="dxa"/>
            <w:vAlign w:val="bottom"/>
            <w:shd w:val="clear" w:color="auto" w:fill="EFEFEF"/>
          </w:tcPr>
          <w:p>
            <w:pPr>
              <w:spacing w:after="0"/>
              <w:rPr>
                <w:sz w:val="18"/>
                <w:szCs w:val="18"/>
                <w:color w:val="auto"/>
              </w:rPr>
            </w:pPr>
          </w:p>
        </w:tc>
        <w:tc>
          <w:tcPr>
            <w:tcW w:w="1320" w:type="dxa"/>
            <w:vAlign w:val="bottom"/>
            <w:shd w:val="clear" w:color="auto" w:fill="EFEFEF"/>
          </w:tcPr>
          <w:p>
            <w:pPr>
              <w:jc w:val="right"/>
              <w:ind w:right="179"/>
              <w:spacing w:after="0"/>
              <w:rPr>
                <w:sz w:val="20"/>
                <w:szCs w:val="20"/>
                <w:color w:val="auto"/>
              </w:rPr>
            </w:pPr>
            <w:r>
              <w:rPr>
                <w:rFonts w:ascii="Arial" w:cs="Arial" w:eastAsia="Arial" w:hAnsi="Arial"/>
                <w:sz w:val="16"/>
                <w:szCs w:val="16"/>
                <w:color w:val="auto"/>
              </w:rPr>
              <w:t>232,793,902</w:t>
            </w:r>
          </w:p>
        </w:tc>
        <w:tc>
          <w:tcPr>
            <w:tcW w:w="320" w:type="dxa"/>
            <w:vAlign w:val="bottom"/>
            <w:shd w:val="clear" w:color="auto" w:fill="EFEFEF"/>
          </w:tcPr>
          <w:p>
            <w:pPr>
              <w:spacing w:after="0"/>
              <w:rPr>
                <w:sz w:val="18"/>
                <w:szCs w:val="18"/>
                <w:color w:val="auto"/>
              </w:rPr>
            </w:pPr>
          </w:p>
        </w:tc>
        <w:tc>
          <w:tcPr>
            <w:tcW w:w="1260" w:type="dxa"/>
            <w:vAlign w:val="bottom"/>
            <w:shd w:val="clear" w:color="auto" w:fill="EFEFEF"/>
          </w:tcPr>
          <w:p>
            <w:pPr>
              <w:jc w:val="right"/>
              <w:ind w:right="119"/>
              <w:spacing w:after="0"/>
              <w:rPr>
                <w:sz w:val="20"/>
                <w:szCs w:val="20"/>
                <w:color w:val="auto"/>
              </w:rPr>
            </w:pPr>
            <w:r>
              <w:rPr>
                <w:rFonts w:ascii="Arial" w:cs="Arial" w:eastAsia="Arial" w:hAnsi="Arial"/>
                <w:sz w:val="16"/>
                <w:szCs w:val="16"/>
                <w:color w:val="auto"/>
              </w:rPr>
              <w:t>177,268,383</w:t>
            </w: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Free Cash Flow Margin (%)</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9.9 %</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20.0 %</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16"/>
        </w:trPr>
        <w:tc>
          <w:tcPr>
            <w:tcW w:w="4780" w:type="dxa"/>
            <w:vAlign w:val="bottom"/>
            <w:shd w:val="clear" w:color="auto" w:fill="EFEFEF"/>
          </w:tcPr>
          <w:p>
            <w:pPr>
              <w:ind w:left="20"/>
              <w:spacing w:after="0" w:line="216" w:lineRule="exact"/>
              <w:rPr>
                <w:sz w:val="20"/>
                <w:szCs w:val="20"/>
                <w:color w:val="auto"/>
              </w:rPr>
            </w:pPr>
            <w:r>
              <w:rPr>
                <w:rFonts w:ascii="Arial" w:cs="Arial" w:eastAsia="Arial" w:hAnsi="Arial"/>
                <w:sz w:val="16"/>
                <w:szCs w:val="16"/>
                <w:color w:val="auto"/>
              </w:rPr>
              <w:t>Return on Invested Capital</w:t>
            </w:r>
            <w:r>
              <w:rPr>
                <w:rFonts w:ascii="Arial" w:cs="Arial" w:eastAsia="Arial" w:hAnsi="Arial"/>
                <w:sz w:val="21"/>
                <w:szCs w:val="21"/>
                <w:color w:val="auto"/>
                <w:vertAlign w:val="superscript"/>
              </w:rPr>
              <w:t>2</w:t>
            </w:r>
          </w:p>
        </w:tc>
        <w:tc>
          <w:tcPr>
            <w:tcW w:w="180" w:type="dxa"/>
            <w:vAlign w:val="bottom"/>
            <w:shd w:val="clear" w:color="auto" w:fill="EFEFEF"/>
          </w:tcPr>
          <w:p>
            <w:pPr>
              <w:spacing w:after="0"/>
              <w:rPr>
                <w:sz w:val="18"/>
                <w:szCs w:val="18"/>
                <w:color w:val="auto"/>
              </w:rPr>
            </w:pPr>
          </w:p>
        </w:tc>
        <w:tc>
          <w:tcPr>
            <w:tcW w:w="1400" w:type="dxa"/>
            <w:vAlign w:val="bottom"/>
            <w:shd w:val="clear" w:color="auto" w:fill="EFEFEF"/>
          </w:tcPr>
          <w:p>
            <w:pPr>
              <w:jc w:val="right"/>
              <w:spacing w:after="0"/>
              <w:rPr>
                <w:sz w:val="20"/>
                <w:szCs w:val="20"/>
                <w:color w:val="auto"/>
              </w:rPr>
            </w:pPr>
            <w:r>
              <w:rPr>
                <w:rFonts w:ascii="Arial" w:cs="Arial" w:eastAsia="Arial" w:hAnsi="Arial"/>
                <w:sz w:val="16"/>
                <w:szCs w:val="16"/>
                <w:color w:val="auto"/>
              </w:rPr>
              <w:t>13.7 %</w:t>
            </w:r>
          </w:p>
        </w:tc>
        <w:tc>
          <w:tcPr>
            <w:tcW w:w="340" w:type="dxa"/>
            <w:vAlign w:val="bottom"/>
            <w:shd w:val="clear" w:color="auto" w:fill="EFEFEF"/>
          </w:tcPr>
          <w:p>
            <w:pPr>
              <w:spacing w:after="0"/>
              <w:rPr>
                <w:sz w:val="18"/>
                <w:szCs w:val="18"/>
                <w:color w:val="auto"/>
              </w:rPr>
            </w:pPr>
          </w:p>
        </w:tc>
        <w:tc>
          <w:tcPr>
            <w:tcW w:w="1320" w:type="dxa"/>
            <w:vAlign w:val="bottom"/>
            <w:shd w:val="clear" w:color="auto" w:fill="EFEFEF"/>
          </w:tcPr>
          <w:p>
            <w:pPr>
              <w:jc w:val="right"/>
              <w:spacing w:after="0"/>
              <w:rPr>
                <w:sz w:val="20"/>
                <w:szCs w:val="20"/>
                <w:color w:val="auto"/>
              </w:rPr>
            </w:pPr>
            <w:r>
              <w:rPr>
                <w:rFonts w:ascii="Arial" w:cs="Arial" w:eastAsia="Arial" w:hAnsi="Arial"/>
                <w:sz w:val="16"/>
                <w:szCs w:val="16"/>
                <w:color w:val="auto"/>
              </w:rPr>
              <w:t>11.9 %</w:t>
            </w:r>
          </w:p>
        </w:tc>
        <w:tc>
          <w:tcPr>
            <w:tcW w:w="320" w:type="dxa"/>
            <w:vAlign w:val="bottom"/>
            <w:shd w:val="clear" w:color="auto" w:fill="EFEFEF"/>
          </w:tcPr>
          <w:p>
            <w:pPr>
              <w:spacing w:after="0"/>
              <w:rPr>
                <w:sz w:val="18"/>
                <w:szCs w:val="18"/>
                <w:color w:val="auto"/>
              </w:rPr>
            </w:pPr>
          </w:p>
        </w:tc>
        <w:tc>
          <w:tcPr>
            <w:tcW w:w="1320" w:type="dxa"/>
            <w:vAlign w:val="bottom"/>
            <w:shd w:val="clear" w:color="auto" w:fill="EFEFEF"/>
          </w:tcPr>
          <w:p>
            <w:pPr>
              <w:jc w:val="right"/>
              <w:spacing w:after="0"/>
              <w:rPr>
                <w:sz w:val="20"/>
                <w:szCs w:val="20"/>
                <w:color w:val="auto"/>
              </w:rPr>
            </w:pPr>
            <w:r>
              <w:rPr>
                <w:rFonts w:ascii="Arial" w:cs="Arial" w:eastAsia="Arial" w:hAnsi="Arial"/>
                <w:sz w:val="16"/>
                <w:szCs w:val="16"/>
                <w:color w:val="auto"/>
              </w:rPr>
              <w:t>11.7 %</w:t>
            </w:r>
          </w:p>
        </w:tc>
        <w:tc>
          <w:tcPr>
            <w:tcW w:w="320" w:type="dxa"/>
            <w:vAlign w:val="bottom"/>
            <w:shd w:val="clear" w:color="auto" w:fill="EFEFEF"/>
          </w:tcPr>
          <w:p>
            <w:pPr>
              <w:spacing w:after="0"/>
              <w:rPr>
                <w:sz w:val="18"/>
                <w:szCs w:val="18"/>
                <w:color w:val="auto"/>
              </w:rPr>
            </w:pPr>
          </w:p>
        </w:tc>
        <w:tc>
          <w:tcPr>
            <w:tcW w:w="1260" w:type="dxa"/>
            <w:vAlign w:val="bottom"/>
            <w:shd w:val="clear" w:color="auto" w:fill="EFEFEF"/>
          </w:tcPr>
          <w:p>
            <w:pPr>
              <w:jc w:val="right"/>
              <w:spacing w:after="0"/>
              <w:rPr>
                <w:sz w:val="20"/>
                <w:szCs w:val="20"/>
                <w:color w:val="auto"/>
              </w:rPr>
            </w:pPr>
            <w:r>
              <w:rPr>
                <w:rFonts w:ascii="Arial" w:cs="Arial" w:eastAsia="Arial" w:hAnsi="Arial"/>
                <w:sz w:val="16"/>
                <w:szCs w:val="16"/>
                <w:color w:val="auto"/>
              </w:rPr>
              <w:t>9.6 %</w:t>
            </w:r>
          </w:p>
        </w:tc>
      </w:tr>
    </w:tbl>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vMerge w:val="restart"/>
            <w:shd w:val="clear" w:color="auto" w:fill="1D2758"/>
          </w:tcPr>
          <w:p>
            <w:pPr>
              <w:spacing w:after="0"/>
              <w:rPr>
                <w:sz w:val="20"/>
                <w:szCs w:val="20"/>
                <w:color w:val="auto"/>
              </w:rPr>
            </w:pPr>
            <w:r>
              <w:rPr>
                <w:rFonts w:ascii="Arial" w:cs="Arial" w:eastAsia="Arial" w:hAnsi="Arial"/>
                <w:sz w:val="16"/>
                <w:szCs w:val="16"/>
                <w:b w:val="1"/>
                <w:bCs w:val="1"/>
                <w:i w:val="1"/>
                <w:iCs w:val="1"/>
                <w:color w:val="FFFFFF"/>
              </w:rPr>
              <w:t>Pro Forma Adjusted EBITDA</w:t>
            </w:r>
            <w:r>
              <w:rPr>
                <w:rFonts w:ascii="Arial" w:cs="Arial" w:eastAsia="Arial" w:hAnsi="Arial"/>
                <w:sz w:val="21"/>
                <w:szCs w:val="21"/>
                <w:b w:val="1"/>
                <w:bCs w:val="1"/>
                <w:i w:val="1"/>
                <w:iCs w:val="1"/>
                <w:color w:val="FFFFFF"/>
                <w:vertAlign w:val="superscript"/>
              </w:rPr>
              <w:t>2</w:t>
            </w:r>
            <w:r>
              <w:rPr>
                <w:rFonts w:ascii="Arial" w:cs="Arial" w:eastAsia="Arial" w:hAnsi="Arial"/>
                <w:sz w:val="16"/>
                <w:szCs w:val="16"/>
                <w:b w:val="1"/>
                <w:bCs w:val="1"/>
                <w:i w:val="1"/>
                <w:iCs w:val="1"/>
                <w:color w:val="FFFFFF"/>
              </w:rPr>
              <w:t xml:space="preserve"> by Segment (in thousands)</w:t>
            </w:r>
          </w:p>
        </w:tc>
        <w:tc>
          <w:tcPr>
            <w:tcW w:w="120" w:type="dxa"/>
            <w:vAlign w:val="bottom"/>
            <w:shd w:val="clear" w:color="auto" w:fill="1D2758"/>
          </w:tcPr>
          <w:p>
            <w:pPr>
              <w:spacing w:after="0"/>
              <w:rPr>
                <w:sz w:val="18"/>
                <w:szCs w:val="18"/>
                <w:color w:val="auto"/>
              </w:rPr>
            </w:pPr>
          </w:p>
        </w:tc>
        <w:tc>
          <w:tcPr>
            <w:tcW w:w="2960" w:type="dxa"/>
            <w:vAlign w:val="bottom"/>
            <w:gridSpan w:val="5"/>
            <w:shd w:val="clear" w:color="auto" w:fill="1D2758"/>
          </w:tcPr>
          <w:p>
            <w:pPr>
              <w:ind w:left="20"/>
              <w:spacing w:after="0"/>
              <w:rPr>
                <w:sz w:val="20"/>
                <w:szCs w:val="20"/>
                <w:color w:val="auto"/>
              </w:rPr>
            </w:pPr>
            <w:r>
              <w:rPr>
                <w:rFonts w:ascii="Arial" w:cs="Arial" w:eastAsia="Arial" w:hAnsi="Arial"/>
                <w:sz w:val="16"/>
                <w:szCs w:val="16"/>
                <w:b w:val="1"/>
                <w:bCs w:val="1"/>
                <w:color w:val="FFFFFF"/>
              </w:rPr>
              <w:t>Three Months Ended December 31,</w:t>
            </w:r>
          </w:p>
        </w:tc>
        <w:tc>
          <w:tcPr>
            <w:tcW w:w="300" w:type="dxa"/>
            <w:vAlign w:val="bottom"/>
            <w:shd w:val="clear" w:color="auto" w:fill="1D2758"/>
          </w:tcPr>
          <w:p>
            <w:pPr>
              <w:spacing w:after="0"/>
              <w:rPr>
                <w:sz w:val="18"/>
                <w:szCs w:val="18"/>
                <w:color w:val="auto"/>
              </w:rPr>
            </w:pPr>
          </w:p>
        </w:tc>
        <w:tc>
          <w:tcPr>
            <w:tcW w:w="2660" w:type="dxa"/>
            <w:vAlign w:val="bottom"/>
            <w:gridSpan w:val="4"/>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216"/>
        </w:trPr>
        <w:tc>
          <w:tcPr>
            <w:tcW w:w="5140" w:type="dxa"/>
            <w:vAlign w:val="bottom"/>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1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5140" w:type="dxa"/>
            <w:vAlign w:val="bottom"/>
            <w:shd w:val="clear" w:color="auto" w:fill="E7E7E8"/>
          </w:tcPr>
          <w:p>
            <w:pPr>
              <w:spacing w:after="0"/>
              <w:rPr>
                <w:sz w:val="20"/>
                <w:szCs w:val="20"/>
                <w:color w:val="auto"/>
              </w:rPr>
            </w:pPr>
            <w:r>
              <w:rPr>
                <w:rFonts w:ascii="Arial" w:cs="Arial" w:eastAsia="Arial" w:hAnsi="Arial"/>
                <w:sz w:val="16"/>
                <w:szCs w:val="16"/>
                <w:color w:val="auto"/>
              </w:rPr>
              <w:t>NA Modular</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115,263</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107,460</w:t>
            </w:r>
          </w:p>
        </w:tc>
        <w:tc>
          <w:tcPr>
            <w:tcW w:w="8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423,004</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394,805</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NA Storage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71,629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184,601</w:t>
            </w:r>
          </w:p>
        </w:tc>
        <w:tc>
          <w:tcPr>
            <w:tcW w:w="0" w:type="dxa"/>
            <w:vAlign w:val="bottom"/>
          </w:tcPr>
          <w:p>
            <w:pPr>
              <w:spacing w:after="0"/>
              <w:rPr>
                <w:sz w:val="1"/>
                <w:szCs w:val="1"/>
                <w:color w:val="auto"/>
              </w:rPr>
            </w:pPr>
          </w:p>
        </w:tc>
      </w:tr>
      <w:tr>
        <w:trPr>
          <w:trHeight w:val="219"/>
        </w:trPr>
        <w:tc>
          <w:tcPr>
            <w:tcW w:w="5140" w:type="dxa"/>
            <w:vAlign w:val="bottom"/>
            <w:shd w:val="clear" w:color="auto" w:fill="E7E7E8"/>
          </w:tcPr>
          <w:p>
            <w:pPr>
              <w:spacing w:after="0"/>
              <w:rPr>
                <w:sz w:val="20"/>
                <w:szCs w:val="20"/>
                <w:color w:val="auto"/>
              </w:rPr>
            </w:pPr>
            <w:r>
              <w:rPr>
                <w:rFonts w:ascii="Arial" w:cs="Arial" w:eastAsia="Arial" w:hAnsi="Arial"/>
                <w:sz w:val="16"/>
                <w:szCs w:val="16"/>
                <w:color w:val="auto"/>
              </w:rPr>
              <w:t>UK Storage</w:t>
            </w:r>
          </w:p>
        </w:tc>
        <w:tc>
          <w:tcPr>
            <w:tcW w:w="12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12,392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9,516</w:t>
            </w:r>
          </w:p>
        </w:tc>
        <w:tc>
          <w:tcPr>
            <w:tcW w:w="8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49,039</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31,080</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E7E7E8"/>
            </w:tcBorders>
          </w:tcPr>
          <w:p>
            <w:pPr>
              <w:spacing w:after="0"/>
              <w:rPr>
                <w:sz w:val="20"/>
                <w:szCs w:val="20"/>
                <w:color w:val="auto"/>
              </w:rPr>
            </w:pPr>
            <w:r>
              <w:rPr>
                <w:rFonts w:ascii="Arial" w:cs="Arial" w:eastAsia="Arial" w:hAnsi="Arial"/>
                <w:sz w:val="16"/>
                <w:szCs w:val="16"/>
                <w:color w:val="auto"/>
              </w:rPr>
              <w:t>Tank and Pump</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11,880</w:t>
            </w:r>
          </w:p>
        </w:tc>
        <w:tc>
          <w:tcPr>
            <w:tcW w:w="100" w:type="dxa"/>
            <w:vAlign w:val="bottom"/>
            <w:tcBorders>
              <w:bottom w:val="single" w:sz="8" w:color="E7E7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9,336</w:t>
            </w:r>
          </w:p>
        </w:tc>
        <w:tc>
          <w:tcPr>
            <w:tcW w:w="80" w:type="dxa"/>
            <w:vAlign w:val="bottom"/>
            <w:tcBorders>
              <w:bottom w:val="single" w:sz="8" w:color="E7E7E8"/>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41,750</w:t>
            </w:r>
          </w:p>
        </w:tc>
        <w:tc>
          <w:tcPr>
            <w:tcW w:w="100" w:type="dxa"/>
            <w:vAlign w:val="bottom"/>
            <w:tcBorders>
              <w:bottom w:val="single" w:sz="8" w:color="E7E7E8"/>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rPr>
              <w:t>Consolidated Adjusted EBITDA</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211,164</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179,684</w:t>
            </w:r>
          </w:p>
        </w:tc>
        <w:tc>
          <w:tcPr>
            <w:tcW w:w="80" w:type="dxa"/>
            <w:vAlign w:val="bottom"/>
            <w:tcBorders>
              <w:bottom w:val="single" w:sz="8" w:color="E7E7E8"/>
            </w:tcBorders>
            <w:shd w:val="clear" w:color="auto" w:fill="E7E7E8"/>
          </w:tcPr>
          <w:p>
            <w:pPr>
              <w:spacing w:after="0"/>
              <w:rPr>
                <w:sz w:val="20"/>
                <w:szCs w:val="20"/>
                <w:color w:val="auto"/>
              </w:rPr>
            </w:pPr>
          </w:p>
        </w:tc>
        <w:tc>
          <w:tcPr>
            <w:tcW w:w="300" w:type="dxa"/>
            <w:vAlign w:val="bottom"/>
            <w:tcBorders>
              <w:bottom w:val="single" w:sz="8" w:color="auto"/>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740,393</w:t>
            </w:r>
          </w:p>
        </w:tc>
        <w:tc>
          <w:tcPr>
            <w:tcW w:w="100" w:type="dxa"/>
            <w:vAlign w:val="bottom"/>
            <w:tcBorders>
              <w:bottom w:val="single" w:sz="8" w:color="E7E7E8"/>
            </w:tcBorders>
            <w:shd w:val="clear" w:color="auto" w:fill="E7E7E8"/>
          </w:tcPr>
          <w:p>
            <w:pPr>
              <w:spacing w:after="0"/>
              <w:rPr>
                <w:sz w:val="20"/>
                <w:szCs w:val="20"/>
                <w:color w:val="auto"/>
              </w:rPr>
            </w:pPr>
          </w:p>
        </w:tc>
        <w:tc>
          <w:tcPr>
            <w:tcW w:w="32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646,465</w:t>
            </w:r>
          </w:p>
        </w:tc>
        <w:tc>
          <w:tcPr>
            <w:tcW w:w="0" w:type="dxa"/>
            <w:vAlign w:val="bottom"/>
          </w:tcPr>
          <w:p>
            <w:pPr>
              <w:spacing w:after="0"/>
              <w:rPr>
                <w:sz w:val="1"/>
                <w:szCs w:val="1"/>
                <w:color w:val="auto"/>
              </w:rPr>
            </w:pPr>
          </w:p>
        </w:tc>
      </w:tr>
      <w:tr>
        <w:trPr>
          <w:trHeight w:val="20"/>
        </w:trPr>
        <w:tc>
          <w:tcPr>
            <w:tcW w:w="514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3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6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00" w:type="dxa"/>
            <w:vAlign w:val="bottom"/>
            <w:tcBorders>
              <w:top w:val="single" w:sz="8" w:color="E7E7E8"/>
              <w:bottom w:val="single" w:sz="8" w:color="auto"/>
            </w:tcBorders>
          </w:tcPr>
          <w:p>
            <w:pPr>
              <w:spacing w:after="0" w:line="20" w:lineRule="exact"/>
              <w:rPr>
                <w:sz w:val="1"/>
                <w:szCs w:val="1"/>
                <w:color w:val="auto"/>
              </w:rPr>
            </w:pPr>
          </w:p>
        </w:tc>
        <w:tc>
          <w:tcPr>
            <w:tcW w:w="11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20" w:type="dxa"/>
            <w:vAlign w:val="bottom"/>
            <w:tcBorders>
              <w:top w:val="single" w:sz="8" w:color="E7E7E8"/>
              <w:bottom w:val="single" w:sz="8" w:color="auto"/>
            </w:tcBorders>
          </w:tcPr>
          <w:p>
            <w:pPr>
              <w:spacing w:after="0" w:line="20" w:lineRule="exact"/>
              <w:rPr>
                <w:sz w:val="1"/>
                <w:szCs w:val="1"/>
                <w:color w:val="auto"/>
              </w:rPr>
            </w:pPr>
          </w:p>
        </w:tc>
        <w:tc>
          <w:tcPr>
            <w:tcW w:w="110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Refer to the Supplemental Pro Forma Information section on Form 10-K to be filed with the SEC and made available on the WillScot Mobile Mini Holdings Corp. investor relations website for full reconciliations of reported and pro forma results.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2021 Results</w:t>
      </w:r>
      <w:r>
        <w:rPr>
          <w:rFonts w:ascii="Arial" w:cs="Arial" w:eastAsia="Arial" w:hAnsi="Arial"/>
          <w:sz w:val="25"/>
          <w:szCs w:val="25"/>
          <w:b w:val="1"/>
          <w:bCs w:val="1"/>
          <w:color w:val="auto"/>
          <w:vertAlign w:val="superscript"/>
        </w:rPr>
        <w:t>2</w:t>
      </w:r>
    </w:p>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Tim Boswell, President and Chief Financial Officer of WillScot Mobile Mini Holdings, commented "Total Revenue was up 18% and Adjusted EBITDA was up 18% in the fourth quarter relative to prior year, with particular strength in pricing and value-added products in NA Modular and pricing and unit on rent volumes in NA Storage. We exceeded the top-end of our prior Revenue and Adjusted EBITDA guidance for 2021, outperforming in all segments, we are consistently generating attractive returns with ROICs north of 12%, and we are committing additional human and financial capital to build upon this momentum. In the fourth quarter, we invested about $90 million of capital into highly utilized fleet categories, value-added products, and modular refurbishments to capitalize upon the current market environment and minimize any supply constraints, heading into 2022. And we invested $147 million in seven tuck-in acquisitions from September to December, which contributed approximately $8 million of revenue in the fourth quarter and highlights the extreme scalability of our technology and operating platform. While these transactions were dilutive to margins in Q4, they bring numerous financial and strategic benefits longer-term, consistent with those that we have realized in all of our past acquisitions. And they compound powerfully with our core organic growth initiatives, all of which progressed favorably in the quarter."</w:t>
      </w:r>
    </w:p>
    <w:p>
      <w:pPr>
        <w:spacing w:after="0" w:line="9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Boswell continued, "Looking into 2022, we remain confident in the guidance ranges that we introduced in November and are currently tracking toward the higher end of our revenue range and the midpoint of our Adjusted EBITDA range. Implicitly, margins are expanding to the lower end of our guidance range, as recent acquisitions ramp to full earning potential, we invest broadly in our human capital, and we make specific investments in inventory and customer relationship management processes and technology, all of which support our top-line growth aspirations. Our capital allocation strategy remains unchanged. We will continue to balance the timing to reach our 3.0x to 3.5x leverage range with the availability of compelling M&amp;A opportunities, long-term investments in our own stock, and visibility into future free cash flow, as we progress towards our $500 million Free Cash Flow run-rate milestone in the second half of 2022 heading into 2023. It was great to see many of you in-person in November. The team is dialed-in executing the plans that we discussed to drive sustainable growth and returns."</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t>NA Modular</w:t>
      </w:r>
    </w:p>
    <w:p>
      <w:pPr>
        <w:spacing w:after="0" w:line="12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of $309.5 million increased by 14.4% year-over-year.</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Average modular space monthly rental rate increased $142 year-over-year, or 19.6% to $866.</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Modular space unit deliveries decreased 2% year-over-year, and were up 1% vs. 2019 levels.</w:t>
      </w:r>
    </w:p>
    <w:p>
      <w:pPr>
        <w:spacing w:after="0" w:line="59" w:lineRule="exact"/>
        <w:rPr>
          <w:rFonts w:ascii="Arial" w:cs="Arial" w:eastAsia="Arial" w:hAnsi="Arial"/>
          <w:sz w:val="16"/>
          <w:szCs w:val="16"/>
          <w:color w:val="auto"/>
        </w:rPr>
      </w:pPr>
    </w:p>
    <w:p>
      <w:pPr>
        <w:ind w:left="1300" w:hanging="320"/>
        <w:spacing w:after="0" w:line="260"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Average modular space units on rent decreased 1,683 units year-over-year, or 2.0% to 84,328. For the full year 2021, unit returns were down 11% vs. 2019, consistent with our expectations for UOR inflection in the first half of 2022.</w:t>
      </w:r>
    </w:p>
    <w:p>
      <w:pPr>
        <w:spacing w:after="0" w:line="33" w:lineRule="exact"/>
        <w:rPr>
          <w:rFonts w:ascii="Arial" w:cs="Arial" w:eastAsia="Arial" w:hAnsi="Arial"/>
          <w:sz w:val="16"/>
          <w:szCs w:val="16"/>
          <w:color w:val="auto"/>
        </w:rPr>
      </w:pPr>
    </w:p>
    <w:p>
      <w:pPr>
        <w:ind w:left="1300" w:right="20" w:hanging="320"/>
        <w:spacing w:after="0" w:line="260" w:lineRule="auto"/>
        <w:tabs>
          <w:tab w:leader="none" w:pos="1290" w:val="left"/>
        </w:tabs>
        <w:numPr>
          <w:ilvl w:val="1"/>
          <w:numId w:val="4"/>
        </w:numPr>
        <w:rPr>
          <w:rFonts w:ascii="Arial" w:cs="Arial" w:eastAsia="Arial" w:hAnsi="Arial"/>
          <w:sz w:val="16"/>
          <w:szCs w:val="16"/>
          <w:color w:val="auto"/>
        </w:rPr>
      </w:pPr>
      <w:r>
        <w:rPr>
          <w:rFonts w:ascii="Arial" w:cs="Arial" w:eastAsia="Arial" w:hAnsi="Arial"/>
          <w:sz w:val="16"/>
          <w:szCs w:val="16"/>
          <w:color w:val="auto"/>
        </w:rPr>
        <w:t>Value-Added Products and Services (VAPS) average monthly rate increased $53 year-over-year, or 28% to $241. For delivered units over the last twelve months, VAPS average monthly rate increased $82 year-over-year, or 26%, to $393.</w:t>
      </w:r>
    </w:p>
    <w:p>
      <w:pPr>
        <w:spacing w:after="0" w:line="33"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of $115.3 million increased by 7.3% year-over-year. The transfer of the NA Modular portable storage fleet to the NA Storage segment in Q3 2021 represented a decline of about $5 million of revenue and EBITDA in Q4 2021, which has not been adjusted historically.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 Storage</w:t>
      </w:r>
    </w:p>
    <w:p>
      <w:pPr>
        <w:spacing w:after="0" w:line="120"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of $151.4 million increased by 29.1% year-over-year.</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Average portable storage monthly rental rate increased $13 year-over-year, or 8.7% to $163.</w:t>
      </w:r>
    </w:p>
    <w:p>
      <w:pPr>
        <w:spacing w:after="0" w:line="113" w:lineRule="exact"/>
        <w:rPr>
          <w:rFonts w:ascii="Arial" w:cs="Arial" w:eastAsia="Arial" w:hAnsi="Arial"/>
          <w:sz w:val="16"/>
          <w:szCs w:val="16"/>
          <w:color w:val="auto"/>
        </w:rPr>
      </w:pPr>
    </w:p>
    <w:p>
      <w:pPr>
        <w:ind w:left="1300" w:hanging="320"/>
        <w:spacing w:after="0" w:line="260" w:lineRule="auto"/>
        <w:tabs>
          <w:tab w:leader="none" w:pos="1317" w:val="left"/>
        </w:tabs>
        <w:numPr>
          <w:ilvl w:val="1"/>
          <w:numId w:val="5"/>
        </w:numPr>
        <w:rPr>
          <w:rFonts w:ascii="Arial" w:cs="Arial" w:eastAsia="Arial" w:hAnsi="Arial"/>
          <w:sz w:val="16"/>
          <w:szCs w:val="16"/>
          <w:color w:val="auto"/>
        </w:rPr>
      </w:pPr>
      <w:r>
        <w:rPr>
          <w:rFonts w:ascii="Arial" w:cs="Arial" w:eastAsia="Arial" w:hAnsi="Arial"/>
          <w:sz w:val="16"/>
          <w:szCs w:val="16"/>
          <w:color w:val="auto"/>
        </w:rPr>
        <w:t>Portable storage unit deliveries across the NA Storage and NA Modular segments combined increased 6% year-over-year, including contributions from our recent acquisitions.</w:t>
      </w:r>
    </w:p>
    <w:p>
      <w:pPr>
        <w:spacing w:after="0" w:line="33" w:lineRule="exact"/>
        <w:rPr>
          <w:rFonts w:ascii="Arial" w:cs="Arial" w:eastAsia="Arial" w:hAnsi="Arial"/>
          <w:sz w:val="16"/>
          <w:szCs w:val="16"/>
          <w:color w:val="auto"/>
        </w:rPr>
      </w:pPr>
    </w:p>
    <w:p>
      <w:pPr>
        <w:jc w:val="both"/>
        <w:ind w:left="1300" w:hanging="320"/>
        <w:spacing w:after="0" w:line="251" w:lineRule="auto"/>
        <w:tabs>
          <w:tab w:leader="none" w:pos="1290"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Average portable storage units on rent increased by 37,616 units year-over-year, or 31.2% to 158,055. This increase reflects broad-based end market strength, the transfer of approximately 12,000 units from NA Modular (legacy WillScot) into the NA Storage segment that was completed in Q3 2021, and approximately 12,900 average units on rent as a result of the acquisition of 15,700 storage units during Q3 and Q4 2021.</w:t>
      </w:r>
    </w:p>
    <w:p>
      <w:pPr>
        <w:spacing w:after="0" w:line="26" w:lineRule="exact"/>
        <w:rPr>
          <w:rFonts w:ascii="Arial" w:cs="Arial" w:eastAsia="Arial" w:hAnsi="Arial"/>
          <w:sz w:val="16"/>
          <w:szCs w:val="16"/>
          <w:b w:val="1"/>
          <w:bCs w:val="1"/>
          <w:color w:val="auto"/>
        </w:rPr>
      </w:pPr>
    </w:p>
    <w:p>
      <w:pPr>
        <w:ind w:left="660" w:right="20" w:hanging="328"/>
        <w:spacing w:after="0" w:line="24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of $71.6 million increased by 34.1% year-over-year. The transfer of the NA Modular portable storage fleet to the NA Storage segment in Q3 2021 represented an increase of about $5 million of revenue and EBITDA in Q4 2021, which has not been adjusted historically.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UK Storage</w:t>
      </w:r>
    </w:p>
    <w:p>
      <w:pPr>
        <w:spacing w:after="0" w:line="120" w:lineRule="exact"/>
        <w:rPr>
          <w:sz w:val="20"/>
          <w:szCs w:val="20"/>
          <w:color w:val="auto"/>
        </w:rPr>
      </w:pPr>
    </w:p>
    <w:p>
      <w:pPr>
        <w:ind w:left="660" w:hanging="328"/>
        <w:spacing w:after="0" w:line="242" w:lineRule="auto"/>
        <w:tabs>
          <w:tab w:leader="none" w:pos="649"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Revenue of $27.5 million increased 11.3% year-over-year, driven by continued strong price and volume trends, and Adjusted EBITDA of $12.4 million increased by 30.5%.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Tank and Pump</w:t>
      </w:r>
    </w:p>
    <w:p>
      <w:pPr>
        <w:spacing w:after="0" w:line="133" w:lineRule="exact"/>
        <w:rPr>
          <w:sz w:val="20"/>
          <w:szCs w:val="20"/>
          <w:color w:val="auto"/>
        </w:rPr>
      </w:pPr>
    </w:p>
    <w:p>
      <w:pPr>
        <w:ind w:left="660" w:hanging="328"/>
        <w:spacing w:after="0" w:line="26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of $29.5 million increased 18.2% year-over-year, driven by tightening OEC utilization, and Adjusted EBITDA of $11.9 million increased by 27.2%.</w:t>
      </w: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2021 Results</w:t>
      </w:r>
      <w:r>
        <w:rPr>
          <w:rFonts w:ascii="Arial" w:cs="Arial" w:eastAsia="Arial" w:hAnsi="Arial"/>
          <w:sz w:val="25"/>
          <w:szCs w:val="25"/>
          <w:b w:val="1"/>
          <w:bCs w:val="1"/>
          <w:color w:val="auto"/>
          <w:vertAlign w:val="superscript"/>
        </w:rPr>
        <w:t>2</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Key drivers of our 2021 financial performance included:</w:t>
      </w:r>
    </w:p>
    <w:p>
      <w:pPr>
        <w:spacing w:after="0" w:line="100" w:lineRule="exact"/>
        <w:rPr>
          <w:sz w:val="20"/>
          <w:szCs w:val="20"/>
          <w:color w:val="auto"/>
        </w:rPr>
      </w:pPr>
    </w:p>
    <w:p>
      <w:pPr>
        <w:jc w:val="both"/>
        <w:ind w:left="660" w:hanging="328"/>
        <w:spacing w:after="0" w:line="23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revenues increased by $527.3 million, or 38.6%, attributable to the addition of Mobile Mini's revenues to our consolidated results once the Merger closed on July 1, 2020 and due to organic revenue growth levers in the business. Leasing revenue increased $410.7 million, or 41.0%, delivery and installation revenue increased $100.5 million, or 36.7%, rental unit sales increased $16.3 million, or 41.9%, and new unit sales revenue decreased $0.2 million, or 0.4%.</w:t>
      </w:r>
    </w:p>
    <w:p>
      <w:pPr>
        <w:spacing w:after="0" w:line="8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a Pro Forma basis, total revenues increased by $243.0 million, or 14.7%, from $1,651.9 million to $1,894.9 million.</w:t>
      </w:r>
    </w:p>
    <w:p>
      <w:pPr>
        <w:spacing w:after="0" w:line="99" w:lineRule="exact"/>
        <w:rPr>
          <w:rFonts w:ascii="Arial" w:cs="Arial" w:eastAsia="Arial" w:hAnsi="Arial"/>
          <w:sz w:val="16"/>
          <w:szCs w:val="16"/>
          <w:color w:val="auto"/>
        </w:rPr>
      </w:pPr>
    </w:p>
    <w:p>
      <w:pPr>
        <w:jc w:val="both"/>
        <w:ind w:left="660" w:hanging="328"/>
        <w:spacing w:after="0" w:line="233" w:lineRule="auto"/>
        <w:tabs>
          <w:tab w:leader="none" w:pos="649"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$160.1 million for the year ended December 31, 2021, representing an increase of $84.8 million versus the year ended December 31, 2020. Net Income Excluding Gain/Loss from Warrants of $186.7 million for the year ended December 31, 2021, represented an increase of $114.8 million, or 159.7%, versus the year ended December 31, 2020, and included a $6.0 million loss on extinguishment of debt related to our financing activities in the first and second quarter of 2021 and $44.6 million of discrete costs expensed in the period related to transaction and integration activities. Discrete costs in the period included $1.4 million of transaction costs, $28.4 million of integration costs, and $14.8 million of restructuring costs, lease impairment expense and other related charges.</w:t>
      </w:r>
    </w:p>
    <w:p>
      <w:pPr>
        <w:spacing w:after="0" w:line="89" w:lineRule="exact"/>
        <w:rPr>
          <w:rFonts w:ascii="Arial" w:cs="Arial" w:eastAsia="Arial" w:hAnsi="Arial"/>
          <w:sz w:val="16"/>
          <w:szCs w:val="16"/>
          <w:b w:val="1"/>
          <w:bCs w:val="1"/>
          <w:i w:val="1"/>
          <w:iCs w:val="1"/>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a Pro Forma basis, net income increased by $36.3 million, or 29.3%, from $123.8 million to $160.1 million.</w:t>
      </w:r>
    </w:p>
    <w:p>
      <w:pPr>
        <w:sectPr>
          <w:pgSz w:w="11900" w:h="16838" w:orient="portrait"/>
          <w:cols w:equalWidth="0" w:num="1">
            <w:col w:w="11240"/>
          </w:cols>
          <w:pgMar w:left="320" w:top="1404" w:right="339" w:bottom="1440" w:gutter="0" w:footer="0" w:header="0"/>
        </w:sectPr>
      </w:pPr>
    </w:p>
    <w:bookmarkStart w:id="6" w:name="page7"/>
    <w:bookmarkEnd w:id="6"/>
    <w:p>
      <w:pPr>
        <w:jc w:val="both"/>
        <w:ind w:left="660" w:hanging="328"/>
        <w:spacing w:after="0" w:line="235" w:lineRule="auto"/>
        <w:tabs>
          <w:tab w:leader="none" w:pos="649"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t>Generated Adjusted EBITDA of $740.4 million for the year ended December 31, 2021, representing an increase of $210.1 million, or 39.6%, as compared to 2020. Of this increase, $181.9 million was driven by including a full year of Mobile Mini in our consolidated results, including strong year over year organic growth within the NA Storage, UK, and Tank and Pump segments, and the remainder was driven by strong organic growth across all of our segments. The increase was partially offset by increases in SG&amp;A related to variable compensation and occupancy costs.</w:t>
      </w:r>
    </w:p>
    <w:p>
      <w:pPr>
        <w:spacing w:after="0" w:line="89" w:lineRule="exact"/>
        <w:rPr>
          <w:rFonts w:ascii="Arial" w:cs="Arial" w:eastAsia="Arial" w:hAnsi="Arial"/>
          <w:sz w:val="16"/>
          <w:szCs w:val="16"/>
          <w:b w:val="1"/>
          <w:bCs w:val="1"/>
          <w:i w:val="1"/>
          <w:iCs w:val="1"/>
          <w:color w:val="auto"/>
        </w:rPr>
      </w:pPr>
    </w:p>
    <w:p>
      <w:pPr>
        <w:ind w:left="1300" w:hanging="320"/>
        <w:spacing w:after="0"/>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 a Pro Forma basis, Adjusted EBITDA increased by $93.9 million, or 14.5%, from $646.5 million to $740.4 million.</w:t>
      </w:r>
    </w:p>
    <w:p>
      <w:pPr>
        <w:spacing w:after="0" w:line="99" w:lineRule="exact"/>
        <w:rPr>
          <w:rFonts w:ascii="Arial" w:cs="Arial" w:eastAsia="Arial" w:hAnsi="Arial"/>
          <w:sz w:val="16"/>
          <w:szCs w:val="16"/>
          <w:color w:val="auto"/>
        </w:rPr>
      </w:pPr>
    </w:p>
    <w:p>
      <w:pPr>
        <w:ind w:left="660" w:right="100" w:hanging="328"/>
        <w:spacing w:after="0" w:line="232" w:lineRule="auto"/>
        <w:tabs>
          <w:tab w:leader="none" w:pos="649"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Free Cash Flow of $303.0 million for the year ended December 31, 2021, representing an increase of $140.7 million as compared to 2020. Net cash provided by operating activities increased $235.1 million to $539.9 million. Net cash used in investing activities, excluding cash acquired or used as part of acquisitions, increased $94.3 million as a result of increased capital spending to support growing demand for new project deliveries across all segments. We reinvested this Free Cash Flow, along with additional net borrowings under the ABL, to acquire storage and modular units of several smaller entities for a total of $147.2 million and to repurchase $363.6 million of our common stock and warrants, while de-levering the business from 3.8x to 3.6x Net Debt to Adjusted EBITDA. Our predictable lease revenues, idiosyncratic levers to drive growth and margin expansion, and reduced interest costs due to our financing activities during the year contributed to our strong financial position.</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Overall, while new lease activation volumes over the past eight quarters were impacted in line with the swings in economic activity, our lease revenue streams were stable and predictable and remain on an attractive upward long-term trajectory, which is a result of the diversification in our end markets, our long lease durations, and the success of the organic growth initiatives that we are executing.</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 and Liquidity Update</w:t>
      </w:r>
      <w:r>
        <w:rPr>
          <w:rFonts w:ascii="Arial" w:cs="Arial" w:eastAsia="Arial" w:hAnsi="Arial"/>
          <w:sz w:val="25"/>
          <w:szCs w:val="25"/>
          <w:b w:val="1"/>
          <w:bCs w:val="1"/>
          <w:color w:val="auto"/>
          <w:vertAlign w:val="superscript"/>
        </w:rPr>
        <w:t>2</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w:t>
      </w:r>
    </w:p>
    <w:p>
      <w:pPr>
        <w:spacing w:after="0" w:line="113" w:lineRule="exact"/>
        <w:rPr>
          <w:sz w:val="20"/>
          <w:szCs w:val="20"/>
          <w:color w:val="auto"/>
        </w:rPr>
      </w:pPr>
    </w:p>
    <w:p>
      <w:pPr>
        <w:jc w:val="both"/>
        <w:ind w:left="660" w:hanging="328"/>
        <w:spacing w:after="0" w:line="253" w:lineRule="auto"/>
        <w:tabs>
          <w:tab w:leader="none" w:pos="649"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Repurchased 1.2 million shares of Common Stock and stock equivalents for $43.3 million in the fourth quarter and 12.9 million shares of Common Stock and stock equivalents for $363.6 million for the full year 2021, representing a 4% reduction in our economic share count. As of December 31, 2021, $956.7 million of the $1.0 billion share repurchase authorization remained.</w:t>
      </w:r>
    </w:p>
    <w:p>
      <w:pPr>
        <w:spacing w:after="0" w:line="93" w:lineRule="exact"/>
        <w:rPr>
          <w:rFonts w:ascii="Arial" w:cs="Arial" w:eastAsia="Arial" w:hAnsi="Arial"/>
          <w:sz w:val="16"/>
          <w:szCs w:val="16"/>
          <w:b w:val="1"/>
          <w:bCs w:val="1"/>
          <w:color w:val="auto"/>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 $0.7 billion of excess availability under the asset-based revolving credit facility, a flexible covenant structure, and accelerating free cash flow provide ample liquidity to fund multiple capital allocation alternatives.</w:t>
      </w:r>
    </w:p>
    <w:p>
      <w:pPr>
        <w:spacing w:after="0" w:line="8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Weighted average interest rate is approximately 3.7% and annual cash interest expense based on the current debt structure is approximately $102 million.</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debt maturities prior to 2025.</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leverage to 3.6x last-twelve-months Adjusted EBITDA of $740.4 million and maintaining our target range of 3.0x to 3.5x.</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2022 Outlook </w:t>
      </w:r>
      <w:r>
        <w:rPr>
          <w:rFonts w:ascii="Arial" w:cs="Arial" w:eastAsia="Arial" w:hAnsi="Arial"/>
          <w:sz w:val="25"/>
          <w:szCs w:val="25"/>
          <w:b w:val="1"/>
          <w:bCs w:val="1"/>
          <w:color w:val="auto"/>
          <w:vertAlign w:val="superscript"/>
        </w:rPr>
        <w:t>2, 3, 4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0" w:type="dxa"/>
            <w:vAlign w:val="bottom"/>
            <w:gridSpan w:val="3"/>
          </w:tcPr>
          <w:p>
            <w:pPr>
              <w:spacing w:after="0"/>
              <w:rPr>
                <w:sz w:val="20"/>
                <w:szCs w:val="20"/>
                <w:color w:val="auto"/>
              </w:rPr>
            </w:pPr>
            <w:r>
              <w:rPr>
                <w:rFonts w:ascii="Arial" w:cs="Arial" w:eastAsia="Arial" w:hAnsi="Arial"/>
                <w:sz w:val="16"/>
                <w:szCs w:val="16"/>
                <w:color w:val="auto"/>
              </w:rPr>
              <w:t>This guidance is subject to risks and uncertainties, including those described in "Forward-Looking Statements" below.</w:t>
            </w:r>
          </w:p>
        </w:tc>
        <w:tc>
          <w:tcPr>
            <w:tcW w:w="2640" w:type="dxa"/>
            <w:vAlign w:val="bottom"/>
          </w:tcPr>
          <w:p>
            <w:pPr>
              <w:spacing w:after="0"/>
              <w:rPr>
                <w:sz w:val="17"/>
                <w:szCs w:val="17"/>
                <w:color w:val="auto"/>
              </w:rPr>
            </w:pPr>
          </w:p>
        </w:tc>
      </w:tr>
      <w:tr>
        <w:trPr>
          <w:trHeight w:val="226"/>
        </w:trPr>
        <w:tc>
          <w:tcPr>
            <w:tcW w:w="2300" w:type="dxa"/>
            <w:vAlign w:val="bottom"/>
            <w:shd w:val="clear" w:color="auto" w:fill="1D2758"/>
          </w:tcPr>
          <w:p>
            <w:pPr>
              <w:spacing w:after="0"/>
              <w:rPr>
                <w:sz w:val="19"/>
                <w:szCs w:val="19"/>
                <w:color w:val="auto"/>
              </w:rPr>
            </w:pPr>
          </w:p>
        </w:tc>
        <w:tc>
          <w:tcPr>
            <w:tcW w:w="3440" w:type="dxa"/>
            <w:vAlign w:val="bottom"/>
            <w:shd w:val="clear" w:color="auto" w:fill="1D2758"/>
          </w:tcPr>
          <w:p>
            <w:pPr>
              <w:jc w:val="center"/>
              <w:ind w:left="79"/>
              <w:spacing w:after="0"/>
              <w:rPr>
                <w:sz w:val="20"/>
                <w:szCs w:val="20"/>
                <w:color w:val="auto"/>
              </w:rPr>
            </w:pPr>
            <w:r>
              <w:rPr>
                <w:rFonts w:ascii="Arial" w:cs="Arial" w:eastAsia="Arial" w:hAnsi="Arial"/>
                <w:sz w:val="16"/>
                <w:szCs w:val="16"/>
                <w:b w:val="1"/>
                <w:bCs w:val="1"/>
                <w:color w:val="FFFFFF"/>
              </w:rPr>
              <w:t>2020 Pro Forma Results</w:t>
            </w:r>
          </w:p>
        </w:tc>
        <w:tc>
          <w:tcPr>
            <w:tcW w:w="2860" w:type="dxa"/>
            <w:vAlign w:val="bottom"/>
            <w:shd w:val="clear" w:color="auto" w:fill="1D2758"/>
          </w:tcPr>
          <w:p>
            <w:pPr>
              <w:jc w:val="center"/>
              <w:ind w:right="319"/>
              <w:spacing w:after="0"/>
              <w:rPr>
                <w:sz w:val="20"/>
                <w:szCs w:val="20"/>
                <w:color w:val="auto"/>
              </w:rPr>
            </w:pPr>
            <w:r>
              <w:rPr>
                <w:rFonts w:ascii="Arial" w:cs="Arial" w:eastAsia="Arial" w:hAnsi="Arial"/>
                <w:sz w:val="16"/>
                <w:szCs w:val="16"/>
                <w:b w:val="1"/>
                <w:bCs w:val="1"/>
                <w:color w:val="FFFFFF"/>
              </w:rPr>
              <w:t>2021 Results</w:t>
            </w:r>
          </w:p>
        </w:tc>
        <w:tc>
          <w:tcPr>
            <w:tcW w:w="2640" w:type="dxa"/>
            <w:vAlign w:val="bottom"/>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rPr>
              <w:t>2022 Outlook</w:t>
            </w:r>
          </w:p>
        </w:tc>
      </w:tr>
      <w:tr>
        <w:trPr>
          <w:trHeight w:val="216"/>
        </w:trPr>
        <w:tc>
          <w:tcPr>
            <w:tcW w:w="23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3440" w:type="dxa"/>
            <w:vAlign w:val="bottom"/>
            <w:shd w:val="clear" w:color="auto" w:fill="E7E7E8"/>
          </w:tcPr>
          <w:p>
            <w:pPr>
              <w:jc w:val="center"/>
              <w:ind w:left="79"/>
              <w:spacing w:after="0"/>
              <w:rPr>
                <w:sz w:val="20"/>
                <w:szCs w:val="20"/>
                <w:color w:val="auto"/>
              </w:rPr>
            </w:pPr>
            <w:r>
              <w:rPr>
                <w:rFonts w:ascii="Arial" w:cs="Arial" w:eastAsia="Arial" w:hAnsi="Arial"/>
                <w:sz w:val="16"/>
                <w:szCs w:val="16"/>
                <w:color w:val="auto"/>
              </w:rPr>
              <w:t>$1,652 million</w:t>
            </w:r>
          </w:p>
        </w:tc>
        <w:tc>
          <w:tcPr>
            <w:tcW w:w="2860" w:type="dxa"/>
            <w:vAlign w:val="bottom"/>
            <w:shd w:val="clear" w:color="auto" w:fill="E7E7E8"/>
          </w:tcPr>
          <w:p>
            <w:pPr>
              <w:jc w:val="center"/>
              <w:ind w:right="299"/>
              <w:spacing w:after="0"/>
              <w:rPr>
                <w:sz w:val="20"/>
                <w:szCs w:val="20"/>
                <w:color w:val="auto"/>
              </w:rPr>
            </w:pPr>
            <w:r>
              <w:rPr>
                <w:rFonts w:ascii="Arial" w:cs="Arial" w:eastAsia="Arial" w:hAnsi="Arial"/>
                <w:sz w:val="16"/>
                <w:szCs w:val="16"/>
                <w:color w:val="auto"/>
              </w:rPr>
              <w:t>$1,895 million</w:t>
            </w:r>
          </w:p>
        </w:tc>
        <w:tc>
          <w:tcPr>
            <w:tcW w:w="2640" w:type="dxa"/>
            <w:vAlign w:val="bottom"/>
            <w:shd w:val="clear" w:color="auto" w:fill="E7E7E8"/>
          </w:tcPr>
          <w:p>
            <w:pPr>
              <w:jc w:val="center"/>
              <w:ind w:right="59"/>
              <w:spacing w:after="0"/>
              <w:rPr>
                <w:sz w:val="20"/>
                <w:szCs w:val="20"/>
                <w:color w:val="auto"/>
              </w:rPr>
            </w:pPr>
            <w:r>
              <w:rPr>
                <w:rFonts w:ascii="Arial" w:cs="Arial" w:eastAsia="Arial" w:hAnsi="Arial"/>
                <w:sz w:val="16"/>
                <w:szCs w:val="16"/>
                <w:color w:val="auto"/>
              </w:rPr>
              <w:t>$1,925 million - $2,025 million</w:t>
            </w:r>
          </w:p>
        </w:tc>
      </w:tr>
      <w:tr>
        <w:trPr>
          <w:trHeight w:val="216"/>
        </w:trPr>
        <w:tc>
          <w:tcPr>
            <w:tcW w:w="230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1,2</w:t>
            </w:r>
          </w:p>
        </w:tc>
        <w:tc>
          <w:tcPr>
            <w:tcW w:w="3440" w:type="dxa"/>
            <w:vAlign w:val="bottom"/>
          </w:tcPr>
          <w:p>
            <w:pPr>
              <w:jc w:val="center"/>
              <w:ind w:left="79"/>
              <w:spacing w:after="0"/>
              <w:rPr>
                <w:sz w:val="20"/>
                <w:szCs w:val="20"/>
                <w:color w:val="auto"/>
              </w:rPr>
            </w:pPr>
            <w:r>
              <w:rPr>
                <w:rFonts w:ascii="Arial" w:cs="Arial" w:eastAsia="Arial" w:hAnsi="Arial"/>
                <w:sz w:val="16"/>
                <w:szCs w:val="16"/>
                <w:color w:val="auto"/>
              </w:rPr>
              <w:t>$646 million</w:t>
            </w:r>
          </w:p>
        </w:tc>
        <w:tc>
          <w:tcPr>
            <w:tcW w:w="2860" w:type="dxa"/>
            <w:vAlign w:val="bottom"/>
          </w:tcPr>
          <w:p>
            <w:pPr>
              <w:jc w:val="center"/>
              <w:ind w:right="319"/>
              <w:spacing w:after="0"/>
              <w:rPr>
                <w:sz w:val="20"/>
                <w:szCs w:val="20"/>
                <w:color w:val="auto"/>
              </w:rPr>
            </w:pPr>
            <w:r>
              <w:rPr>
                <w:rFonts w:ascii="Arial" w:cs="Arial" w:eastAsia="Arial" w:hAnsi="Arial"/>
                <w:sz w:val="16"/>
                <w:szCs w:val="16"/>
                <w:color w:val="auto"/>
              </w:rPr>
              <w:t>$740 million</w:t>
            </w:r>
          </w:p>
        </w:tc>
        <w:tc>
          <w:tcPr>
            <w:tcW w:w="2640" w:type="dxa"/>
            <w:vAlign w:val="bottom"/>
          </w:tcPr>
          <w:p>
            <w:pPr>
              <w:jc w:val="center"/>
              <w:ind w:right="59"/>
              <w:spacing w:after="0"/>
              <w:rPr>
                <w:sz w:val="20"/>
                <w:szCs w:val="20"/>
                <w:color w:val="auto"/>
              </w:rPr>
            </w:pPr>
            <w:r>
              <w:rPr>
                <w:rFonts w:ascii="Arial" w:cs="Arial" w:eastAsia="Arial" w:hAnsi="Arial"/>
                <w:sz w:val="16"/>
                <w:szCs w:val="16"/>
                <w:color w:val="auto"/>
              </w:rPr>
              <w:t>$810 million - $850 million</w:t>
            </w:r>
          </w:p>
        </w:tc>
      </w:tr>
      <w:tr>
        <w:trPr>
          <w:trHeight w:val="216"/>
        </w:trPr>
        <w:tc>
          <w:tcPr>
            <w:tcW w:w="2300" w:type="dxa"/>
            <w:vAlign w:val="bottom"/>
            <w:shd w:val="clear" w:color="auto" w:fill="E7E7E8"/>
          </w:tcPr>
          <w:p>
            <w:pPr>
              <w:ind w:left="20"/>
              <w:spacing w:after="0" w:line="216" w:lineRule="exact"/>
              <w:rPr>
                <w:sz w:val="20"/>
                <w:szCs w:val="20"/>
                <w:color w:val="auto"/>
              </w:rPr>
            </w:pPr>
            <w:r>
              <w:rPr>
                <w:rFonts w:ascii="Arial" w:cs="Arial" w:eastAsia="Arial" w:hAnsi="Arial"/>
                <w:sz w:val="16"/>
                <w:szCs w:val="16"/>
                <w:color w:val="auto"/>
              </w:rPr>
              <w:t>Net CAPEX</w:t>
            </w:r>
            <w:r>
              <w:rPr>
                <w:rFonts w:ascii="Arial" w:cs="Arial" w:eastAsia="Arial" w:hAnsi="Arial"/>
                <w:sz w:val="21"/>
                <w:szCs w:val="21"/>
                <w:color w:val="auto"/>
                <w:vertAlign w:val="superscript"/>
              </w:rPr>
              <w:t>2,3</w:t>
            </w:r>
          </w:p>
        </w:tc>
        <w:tc>
          <w:tcPr>
            <w:tcW w:w="3440" w:type="dxa"/>
            <w:vAlign w:val="bottom"/>
            <w:shd w:val="clear" w:color="auto" w:fill="E7E7E8"/>
          </w:tcPr>
          <w:p>
            <w:pPr>
              <w:jc w:val="center"/>
              <w:ind w:left="79"/>
              <w:spacing w:after="0"/>
              <w:rPr>
                <w:sz w:val="20"/>
                <w:szCs w:val="20"/>
                <w:color w:val="auto"/>
              </w:rPr>
            </w:pPr>
            <w:r>
              <w:rPr>
                <w:rFonts w:ascii="Arial" w:cs="Arial" w:eastAsia="Arial" w:hAnsi="Arial"/>
                <w:sz w:val="16"/>
                <w:szCs w:val="16"/>
                <w:color w:val="auto"/>
              </w:rPr>
              <w:t>$161 million</w:t>
            </w:r>
          </w:p>
        </w:tc>
        <w:tc>
          <w:tcPr>
            <w:tcW w:w="2860" w:type="dxa"/>
            <w:vAlign w:val="bottom"/>
            <w:shd w:val="clear" w:color="auto" w:fill="E7E7E8"/>
          </w:tcPr>
          <w:p>
            <w:pPr>
              <w:jc w:val="center"/>
              <w:ind w:right="319"/>
              <w:spacing w:after="0"/>
              <w:rPr>
                <w:sz w:val="20"/>
                <w:szCs w:val="20"/>
                <w:color w:val="auto"/>
              </w:rPr>
            </w:pPr>
            <w:r>
              <w:rPr>
                <w:rFonts w:ascii="Arial" w:cs="Arial" w:eastAsia="Arial" w:hAnsi="Arial"/>
                <w:sz w:val="16"/>
                <w:szCs w:val="16"/>
                <w:color w:val="auto"/>
              </w:rPr>
              <w:t>$237 million</w:t>
            </w:r>
          </w:p>
        </w:tc>
        <w:tc>
          <w:tcPr>
            <w:tcW w:w="2640" w:type="dxa"/>
            <w:vAlign w:val="bottom"/>
            <w:shd w:val="clear" w:color="auto" w:fill="E7E7E8"/>
          </w:tcPr>
          <w:p>
            <w:pPr>
              <w:jc w:val="center"/>
              <w:ind w:right="59"/>
              <w:spacing w:after="0"/>
              <w:rPr>
                <w:sz w:val="20"/>
                <w:szCs w:val="20"/>
                <w:color w:val="auto"/>
              </w:rPr>
            </w:pPr>
            <w:r>
              <w:rPr>
                <w:rFonts w:ascii="Arial" w:cs="Arial" w:eastAsia="Arial" w:hAnsi="Arial"/>
                <w:sz w:val="16"/>
                <w:szCs w:val="16"/>
                <w:color w:val="auto"/>
              </w:rPr>
              <w:t>$225 million - $275 million</w:t>
            </w:r>
          </w:p>
        </w:tc>
      </w:tr>
    </w:tbl>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i w:val="1"/>
          <w:iCs w:val="1"/>
          <w:color w:val="auto"/>
        </w:rPr>
        <w:t>1 - Assumes common shares outstanding plus treasury stock method from warrants outstanding as of 12/31/2020 versus 12/31/2021 and the closing stock price of $40.84 on 12/31/2021.</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4"/>
          <w:szCs w:val="14"/>
          <w:i w:val="1"/>
          <w:iCs w:val="1"/>
          <w:color w:val="auto"/>
        </w:rPr>
        <w:t>2 - Adjusted EBITDA, Adjusted EBITDA Margin, Free Cash Flow, Free Cash Flow Margin, Net Income Excluding Gain/Loss from Warrants, and Return on Invested Capital are non-GAAP financial measures. Further information and reconciliations for these non-GAAP measures to the most directly comparable financial measure under generally accepted accounting principles in the US ("GAAP") is included at the end of this press release.</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4"/>
          <w:szCs w:val="14"/>
          <w:i w:val="1"/>
          <w:iCs w:val="1"/>
          <w:color w:val="auto"/>
        </w:rPr>
        <w:t>3 - Information reconciling forward-looking Adjusted EBITDA and Net CAPEX to GAAP financial measures is unavailable to the Company without unreasonable effort and therefore no reconciliation to the most comparable GAAP measures is provided.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4 - Net CAPEX is a non-GAAP financial measure. Please see the non-GAAP reconciliation tables included at the end of this press release.</w:t>
      </w:r>
    </w:p>
    <w:p>
      <w:pPr>
        <w:sectPr>
          <w:pgSz w:w="11900" w:h="16838" w:orient="portrait"/>
          <w:cols w:equalWidth="0" w:num="1">
            <w:col w:w="11240"/>
          </w:cols>
          <w:pgMar w:left="320" w:top="142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t>Non-GAAP Financial Measures</w:t>
      </w:r>
    </w:p>
    <w:p>
      <w:pPr>
        <w:spacing w:after="0" w:line="1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includes non-GAAP financial measures, including Adjusted EBITDA, Adjusted EBITDA Margin, Free Cash Flow, Free Cash Flow Margin, Return on Invested Capital, Pro Forma Revenue, Pro Forma Adjusted EBITDA, Pro Forma Net Income, Adjusted Gross Profit, Adjusted Gross Profit Percentage, Net Income Excluding Gain/Loss from Warrants, and Net CAPEX. Adjusted EBITDA is defined as net income (loss) plus net interest (income) expense, income tax expense (benefit), depreciation and amortization adjusted to exclude certain non-cash items and the effect of what we consider transactions or events not related to our core business operations, including net currency gains and losses, goodwill and other impairment charges, restructuring costs, costs to integrate acquired companies, costs incurred related to transactions, non-cash charges for stock compensation plans, gains and losses resulting from changes in fair value and extinguishment of common stock warrant liabilities, and other discrete expenses. Adjusted EBITDA Margin is defined as Adjusted EBITDA divided by revenue. Free Cash Flow is defined as net cash provided by operating activities, less purchases of, and proceeds from, rental equipment and property, plant and equipment, which are all included in cash flows from investing activities. Free Cash Flow Margin is defined as Free Cash Flow divided by revenue. Return on Invested Capital is defined as adjusted earnings before interest and amortization divided by net assets. Adjusted earnings before interest and amortization is the sum of income (loss) before income tax expense, net interest (income) expense, amortization adjusted for non-cash items considered non-core to business operations including net currency (gains) losses, goodwill and other impairment charges, restructuring costs, costs to integrate acquired companies, non-cash charges for stock compensation plans, gains and losses resulting from changes in fair value and extinguishment of common stock warrant liabilities, and other discrete expenses, reduced by our estimated statutory tax rate. Given we are not a significant US taxpayer due to our current tax attributes, we include estimated taxes at our current statutory tax rate of approximately 25%. Net assets is total assets less goodwill and intangible assets, net and all non-interest bearing liabilities and is calculated as a five quarter average. Pro Forma Revenue is defined the same as revenue, but includes pre-acquisition results from Mobile Mini for all periods presented. Adjusted Gross Profit is defined as gross profit plus depreciation of rental equipment. Adjusted Gross Profit Percentage is defined as Adjusted Gross Profit divided by revenue. Net Income Excluding Gain/Loss from Warrants is defined as net income plus or minus the change in the fair value of the common stock warrant liability. Net CAPEX is defined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The Company believes that Adjusted EBITDA and Adjusted EBITDA margin are useful to investors because they (i) allow investors to compare performance over various reporting periods on a consistent basis by removing from operating results the impact of items that do not reflect core operating performance; (ii) are used by our board of directors and management to assess our performance; (iii) may, subject to the limitations described below, enable investors to compare the performance of the Company to its competitors; (iv) provide additional tools for investors to use in evaluating ongoing operating results and trends; and (v) align with definitions in our credit agreement. The Company believes that Free Cash Flow and Free Cash Flow Margin are useful to investors because they allow investors to compare cash generation performance over various reporting periods and against peers. The Company believes that Return on Invested Capital provides information about the long-term health and profitability of the business relative to the Company's cost of capital. The Company believes that Pro Forma Revenue is useful to investors because they allow investors to compare performance of the combined Company over various reporting periods on a consistent basis due to the addition of significant acquisitions during the reported periods. This information is also used by management to measure the performance of our ongoing operations and analyze our business performance and trends. This information is used by investors for the purposes of development of future projections and earnings growth prospects. The Company believes that Adjusted Gross Profit and Adjusted Gross Profit Percentage are useful to investors because they allow investors to assess gross profit excluding non-cash expenses, which provides useful information regarding our results of operations and assists in analyzing the underlying performance of our business. The Company believes that Net Income Excluding Gain/Loss from Warrants is useful to investors because it removes the impact of stock market volatility from our operational results. The Company believes that the presentation of Net CAPEX provides useful information to investors regarding the net capital invested into our rental fleet and plant, property and equipment each year to assist in analyzing the performance of our business. Adjusted EBITDA is not a measure of financial performance or liquidity under GAAP and, accordingly, should not be considered as an alternative to net income or cash flow from operating activities as an indicator of operating performance or liquidity. These non-GAAP measures should not be considered in isolation from, or as an alternative to, financial measures determined in accordance with GAAP. Other companies may calculate Adjusted EBITDA and other non-GAAP financial measures differently, and therefore the Company's non-GAAP financial measures may not be directly comparable to similarly-titled measures of other companies. For reconciliation of the non-GAAP measures used in this press release (except as explained below), see “Reconciliation of Non-GAAP Financial Measures" included in this press release.</w:t>
      </w:r>
    </w:p>
    <w:p>
      <w:pPr>
        <w:spacing w:after="0" w:line="25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Information reconciling forward-looking Adjusted EBITDA to GAAP financial measures is unavailable to the Company without unreasonable effort. We cannot provide reconciliations of forward-looking Adjusted EBITDA to GAAP financial measures because certain items required for such reconciliations are outside of our control and/or cannot be reasonably predicted, such as the provision for income taxes. Preparation of such reconciliations would require a forward-looking balance sheet, statement of income and statement of cash flow, prepared in accordance with GAAP, and such forward-looking financial statements are unavailable to the Company without unreasonable effort. Although we provide a range of Adjusted EBITDA that we believe will be achieved, we cannot accurately predict all the components of the Adjusted EBITDA calculation. The Company provides Adjusted EBITDA guidance because we believe that Adjusted EBITDA, when viewed with our results under GAAP, provides useful information for the reasons noted above.</w:t>
      </w:r>
    </w:p>
    <w:p>
      <w:pPr>
        <w:sectPr>
          <w:pgSz w:w="11900" w:h="16838" w:orient="portrait"/>
          <w:cols w:equalWidth="0" w:num="1">
            <w:col w:w="11240"/>
          </w:cols>
          <w:pgMar w:left="320" w:top="1408" w:right="339" w:bottom="1440" w:gutter="0" w:footer="0" w:header="0"/>
        </w:sectPr>
      </w:pPr>
    </w:p>
    <w:bookmarkStart w:id="8" w:name="page9"/>
    <w:bookmarkEnd w:id="8"/>
    <w:p>
      <w:pPr>
        <w:spacing w:after="0" w:line="2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608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77415" cy="608330"/>
                    </a:xfrm>
                    <a:prstGeom prst="rect">
                      <a:avLst/>
                    </a:prstGeom>
                    <a:noFill/>
                  </pic:spPr>
                </pic:pic>
              </a:graphicData>
            </a:graphic>
          </wp:anchor>
        </w:drawing>
      </w:r>
    </w:p>
    <w:p>
      <w:pPr>
        <w:jc w:val="both"/>
        <w:spacing w:after="0" w:line="249" w:lineRule="auto"/>
        <w:rPr>
          <w:sz w:val="20"/>
          <w:szCs w:val="20"/>
          <w:color w:val="auto"/>
        </w:rPr>
      </w:pPr>
      <w:r>
        <w:rPr>
          <w:rFonts w:ascii="Arial" w:cs="Arial" w:eastAsia="Arial" w:hAnsi="Arial"/>
          <w:sz w:val="16"/>
          <w:szCs w:val="16"/>
          <w:color w:val="auto"/>
        </w:rPr>
        <w:t>On July 1, 2020, Williams Scotsman, Inc. closed the merger with Mobile Mini, Inc. (the "Merger") and assumed the name WillScot Mobile Mini Holdings Corp. (Nasdaq: WSC). Our reported results only include Mobile Mini for the periods subsequent to the Merger. Our Pro Forma Results include Mobile Mini's results as if the Merger and financing transactions had occurred on January 1, 2019, which we believe is a better representation of how the combined company has performed over time. Following the Merger, we expanded our reporting segments from two segments to four reporting segments. The North America Modular segment aligns with the WillScot legacy business prior to the Merger and the North America Storage, UK Storage and Tank and Pump segments align with the Mobile Mini segments prior to the Merger.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WillScot Mobile Mini Holdings will host a conference call and webcast to discuss its fourth quarter 2021 results and outlook at 10 a.m. Eastern Time on Friday, February 25, 2022. The live call may be accessed by dialing (855) 312-9420 (US/Canada toll-free) or (210) 874-7774 (international) and asking to be connected to the WillScot Mobile Mini Holdings call. A live webcast will also be accessible via the "Events &amp; Presentations" section of the Company's investor relations website www.willscotmobilemini.com. Choose "Events" and select the information pertaining to the WillScot Mobile Mini Holdings Fourth Quarter 2021 Conference Call. Additionally, there will be slides accompanying the webcast. Please allow at least 15 minutes prior to the call to register, download and install any necessary software. For those unable to listen to the live broadcast, an audio webcast of the call will be available for 60 days on the Company’s investor relations website.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WillScot Mobile Mini Holdings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WillScot Mobile Mini Holdings trades on the Nasdaq stock exchange under the ticker symbol “WSC.” Headquartered in Phoenix, Arizona, the Company is a leading business services provider specializing in innovative flexible workspace and portable storage solutions. WillScot Mobile Mini services diverse end markets across all sectors of the economy from a network of approximately 275 branch locations and additional drop lots throughout the United States, Canada, Mexico, and the United Kingdom.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This press release contains forward-looking statements (including the guidance/outlook contained herein) within the meaning of the U.S. Private Securities Litigation Reform Act of 1995 and Section 21E of the Securities Exchange Act of 1934, as amended. The words "estimates," "expects," "anticipates," "believes," "forecasts," "plans," "intends," "may," "will," "should," "shall," "outlook" and variations of these words and similar expressions identify forward-looking statements, which are generally not historical in nature. Certain of these forward-looking statements include statements relating to: the timing of our achievement of Free Cash Flow performance, our ability to expand and sustain expanded margins, and our revenue, Adjusted EBITDA and Net Capex outlooks.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the Company believes that these forward-looking statements are based on reasonable assumptions, they are predictions and we can give no assurance that any such forward-looking statement will materialize. Important factors that may affect actual results or outcomes include, among others, our ability to acquire and integrate new assets and operations; our ability to achieve planned synergies related to acquisitions; our ability to manage growth and execute our business plan; our estimates of the size of the markets for our products; the rate and degree of market acceptance of our products; the success of other competing modular space and portable storage solutions that exist or may become available; rising costs adversely affecting our profitability; potential litigation involving our Company; general economic and market conditions impacting demand for our products and services; our ability to maintain an effective system of internal controls; and such other risks and uncertainties described in the periodic reports we file with the SEC from time to time (including our Form 10-K for the year ended December 31, 2021), which are available through the SEC’s EDGAR system at www.sec.gov and on our website. Any forward-looking statement speaks only at the date which it is made, and the Company disclaims any obligation to update or revise any forward-looking statements, whether as a result of new information, future events or otherwise, except as required by law.</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can be found on the company's website at www.willscotmobilemini.com.</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Inquiries: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Nick Girardi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investors@willscotmobilemini.com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Scott Junk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scott.junk@willscotmobilemini.com</w:t>
      </w:r>
    </w:p>
    <w:p>
      <w:pPr>
        <w:sectPr>
          <w:pgSz w:w="11900" w:h="16838" w:orient="portrait"/>
          <w:cols w:equalWidth="0" w:num="2">
            <w:col w:w="6000" w:space="720"/>
            <w:col w:w="4520"/>
          </w:cols>
          <w:pgMar w:left="320" w:top="1440" w:right="339" w:bottom="1440" w:gutter="0" w:footer="0" w:header="0"/>
          <w:type w:val="continuous"/>
        </w:sectPr>
      </w:pPr>
    </w:p>
    <w:bookmarkStart w:id="9" w:name="page10"/>
    <w:bookmarkEnd w:id="9"/>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1D2758"/>
        </w:rPr>
        <w:t>WillScot Mobile Mini Holdings Corp.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1D2758"/>
        </w:rPr>
        <w:t>Condensed Consolidated Statements of Operations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400" w:type="dxa"/>
            <w:vAlign w:val="bottom"/>
            <w:gridSpan w:val="5"/>
            <w:shd w:val="clear" w:color="auto" w:fill="1D2758"/>
          </w:tcPr>
          <w:p>
            <w:pPr>
              <w:ind w:left="160"/>
              <w:spacing w:after="0"/>
              <w:rPr>
                <w:sz w:val="20"/>
                <w:szCs w:val="20"/>
                <w:color w:val="auto"/>
              </w:rPr>
            </w:pPr>
            <w:r>
              <w:rPr>
                <w:rFonts w:ascii="Arial" w:cs="Arial" w:eastAsia="Arial" w:hAnsi="Arial"/>
                <w:sz w:val="16"/>
                <w:szCs w:val="16"/>
                <w:b w:val="1"/>
                <w:bCs w:val="1"/>
                <w:color w:val="FFFFFF"/>
              </w:rPr>
              <w:t>Three Months Ended December 31,</w:t>
            </w:r>
          </w:p>
        </w:tc>
        <w:tc>
          <w:tcPr>
            <w:tcW w:w="400" w:type="dxa"/>
            <w:vAlign w:val="bottom"/>
            <w:shd w:val="clear" w:color="auto" w:fill="1D2758"/>
          </w:tcPr>
          <w:p>
            <w:pPr>
              <w:spacing w:after="0"/>
              <w:rPr>
                <w:sz w:val="18"/>
                <w:szCs w:val="18"/>
                <w:color w:val="auto"/>
              </w:rPr>
            </w:pPr>
          </w:p>
        </w:tc>
        <w:tc>
          <w:tcPr>
            <w:tcW w:w="3180" w:type="dxa"/>
            <w:vAlign w:val="bottom"/>
            <w:gridSpan w:val="4"/>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215"/>
        </w:trPr>
        <w:tc>
          <w:tcPr>
            <w:tcW w:w="39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280" w:type="dxa"/>
            <w:vAlign w:val="bottom"/>
            <w:shd w:val="clear" w:color="auto" w:fill="1D2758"/>
          </w:tcPr>
          <w:p>
            <w:pPr>
              <w:spacing w:after="0"/>
              <w:rPr>
                <w:sz w:val="18"/>
                <w:szCs w:val="18"/>
                <w:color w:val="auto"/>
              </w:rPr>
            </w:pPr>
          </w:p>
        </w:tc>
        <w:tc>
          <w:tcPr>
            <w:tcW w:w="146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96"/>
        </w:trPr>
        <w:tc>
          <w:tcPr>
            <w:tcW w:w="3920" w:type="dxa"/>
            <w:vAlign w:val="bottom"/>
            <w:shd w:val="clear" w:color="auto" w:fill="1D2758"/>
          </w:tcPr>
          <w:p>
            <w:pPr>
              <w:spacing w:after="0"/>
              <w:rPr>
                <w:sz w:val="8"/>
                <w:szCs w:val="8"/>
                <w:color w:val="auto"/>
              </w:rPr>
            </w:pPr>
          </w:p>
        </w:tc>
        <w:tc>
          <w:tcPr>
            <w:tcW w:w="280" w:type="dxa"/>
            <w:vAlign w:val="bottom"/>
            <w:shd w:val="clear" w:color="auto" w:fill="1D2758"/>
          </w:tcPr>
          <w:p>
            <w:pPr>
              <w:spacing w:after="0"/>
              <w:rPr>
                <w:sz w:val="8"/>
                <w:szCs w:val="8"/>
                <w:color w:val="auto"/>
              </w:rPr>
            </w:pPr>
          </w:p>
        </w:tc>
        <w:tc>
          <w:tcPr>
            <w:tcW w:w="146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400" w:type="dxa"/>
            <w:vAlign w:val="bottom"/>
            <w:shd w:val="clear" w:color="auto" w:fill="1D2758"/>
          </w:tcPr>
          <w:p>
            <w:pPr>
              <w:spacing w:after="0"/>
              <w:rPr>
                <w:sz w:val="8"/>
                <w:szCs w:val="8"/>
                <w:color w:val="auto"/>
              </w:rPr>
            </w:pPr>
          </w:p>
        </w:tc>
        <w:tc>
          <w:tcPr>
            <w:tcW w:w="134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389,886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322,870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1,412,123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1,001,447</w:t>
            </w:r>
          </w:p>
        </w:tc>
        <w:tc>
          <w:tcPr>
            <w:tcW w:w="0" w:type="dxa"/>
            <w:vAlign w:val="bottom"/>
          </w:tcPr>
          <w:p>
            <w:pPr>
              <w:spacing w:after="0"/>
              <w:rPr>
                <w:sz w:val="1"/>
                <w:szCs w:val="1"/>
                <w:color w:val="auto"/>
              </w:rPr>
            </w:pPr>
          </w:p>
        </w:tc>
      </w:tr>
      <w:tr>
        <w:trPr>
          <w:trHeight w:val="213"/>
        </w:trPr>
        <w:tc>
          <w:tcPr>
            <w:tcW w:w="39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99,799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374,682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274,156</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Sales revenue:</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52,882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53,093</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Rental units</w:t>
            </w:r>
          </w:p>
        </w:tc>
        <w:tc>
          <w:tcPr>
            <w:tcW w:w="2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13,176</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55,210</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38,949</w:t>
            </w:r>
          </w:p>
        </w:tc>
        <w:tc>
          <w:tcPr>
            <w:tcW w:w="0" w:type="dxa"/>
            <w:vAlign w:val="bottom"/>
          </w:tcPr>
          <w:p>
            <w:pPr>
              <w:spacing w:after="0"/>
              <w:rPr>
                <w:sz w:val="1"/>
                <w:szCs w:val="1"/>
                <w:color w:val="auto"/>
              </w:rPr>
            </w:pPr>
          </w:p>
        </w:tc>
      </w:tr>
      <w:tr>
        <w:trPr>
          <w:trHeight w:val="207"/>
        </w:trPr>
        <w:tc>
          <w:tcPr>
            <w:tcW w:w="392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517,920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437,647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1,894,897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1,367,645</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81,686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65,032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317,061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227,376</w:t>
            </w:r>
          </w:p>
        </w:tc>
        <w:tc>
          <w:tcPr>
            <w:tcW w:w="0" w:type="dxa"/>
            <w:vAlign w:val="bottom"/>
          </w:tcPr>
          <w:p>
            <w:pPr>
              <w:spacing w:after="0"/>
              <w:rPr>
                <w:sz w:val="1"/>
                <w:szCs w:val="1"/>
                <w:color w:val="auto"/>
              </w:rPr>
            </w:pPr>
          </w:p>
        </w:tc>
      </w:tr>
      <w:tr>
        <w:trPr>
          <w:trHeight w:val="213"/>
        </w:trPr>
        <w:tc>
          <w:tcPr>
            <w:tcW w:w="3920" w:type="dxa"/>
            <w:vAlign w:val="bottom"/>
          </w:tcPr>
          <w:p>
            <w:pPr>
              <w:ind w:left="44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78,581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66,360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306,861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220,102</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Costs of sales:</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9,717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35,377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34,841</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Rental units</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8,326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29,853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24,772</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62,484</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54,302</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237,537</w:t>
            </w: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200,581</w:t>
            </w:r>
          </w:p>
        </w:tc>
        <w:tc>
          <w:tcPr>
            <w:tcW w:w="0" w:type="dxa"/>
            <w:vAlign w:val="bottom"/>
          </w:tcPr>
          <w:p>
            <w:pPr>
              <w:spacing w:after="0"/>
              <w:rPr>
                <w:sz w:val="1"/>
                <w:szCs w:val="1"/>
                <w:color w:val="auto"/>
              </w:rPr>
            </w:pPr>
          </w:p>
        </w:tc>
      </w:tr>
      <w:tr>
        <w:trPr>
          <w:trHeight w:val="212"/>
        </w:trPr>
        <w:tc>
          <w:tcPr>
            <w:tcW w:w="39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278,469</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234,255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968,208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659,973</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139,150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119,357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511,446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360,626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64,053</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depreciation and amortization</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19,270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78,030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43,249</w:t>
            </w:r>
          </w:p>
        </w:tc>
        <w:tc>
          <w:tcPr>
            <w:tcW w:w="0" w:type="dxa"/>
            <w:vAlign w:val="bottom"/>
          </w:tcPr>
          <w:p>
            <w:pPr>
              <w:spacing w:after="0"/>
              <w:rPr>
                <w:sz w:val="1"/>
                <w:szCs w:val="1"/>
                <w:color w:val="auto"/>
              </w:rPr>
            </w:pPr>
          </w:p>
        </w:tc>
      </w:tr>
      <w:tr>
        <w:trPr>
          <w:trHeight w:val="177"/>
        </w:trPr>
        <w:tc>
          <w:tcPr>
            <w:tcW w:w="3920" w:type="dxa"/>
            <w:vAlign w:val="bottom"/>
          </w:tcPr>
          <w:p>
            <w:pPr>
              <w:ind w:left="220"/>
              <w:spacing w:after="0" w:line="178" w:lineRule="exact"/>
              <w:rPr>
                <w:sz w:val="20"/>
                <w:szCs w:val="20"/>
                <w:color w:val="auto"/>
              </w:rPr>
            </w:pPr>
            <w:r>
              <w:rPr>
                <w:rFonts w:ascii="Arial" w:cs="Arial" w:eastAsia="Arial" w:hAnsi="Arial"/>
                <w:sz w:val="16"/>
                <w:szCs w:val="16"/>
                <w:color w:val="auto"/>
              </w:rPr>
              <w:t>Lease impairment expense and other related</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Pr>
          <w:p>
            <w:pPr>
              <w:ind w:left="220"/>
              <w:spacing w:after="0"/>
              <w:rPr>
                <w:sz w:val="20"/>
                <w:szCs w:val="20"/>
                <w:color w:val="auto"/>
              </w:rPr>
            </w:pPr>
            <w:r>
              <w:rPr>
                <w:rFonts w:ascii="Arial" w:cs="Arial" w:eastAsia="Arial" w:hAnsi="Arial"/>
                <w:sz w:val="16"/>
                <w:szCs w:val="16"/>
                <w:color w:val="auto"/>
              </w:rPr>
              <w:t>charges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4,876</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Restructuring costs</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11,868</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Currency losses (gains), net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6"/>
        </w:trPr>
        <w:tc>
          <w:tcPr>
            <w:tcW w:w="3920" w:type="dxa"/>
            <w:vAlign w:val="bottom"/>
          </w:tcPr>
          <w:p>
            <w:pPr>
              <w:ind w:left="44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117,426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91,263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360,273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182,715</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29,610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30,076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117,987</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119,886</w:t>
            </w:r>
          </w:p>
        </w:tc>
        <w:tc>
          <w:tcPr>
            <w:tcW w:w="0" w:type="dxa"/>
            <w:vAlign w:val="bottom"/>
          </w:tcPr>
          <w:p>
            <w:pPr>
              <w:spacing w:after="0"/>
              <w:rPr>
                <w:sz w:val="1"/>
                <w:szCs w:val="1"/>
                <w:color w:val="auto"/>
              </w:rPr>
            </w:pPr>
          </w:p>
        </w:tc>
      </w:tr>
      <w:tr>
        <w:trPr>
          <w:trHeight w:val="177"/>
        </w:trPr>
        <w:tc>
          <w:tcPr>
            <w:tcW w:w="3920" w:type="dxa"/>
            <w:vAlign w:val="bottom"/>
          </w:tcPr>
          <w:p>
            <w:pPr>
              <w:ind w:left="220"/>
              <w:spacing w:after="0" w:line="178" w:lineRule="exact"/>
              <w:rPr>
                <w:sz w:val="20"/>
                <w:szCs w:val="20"/>
                <w:color w:val="auto"/>
              </w:rPr>
            </w:pPr>
            <w:r>
              <w:rPr>
                <w:rFonts w:ascii="Arial" w:cs="Arial" w:eastAsia="Arial" w:hAnsi="Arial"/>
                <w:sz w:val="16"/>
                <w:szCs w:val="16"/>
                <w:color w:val="auto"/>
              </w:rPr>
              <w:t>Fair value loss (gain) on common stock warrant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Pr>
          <w:p>
            <w:pPr>
              <w:ind w:left="220"/>
              <w:spacing w:after="0"/>
              <w:rPr>
                <w:sz w:val="20"/>
                <w:szCs w:val="20"/>
                <w:color w:val="auto"/>
              </w:rPr>
            </w:pPr>
            <w:r>
              <w:rPr>
                <w:rFonts w:ascii="Arial" w:cs="Arial" w:eastAsia="Arial" w:hAnsi="Arial"/>
                <w:sz w:val="16"/>
                <w:szCs w:val="16"/>
                <w:color w:val="auto"/>
              </w:rPr>
              <w:t>liabilities</w:t>
            </w:r>
          </w:p>
        </w:tc>
        <w:tc>
          <w:tcPr>
            <w:tcW w:w="28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42,602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26,597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Loss on extinguishment of debt</w:t>
            </w:r>
          </w:p>
        </w:tc>
        <w:tc>
          <w:tcPr>
            <w:tcW w:w="280" w:type="dxa"/>
            <w:vAlign w:val="bottom"/>
            <w:shd w:val="clear" w:color="auto" w:fill="DBDBDB"/>
          </w:tcPr>
          <w:p>
            <w:pPr>
              <w:spacing w:after="0"/>
              <w:rPr>
                <w:sz w:val="19"/>
                <w:szCs w:val="19"/>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9"/>
                <w:szCs w:val="19"/>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42,401</w:t>
            </w:r>
          </w:p>
        </w:tc>
        <w:tc>
          <w:tcPr>
            <w:tcW w:w="0" w:type="dxa"/>
            <w:vAlign w:val="bottom"/>
          </w:tcPr>
          <w:p>
            <w:pPr>
              <w:spacing w:after="0"/>
              <w:rPr>
                <w:sz w:val="1"/>
                <w:szCs w:val="1"/>
                <w:color w:val="auto"/>
              </w:rPr>
            </w:pPr>
          </w:p>
        </w:tc>
      </w:tr>
      <w:tr>
        <w:trPr>
          <w:trHeight w:val="206"/>
        </w:trPr>
        <w:tc>
          <w:tcPr>
            <w:tcW w:w="3920" w:type="dxa"/>
            <w:vAlign w:val="bottom"/>
          </w:tcPr>
          <w:p>
            <w:pPr>
              <w:ind w:left="20"/>
              <w:spacing w:after="0"/>
              <w:rPr>
                <w:sz w:val="20"/>
                <w:szCs w:val="20"/>
                <w:color w:val="auto"/>
              </w:rPr>
            </w:pPr>
            <w:r>
              <w:rPr>
                <w:rFonts w:ascii="Arial" w:cs="Arial" w:eastAsia="Arial" w:hAnsi="Arial"/>
                <w:sz w:val="16"/>
                <w:szCs w:val="16"/>
                <w:color w:val="auto"/>
              </w:rPr>
              <w:t>Income (loss) before income tax</w:t>
            </w: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87,816</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18,585</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209,690</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23,889</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13,593</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14,719</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49,546</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(51,451)</w:t>
            </w:r>
          </w:p>
        </w:tc>
        <w:tc>
          <w:tcPr>
            <w:tcW w:w="0" w:type="dxa"/>
            <w:vAlign w:val="bottom"/>
          </w:tcPr>
          <w:p>
            <w:pPr>
              <w:spacing w:after="0"/>
              <w:rPr>
                <w:sz w:val="1"/>
                <w:szCs w:val="1"/>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74,223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160,144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75,340</w:t>
            </w:r>
          </w:p>
        </w:tc>
        <w:tc>
          <w:tcPr>
            <w:tcW w:w="0" w:type="dxa"/>
            <w:vAlign w:val="bottom"/>
          </w:tcPr>
          <w:p>
            <w:pPr>
              <w:spacing w:after="0"/>
              <w:rPr>
                <w:sz w:val="1"/>
                <w:szCs w:val="1"/>
                <w:color w:val="auto"/>
              </w:rPr>
            </w:pPr>
          </w:p>
        </w:tc>
      </w:tr>
      <w:tr>
        <w:trPr>
          <w:trHeight w:val="180"/>
        </w:trPr>
        <w:tc>
          <w:tcPr>
            <w:tcW w:w="392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Net income (loss) attributable to non-controlling</w:t>
            </w:r>
          </w:p>
        </w:tc>
        <w:tc>
          <w:tcPr>
            <w:tcW w:w="28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net of tax</w:t>
            </w:r>
          </w:p>
        </w:tc>
        <w:tc>
          <w:tcPr>
            <w:tcW w:w="28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Net income (loss) attributable to WillScot Mobile Mini</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74,223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160,144</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74,127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20" w:type="dxa"/>
            <w:vAlign w:val="bottom"/>
          </w:tcPr>
          <w:p>
            <w:pPr>
              <w:ind w:left="20"/>
              <w:spacing w:after="0" w:line="178" w:lineRule="exact"/>
              <w:rPr>
                <w:sz w:val="20"/>
                <w:szCs w:val="20"/>
                <w:color w:val="auto"/>
              </w:rPr>
            </w:pPr>
            <w:r>
              <w:rPr>
                <w:rFonts w:ascii="Arial" w:cs="Arial" w:eastAsia="Arial" w:hAnsi="Arial"/>
                <w:sz w:val="16"/>
                <w:szCs w:val="16"/>
                <w:color w:val="auto"/>
              </w:rPr>
              <w:t>Earnings (loss) per share attributable to WillScot</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Pr>
          <w:p>
            <w:pPr>
              <w:ind w:left="20"/>
              <w:spacing w:after="0"/>
              <w:rPr>
                <w:sz w:val="20"/>
                <w:szCs w:val="20"/>
                <w:color w:val="auto"/>
              </w:rPr>
            </w:pPr>
            <w:r>
              <w:rPr>
                <w:rFonts w:ascii="Arial" w:cs="Arial" w:eastAsia="Arial" w:hAnsi="Arial"/>
                <w:sz w:val="16"/>
                <w:szCs w:val="16"/>
                <w:color w:val="auto"/>
              </w:rPr>
              <w:t>Mobile Mini common shareholders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shares:</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223,436,603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228,637,826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226,518,931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169,230,177</w:t>
            </w:r>
          </w:p>
        </w:tc>
        <w:tc>
          <w:tcPr>
            <w:tcW w:w="0" w:type="dxa"/>
            <w:vAlign w:val="bottom"/>
          </w:tcPr>
          <w:p>
            <w:pPr>
              <w:spacing w:after="0"/>
              <w:rPr>
                <w:sz w:val="1"/>
                <w:szCs w:val="1"/>
                <w:color w:val="auto"/>
              </w:rPr>
            </w:pPr>
          </w:p>
        </w:tc>
      </w:tr>
      <w:tr>
        <w:trPr>
          <w:trHeight w:val="219"/>
        </w:trPr>
        <w:tc>
          <w:tcPr>
            <w:tcW w:w="3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229,965,703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233,625,946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232,793,902</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177,268,383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60" w:top="144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1D2758"/>
        </w:rPr>
        <w:t>Unaudited Segment Operating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December 31, 2021 and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59"/>
              <w:spacing w:after="0"/>
              <w:rPr>
                <w:sz w:val="20"/>
                <w:szCs w:val="20"/>
                <w:color w:val="auto"/>
              </w:rPr>
            </w:pPr>
            <w:r>
              <w:rPr>
                <w:rFonts w:ascii="Arial" w:cs="Arial" w:eastAsia="Arial" w:hAnsi="Arial"/>
                <w:sz w:val="16"/>
                <w:szCs w:val="16"/>
                <w:b w:val="1"/>
                <w:bCs w:val="1"/>
                <w:color w:val="FFFFFF"/>
              </w:rPr>
              <w:t>Three Months Ended December 31, 2021</w:t>
            </w: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13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8"/>
                <w:szCs w:val="18"/>
                <w:color w:val="auto"/>
              </w:rPr>
            </w:pPr>
          </w:p>
        </w:tc>
        <w:tc>
          <w:tcPr>
            <w:tcW w:w="1300" w:type="dxa"/>
            <w:vAlign w:val="bottom"/>
            <w:vMerge w:val="restart"/>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8"/>
                <w:szCs w:val="18"/>
                <w:color w:val="auto"/>
              </w:rPr>
            </w:pPr>
          </w:p>
        </w:tc>
        <w:tc>
          <w:tcPr>
            <w:tcW w:w="136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w w:val="99"/>
              </w:rPr>
              <w:t>Tank and Pump</w:t>
            </w:r>
          </w:p>
        </w:tc>
        <w:tc>
          <w:tcPr>
            <w:tcW w:w="36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96"/>
        </w:trPr>
        <w:tc>
          <w:tcPr>
            <w:tcW w:w="374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30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36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1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309,522</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151,363</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27,487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29,548</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517,920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139,453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107,423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17,936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13,657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278,469</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115,263</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71,629</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12,392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11,880</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211,164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67,207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21,261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5,185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6,654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100,307</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84,328</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18,006</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8,627</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110,961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76.7 %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69.8 %</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866</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617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439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552</w:t>
            </w:r>
          </w:p>
        </w:tc>
        <w:tc>
          <w:tcPr>
            <w:tcW w:w="24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158,055</w:t>
            </w:r>
          </w:p>
        </w:tc>
        <w:tc>
          <w:tcPr>
            <w:tcW w:w="22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26,911</w:t>
            </w:r>
          </w:p>
        </w:tc>
        <w:tc>
          <w:tcPr>
            <w:tcW w:w="16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185,518</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62.7 %</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88.1 %</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90.6 %</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88.4 %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228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80"/>
        </w:trPr>
        <w:tc>
          <w:tcPr>
            <w:tcW w:w="37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75.5 %</w:t>
            </w:r>
          </w:p>
        </w:tc>
        <w:tc>
          <w:tcPr>
            <w:tcW w:w="3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75.5 %</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0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19"/>
              <w:spacing w:after="0"/>
              <w:rPr>
                <w:sz w:val="20"/>
                <w:szCs w:val="20"/>
                <w:color w:val="auto"/>
              </w:rPr>
            </w:pPr>
            <w:r>
              <w:rPr>
                <w:rFonts w:ascii="Arial" w:cs="Arial" w:eastAsia="Arial" w:hAnsi="Arial"/>
                <w:sz w:val="16"/>
                <w:szCs w:val="16"/>
                <w:b w:val="1"/>
                <w:bCs w:val="1"/>
                <w:color w:val="FFFFFF"/>
              </w:rPr>
              <w:t>Three Months Ended December 31, 2020</w:t>
            </w: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1D2758"/>
          </w:tcPr>
          <w:p>
            <w:pPr>
              <w:ind w:left="20"/>
              <w:spacing w:after="0" w:line="164"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136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w w:val="99"/>
              </w:rPr>
              <w:t>Tank and Pump</w:t>
            </w:r>
          </w:p>
        </w:tc>
        <w:tc>
          <w:tcPr>
            <w:tcW w:w="36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260" w:type="dxa"/>
            <w:vAlign w:val="bottom"/>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36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270,612</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117,336</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24,708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24,991</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437,647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123,409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83,401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14,971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12,474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234,255</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107,460</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53,372</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9,516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9,336</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179,684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39,396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7,735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1,963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50,110</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86,011</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16,948</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8,834</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111,793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68.2 %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80.9 %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82.4 %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70.9 %</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724</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547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377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15,603</w:t>
            </w:r>
          </w:p>
        </w:tc>
        <w:tc>
          <w:tcPr>
            <w:tcW w:w="24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120,439</w:t>
            </w:r>
          </w:p>
        </w:tc>
        <w:tc>
          <w:tcPr>
            <w:tcW w:w="22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24,496</w:t>
            </w:r>
          </w:p>
        </w:tc>
        <w:tc>
          <w:tcPr>
            <w:tcW w:w="16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160,538</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62.6 %</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83.0 %</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88.6 %</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78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0"/>
        </w:trPr>
        <w:tc>
          <w:tcPr>
            <w:tcW w:w="37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65.2 %</w:t>
            </w:r>
          </w:p>
        </w:tc>
        <w:tc>
          <w:tcPr>
            <w:tcW w:w="3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89"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Comparison of the Year Ended December 31,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59"/>
              <w:spacing w:after="0"/>
              <w:rPr>
                <w:sz w:val="20"/>
                <w:szCs w:val="20"/>
                <w:color w:val="auto"/>
              </w:rPr>
            </w:pPr>
            <w:r>
              <w:rPr>
                <w:rFonts w:ascii="Arial" w:cs="Arial" w:eastAsia="Arial" w:hAnsi="Arial"/>
                <w:sz w:val="16"/>
                <w:szCs w:val="16"/>
                <w:b w:val="1"/>
                <w:bCs w:val="1"/>
                <w:color w:val="FFFFFF"/>
              </w:rPr>
              <w:t>Year Ended December 31, 2021</w:t>
            </w:r>
          </w:p>
        </w:tc>
        <w:tc>
          <w:tcPr>
            <w:tcW w:w="36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300" w:type="dxa"/>
            <w:vAlign w:val="bottom"/>
            <w:shd w:val="clear" w:color="auto" w:fill="1D2758"/>
          </w:tcPr>
          <w:p>
            <w:pPr>
              <w:spacing w:after="0"/>
              <w:rPr>
                <w:sz w:val="14"/>
                <w:szCs w:val="14"/>
                <w:color w:val="auto"/>
              </w:rPr>
            </w:pPr>
          </w:p>
        </w:tc>
        <w:tc>
          <w:tcPr>
            <w:tcW w:w="22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136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8"/>
                <w:szCs w:val="18"/>
                <w:color w:val="auto"/>
              </w:rPr>
            </w:pPr>
          </w:p>
        </w:tc>
        <w:tc>
          <w:tcPr>
            <w:tcW w:w="130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8"/>
                <w:szCs w:val="18"/>
                <w:color w:val="auto"/>
              </w:rPr>
            </w:pPr>
          </w:p>
        </w:tc>
        <w:tc>
          <w:tcPr>
            <w:tcW w:w="1300" w:type="dxa"/>
            <w:vAlign w:val="bottom"/>
            <w:vMerge w:val="restart"/>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8"/>
                <w:szCs w:val="18"/>
                <w:color w:val="auto"/>
              </w:rPr>
            </w:pPr>
          </w:p>
        </w:tc>
        <w:tc>
          <w:tcPr>
            <w:tcW w:w="136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w w:val="99"/>
              </w:rPr>
              <w:t>Tank and Pump</w:t>
            </w:r>
          </w:p>
        </w:tc>
        <w:tc>
          <w:tcPr>
            <w:tcW w:w="360" w:type="dxa"/>
            <w:vAlign w:val="bottom"/>
            <w:shd w:val="clear" w:color="auto" w:fill="1D2758"/>
          </w:tcPr>
          <w:p>
            <w:pPr>
              <w:spacing w:after="0"/>
              <w:rPr>
                <w:sz w:val="18"/>
                <w:szCs w:val="18"/>
                <w:color w:val="auto"/>
              </w:rPr>
            </w:pPr>
          </w:p>
        </w:tc>
        <w:tc>
          <w:tcPr>
            <w:tcW w:w="114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96"/>
        </w:trPr>
        <w:tc>
          <w:tcPr>
            <w:tcW w:w="370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30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30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36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14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1,164,179</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508,802</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111,025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110,891</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1,894,897</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496,445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348,259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71,242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52,262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968,208</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423,004</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226,600</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49,039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41,750</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740,393</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187,495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45,426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27,830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17,747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278,498</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84,524</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16,780</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9,098</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110,402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67.6 %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78.5 %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82.0 %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70.1 %</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809</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582</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7,312</w:t>
            </w:r>
          </w:p>
        </w:tc>
        <w:tc>
          <w:tcPr>
            <w:tcW w:w="24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128,463</w:t>
            </w:r>
          </w:p>
        </w:tc>
        <w:tc>
          <w:tcPr>
            <w:tcW w:w="22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25,691</w:t>
            </w:r>
          </w:p>
        </w:tc>
        <w:tc>
          <w:tcPr>
            <w:tcW w:w="16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161,466</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68.8 %</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80.9 %</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90.2 %</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81.5 %</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0"/>
        </w:trPr>
        <w:tc>
          <w:tcPr>
            <w:tcW w:w="370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72.3 %</w:t>
            </w: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72.3 %</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0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3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4300" w:type="dxa"/>
            <w:vAlign w:val="bottom"/>
            <w:gridSpan w:val="5"/>
            <w:shd w:val="clear" w:color="auto" w:fill="1D2758"/>
          </w:tcPr>
          <w:p>
            <w:pPr>
              <w:jc w:val="center"/>
              <w:ind w:right="119"/>
              <w:spacing w:after="0"/>
              <w:rPr>
                <w:sz w:val="20"/>
                <w:szCs w:val="20"/>
                <w:color w:val="auto"/>
              </w:rPr>
            </w:pPr>
            <w:r>
              <w:rPr>
                <w:rFonts w:ascii="Arial" w:cs="Arial" w:eastAsia="Arial" w:hAnsi="Arial"/>
                <w:sz w:val="16"/>
                <w:szCs w:val="16"/>
                <w:b w:val="1"/>
                <w:bCs w:val="1"/>
                <w:color w:val="FFFFFF"/>
              </w:rPr>
              <w:t>Year Ended December 31, 2020</w:t>
            </w:r>
          </w:p>
        </w:tc>
        <w:tc>
          <w:tcPr>
            <w:tcW w:w="360" w:type="dxa"/>
            <w:vAlign w:val="bottom"/>
            <w:shd w:val="clear" w:color="auto" w:fill="1D2758"/>
          </w:tcPr>
          <w:p>
            <w:pPr>
              <w:spacing w:after="0"/>
              <w:rPr>
                <w:sz w:val="18"/>
                <w:szCs w:val="18"/>
                <w:color w:val="auto"/>
              </w:rPr>
            </w:pPr>
          </w:p>
        </w:tc>
        <w:tc>
          <w:tcPr>
            <w:tcW w:w="11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1D2758"/>
          </w:tcPr>
          <w:p>
            <w:pPr>
              <w:ind w:left="20"/>
              <w:spacing w:after="0" w:line="164"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0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30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Storage</w:t>
            </w:r>
          </w:p>
        </w:tc>
        <w:tc>
          <w:tcPr>
            <w:tcW w:w="22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jc w:val="center"/>
              <w:ind w:right="139"/>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136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w w:val="99"/>
              </w:rPr>
              <w:t>Tank and Pump</w:t>
            </w:r>
          </w:p>
        </w:tc>
        <w:tc>
          <w:tcPr>
            <w:tcW w:w="360" w:type="dxa"/>
            <w:vAlign w:val="bottom"/>
            <w:shd w:val="clear" w:color="auto" w:fill="1D2758"/>
          </w:tcPr>
          <w:p>
            <w:pPr>
              <w:spacing w:after="0"/>
              <w:rPr>
                <w:sz w:val="14"/>
                <w:szCs w:val="14"/>
                <w:color w:val="auto"/>
              </w:rPr>
            </w:pPr>
          </w:p>
        </w:tc>
        <w:tc>
          <w:tcPr>
            <w:tcW w:w="114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0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30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260" w:type="dxa"/>
            <w:vAlign w:val="bottom"/>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360" w:type="dxa"/>
            <w:vAlign w:val="bottom"/>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1,051,162</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221,829</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46,361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48,293</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1,367,645</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451,642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156,785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27,642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23,904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659,973</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394,805</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99,837</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17,822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17,843</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530,307</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153,327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14,969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1,693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2,394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172,383</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0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86,874</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8,333</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4,319</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99,526</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68.9 %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80.6 %</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80.8 %</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70.2 %</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685</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526</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367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0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15,823</w:t>
            </w:r>
          </w:p>
        </w:tc>
        <w:tc>
          <w:tcPr>
            <w:tcW w:w="24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56,415</w:t>
            </w:r>
          </w:p>
        </w:tc>
        <w:tc>
          <w:tcPr>
            <w:tcW w:w="22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11,910</w:t>
            </w:r>
          </w:p>
        </w:tc>
        <w:tc>
          <w:tcPr>
            <w:tcW w:w="160" w:type="dxa"/>
            <w:vAlign w:val="bottom"/>
          </w:tcPr>
          <w:p>
            <w:pPr>
              <w:spacing w:after="0"/>
              <w:rPr>
                <w:sz w:val="18"/>
                <w:szCs w:val="18"/>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84,148</w:t>
            </w:r>
          </w:p>
        </w:tc>
        <w:tc>
          <w:tcPr>
            <w:tcW w:w="0" w:type="dxa"/>
            <w:vAlign w:val="bottom"/>
          </w:tcPr>
          <w:p>
            <w:pPr>
              <w:spacing w:after="0"/>
              <w:rPr>
                <w:sz w:val="1"/>
                <w:szCs w:val="1"/>
                <w:color w:val="auto"/>
              </w:rPr>
            </w:pPr>
          </w:p>
        </w:tc>
      </w:tr>
      <w:tr>
        <w:trPr>
          <w:trHeight w:val="219"/>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63.5 %</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78.2 %</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85.9 %</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75.9 %</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color w:val="auto"/>
              </w:rPr>
              <w:t>122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76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0"/>
        </w:trPr>
        <w:tc>
          <w:tcPr>
            <w:tcW w:w="370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61.7 %</w:t>
            </w:r>
          </w:p>
        </w:tc>
        <w:tc>
          <w:tcPr>
            <w:tcW w:w="36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08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1D2758"/>
        </w:rPr>
        <w:t>WillScot Mobile Mini Holdings Corp.</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D2758"/>
        </w:rPr>
        <w:t>Condensed Consolidated Balance Sheets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320" w:type="dxa"/>
            <w:vAlign w:val="bottom"/>
            <w:shd w:val="clear" w:color="auto" w:fill="1D2758"/>
          </w:tcPr>
          <w:p>
            <w:pPr>
              <w:spacing w:after="0"/>
              <w:rPr>
                <w:sz w:val="24"/>
                <w:szCs w:val="24"/>
                <w:color w:val="auto"/>
              </w:rPr>
            </w:pPr>
          </w:p>
        </w:tc>
        <w:tc>
          <w:tcPr>
            <w:tcW w:w="2240" w:type="dxa"/>
            <w:vAlign w:val="bottom"/>
            <w:gridSpan w:val="2"/>
            <w:shd w:val="clear" w:color="auto" w:fill="1D2758"/>
          </w:tcPr>
          <w:p>
            <w:pPr>
              <w:ind w:left="200"/>
              <w:spacing w:after="0"/>
              <w:rPr>
                <w:sz w:val="20"/>
                <w:szCs w:val="20"/>
                <w:color w:val="auto"/>
              </w:rPr>
            </w:pPr>
            <w:r>
              <w:rPr>
                <w:rFonts w:ascii="Arial" w:cs="Arial" w:eastAsia="Arial" w:hAnsi="Arial"/>
                <w:sz w:val="16"/>
                <w:szCs w:val="16"/>
                <w:b w:val="1"/>
                <w:bCs w:val="1"/>
                <w:color w:val="FFFFFF"/>
              </w:rPr>
              <w:t>December 31, 2021</w:t>
            </w:r>
          </w:p>
        </w:tc>
        <w:tc>
          <w:tcPr>
            <w:tcW w:w="320" w:type="dxa"/>
            <w:vAlign w:val="bottom"/>
            <w:shd w:val="clear" w:color="auto" w:fill="1D2758"/>
          </w:tcPr>
          <w:p>
            <w:pPr>
              <w:spacing w:after="0"/>
              <w:rPr>
                <w:sz w:val="24"/>
                <w:szCs w:val="24"/>
                <w:color w:val="auto"/>
              </w:rPr>
            </w:pPr>
          </w:p>
        </w:tc>
        <w:tc>
          <w:tcPr>
            <w:tcW w:w="216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December 31, 2020</w:t>
            </w:r>
          </w:p>
        </w:tc>
        <w:tc>
          <w:tcPr>
            <w:tcW w:w="0" w:type="dxa"/>
            <w:vAlign w:val="bottom"/>
          </w:tcPr>
          <w:p>
            <w:pPr>
              <w:spacing w:after="0"/>
              <w:rPr>
                <w:sz w:val="1"/>
                <w:szCs w:val="1"/>
                <w:color w:val="auto"/>
              </w:rPr>
            </w:pPr>
          </w:p>
        </w:tc>
      </w:tr>
      <w:tr>
        <w:trPr>
          <w:trHeight w:val="216"/>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12,699</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24,937</w:t>
            </w:r>
          </w:p>
        </w:tc>
        <w:tc>
          <w:tcPr>
            <w:tcW w:w="0" w:type="dxa"/>
            <w:vAlign w:val="bottom"/>
          </w:tcPr>
          <w:p>
            <w:pPr>
              <w:spacing w:after="0"/>
              <w:rPr>
                <w:sz w:val="1"/>
                <w:szCs w:val="1"/>
                <w:color w:val="auto"/>
              </w:rPr>
            </w:pPr>
          </w:p>
        </w:tc>
      </w:tr>
      <w:tr>
        <w:trPr>
          <w:trHeight w:val="180"/>
        </w:trPr>
        <w:tc>
          <w:tcPr>
            <w:tcW w:w="6200" w:type="dxa"/>
            <w:vAlign w:val="bottom"/>
            <w:shd w:val="clear" w:color="auto" w:fill="DDDDDD"/>
          </w:tcPr>
          <w:p>
            <w:pPr>
              <w:ind w:left="240"/>
              <w:spacing w:after="0" w:line="181" w:lineRule="exact"/>
              <w:rPr>
                <w:sz w:val="20"/>
                <w:szCs w:val="20"/>
                <w:color w:val="auto"/>
              </w:rPr>
            </w:pPr>
            <w:r>
              <w:rPr>
                <w:rFonts w:ascii="Arial" w:cs="Arial" w:eastAsia="Arial" w:hAnsi="Arial"/>
                <w:sz w:val="16"/>
                <w:szCs w:val="16"/>
                <w:color w:val="auto"/>
              </w:rPr>
              <w:t>Trade receivables, net of allowances for credit losses at December 31, 2021 and</w:t>
            </w:r>
          </w:p>
        </w:tc>
        <w:tc>
          <w:tcPr>
            <w:tcW w:w="320" w:type="dxa"/>
            <w:vAlign w:val="bottom"/>
            <w:shd w:val="clear" w:color="auto" w:fill="DDDDDD"/>
          </w:tcPr>
          <w:p>
            <w:pPr>
              <w:spacing w:after="0"/>
              <w:rPr>
                <w:sz w:val="15"/>
                <w:szCs w:val="15"/>
                <w:color w:val="auto"/>
              </w:rPr>
            </w:pPr>
          </w:p>
        </w:tc>
        <w:tc>
          <w:tcPr>
            <w:tcW w:w="21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1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December 31, 2020 of $47,629 and $29,258, respectively</w:t>
            </w: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399,887</w:t>
            </w: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330,942</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32,739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23,731</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36,761</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29,954</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80" w:type="dxa"/>
            <w:vAlign w:val="bottom"/>
            <w:tcBorders>
              <w:bottom w:val="single" w:sz="8" w:color="DDDDD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12,004</w:t>
            </w:r>
          </w:p>
        </w:tc>
        <w:tc>
          <w:tcPr>
            <w:tcW w:w="0" w:type="dxa"/>
            <w:vAlign w:val="bottom"/>
          </w:tcPr>
          <w:p>
            <w:pPr>
              <w:spacing w:after="0"/>
              <w:rPr>
                <w:sz w:val="1"/>
                <w:szCs w:val="1"/>
                <w:color w:val="auto"/>
              </w:rPr>
            </w:pPr>
          </w:p>
        </w:tc>
      </w:tr>
      <w:tr>
        <w:trPr>
          <w:trHeight w:val="212"/>
        </w:trPr>
        <w:tc>
          <w:tcPr>
            <w:tcW w:w="6200" w:type="dxa"/>
            <w:vAlign w:val="bottom"/>
            <w:shd w:val="clear" w:color="auto" w:fill="DDDDDD"/>
          </w:tcPr>
          <w:p>
            <w:pPr>
              <w:ind w:left="4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483,040</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421,568</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3,080,981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2,931,646</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312,178</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303,650</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Operating lease assets</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247,064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232,094</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1,178,806</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1,171,219</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460,678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495,947</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shd w:val="clear" w:color="auto" w:fill="DDDDDD"/>
          </w:tcPr>
          <w:p>
            <w:pPr>
              <w:spacing w:after="0"/>
              <w:rPr>
                <w:sz w:val="19"/>
                <w:szCs w:val="19"/>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10,852</w:t>
            </w:r>
          </w:p>
        </w:tc>
        <w:tc>
          <w:tcPr>
            <w:tcW w:w="8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16,081</w:t>
            </w:r>
          </w:p>
        </w:tc>
        <w:tc>
          <w:tcPr>
            <w:tcW w:w="0" w:type="dxa"/>
            <w:vAlign w:val="bottom"/>
          </w:tcPr>
          <w:p>
            <w:pPr>
              <w:spacing w:after="0"/>
              <w:rPr>
                <w:sz w:val="1"/>
                <w:szCs w:val="1"/>
                <w:color w:val="auto"/>
              </w:rPr>
            </w:pPr>
          </w:p>
        </w:tc>
      </w:tr>
      <w:tr>
        <w:trPr>
          <w:trHeight w:val="207"/>
        </w:trPr>
        <w:tc>
          <w:tcPr>
            <w:tcW w:w="6200" w:type="dxa"/>
            <w:vAlign w:val="bottom"/>
            <w:tcBorders>
              <w:bottom w:val="single" w:sz="8" w:color="DDDDDD"/>
            </w:tcBorders>
          </w:tcPr>
          <w:p>
            <w:pPr>
              <w:ind w:left="460"/>
              <w:spacing w:after="0"/>
              <w:rPr>
                <w:sz w:val="20"/>
                <w:szCs w:val="20"/>
                <w:color w:val="auto"/>
              </w:rPr>
            </w:pPr>
            <w:r>
              <w:rPr>
                <w:rFonts w:ascii="Arial" w:cs="Arial" w:eastAsia="Arial" w:hAnsi="Arial"/>
                <w:sz w:val="16"/>
                <w:szCs w:val="16"/>
                <w:color w:val="auto"/>
              </w:rPr>
              <w:t>Total long-term assets</w:t>
            </w: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5,290,559</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5,150,637</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DDDDDD"/>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5,773,599</w:t>
            </w:r>
          </w:p>
        </w:tc>
        <w:tc>
          <w:tcPr>
            <w:tcW w:w="80" w:type="dxa"/>
            <w:vAlign w:val="bottom"/>
            <w:tcBorders>
              <w:bottom w:val="single" w:sz="8" w:color="DDDDDD"/>
            </w:tcBorders>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5,572,205</w:t>
            </w:r>
          </w:p>
        </w:tc>
        <w:tc>
          <w:tcPr>
            <w:tcW w:w="0" w:type="dxa"/>
            <w:vAlign w:val="bottom"/>
          </w:tcPr>
          <w:p>
            <w:pPr>
              <w:spacing w:after="0"/>
              <w:rPr>
                <w:sz w:val="1"/>
                <w:szCs w:val="1"/>
                <w:color w:val="auto"/>
              </w:rPr>
            </w:pPr>
          </w:p>
        </w:tc>
      </w:tr>
      <w:tr>
        <w:trPr>
          <w:trHeight w:val="20"/>
        </w:trPr>
        <w:tc>
          <w:tcPr>
            <w:tcW w:w="620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21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DDDDDD"/>
              <w:bottom w:val="single" w:sz="8" w:color="auto"/>
            </w:tcBorders>
          </w:tcPr>
          <w:p>
            <w:pPr>
              <w:spacing w:after="0" w:line="20" w:lineRule="exact"/>
              <w:rPr>
                <w:sz w:val="1"/>
                <w:szCs w:val="1"/>
                <w:color w:val="auto"/>
              </w:rPr>
            </w:pPr>
          </w:p>
        </w:tc>
        <w:tc>
          <w:tcPr>
            <w:tcW w:w="21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118,271</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106,926</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100,195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91,381</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Accrued employee benefits</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68,414</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50,291</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Deferred revenue and customer deposits</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159,639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135,485</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Operating lease liabilities - current</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53,005</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48,063</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Current portion of long-term debt</w:t>
            </w: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18,121</w:t>
            </w:r>
          </w:p>
        </w:tc>
        <w:tc>
          <w:tcPr>
            <w:tcW w:w="80" w:type="dxa"/>
            <w:vAlign w:val="bottom"/>
            <w:tcBorders>
              <w:bottom w:val="single" w:sz="8" w:color="DDDDD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16,521</w:t>
            </w:r>
          </w:p>
        </w:tc>
        <w:tc>
          <w:tcPr>
            <w:tcW w:w="0" w:type="dxa"/>
            <w:vAlign w:val="bottom"/>
          </w:tcPr>
          <w:p>
            <w:pPr>
              <w:spacing w:after="0"/>
              <w:rPr>
                <w:sz w:val="1"/>
                <w:szCs w:val="1"/>
                <w:color w:val="auto"/>
              </w:rPr>
            </w:pPr>
          </w:p>
        </w:tc>
      </w:tr>
      <w:tr>
        <w:trPr>
          <w:trHeight w:val="213"/>
        </w:trPr>
        <w:tc>
          <w:tcPr>
            <w:tcW w:w="6200" w:type="dxa"/>
            <w:vAlign w:val="bottom"/>
            <w:shd w:val="clear" w:color="auto" w:fill="DDDDDD"/>
          </w:tcPr>
          <w:p>
            <w:pPr>
              <w:ind w:left="46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517,645</w:t>
            </w:r>
          </w:p>
        </w:tc>
        <w:tc>
          <w:tcPr>
            <w:tcW w:w="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448,667</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2,694,319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2,453,809</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354,879</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307,541</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Operating lease liabilities - non-current</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194,256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183,761</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Common stock warrant liabilities</w:t>
            </w:r>
          </w:p>
        </w:tc>
        <w:tc>
          <w:tcPr>
            <w:tcW w:w="320" w:type="dxa"/>
            <w:vAlign w:val="bottom"/>
            <w:shd w:val="clear" w:color="auto" w:fill="DDDDDD"/>
          </w:tcPr>
          <w:p>
            <w:pPr>
              <w:spacing w:after="0"/>
              <w:rPr>
                <w:sz w:val="19"/>
                <w:szCs w:val="19"/>
                <w:color w:val="auto"/>
              </w:rPr>
            </w:pPr>
          </w:p>
        </w:tc>
        <w:tc>
          <w:tcPr>
            <w:tcW w:w="2240" w:type="dxa"/>
            <w:vAlign w:val="bottom"/>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77,404</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15,737</w:t>
            </w:r>
          </w:p>
        </w:tc>
        <w:tc>
          <w:tcPr>
            <w:tcW w:w="80" w:type="dxa"/>
            <w:vAlign w:val="bottom"/>
            <w:tcBorders>
              <w:bottom w:val="single" w:sz="8" w:color="DDDDD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37,150</w:t>
            </w:r>
          </w:p>
        </w:tc>
        <w:tc>
          <w:tcPr>
            <w:tcW w:w="0" w:type="dxa"/>
            <w:vAlign w:val="bottom"/>
          </w:tcPr>
          <w:p>
            <w:pPr>
              <w:spacing w:after="0"/>
              <w:rPr>
                <w:sz w:val="1"/>
                <w:szCs w:val="1"/>
                <w:color w:val="auto"/>
              </w:rPr>
            </w:pPr>
          </w:p>
        </w:tc>
      </w:tr>
      <w:tr>
        <w:trPr>
          <w:trHeight w:val="213"/>
        </w:trPr>
        <w:tc>
          <w:tcPr>
            <w:tcW w:w="6200" w:type="dxa"/>
            <w:vAlign w:val="bottom"/>
            <w:shd w:val="clear" w:color="auto" w:fill="DDDDDD"/>
          </w:tcPr>
          <w:p>
            <w:pPr>
              <w:ind w:left="460"/>
              <w:spacing w:after="0"/>
              <w:rPr>
                <w:sz w:val="20"/>
                <w:szCs w:val="20"/>
                <w:color w:val="auto"/>
              </w:rPr>
            </w:pPr>
            <w:r>
              <w:rPr>
                <w:rFonts w:ascii="Arial" w:cs="Arial" w:eastAsia="Arial" w:hAnsi="Arial"/>
                <w:sz w:val="16"/>
                <w:szCs w:val="16"/>
                <w:color w:val="auto"/>
              </w:rPr>
              <w:t>Long-term liabilities</w:t>
            </w:r>
          </w:p>
        </w:tc>
        <w:tc>
          <w:tcPr>
            <w:tcW w:w="320" w:type="dxa"/>
            <w:vAlign w:val="bottom"/>
            <w:tcBorders>
              <w:bottom w:val="single" w:sz="8" w:color="auto"/>
            </w:tcBorders>
            <w:shd w:val="clear" w:color="auto" w:fill="DDDDDD"/>
          </w:tcPr>
          <w:p>
            <w:pPr>
              <w:spacing w:after="0"/>
              <w:rPr>
                <w:sz w:val="18"/>
                <w:szCs w:val="18"/>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3,259,191</w:t>
            </w:r>
          </w:p>
        </w:tc>
        <w:tc>
          <w:tcPr>
            <w:tcW w:w="80" w:type="dxa"/>
            <w:vAlign w:val="bottom"/>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3,059,665</w:t>
            </w:r>
          </w:p>
        </w:tc>
        <w:tc>
          <w:tcPr>
            <w:tcW w:w="0" w:type="dxa"/>
            <w:vAlign w:val="bottom"/>
          </w:tcPr>
          <w:p>
            <w:pPr>
              <w:spacing w:after="0"/>
              <w:rPr>
                <w:sz w:val="1"/>
                <w:szCs w:val="1"/>
                <w:color w:val="auto"/>
              </w:rPr>
            </w:pPr>
          </w:p>
        </w:tc>
      </w:tr>
      <w:tr>
        <w:trPr>
          <w:trHeight w:val="206"/>
        </w:trPr>
        <w:tc>
          <w:tcPr>
            <w:tcW w:w="620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3,776,836</w:t>
            </w:r>
          </w:p>
        </w:tc>
        <w:tc>
          <w:tcPr>
            <w:tcW w:w="8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3,508,332</w:t>
            </w:r>
          </w:p>
        </w:tc>
        <w:tc>
          <w:tcPr>
            <w:tcW w:w="0" w:type="dxa"/>
            <w:vAlign w:val="bottom"/>
          </w:tcPr>
          <w:p>
            <w:pPr>
              <w:spacing w:after="0"/>
              <w:rPr>
                <w:sz w:val="1"/>
                <w:szCs w:val="1"/>
                <w:color w:val="auto"/>
              </w:rPr>
            </w:pPr>
          </w:p>
        </w:tc>
      </w:tr>
      <w:tr>
        <w:trPr>
          <w:trHeight w:val="199"/>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Commitments and contingencies</w:t>
            </w: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00" w:type="dxa"/>
            <w:vAlign w:val="bottom"/>
          </w:tcPr>
          <w:p>
            <w:pPr>
              <w:ind w:left="240"/>
              <w:spacing w:after="0" w:line="178" w:lineRule="exact"/>
              <w:rPr>
                <w:sz w:val="20"/>
                <w:szCs w:val="20"/>
                <w:color w:val="auto"/>
              </w:rPr>
            </w:pPr>
            <w:r>
              <w:rPr>
                <w:rFonts w:ascii="Arial" w:cs="Arial" w:eastAsia="Arial" w:hAnsi="Arial"/>
                <w:sz w:val="16"/>
                <w:szCs w:val="16"/>
                <w:color w:val="auto"/>
              </w:rPr>
              <w:t>Preferred Stock: $0.0001 par, 1,000,000 shares authorized and zero shares issued</w:t>
            </w:r>
          </w:p>
        </w:tc>
        <w:tc>
          <w:tcPr>
            <w:tcW w:w="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240"/>
              <w:spacing w:after="0"/>
              <w:rPr>
                <w:sz w:val="20"/>
                <w:szCs w:val="20"/>
                <w:color w:val="auto"/>
              </w:rPr>
            </w:pPr>
            <w:r>
              <w:rPr>
                <w:rFonts w:ascii="Arial" w:cs="Arial" w:eastAsia="Arial" w:hAnsi="Arial"/>
                <w:sz w:val="16"/>
                <w:szCs w:val="16"/>
                <w:color w:val="auto"/>
              </w:rPr>
              <w:t>and outstanding at December 31, 2021 and December 31, 2020</w:t>
            </w:r>
          </w:p>
        </w:tc>
        <w:tc>
          <w:tcPr>
            <w:tcW w:w="320" w:type="dxa"/>
            <w:vAlign w:val="bottom"/>
          </w:tcPr>
          <w:p>
            <w:pPr>
              <w:spacing w:after="0"/>
              <w:rPr>
                <w:sz w:val="17"/>
                <w:szCs w:val="17"/>
                <w:color w:val="auto"/>
              </w:rPr>
            </w:pPr>
          </w:p>
        </w:tc>
        <w:tc>
          <w:tcPr>
            <w:tcW w:w="2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6200" w:type="dxa"/>
            <w:vAlign w:val="bottom"/>
            <w:shd w:val="clear" w:color="auto" w:fill="DDDDDD"/>
          </w:tcPr>
          <w:p>
            <w:pPr>
              <w:ind w:left="240"/>
              <w:spacing w:after="0" w:line="181" w:lineRule="exact"/>
              <w:rPr>
                <w:sz w:val="20"/>
                <w:szCs w:val="20"/>
                <w:color w:val="auto"/>
              </w:rPr>
            </w:pPr>
            <w:r>
              <w:rPr>
                <w:rFonts w:ascii="Arial" w:cs="Arial" w:eastAsia="Arial" w:hAnsi="Arial"/>
                <w:sz w:val="16"/>
                <w:szCs w:val="16"/>
                <w:color w:val="auto"/>
              </w:rPr>
              <w:t>Common Stock: $0.0001 par, 500,000,000 shares authorized and 223,939,527</w:t>
            </w:r>
          </w:p>
        </w:tc>
        <w:tc>
          <w:tcPr>
            <w:tcW w:w="320" w:type="dxa"/>
            <w:vAlign w:val="bottom"/>
            <w:shd w:val="clear" w:color="auto" w:fill="DDDDDD"/>
          </w:tcPr>
          <w:p>
            <w:pPr>
              <w:spacing w:after="0"/>
              <w:rPr>
                <w:sz w:val="15"/>
                <w:szCs w:val="15"/>
                <w:color w:val="auto"/>
              </w:rPr>
            </w:pPr>
          </w:p>
        </w:tc>
        <w:tc>
          <w:tcPr>
            <w:tcW w:w="21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21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DDDDDD"/>
          </w:tcPr>
          <w:p>
            <w:pPr>
              <w:ind w:left="240"/>
              <w:spacing w:after="0" w:line="162" w:lineRule="exact"/>
              <w:rPr>
                <w:sz w:val="20"/>
                <w:szCs w:val="20"/>
                <w:color w:val="auto"/>
              </w:rPr>
            </w:pPr>
            <w:r>
              <w:rPr>
                <w:rFonts w:ascii="Arial" w:cs="Arial" w:eastAsia="Arial" w:hAnsi="Arial"/>
                <w:sz w:val="16"/>
                <w:szCs w:val="16"/>
                <w:color w:val="auto"/>
              </w:rPr>
              <w:t>and 229,038,158 shares issued and outstanding at December 31, 2021 and</w:t>
            </w:r>
          </w:p>
        </w:tc>
        <w:tc>
          <w:tcPr>
            <w:tcW w:w="320" w:type="dxa"/>
            <w:vAlign w:val="bottom"/>
            <w:shd w:val="clear" w:color="auto" w:fill="DDDDDD"/>
          </w:tcPr>
          <w:p>
            <w:pPr>
              <w:spacing w:after="0"/>
              <w:rPr>
                <w:sz w:val="14"/>
                <w:szCs w:val="14"/>
                <w:color w:val="auto"/>
              </w:rPr>
            </w:pPr>
          </w:p>
        </w:tc>
        <w:tc>
          <w:tcPr>
            <w:tcW w:w="21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21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December 31, 2020, respectively</w:t>
            </w: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Additional paid-in-capital</w:t>
            </w: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3,616,902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3,852,291</w:t>
            </w:r>
          </w:p>
        </w:tc>
        <w:tc>
          <w:tcPr>
            <w:tcW w:w="0" w:type="dxa"/>
            <w:vAlign w:val="bottom"/>
          </w:tcPr>
          <w:p>
            <w:pPr>
              <w:spacing w:after="0"/>
              <w:rPr>
                <w:sz w:val="1"/>
                <w:szCs w:val="1"/>
                <w:color w:val="auto"/>
              </w:rPr>
            </w:pPr>
          </w:p>
        </w:tc>
      </w:tr>
      <w:tr>
        <w:trPr>
          <w:trHeight w:val="219"/>
        </w:trPr>
        <w:tc>
          <w:tcPr>
            <w:tcW w:w="620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(29,071)</w:t>
            </w:r>
          </w:p>
        </w:tc>
        <w:tc>
          <w:tcPr>
            <w:tcW w:w="8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21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(37,207)</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(1,591,090)</w:t>
            </w:r>
          </w:p>
        </w:tc>
        <w:tc>
          <w:tcPr>
            <w:tcW w:w="80" w:type="dxa"/>
            <w:vAlign w:val="bottom"/>
            <w:tcBorders>
              <w:bottom w:val="single" w:sz="8" w:color="DDDDDD"/>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(1,751,234)</w:t>
            </w:r>
          </w:p>
        </w:tc>
        <w:tc>
          <w:tcPr>
            <w:tcW w:w="0" w:type="dxa"/>
            <w:vAlign w:val="bottom"/>
          </w:tcPr>
          <w:p>
            <w:pPr>
              <w:spacing w:after="0"/>
              <w:rPr>
                <w:sz w:val="1"/>
                <w:szCs w:val="1"/>
                <w:color w:val="auto"/>
              </w:rPr>
            </w:pPr>
          </w:p>
        </w:tc>
      </w:tr>
      <w:tr>
        <w:trPr>
          <w:trHeight w:val="213"/>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Total shareholders' equity</w:t>
            </w:r>
          </w:p>
        </w:tc>
        <w:tc>
          <w:tcPr>
            <w:tcW w:w="320" w:type="dxa"/>
            <w:vAlign w:val="bottom"/>
            <w:tcBorders>
              <w:bottom w:val="single" w:sz="8" w:color="auto"/>
            </w:tcBorders>
            <w:shd w:val="clear" w:color="auto" w:fill="DDDDDD"/>
          </w:tcPr>
          <w:p>
            <w:pPr>
              <w:spacing w:after="0"/>
              <w:rPr>
                <w:sz w:val="18"/>
                <w:szCs w:val="18"/>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1,996,763</w:t>
            </w:r>
          </w:p>
        </w:tc>
        <w:tc>
          <w:tcPr>
            <w:tcW w:w="80" w:type="dxa"/>
            <w:vAlign w:val="bottom"/>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2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2,063,873</w:t>
            </w:r>
          </w:p>
        </w:tc>
        <w:tc>
          <w:tcPr>
            <w:tcW w:w="0" w:type="dxa"/>
            <w:vAlign w:val="bottom"/>
          </w:tcPr>
          <w:p>
            <w:pPr>
              <w:spacing w:after="0"/>
              <w:rPr>
                <w:sz w:val="1"/>
                <w:szCs w:val="1"/>
                <w:color w:val="auto"/>
              </w:rPr>
            </w:pPr>
          </w:p>
        </w:tc>
      </w:tr>
      <w:tr>
        <w:trPr>
          <w:trHeight w:val="206"/>
        </w:trPr>
        <w:tc>
          <w:tcPr>
            <w:tcW w:w="620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5,773,599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5,572,205</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09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1D2758"/>
        </w:rPr>
        <w:t>Reconciliation of Non-GAAP Financial Measures</w:t>
      </w:r>
    </w:p>
    <w:p>
      <w:pPr>
        <w:spacing w:after="0" w:line="3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using GAAP financial measurements,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intrinsic operating results of the Company.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7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We also evaluate Free Cash Flow, a non-GAAP measure that provides useful information concerning cash flow available to fund our capital allocation alternatives.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Adjusted EBITDA</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93" w:lineRule="exact"/>
        <w:rPr>
          <w:sz w:val="20"/>
          <w:szCs w:val="20"/>
          <w:color w:val="auto"/>
        </w:rPr>
      </w:pPr>
    </w:p>
    <w:p>
      <w:pPr>
        <w:ind w:left="1300" w:hanging="320"/>
        <w:spacing w:after="0" w:line="26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Gains and losses resulting from changes in fair value and extinguishment of common stock warrant liabilities.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the Company’s results as reported under US GAAP. Some of these limitations are:</w:t>
      </w:r>
    </w:p>
    <w:p>
      <w:pPr>
        <w:spacing w:after="0" w:line="87"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1300" w:right="20" w:hanging="320"/>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9"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33"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33" w:lineRule="exact"/>
        <w:rPr>
          <w:rFonts w:ascii="Arial" w:cs="Arial" w:eastAsia="Arial" w:hAnsi="Arial"/>
          <w:sz w:val="16"/>
          <w:szCs w:val="16"/>
          <w:color w:val="auto"/>
        </w:rPr>
      </w:pPr>
    </w:p>
    <w:p>
      <w:pPr>
        <w:ind w:left="1300" w:hanging="320"/>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5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9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table provides an unaudited reconciliation of Net income to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3600" w:type="dxa"/>
            <w:vAlign w:val="bottom"/>
            <w:gridSpan w:val="5"/>
            <w:shd w:val="clear" w:color="auto" w:fill="1D2758"/>
          </w:tcPr>
          <w:p>
            <w:pPr>
              <w:ind w:left="240"/>
              <w:spacing w:after="0"/>
              <w:rPr>
                <w:sz w:val="20"/>
                <w:szCs w:val="20"/>
                <w:color w:val="auto"/>
              </w:rPr>
            </w:pPr>
            <w:r>
              <w:rPr>
                <w:rFonts w:ascii="Arial" w:cs="Arial" w:eastAsia="Arial" w:hAnsi="Arial"/>
                <w:sz w:val="16"/>
                <w:szCs w:val="16"/>
                <w:b w:val="1"/>
                <w:bCs w:val="1"/>
                <w:color w:val="FFFFFF"/>
              </w:rPr>
              <w:t>Three Months Ended December 31,</w:t>
            </w:r>
          </w:p>
        </w:tc>
        <w:tc>
          <w:tcPr>
            <w:tcW w:w="440" w:type="dxa"/>
            <w:vAlign w:val="bottom"/>
            <w:shd w:val="clear" w:color="auto" w:fill="1D2758"/>
          </w:tcPr>
          <w:p>
            <w:pPr>
              <w:spacing w:after="0"/>
              <w:rPr>
                <w:sz w:val="18"/>
                <w:szCs w:val="18"/>
                <w:color w:val="auto"/>
              </w:rPr>
            </w:pPr>
          </w:p>
        </w:tc>
        <w:tc>
          <w:tcPr>
            <w:tcW w:w="3420" w:type="dxa"/>
            <w:vAlign w:val="bottom"/>
            <w:gridSpan w:val="4"/>
            <w:shd w:val="clear" w:color="auto" w:fill="1D2758"/>
          </w:tcPr>
          <w:p>
            <w:pPr>
              <w:jc w:val="right"/>
              <w:ind w:right="85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34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5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6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3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74,223</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160,144</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75,340</w:t>
            </w: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Income tax expense (benefit)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13,593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49,546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(51,451)</w:t>
            </w:r>
          </w:p>
        </w:tc>
      </w:tr>
      <w:tr>
        <w:trPr>
          <w:trHeight w:val="219"/>
        </w:trPr>
        <w:tc>
          <w:tcPr>
            <w:tcW w:w="34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9"/>
                <w:szCs w:val="19"/>
                <w:color w:val="auto"/>
              </w:rPr>
            </w:pPr>
          </w:p>
        </w:tc>
        <w:tc>
          <w:tcPr>
            <w:tcW w:w="15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5,999</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42,401</w:t>
            </w: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29,610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30,076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117,987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119,886</w:t>
            </w:r>
          </w:p>
        </w:tc>
      </w:tr>
      <w:tr>
        <w:trPr>
          <w:trHeight w:val="219"/>
        </w:trPr>
        <w:tc>
          <w:tcPr>
            <w:tcW w:w="34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81,754</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74,727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315,567</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243,830</w:t>
            </w:r>
          </w:p>
        </w:tc>
      </w:tr>
      <w:tr>
        <w:trPr>
          <w:trHeight w:val="177"/>
        </w:trPr>
        <w:tc>
          <w:tcPr>
            <w:tcW w:w="3440" w:type="dxa"/>
            <w:vAlign w:val="bottom"/>
          </w:tcPr>
          <w:p>
            <w:pPr>
              <w:ind w:left="240"/>
              <w:spacing w:after="0" w:line="178" w:lineRule="exact"/>
              <w:rPr>
                <w:sz w:val="20"/>
                <w:szCs w:val="20"/>
                <w:color w:val="auto"/>
              </w:rPr>
            </w:pPr>
            <w:r>
              <w:rPr>
                <w:rFonts w:ascii="Arial" w:cs="Arial" w:eastAsia="Arial" w:hAnsi="Arial"/>
                <w:sz w:val="16"/>
                <w:szCs w:val="16"/>
                <w:color w:val="auto"/>
              </w:rPr>
              <w:t>Fair value loss (gain) on common stock</w:t>
            </w:r>
          </w:p>
        </w:tc>
        <w:tc>
          <w:tcPr>
            <w:tcW w:w="340" w:type="dxa"/>
            <w:vAlign w:val="bottom"/>
          </w:tcPr>
          <w:p>
            <w:pPr>
              <w:spacing w:after="0"/>
              <w:rPr>
                <w:sz w:val="15"/>
                <w:szCs w:val="15"/>
                <w:color w:val="auto"/>
              </w:rPr>
            </w:pPr>
          </w:p>
        </w:tc>
        <w:tc>
          <w:tcPr>
            <w:tcW w:w="16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Arial" w:cs="Arial" w:eastAsia="Arial" w:hAnsi="Arial"/>
                <w:sz w:val="16"/>
                <w:szCs w:val="16"/>
                <w:color w:val="auto"/>
              </w:rPr>
              <w:t>42,602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spacing w:after="0" w:line="178" w:lineRule="exact"/>
              <w:rPr>
                <w:sz w:val="20"/>
                <w:szCs w:val="20"/>
                <w:color w:val="auto"/>
              </w:rPr>
            </w:pPr>
            <w:r>
              <w:rPr>
                <w:rFonts w:ascii="Arial" w:cs="Arial" w:eastAsia="Arial" w:hAnsi="Arial"/>
                <w:sz w:val="16"/>
                <w:szCs w:val="16"/>
                <w:color w:val="auto"/>
              </w:rPr>
              <w:t>26,597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line="178" w:lineRule="exact"/>
              <w:rPr>
                <w:sz w:val="20"/>
                <w:szCs w:val="20"/>
                <w:color w:val="auto"/>
              </w:rPr>
            </w:pPr>
            <w:r>
              <w:rPr>
                <w:rFonts w:ascii="Arial" w:cs="Arial" w:eastAsia="Arial" w:hAnsi="Arial"/>
                <w:sz w:val="16"/>
                <w:szCs w:val="16"/>
                <w:color w:val="auto"/>
              </w:rPr>
              <w:t>(3,461)</w:t>
            </w:r>
          </w:p>
        </w:tc>
      </w:tr>
      <w:tr>
        <w:trPr>
          <w:trHeight w:val="198"/>
        </w:trPr>
        <w:tc>
          <w:tcPr>
            <w:tcW w:w="3440" w:type="dxa"/>
            <w:vAlign w:val="bottom"/>
          </w:tcPr>
          <w:p>
            <w:pPr>
              <w:ind w:left="240"/>
              <w:spacing w:after="0"/>
              <w:rPr>
                <w:sz w:val="20"/>
                <w:szCs w:val="20"/>
                <w:color w:val="auto"/>
              </w:rPr>
            </w:pPr>
            <w:r>
              <w:rPr>
                <w:rFonts w:ascii="Arial" w:cs="Arial" w:eastAsia="Arial" w:hAnsi="Arial"/>
                <w:sz w:val="16"/>
                <w:szCs w:val="16"/>
                <w:color w:val="auto"/>
              </w:rPr>
              <w:t>warrant liabilities</w:t>
            </w: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34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(gains), net</w:t>
            </w:r>
          </w:p>
        </w:tc>
        <w:tc>
          <w:tcPr>
            <w:tcW w:w="34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352</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548</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r>
      <w:tr>
        <w:trPr>
          <w:trHeight w:val="177"/>
        </w:trPr>
        <w:tc>
          <w:tcPr>
            <w:tcW w:w="3440" w:type="dxa"/>
            <w:vAlign w:val="bottom"/>
          </w:tcPr>
          <w:p>
            <w:pPr>
              <w:ind w:left="240"/>
              <w:spacing w:after="0" w:line="178" w:lineRule="exact"/>
              <w:rPr>
                <w:sz w:val="20"/>
                <w:szCs w:val="20"/>
                <w:color w:val="auto"/>
              </w:rPr>
            </w:pPr>
            <w:r>
              <w:rPr>
                <w:rFonts w:ascii="Arial" w:cs="Arial" w:eastAsia="Arial" w:hAnsi="Arial"/>
                <w:sz w:val="16"/>
                <w:szCs w:val="16"/>
                <w:color w:val="auto"/>
              </w:rPr>
              <w:t>Restructuring costs, lease impairment</w:t>
            </w: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8"/>
        </w:trPr>
        <w:tc>
          <w:tcPr>
            <w:tcW w:w="3440" w:type="dxa"/>
            <w:vAlign w:val="bottom"/>
          </w:tcPr>
          <w:p>
            <w:pPr>
              <w:ind w:left="240"/>
              <w:spacing w:after="0"/>
              <w:rPr>
                <w:sz w:val="20"/>
                <w:szCs w:val="20"/>
                <w:color w:val="auto"/>
              </w:rPr>
            </w:pPr>
            <w:r>
              <w:rPr>
                <w:rFonts w:ascii="Arial" w:cs="Arial" w:eastAsia="Arial" w:hAnsi="Arial"/>
                <w:sz w:val="16"/>
                <w:szCs w:val="16"/>
                <w:color w:val="auto"/>
              </w:rPr>
              <w:t>expense and other related charges</w:t>
            </w:r>
          </w:p>
        </w:tc>
        <w:tc>
          <w:tcPr>
            <w:tcW w:w="3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470</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14,756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11,403</w:t>
            </w:r>
          </w:p>
        </w:tc>
      </w:tr>
      <w:tr>
        <w:trPr>
          <w:trHeight w:val="219"/>
        </w:trPr>
        <w:tc>
          <w:tcPr>
            <w:tcW w:w="34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34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1,375</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64,053</w:t>
            </w: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28,424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18,338</w:t>
            </w:r>
          </w:p>
        </w:tc>
      </w:tr>
      <w:tr>
        <w:trPr>
          <w:trHeight w:val="219"/>
        </w:trPr>
        <w:tc>
          <w:tcPr>
            <w:tcW w:w="34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34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4,509</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18,989</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9,879</w:t>
            </w:r>
          </w:p>
        </w:tc>
      </w:tr>
      <w:tr>
        <w:trPr>
          <w:trHeight w:val="213"/>
        </w:trPr>
        <w:tc>
          <w:tcPr>
            <w:tcW w:w="34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37"/>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211,164</w:t>
            </w:r>
          </w:p>
        </w:tc>
        <w:tc>
          <w:tcPr>
            <w:tcW w:w="8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179,684</w:t>
            </w:r>
          </w:p>
        </w:tc>
        <w:tc>
          <w:tcPr>
            <w:tcW w:w="10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740,393</w:t>
            </w:r>
          </w:p>
        </w:tc>
        <w:tc>
          <w:tcPr>
            <w:tcW w:w="8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530,307</w:t>
            </w:r>
          </w:p>
        </w:tc>
      </w:tr>
      <w:tr>
        <w:trPr>
          <w:trHeight w:val="20"/>
        </w:trPr>
        <w:tc>
          <w:tcPr>
            <w:tcW w:w="34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Net Income Excluding Gain/Loss from Warrants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define Net Income Excluding Gain/Loss from Warrants as net income plus or minus the impact of the change in the fair value of the common stock warrant liability. Management believes that the presentation of our financial statements excluding the impact of this mark-to-market adjustment provides useful information regarding our results of operations and assists in the review of the actual operating performance of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Net income to Net Income Excluding Gain/Loss from Warrants: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3420" w:type="dxa"/>
            <w:vAlign w:val="bottom"/>
            <w:gridSpan w:val="3"/>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Three Months Ended December 31,</w:t>
            </w:r>
          </w:p>
        </w:tc>
        <w:tc>
          <w:tcPr>
            <w:tcW w:w="400" w:type="dxa"/>
            <w:vAlign w:val="bottom"/>
            <w:shd w:val="clear" w:color="auto" w:fill="1D2758"/>
          </w:tcPr>
          <w:p>
            <w:pPr>
              <w:spacing w:after="0"/>
              <w:rPr>
                <w:sz w:val="18"/>
                <w:szCs w:val="18"/>
                <w:color w:val="auto"/>
              </w:rPr>
            </w:pPr>
          </w:p>
        </w:tc>
        <w:tc>
          <w:tcPr>
            <w:tcW w:w="3240" w:type="dxa"/>
            <w:vAlign w:val="bottom"/>
            <w:gridSpan w:val="3"/>
            <w:shd w:val="clear" w:color="auto" w:fill="1D2758"/>
          </w:tcPr>
          <w:p>
            <w:pPr>
              <w:jc w:val="center"/>
              <w:ind w:right="29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38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2021</w:t>
            </w:r>
          </w:p>
        </w:tc>
        <w:tc>
          <w:tcPr>
            <w:tcW w:w="540" w:type="dxa"/>
            <w:vAlign w:val="bottom"/>
            <w:shd w:val="clear" w:color="auto" w:fill="1D2758"/>
          </w:tcPr>
          <w:p>
            <w:pPr>
              <w:spacing w:after="0"/>
              <w:rPr>
                <w:sz w:val="18"/>
                <w:szCs w:val="18"/>
                <w:color w:val="auto"/>
              </w:rPr>
            </w:pPr>
          </w:p>
        </w:tc>
        <w:tc>
          <w:tcPr>
            <w:tcW w:w="1520" w:type="dxa"/>
            <w:vAlign w:val="bottom"/>
            <w:shd w:val="clear" w:color="auto" w:fill="1D2758"/>
          </w:tcPr>
          <w:p>
            <w:pPr>
              <w:jc w:val="right"/>
              <w:ind w:right="719"/>
              <w:spacing w:after="0"/>
              <w:rPr>
                <w:sz w:val="20"/>
                <w:szCs w:val="20"/>
                <w:color w:val="auto"/>
              </w:rPr>
            </w:pPr>
            <w:r>
              <w:rPr>
                <w:rFonts w:ascii="Arial" w:cs="Arial" w:eastAsia="Arial" w:hAnsi="Arial"/>
                <w:sz w:val="16"/>
                <w:szCs w:val="16"/>
                <w:b w:val="1"/>
                <w:bCs w:val="1"/>
                <w:color w:val="FFFFFF"/>
              </w:rPr>
              <w:t>2020</w:t>
            </w:r>
          </w:p>
        </w:tc>
        <w:tc>
          <w:tcPr>
            <w:tcW w:w="400" w:type="dxa"/>
            <w:vAlign w:val="bottom"/>
            <w:shd w:val="clear" w:color="auto" w:fill="1D2758"/>
          </w:tcPr>
          <w:p>
            <w:pPr>
              <w:spacing w:after="0"/>
              <w:rPr>
                <w:sz w:val="18"/>
                <w:szCs w:val="18"/>
                <w:color w:val="auto"/>
              </w:rPr>
            </w:pPr>
          </w:p>
        </w:tc>
        <w:tc>
          <w:tcPr>
            <w:tcW w:w="13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2021</w:t>
            </w:r>
          </w:p>
        </w:tc>
        <w:tc>
          <w:tcPr>
            <w:tcW w:w="500" w:type="dxa"/>
            <w:vAlign w:val="bottom"/>
            <w:shd w:val="clear" w:color="auto" w:fill="1D2758"/>
          </w:tcPr>
          <w:p>
            <w:pPr>
              <w:spacing w:after="0"/>
              <w:rPr>
                <w:sz w:val="18"/>
                <w:szCs w:val="18"/>
                <w:color w:val="auto"/>
              </w:rPr>
            </w:pPr>
          </w:p>
        </w:tc>
        <w:tc>
          <w:tcPr>
            <w:tcW w:w="1420" w:type="dxa"/>
            <w:vAlign w:val="bottom"/>
            <w:shd w:val="clear" w:color="auto" w:fill="1D2758"/>
          </w:tcPr>
          <w:p>
            <w:pPr>
              <w:jc w:val="right"/>
              <w:ind w:right="659"/>
              <w:spacing w:after="0"/>
              <w:rPr>
                <w:sz w:val="20"/>
                <w:szCs w:val="20"/>
                <w:color w:val="auto"/>
              </w:rPr>
            </w:pPr>
            <w:r>
              <w:rPr>
                <w:rFonts w:ascii="Arial" w:cs="Arial" w:eastAsia="Arial" w:hAnsi="Arial"/>
                <w:sz w:val="16"/>
                <w:szCs w:val="16"/>
                <w:b w:val="1"/>
                <w:bCs w:val="1"/>
                <w:color w:val="FFFFFF"/>
              </w:rPr>
              <w:t>2020</w:t>
            </w: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74,223</w:t>
            </w:r>
          </w:p>
        </w:tc>
        <w:tc>
          <w:tcPr>
            <w:tcW w:w="5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3,866</w:t>
            </w:r>
          </w:p>
        </w:tc>
        <w:tc>
          <w:tcPr>
            <w:tcW w:w="4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160,144</w:t>
            </w:r>
          </w:p>
        </w:tc>
        <w:tc>
          <w:tcPr>
            <w:tcW w:w="500" w:type="dxa"/>
            <w:vAlign w:val="bottom"/>
            <w:shd w:val="clear" w:color="auto" w:fill="DBDBDB"/>
          </w:tcPr>
          <w:p>
            <w:pPr>
              <w:jc w:val="center"/>
              <w:ind w:right="1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75,340</w:t>
            </w: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Fair value loss (gain) on common stock warrant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8"/>
        </w:trPr>
        <w:tc>
          <w:tcPr>
            <w:tcW w:w="38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liabilities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42,602</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26,597</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w:t>
            </w:r>
          </w:p>
        </w:tc>
      </w:tr>
      <w:tr>
        <w:trPr>
          <w:trHeight w:val="238"/>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Excluding Gain/Loss from Warrants</w:t>
            </w: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74,223</w:t>
            </w:r>
          </w:p>
        </w:tc>
        <w:tc>
          <w:tcPr>
            <w:tcW w:w="5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46,468</w:t>
            </w:r>
          </w:p>
        </w:tc>
        <w:tc>
          <w:tcPr>
            <w:tcW w:w="40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186,741</w:t>
            </w:r>
          </w:p>
        </w:tc>
        <w:tc>
          <w:tcPr>
            <w:tcW w:w="500" w:type="dxa"/>
            <w:vAlign w:val="bottom"/>
            <w:tcBorders>
              <w:bottom w:val="single" w:sz="8" w:color="auto"/>
            </w:tcBorders>
            <w:shd w:val="clear" w:color="auto" w:fill="DBDBDB"/>
          </w:tcPr>
          <w:p>
            <w:pPr>
              <w:jc w:val="center"/>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71,879</w:t>
            </w: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Adjusted EBITDA Margin</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define Adjusted EBITDA Margin as Adjusted EBITDA divided by Revenue. Management believes that the presentation of Adjusted EBITDA Margin provides useful information to investors regarding the performance of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Adjusted EBITDA Margin: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3100" w:type="dxa"/>
            <w:vAlign w:val="bottom"/>
            <w:gridSpan w:val="5"/>
            <w:shd w:val="clear" w:color="auto" w:fill="1D2758"/>
          </w:tcPr>
          <w:p>
            <w:pPr>
              <w:ind w:left="80"/>
              <w:spacing w:after="0"/>
              <w:rPr>
                <w:sz w:val="20"/>
                <w:szCs w:val="20"/>
                <w:color w:val="auto"/>
              </w:rPr>
            </w:pPr>
            <w:r>
              <w:rPr>
                <w:rFonts w:ascii="Arial" w:cs="Arial" w:eastAsia="Arial" w:hAnsi="Arial"/>
                <w:sz w:val="16"/>
                <w:szCs w:val="16"/>
                <w:b w:val="1"/>
                <w:bCs w:val="1"/>
                <w:color w:val="FFFFFF"/>
              </w:rPr>
              <w:t>Three Months Ended December 31,</w:t>
            </w:r>
          </w:p>
        </w:tc>
        <w:tc>
          <w:tcPr>
            <w:tcW w:w="340" w:type="dxa"/>
            <w:vAlign w:val="bottom"/>
            <w:shd w:val="clear" w:color="auto" w:fill="1D2758"/>
          </w:tcPr>
          <w:p>
            <w:pPr>
              <w:spacing w:after="0"/>
              <w:rPr>
                <w:sz w:val="18"/>
                <w:szCs w:val="18"/>
                <w:color w:val="auto"/>
              </w:rPr>
            </w:pPr>
          </w:p>
        </w:tc>
        <w:tc>
          <w:tcPr>
            <w:tcW w:w="2800" w:type="dxa"/>
            <w:vAlign w:val="bottom"/>
            <w:gridSpan w:val="4"/>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48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r>
      <w:tr>
        <w:trPr>
          <w:trHeight w:val="216"/>
        </w:trPr>
        <w:tc>
          <w:tcPr>
            <w:tcW w:w="4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(A)</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211,164</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179,684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740,393</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530,307</w:t>
            </w:r>
          </w:p>
        </w:tc>
      </w:tr>
      <w:tr>
        <w:trPr>
          <w:trHeight w:val="213"/>
        </w:trPr>
        <w:tc>
          <w:tcPr>
            <w:tcW w:w="48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 (B)</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517,920</w:t>
            </w:r>
          </w:p>
        </w:tc>
        <w:tc>
          <w:tcPr>
            <w:tcW w:w="8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437,647</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1,894,897</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1,367,645</w:t>
            </w:r>
          </w:p>
        </w:tc>
      </w:tr>
      <w:tr>
        <w:trPr>
          <w:trHeight w:val="209"/>
        </w:trPr>
        <w:tc>
          <w:tcPr>
            <w:tcW w:w="48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Margin (A/B)</w:t>
            </w:r>
          </w:p>
        </w:tc>
        <w:tc>
          <w:tcPr>
            <w:tcW w:w="16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40.8 %</w:t>
            </w:r>
          </w:p>
        </w:tc>
        <w:tc>
          <w:tcPr>
            <w:tcW w:w="8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41.1 %</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39.1 %</w:t>
            </w:r>
          </w:p>
        </w:tc>
        <w:tc>
          <w:tcPr>
            <w:tcW w:w="10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38.8 %</w:t>
            </w: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Net Income (C)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74,223</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160,144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75,340</w:t>
            </w:r>
          </w:p>
        </w:tc>
      </w:tr>
      <w:tr>
        <w:trPr>
          <w:trHeight w:val="219"/>
        </w:trPr>
        <w:tc>
          <w:tcPr>
            <w:tcW w:w="48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Margin % (C/B)</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14.3 %</w:t>
            </w:r>
          </w:p>
        </w:tc>
        <w:tc>
          <w:tcPr>
            <w:tcW w:w="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1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1D2758"/>
        </w:rPr>
        <w:t>Free Cash Flow and Free Cash Flow Margin</w:t>
      </w:r>
    </w:p>
    <w:p>
      <w:pPr>
        <w:spacing w:after="0" w:line="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define Free Cash Flow as net cash provided by operating activities, less purchases of, and proceeds from, rental equipment and property, plant and equipment, which are all included in cash flows from investing activities. Free Cash Flow Margin is defined as Free Cash Flow divided by Revenue. Management believes that the presentation of Free Cash Flow and Free Cash Flow Margin provides useful information to investors concerning cash flow available to fund our capital allocation alternatives.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net cash provided by operating activities to Free Cash Flow.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3080" w:type="dxa"/>
            <w:vAlign w:val="bottom"/>
            <w:gridSpan w:val="5"/>
            <w:shd w:val="clear" w:color="auto" w:fill="1D2758"/>
          </w:tcPr>
          <w:p>
            <w:pPr>
              <w:ind w:left="60"/>
              <w:spacing w:after="0"/>
              <w:rPr>
                <w:sz w:val="20"/>
                <w:szCs w:val="20"/>
                <w:color w:val="auto"/>
              </w:rPr>
            </w:pPr>
            <w:r>
              <w:rPr>
                <w:rFonts w:ascii="Arial" w:cs="Arial" w:eastAsia="Arial" w:hAnsi="Arial"/>
                <w:sz w:val="16"/>
                <w:szCs w:val="16"/>
                <w:b w:val="1"/>
                <w:bCs w:val="1"/>
                <w:color w:val="FFFFFF"/>
              </w:rPr>
              <w:t>Three Months Ended December 31,</w:t>
            </w:r>
          </w:p>
        </w:tc>
        <w:tc>
          <w:tcPr>
            <w:tcW w:w="340" w:type="dxa"/>
            <w:vAlign w:val="bottom"/>
            <w:shd w:val="clear" w:color="auto" w:fill="1D2758"/>
          </w:tcPr>
          <w:p>
            <w:pPr>
              <w:spacing w:after="0"/>
              <w:rPr>
                <w:sz w:val="18"/>
                <w:szCs w:val="18"/>
                <w:color w:val="auto"/>
              </w:rPr>
            </w:pPr>
          </w:p>
        </w:tc>
        <w:tc>
          <w:tcPr>
            <w:tcW w:w="2780" w:type="dxa"/>
            <w:vAlign w:val="bottom"/>
            <w:gridSpan w:val="4"/>
            <w:shd w:val="clear" w:color="auto" w:fill="1D2758"/>
          </w:tcPr>
          <w:p>
            <w:pPr>
              <w:ind w:left="240"/>
              <w:spacing w:after="0"/>
              <w:rPr>
                <w:sz w:val="20"/>
                <w:szCs w:val="20"/>
                <w:color w:val="auto"/>
              </w:rPr>
            </w:pPr>
            <w:r>
              <w:rPr>
                <w:rFonts w:ascii="Arial" w:cs="Arial" w:eastAsia="Arial" w:hAnsi="Arial"/>
                <w:sz w:val="16"/>
                <w:szCs w:val="16"/>
                <w:b w:val="1"/>
                <w:bCs w:val="1"/>
                <w:color w:val="FFFFFF"/>
              </w:rPr>
              <w:t>Year Ended December 31,</w:t>
            </w:r>
          </w:p>
        </w:tc>
      </w:tr>
      <w:tr>
        <w:trPr>
          <w:trHeight w:val="216"/>
        </w:trPr>
        <w:tc>
          <w:tcPr>
            <w:tcW w:w="48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60" w:type="dxa"/>
            <w:vAlign w:val="bottom"/>
            <w:shd w:val="clear" w:color="auto" w:fill="1D2758"/>
          </w:tcPr>
          <w:p>
            <w:pPr>
              <w:ind w:left="240"/>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2020</w:t>
            </w:r>
          </w:p>
        </w:tc>
      </w:tr>
      <w:tr>
        <w:trPr>
          <w:trHeight w:val="216"/>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147,847</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129,717</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539,902</w:t>
            </w:r>
          </w:p>
        </w:tc>
        <w:tc>
          <w:tcPr>
            <w:tcW w:w="100" w:type="dxa"/>
            <w:vAlign w:val="bottom"/>
            <w:shd w:val="clear" w:color="auto" w:fill="E7E7E8"/>
          </w:tcPr>
          <w:p>
            <w:pPr>
              <w:spacing w:after="0"/>
              <w:rPr>
                <w:sz w:val="18"/>
                <w:szCs w:val="18"/>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304,812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(100,307)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(50,110)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(278,498)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(172,383)</w:t>
            </w:r>
          </w:p>
        </w:tc>
      </w:tr>
      <w:tr>
        <w:trPr>
          <w:trHeight w:val="219"/>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180" w:type="dxa"/>
            <w:vAlign w:val="bottom"/>
            <w:shd w:val="clear" w:color="auto" w:fill="E7E7E8"/>
          </w:tcPr>
          <w:p>
            <w:pPr>
              <w:spacing w:after="0"/>
              <w:rPr>
                <w:sz w:val="19"/>
                <w:szCs w:val="19"/>
                <w:color w:val="auto"/>
              </w:rPr>
            </w:pPr>
          </w:p>
        </w:tc>
        <w:tc>
          <w:tcPr>
            <w:tcW w:w="13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13,176</w:t>
            </w: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2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55,210</w:t>
            </w: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38,949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1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(30,498)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(16,454)</w:t>
            </w:r>
          </w:p>
        </w:tc>
      </w:tr>
      <w:tr>
        <w:trPr>
          <w:trHeight w:val="216"/>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tcBorders>
              <w:bottom w:val="single" w:sz="8" w:color="auto"/>
            </w:tcBorders>
            <w:shd w:val="clear" w:color="auto" w:fill="E7E7E8"/>
          </w:tcPr>
          <w:p>
            <w:pPr>
              <w:spacing w:after="0"/>
              <w:rPr>
                <w:sz w:val="18"/>
                <w:szCs w:val="18"/>
                <w:color w:val="auto"/>
              </w:rPr>
            </w:pPr>
          </w:p>
        </w:tc>
        <w:tc>
          <w:tcPr>
            <w:tcW w:w="134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2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16,911</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18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7,355</w:t>
            </w:r>
          </w:p>
        </w:tc>
      </w:tr>
      <w:tr>
        <w:trPr>
          <w:trHeight w:val="207"/>
        </w:trPr>
        <w:tc>
          <w:tcPr>
            <w:tcW w:w="4860" w:type="dxa"/>
            <w:vAlign w:val="bottom"/>
          </w:tcPr>
          <w:p>
            <w:pPr>
              <w:ind w:left="240"/>
              <w:spacing w:after="0"/>
              <w:rPr>
                <w:sz w:val="20"/>
                <w:szCs w:val="20"/>
                <w:color w:val="auto"/>
              </w:rPr>
            </w:pPr>
            <w:r>
              <w:rPr>
                <w:rFonts w:ascii="Arial" w:cs="Arial" w:eastAsia="Arial" w:hAnsi="Arial"/>
                <w:sz w:val="16"/>
                <w:szCs w:val="16"/>
                <w:color w:val="auto"/>
              </w:rPr>
              <w:t>Free Cash Flow (A)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51,318</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87,430</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303,027</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162,279</w:t>
            </w:r>
          </w:p>
        </w:tc>
      </w:tr>
      <w:tr>
        <w:trPr>
          <w:trHeight w:val="27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(B)</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517,920</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437,647</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1,894,897</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1,367,645</w:t>
            </w:r>
          </w:p>
        </w:tc>
      </w:tr>
      <w:tr>
        <w:trPr>
          <w:trHeight w:val="207"/>
        </w:trPr>
        <w:tc>
          <w:tcPr>
            <w:tcW w:w="4860" w:type="dxa"/>
            <w:vAlign w:val="bottom"/>
          </w:tcPr>
          <w:p>
            <w:pPr>
              <w:ind w:left="240"/>
              <w:spacing w:after="0"/>
              <w:rPr>
                <w:sz w:val="20"/>
                <w:szCs w:val="20"/>
                <w:color w:val="auto"/>
              </w:rPr>
            </w:pPr>
            <w:r>
              <w:rPr>
                <w:rFonts w:ascii="Arial" w:cs="Arial" w:eastAsia="Arial" w:hAnsi="Arial"/>
                <w:sz w:val="16"/>
                <w:szCs w:val="16"/>
                <w:color w:val="auto"/>
              </w:rPr>
              <w:t>Free Cash Flow Margin (A/B)</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7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3"/>
        </w:trPr>
        <w:tc>
          <w:tcPr>
            <w:tcW w:w="4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 (D)</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147,847</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129,717</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539,902</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ind w:right="119"/>
              <w:spacing w:after="0"/>
              <w:rPr>
                <w:sz w:val="20"/>
                <w:szCs w:val="20"/>
                <w:color w:val="auto"/>
              </w:rPr>
            </w:pPr>
            <w:r>
              <w:rPr>
                <w:rFonts w:ascii="Arial" w:cs="Arial" w:eastAsia="Arial" w:hAnsi="Arial"/>
                <w:sz w:val="16"/>
                <w:szCs w:val="16"/>
                <w:color w:val="auto"/>
              </w:rPr>
              <w:t>304,812</w:t>
            </w:r>
          </w:p>
        </w:tc>
      </w:tr>
      <w:tr>
        <w:trPr>
          <w:trHeight w:val="206"/>
        </w:trPr>
        <w:tc>
          <w:tcPr>
            <w:tcW w:w="4860" w:type="dxa"/>
            <w:vAlign w:val="bottom"/>
          </w:tcPr>
          <w:p>
            <w:pPr>
              <w:ind w:left="240"/>
              <w:spacing w:after="0"/>
              <w:rPr>
                <w:sz w:val="20"/>
                <w:szCs w:val="20"/>
                <w:color w:val="auto"/>
              </w:rPr>
            </w:pPr>
            <w:r>
              <w:rPr>
                <w:rFonts w:ascii="Arial" w:cs="Arial" w:eastAsia="Arial" w:hAnsi="Arial"/>
                <w:sz w:val="16"/>
                <w:szCs w:val="16"/>
                <w:color w:val="auto"/>
              </w:rPr>
              <w:t>Net cash provided by operating activities margin (D/B)</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22.3 %</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Adjusted Gross Profit and Adjusted Gross Profit Percentage</w:t>
      </w:r>
    </w:p>
    <w:p>
      <w:pPr>
        <w:spacing w:after="0" w:line="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Our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3020" w:type="dxa"/>
            <w:vAlign w:val="bottom"/>
            <w:gridSpan w:val="4"/>
            <w:shd w:val="clear" w:color="auto" w:fill="1D2758"/>
          </w:tcPr>
          <w:p>
            <w:pPr>
              <w:jc w:val="right"/>
              <w:ind w:right="839"/>
              <w:spacing w:after="0"/>
              <w:rPr>
                <w:sz w:val="20"/>
                <w:szCs w:val="20"/>
                <w:color w:val="auto"/>
              </w:rPr>
            </w:pPr>
            <w:r>
              <w:rPr>
                <w:rFonts w:ascii="Arial" w:cs="Arial" w:eastAsia="Arial" w:hAnsi="Arial"/>
                <w:sz w:val="16"/>
                <w:szCs w:val="16"/>
                <w:b w:val="1"/>
                <w:bCs w:val="1"/>
                <w:color w:val="FFFFFF"/>
              </w:rPr>
              <w:t>Three Months Ended</w:t>
            </w:r>
          </w:p>
        </w:tc>
        <w:tc>
          <w:tcPr>
            <w:tcW w:w="420" w:type="dxa"/>
            <w:vAlign w:val="bottom"/>
            <w:shd w:val="clear" w:color="auto" w:fill="1D2758"/>
          </w:tcPr>
          <w:p>
            <w:pPr>
              <w:spacing w:after="0"/>
              <w:rPr>
                <w:sz w:val="18"/>
                <w:szCs w:val="18"/>
                <w:color w:val="auto"/>
              </w:rPr>
            </w:pPr>
          </w:p>
        </w:tc>
        <w:tc>
          <w:tcPr>
            <w:tcW w:w="1920" w:type="dxa"/>
            <w:vAlign w:val="bottom"/>
            <w:gridSpan w:val="2"/>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Year Ended</w:t>
            </w:r>
          </w:p>
        </w:tc>
        <w:tc>
          <w:tcPr>
            <w:tcW w:w="1080" w:type="dxa"/>
            <w:vAlign w:val="bottom"/>
            <w:shd w:val="clear" w:color="auto" w:fill="1D2758"/>
          </w:tcPr>
          <w:p>
            <w:pPr>
              <w:spacing w:after="0"/>
              <w:rPr>
                <w:sz w:val="18"/>
                <w:szCs w:val="18"/>
                <w:color w:val="auto"/>
              </w:rPr>
            </w:pPr>
          </w:p>
        </w:tc>
      </w:tr>
      <w:tr>
        <w:trPr>
          <w:trHeight w:val="211"/>
        </w:trPr>
        <w:tc>
          <w:tcPr>
            <w:tcW w:w="444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9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12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080" w:type="dxa"/>
            <w:vAlign w:val="bottom"/>
            <w:shd w:val="clear" w:color="auto" w:fill="1D2758"/>
          </w:tcPr>
          <w:p>
            <w:pPr>
              <w:spacing w:after="0"/>
              <w:rPr>
                <w:sz w:val="18"/>
                <w:szCs w:val="18"/>
                <w:color w:val="auto"/>
              </w:rPr>
            </w:pPr>
          </w:p>
        </w:tc>
      </w:tr>
      <w:tr>
        <w:trPr>
          <w:trHeight w:val="221"/>
        </w:trPr>
        <w:tc>
          <w:tcPr>
            <w:tcW w:w="44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1D2758"/>
          </w:tcPr>
          <w:p>
            <w:pPr>
              <w:spacing w:after="0"/>
              <w:rPr>
                <w:sz w:val="19"/>
                <w:szCs w:val="19"/>
                <w:color w:val="auto"/>
              </w:rPr>
            </w:pPr>
          </w:p>
        </w:tc>
        <w:tc>
          <w:tcPr>
            <w:tcW w:w="126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9"/>
                <w:szCs w:val="19"/>
                <w:color w:val="auto"/>
              </w:rPr>
            </w:pPr>
          </w:p>
        </w:tc>
        <w:tc>
          <w:tcPr>
            <w:tcW w:w="540" w:type="dxa"/>
            <w:vAlign w:val="bottom"/>
            <w:shd w:val="clear" w:color="auto" w:fill="1D2758"/>
          </w:tcPr>
          <w:p>
            <w:pPr>
              <w:spacing w:after="0"/>
              <w:rPr>
                <w:sz w:val="19"/>
                <w:szCs w:val="19"/>
                <w:color w:val="auto"/>
              </w:rPr>
            </w:pPr>
          </w:p>
        </w:tc>
        <w:tc>
          <w:tcPr>
            <w:tcW w:w="112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2020</w:t>
            </w:r>
          </w:p>
        </w:tc>
        <w:tc>
          <w:tcPr>
            <w:tcW w:w="420" w:type="dxa"/>
            <w:vAlign w:val="bottom"/>
            <w:shd w:val="clear" w:color="auto" w:fill="1D2758"/>
          </w:tcPr>
          <w:p>
            <w:pPr>
              <w:spacing w:after="0"/>
              <w:rPr>
                <w:sz w:val="19"/>
                <w:szCs w:val="19"/>
                <w:color w:val="auto"/>
              </w:rPr>
            </w:pPr>
          </w:p>
        </w:tc>
        <w:tc>
          <w:tcPr>
            <w:tcW w:w="1300" w:type="dxa"/>
            <w:vAlign w:val="bottom"/>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2021</w:t>
            </w:r>
          </w:p>
        </w:tc>
        <w:tc>
          <w:tcPr>
            <w:tcW w:w="620" w:type="dxa"/>
            <w:vAlign w:val="bottom"/>
            <w:shd w:val="clear" w:color="auto" w:fill="1D2758"/>
          </w:tcPr>
          <w:p>
            <w:pPr>
              <w:spacing w:after="0"/>
              <w:rPr>
                <w:sz w:val="19"/>
                <w:szCs w:val="19"/>
                <w:color w:val="auto"/>
              </w:rPr>
            </w:pPr>
          </w:p>
        </w:tc>
        <w:tc>
          <w:tcPr>
            <w:tcW w:w="10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r>
      <w:tr>
        <w:trPr>
          <w:trHeight w:val="216"/>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(A)</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517,920</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437,647</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1,894,897</w:t>
            </w:r>
          </w:p>
        </w:tc>
        <w:tc>
          <w:tcPr>
            <w:tcW w:w="62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1,367,645</w:t>
            </w:r>
          </w:p>
        </w:tc>
      </w:tr>
      <w:tr>
        <w:trPr>
          <w:trHeight w:val="257"/>
        </w:trPr>
        <w:tc>
          <w:tcPr>
            <w:tcW w:w="4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(B)</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278,469</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234,255</w:t>
            </w:r>
          </w:p>
        </w:tc>
        <w:tc>
          <w:tcPr>
            <w:tcW w:w="42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968,208</w:t>
            </w:r>
          </w:p>
        </w:tc>
        <w:tc>
          <w:tcPr>
            <w:tcW w:w="62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659,973</w:t>
            </w:r>
          </w:p>
        </w:tc>
      </w:tr>
      <w:tr>
        <w:trPr>
          <w:trHeight w:val="213"/>
        </w:trPr>
        <w:tc>
          <w:tcPr>
            <w:tcW w:w="444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62,484</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54,302</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237,537</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200,581</w:t>
            </w:r>
          </w:p>
        </w:tc>
      </w:tr>
      <w:tr>
        <w:trPr>
          <w:trHeight w:val="234"/>
        </w:trPr>
        <w:tc>
          <w:tcPr>
            <w:tcW w:w="44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Gross Profit (C)</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340,953</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288,557</w:t>
            </w:r>
          </w:p>
        </w:tc>
        <w:tc>
          <w:tcPr>
            <w:tcW w:w="42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1,205,745</w:t>
            </w:r>
          </w:p>
        </w:tc>
        <w:tc>
          <w:tcPr>
            <w:tcW w:w="620" w:type="dxa"/>
            <w:vAlign w:val="bottom"/>
            <w:tcBorders>
              <w:bottom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860,554</w:t>
            </w:r>
          </w:p>
        </w:tc>
      </w:tr>
      <w:tr>
        <w:trPr>
          <w:trHeight w:val="20"/>
        </w:trPr>
        <w:tc>
          <w:tcPr>
            <w:tcW w:w="44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Percentage (B/A)</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53.8 %</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53.5 %</w:t>
            </w:r>
          </w:p>
        </w:tc>
        <w:tc>
          <w:tcPr>
            <w:tcW w:w="4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51.1 %</w:t>
            </w:r>
          </w:p>
        </w:tc>
        <w:tc>
          <w:tcPr>
            <w:tcW w:w="6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48.3 %</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65.9 %</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63.6 %</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1D2758"/>
        </w:rPr>
        <w:t>Net CAPEX</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Our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Net CAPEX:</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2940" w:type="dxa"/>
            <w:vAlign w:val="bottom"/>
            <w:gridSpan w:val="5"/>
            <w:shd w:val="clear" w:color="auto" w:fill="1D2758"/>
          </w:tcPr>
          <w:p>
            <w:pPr>
              <w:ind w:left="460"/>
              <w:spacing w:after="0"/>
              <w:rPr>
                <w:sz w:val="20"/>
                <w:szCs w:val="20"/>
                <w:color w:val="auto"/>
              </w:rPr>
            </w:pPr>
            <w:r>
              <w:rPr>
                <w:rFonts w:ascii="Arial" w:cs="Arial" w:eastAsia="Arial" w:hAnsi="Arial"/>
                <w:sz w:val="16"/>
                <w:szCs w:val="16"/>
                <w:b w:val="1"/>
                <w:bCs w:val="1"/>
                <w:color w:val="FFFFFF"/>
              </w:rPr>
              <w:t>Three Months Ended</w:t>
            </w:r>
          </w:p>
        </w:tc>
        <w:tc>
          <w:tcPr>
            <w:tcW w:w="360" w:type="dxa"/>
            <w:vAlign w:val="bottom"/>
            <w:shd w:val="clear" w:color="auto" w:fill="1D2758"/>
          </w:tcPr>
          <w:p>
            <w:pPr>
              <w:spacing w:after="0"/>
              <w:rPr>
                <w:sz w:val="18"/>
                <w:szCs w:val="18"/>
                <w:color w:val="auto"/>
              </w:rPr>
            </w:pPr>
          </w:p>
        </w:tc>
        <w:tc>
          <w:tcPr>
            <w:tcW w:w="1840" w:type="dxa"/>
            <w:vAlign w:val="bottom"/>
            <w:gridSpan w:val="2"/>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Year Ended</w:t>
            </w:r>
          </w:p>
        </w:tc>
        <w:tc>
          <w:tcPr>
            <w:tcW w:w="1020" w:type="dxa"/>
            <w:vAlign w:val="bottom"/>
            <w:shd w:val="clear" w:color="auto" w:fill="1D2758"/>
          </w:tcPr>
          <w:p>
            <w:pPr>
              <w:spacing w:after="0"/>
              <w:rPr>
                <w:sz w:val="18"/>
                <w:szCs w:val="18"/>
                <w:color w:val="auto"/>
              </w:rPr>
            </w:pPr>
          </w:p>
        </w:tc>
      </w:tr>
      <w:tr>
        <w:trPr>
          <w:trHeight w:val="211"/>
        </w:trPr>
        <w:tc>
          <w:tcPr>
            <w:tcW w:w="474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84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0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84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020" w:type="dxa"/>
            <w:vAlign w:val="bottom"/>
            <w:shd w:val="clear" w:color="auto" w:fill="1D2758"/>
          </w:tcPr>
          <w:p>
            <w:pPr>
              <w:spacing w:after="0"/>
              <w:rPr>
                <w:sz w:val="18"/>
                <w:szCs w:val="18"/>
                <w:color w:val="auto"/>
              </w:rPr>
            </w:pPr>
          </w:p>
        </w:tc>
      </w:tr>
      <w:tr>
        <w:trPr>
          <w:trHeight w:val="221"/>
        </w:trPr>
        <w:tc>
          <w:tcPr>
            <w:tcW w:w="4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9"/>
                <w:szCs w:val="19"/>
                <w:color w:val="auto"/>
              </w:rPr>
            </w:pPr>
          </w:p>
        </w:tc>
        <w:tc>
          <w:tcPr>
            <w:tcW w:w="12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9"/>
                <w:szCs w:val="19"/>
                <w:color w:val="auto"/>
              </w:rPr>
            </w:pPr>
          </w:p>
        </w:tc>
        <w:tc>
          <w:tcPr>
            <w:tcW w:w="540" w:type="dxa"/>
            <w:vAlign w:val="bottom"/>
            <w:shd w:val="clear" w:color="auto" w:fill="1D2758"/>
          </w:tcPr>
          <w:p>
            <w:pPr>
              <w:spacing w:after="0"/>
              <w:rPr>
                <w:sz w:val="19"/>
                <w:szCs w:val="19"/>
                <w:color w:val="auto"/>
              </w:rPr>
            </w:pPr>
          </w:p>
        </w:tc>
        <w:tc>
          <w:tcPr>
            <w:tcW w:w="10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9"/>
                <w:szCs w:val="19"/>
                <w:color w:val="auto"/>
              </w:rPr>
            </w:pPr>
          </w:p>
        </w:tc>
        <w:tc>
          <w:tcPr>
            <w:tcW w:w="360" w:type="dxa"/>
            <w:vAlign w:val="bottom"/>
            <w:shd w:val="clear" w:color="auto" w:fill="1D2758"/>
          </w:tcPr>
          <w:p>
            <w:pPr>
              <w:spacing w:after="0"/>
              <w:rPr>
                <w:sz w:val="19"/>
                <w:szCs w:val="19"/>
                <w:color w:val="auto"/>
              </w:rPr>
            </w:pPr>
          </w:p>
        </w:tc>
        <w:tc>
          <w:tcPr>
            <w:tcW w:w="124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600" w:type="dxa"/>
            <w:vAlign w:val="bottom"/>
            <w:shd w:val="clear" w:color="auto" w:fill="1D2758"/>
          </w:tcPr>
          <w:p>
            <w:pPr>
              <w:spacing w:after="0"/>
              <w:rPr>
                <w:sz w:val="19"/>
                <w:szCs w:val="19"/>
                <w:color w:val="auto"/>
              </w:rPr>
            </w:pPr>
          </w:p>
        </w:tc>
        <w:tc>
          <w:tcPr>
            <w:tcW w:w="10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2020</w:t>
            </w:r>
          </w:p>
        </w:tc>
      </w:tr>
      <w:tr>
        <w:trPr>
          <w:trHeight w:val="216"/>
        </w:trPr>
        <w:tc>
          <w:tcPr>
            <w:tcW w:w="4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(100,307)</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(50,110)</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(278,498)</w:t>
            </w:r>
          </w:p>
        </w:tc>
        <w:tc>
          <w:tcPr>
            <w:tcW w:w="60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(172,383)</w:t>
            </w:r>
          </w:p>
        </w:tc>
      </w:tr>
      <w:tr>
        <w:trPr>
          <w:trHeight w:val="213"/>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13,176</w:t>
            </w:r>
          </w:p>
        </w:tc>
        <w:tc>
          <w:tcPr>
            <w:tcW w:w="10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8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55,210</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38,949</w:t>
            </w:r>
          </w:p>
        </w:tc>
      </w:tr>
      <w:tr>
        <w:trPr>
          <w:trHeight w:val="213"/>
        </w:trPr>
        <w:tc>
          <w:tcPr>
            <w:tcW w:w="47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 for Rental Equipment</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(87,131)</w:t>
            </w:r>
          </w:p>
        </w:tc>
        <w:tc>
          <w:tcPr>
            <w:tcW w:w="10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(36,442)</w:t>
            </w:r>
          </w:p>
        </w:tc>
        <w:tc>
          <w:tcPr>
            <w:tcW w:w="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(223,288)</w:t>
            </w:r>
          </w:p>
        </w:tc>
        <w:tc>
          <w:tcPr>
            <w:tcW w:w="6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(133,434)</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(9,662)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(30,498)</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(16,454)</w:t>
            </w:r>
          </w:p>
        </w:tc>
      </w:tr>
      <w:tr>
        <w:trPr>
          <w:trHeight w:val="219"/>
        </w:trPr>
        <w:tc>
          <w:tcPr>
            <w:tcW w:w="4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rPr>
              <w:t>16,911</w:t>
            </w:r>
          </w:p>
        </w:tc>
        <w:tc>
          <w:tcPr>
            <w:tcW w:w="6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7,355</w:t>
            </w:r>
          </w:p>
        </w:tc>
      </w:tr>
      <w:tr>
        <w:trPr>
          <w:trHeight w:val="207"/>
        </w:trPr>
        <w:tc>
          <w:tcPr>
            <w:tcW w:w="4740" w:type="dxa"/>
            <w:vAlign w:val="bottom"/>
          </w:tcPr>
          <w:p>
            <w:pPr>
              <w:ind w:left="240"/>
              <w:spacing w:after="0"/>
              <w:rPr>
                <w:sz w:val="20"/>
                <w:szCs w:val="20"/>
                <w:color w:val="auto"/>
              </w:rPr>
            </w:pPr>
            <w:r>
              <w:rPr>
                <w:rFonts w:ascii="Arial" w:cs="Arial" w:eastAsia="Arial" w:hAnsi="Arial"/>
                <w:sz w:val="16"/>
                <w:szCs w:val="16"/>
                <w:color w:val="auto"/>
              </w:rPr>
              <w:t>Net CAPEX</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(96,529)</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(236,875)</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(142,533)</w:t>
            </w:r>
          </w:p>
        </w:tc>
      </w:tr>
      <w:tr>
        <w:trPr>
          <w:trHeight w:val="23"/>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1D2758"/>
        </w:rPr>
        <w:t>Return on Invested Capital</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6"/>
          <w:szCs w:val="16"/>
          <w:color w:val="auto"/>
        </w:rPr>
        <w:t>Return on Invested Capital is defined as adjusted earnings before interest and amortization divided by net assets. Adjusted earnings before interest and amortization is the sum of income (loss) before income tax expense, net interest (income) expense, amortization adjusted for non-cash items considered non-core to business operations including net currency (gains) losses, goodwill and other impairment charges, restructuring costs, costs to integrate acquired companies, non-cash charges for stock compensation plans, gains and losses resulting from changes in fair value and extinguishment of common stock warrant liabilities, and other discrete expenses, reduced by estimated taxes. Given we are not a significant US taxpayer due to our current tax attributes, we include estimated taxes at our current statutory tax rate of approximately 25%. Net assets is total assets less goodwill, and intangible assets, net and all non-interest bearing liabilities and is calculated as a five quarter average for annual metrics and two quarter average for quarterly metrics. The Company believes that Return on Invested Capital provides information about the long-term health and profitability of the business relative to the Company's cost of capital.</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unaudited reconciliation of Return on Invested Capital: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2860" w:type="dxa"/>
            <w:vAlign w:val="bottom"/>
            <w:gridSpan w:val="4"/>
            <w:shd w:val="clear" w:color="auto" w:fill="1D2758"/>
          </w:tcPr>
          <w:p>
            <w:pPr>
              <w:jc w:val="right"/>
              <w:ind w:right="799"/>
              <w:spacing w:after="0"/>
              <w:rPr>
                <w:sz w:val="20"/>
                <w:szCs w:val="20"/>
                <w:color w:val="auto"/>
              </w:rPr>
            </w:pPr>
            <w:r>
              <w:rPr>
                <w:rFonts w:ascii="Arial" w:cs="Arial" w:eastAsia="Arial" w:hAnsi="Arial"/>
                <w:sz w:val="16"/>
                <w:szCs w:val="16"/>
                <w:b w:val="1"/>
                <w:bCs w:val="1"/>
                <w:color w:val="FFFFFF"/>
              </w:rPr>
              <w:t>Three Months Ended</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980" w:type="dxa"/>
            <w:vAlign w:val="bottom"/>
            <w:gridSpan w:val="3"/>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Year Ended</w:t>
            </w:r>
          </w:p>
        </w:tc>
        <w:tc>
          <w:tcPr>
            <w:tcW w:w="1140" w:type="dxa"/>
            <w:vAlign w:val="bottom"/>
            <w:shd w:val="clear" w:color="auto" w:fill="1D2758"/>
          </w:tcPr>
          <w:p>
            <w:pPr>
              <w:spacing w:after="0"/>
              <w:rPr>
                <w:sz w:val="18"/>
                <w:szCs w:val="18"/>
                <w:color w:val="auto"/>
              </w:rPr>
            </w:pPr>
          </w:p>
        </w:tc>
      </w:tr>
      <w:tr>
        <w:trPr>
          <w:trHeight w:val="211"/>
        </w:trPr>
        <w:tc>
          <w:tcPr>
            <w:tcW w:w="4400" w:type="dxa"/>
            <w:vAlign w:val="bottom"/>
            <w:shd w:val="clear" w:color="auto" w:fill="1D2758"/>
          </w:tcPr>
          <w:p>
            <w:pPr>
              <w:spacing w:after="0"/>
              <w:rPr>
                <w:sz w:val="18"/>
                <w:szCs w:val="18"/>
                <w:color w:val="auto"/>
              </w:rPr>
            </w:pPr>
          </w:p>
        </w:tc>
        <w:tc>
          <w:tcPr>
            <w:tcW w:w="520" w:type="dxa"/>
            <w:vAlign w:val="bottom"/>
            <w:shd w:val="clear" w:color="auto" w:fill="1D2758"/>
          </w:tcPr>
          <w:p>
            <w:pPr>
              <w:spacing w:after="0"/>
              <w:rPr>
                <w:sz w:val="18"/>
                <w:szCs w:val="18"/>
                <w:color w:val="auto"/>
              </w:rPr>
            </w:pPr>
          </w:p>
        </w:tc>
        <w:tc>
          <w:tcPr>
            <w:tcW w:w="172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14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198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w:t>
            </w:r>
          </w:p>
        </w:tc>
        <w:tc>
          <w:tcPr>
            <w:tcW w:w="1140" w:type="dxa"/>
            <w:vAlign w:val="bottom"/>
            <w:shd w:val="clear" w:color="auto" w:fill="1D2758"/>
          </w:tcPr>
          <w:p>
            <w:pPr>
              <w:spacing w:after="0"/>
              <w:rPr>
                <w:sz w:val="18"/>
                <w:szCs w:val="18"/>
                <w:color w:val="auto"/>
              </w:rPr>
            </w:pPr>
          </w:p>
        </w:tc>
      </w:tr>
      <w:tr>
        <w:trPr>
          <w:trHeight w:val="221"/>
        </w:trPr>
        <w:tc>
          <w:tcPr>
            <w:tcW w:w="44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20" w:type="dxa"/>
            <w:vAlign w:val="bottom"/>
            <w:shd w:val="clear" w:color="auto" w:fill="1D2758"/>
          </w:tcPr>
          <w:p>
            <w:pPr>
              <w:spacing w:after="0"/>
              <w:rPr>
                <w:sz w:val="19"/>
                <w:szCs w:val="19"/>
                <w:color w:val="auto"/>
              </w:rPr>
            </w:pPr>
          </w:p>
        </w:tc>
        <w:tc>
          <w:tcPr>
            <w:tcW w:w="112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9"/>
                <w:szCs w:val="19"/>
                <w:color w:val="auto"/>
              </w:rPr>
            </w:pPr>
          </w:p>
        </w:tc>
        <w:tc>
          <w:tcPr>
            <w:tcW w:w="500" w:type="dxa"/>
            <w:vAlign w:val="bottom"/>
            <w:shd w:val="clear" w:color="auto" w:fill="1D2758"/>
          </w:tcPr>
          <w:p>
            <w:pPr>
              <w:spacing w:after="0"/>
              <w:rPr>
                <w:sz w:val="19"/>
                <w:szCs w:val="19"/>
                <w:color w:val="auto"/>
              </w:rPr>
            </w:pPr>
          </w:p>
        </w:tc>
        <w:tc>
          <w:tcPr>
            <w:tcW w:w="114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9"/>
                <w:szCs w:val="19"/>
                <w:color w:val="auto"/>
              </w:rPr>
            </w:pPr>
          </w:p>
        </w:tc>
        <w:tc>
          <w:tcPr>
            <w:tcW w:w="260" w:type="dxa"/>
            <w:vAlign w:val="bottom"/>
            <w:shd w:val="clear" w:color="auto" w:fill="1D2758"/>
          </w:tcPr>
          <w:p>
            <w:pPr>
              <w:spacing w:after="0"/>
              <w:rPr>
                <w:sz w:val="19"/>
                <w:szCs w:val="19"/>
                <w:color w:val="auto"/>
              </w:rPr>
            </w:pPr>
          </w:p>
        </w:tc>
        <w:tc>
          <w:tcPr>
            <w:tcW w:w="13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9"/>
                <w:szCs w:val="19"/>
                <w:color w:val="auto"/>
              </w:rPr>
            </w:pPr>
          </w:p>
        </w:tc>
        <w:tc>
          <w:tcPr>
            <w:tcW w:w="500" w:type="dxa"/>
            <w:vAlign w:val="bottom"/>
            <w:shd w:val="clear" w:color="auto" w:fill="1D2758"/>
          </w:tcPr>
          <w:p>
            <w:pPr>
              <w:spacing w:after="0"/>
              <w:rPr>
                <w:sz w:val="19"/>
                <w:szCs w:val="19"/>
                <w:color w:val="auto"/>
              </w:rPr>
            </w:pPr>
          </w:p>
        </w:tc>
        <w:tc>
          <w:tcPr>
            <w:tcW w:w="114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2020</w:t>
            </w:r>
          </w:p>
        </w:tc>
      </w:tr>
      <w:tr>
        <w:trPr>
          <w:trHeight w:val="216"/>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5,773,599</w:t>
            </w:r>
          </w:p>
        </w:tc>
        <w:tc>
          <w:tcPr>
            <w:tcW w:w="100" w:type="dxa"/>
            <w:vAlign w:val="bottom"/>
            <w:shd w:val="clear" w:color="auto" w:fill="E7E7E8"/>
          </w:tcPr>
          <w:p>
            <w:pPr>
              <w:spacing w:after="0"/>
              <w:rPr>
                <w:sz w:val="18"/>
                <w:szCs w:val="18"/>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5,572,205</w:t>
            </w:r>
          </w:p>
        </w:tc>
        <w:tc>
          <w:tcPr>
            <w:tcW w:w="80" w:type="dxa"/>
            <w:vAlign w:val="bottom"/>
            <w:shd w:val="clear" w:color="auto" w:fill="E7E7E8"/>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5,773,599</w:t>
            </w:r>
          </w:p>
        </w:tc>
        <w:tc>
          <w:tcPr>
            <w:tcW w:w="100" w:type="dxa"/>
            <w:vAlign w:val="bottom"/>
            <w:shd w:val="clear" w:color="auto" w:fill="E7E7E8"/>
          </w:tcPr>
          <w:p>
            <w:pPr>
              <w:spacing w:after="0"/>
              <w:rPr>
                <w:sz w:val="18"/>
                <w:szCs w:val="18"/>
                <w:color w:val="auto"/>
              </w:rPr>
            </w:pP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5,572,205</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Less: Goodwill</w:t>
            </w:r>
          </w:p>
        </w:tc>
        <w:tc>
          <w:tcPr>
            <w:tcW w:w="5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(1,178,806)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(1,171,219)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(1,178,806)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(1,171,219)</w:t>
            </w:r>
          </w:p>
        </w:tc>
      </w:tr>
      <w:tr>
        <w:trPr>
          <w:trHeight w:val="219"/>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Intangible assets, net</w:t>
            </w:r>
          </w:p>
        </w:tc>
        <w:tc>
          <w:tcPr>
            <w:tcW w:w="52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(460,678)</w:t>
            </w: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(495,947)</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(460,678)</w:t>
            </w:r>
          </w:p>
        </w:tc>
        <w:tc>
          <w:tcPr>
            <w:tcW w:w="10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(495,947)</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Less: Total Liabilities</w:t>
            </w:r>
          </w:p>
        </w:tc>
        <w:tc>
          <w:tcPr>
            <w:tcW w:w="5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(3,776,836)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(3,508,333)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(3,776,836)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(3,508,332)</w:t>
            </w:r>
          </w:p>
        </w:tc>
      </w:tr>
      <w:tr>
        <w:trPr>
          <w:trHeight w:val="219"/>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Add: Long Term Debt</w:t>
            </w:r>
          </w:p>
        </w:tc>
        <w:tc>
          <w:tcPr>
            <w:tcW w:w="5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2,694,319</w:t>
            </w:r>
          </w:p>
        </w:tc>
        <w:tc>
          <w:tcPr>
            <w:tcW w:w="10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2,453,809</w:t>
            </w: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2,694,319</w:t>
            </w:r>
          </w:p>
        </w:tc>
        <w:tc>
          <w:tcPr>
            <w:tcW w:w="100" w:type="dxa"/>
            <w:vAlign w:val="bottom"/>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2,453,809</w:t>
            </w:r>
          </w:p>
        </w:tc>
      </w:tr>
      <w:tr>
        <w:trPr>
          <w:trHeight w:val="157"/>
        </w:trPr>
        <w:tc>
          <w:tcPr>
            <w:tcW w:w="4400" w:type="dxa"/>
            <w:vAlign w:val="bottom"/>
          </w:tcPr>
          <w:p>
            <w:pPr>
              <w:ind w:left="20"/>
              <w:spacing w:after="0" w:line="158" w:lineRule="exact"/>
              <w:rPr>
                <w:sz w:val="20"/>
                <w:szCs w:val="20"/>
                <w:color w:val="auto"/>
              </w:rPr>
            </w:pPr>
            <w:r>
              <w:rPr>
                <w:rFonts w:ascii="Arial" w:cs="Arial" w:eastAsia="Arial" w:hAnsi="Arial"/>
                <w:sz w:val="16"/>
                <w:szCs w:val="16"/>
                <w:color w:val="auto"/>
              </w:rPr>
              <w:t>Net Assets excluding interest bearing debt and goodwill and</w:t>
            </w: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8"/>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intangibles</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3,051,598</w:t>
            </w:r>
          </w:p>
        </w:tc>
        <w:tc>
          <w:tcPr>
            <w:tcW w:w="10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2,850,515</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3,051,598</w:t>
            </w:r>
          </w:p>
        </w:tc>
        <w:tc>
          <w:tcPr>
            <w:tcW w:w="10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2,850,516</w:t>
            </w:r>
          </w:p>
        </w:tc>
      </w:tr>
      <w:tr>
        <w:trPr>
          <w:trHeight w:val="212"/>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Invested Capital (A)</w:t>
            </w: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98"/>
              </w:rPr>
              <w:t>2,980,452</w:t>
            </w: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98"/>
              </w:rPr>
              <w:t>2,878,705</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rPr>
              <w:t>$2,893,471</w:t>
            </w: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98"/>
              </w:rPr>
              <w:t>2,355,748</w:t>
            </w:r>
          </w:p>
        </w:tc>
      </w:tr>
      <w:tr>
        <w:trPr>
          <w:trHeight w:val="257"/>
        </w:trPr>
        <w:tc>
          <w:tcPr>
            <w:tcW w:w="4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380" w:type="dxa"/>
            <w:vAlign w:val="bottom"/>
          </w:tcPr>
          <w:p>
            <w:pPr>
              <w:spacing w:after="0"/>
              <w:rPr>
                <w:sz w:val="22"/>
                <w:szCs w:val="22"/>
                <w:color w:val="auto"/>
              </w:rPr>
            </w:pPr>
          </w:p>
        </w:tc>
        <w:tc>
          <w:tcPr>
            <w:tcW w:w="600" w:type="dxa"/>
            <w:vAlign w:val="bottom"/>
            <w:gridSpan w:val="2"/>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211,164</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179,684</w:t>
            </w:r>
          </w:p>
        </w:tc>
        <w:tc>
          <w:tcPr>
            <w:tcW w:w="3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740,393</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530,307</w:t>
            </w:r>
          </w:p>
        </w:tc>
      </w:tr>
      <w:tr>
        <w:trPr>
          <w:trHeight w:val="213"/>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Depreciation</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(75,104)</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(65,859)</w:t>
            </w:r>
          </w:p>
        </w:tc>
        <w:tc>
          <w:tcPr>
            <w:tcW w:w="8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(288,300)</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(227,729)</w:t>
            </w:r>
          </w:p>
        </w:tc>
      </w:tr>
      <w:tr>
        <w:trPr>
          <w:trHeight w:val="212"/>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EBITA (B)</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136,060</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113,825</w:t>
            </w:r>
          </w:p>
        </w:tc>
        <w:tc>
          <w:tcPr>
            <w:tcW w:w="3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452,093</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302,578</w:t>
            </w:r>
          </w:p>
        </w:tc>
      </w:tr>
      <w:tr>
        <w:trPr>
          <w:trHeight w:val="257"/>
        </w:trPr>
        <w:tc>
          <w:tcPr>
            <w:tcW w:w="4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Statutory Tax Rate (C)</w:t>
            </w:r>
          </w:p>
        </w:tc>
        <w:tc>
          <w:tcPr>
            <w:tcW w:w="5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Estimated Tax (B*C)</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34,015</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28,456</w:t>
            </w:r>
          </w:p>
        </w:tc>
        <w:tc>
          <w:tcPr>
            <w:tcW w:w="8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113,023</w:t>
            </w:r>
          </w:p>
        </w:tc>
        <w:tc>
          <w:tcPr>
            <w:tcW w:w="10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75,644</w:t>
            </w:r>
          </w:p>
        </w:tc>
      </w:tr>
      <w:tr>
        <w:trPr>
          <w:trHeight w:val="210"/>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earnings before interest and amortization (D)</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102,045</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85,369</w:t>
            </w:r>
          </w:p>
        </w:tc>
        <w:tc>
          <w:tcPr>
            <w:tcW w:w="3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339,070</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226,933</w:t>
            </w:r>
          </w:p>
        </w:tc>
      </w:tr>
      <w:tr>
        <w:trPr>
          <w:trHeight w:val="212"/>
        </w:trPr>
        <w:tc>
          <w:tcPr>
            <w:tcW w:w="4400" w:type="dxa"/>
            <w:vAlign w:val="bottom"/>
          </w:tcPr>
          <w:p>
            <w:pPr>
              <w:ind w:left="20"/>
              <w:spacing w:after="0"/>
              <w:rPr>
                <w:sz w:val="20"/>
                <w:szCs w:val="20"/>
                <w:color w:val="auto"/>
              </w:rPr>
            </w:pPr>
            <w:r>
              <w:rPr>
                <w:rFonts w:ascii="Arial" w:cs="Arial" w:eastAsia="Arial" w:hAnsi="Arial"/>
                <w:sz w:val="16"/>
                <w:szCs w:val="16"/>
                <w:color w:val="auto"/>
              </w:rPr>
              <w:t>ROIC (D/A)</w:t>
            </w: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13.7 %</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11.9 %</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11.7 %</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9.6 %</w:t>
            </w:r>
          </w:p>
        </w:tc>
      </w:tr>
      <w:tr>
        <w:trPr>
          <w:trHeight w:val="257"/>
        </w:trPr>
        <w:tc>
          <w:tcPr>
            <w:tcW w:w="4400" w:type="dxa"/>
            <w:vAlign w:val="bottom"/>
            <w:shd w:val="clear" w:color="auto" w:fill="DBDBDB"/>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120" w:type="dxa"/>
            <w:vAlign w:val="bottom"/>
            <w:shd w:val="clear" w:color="auto" w:fill="DBDBDB"/>
          </w:tcPr>
          <w:p>
            <w:pPr>
              <w:spacing w:after="0"/>
              <w:rPr>
                <w:sz w:val="22"/>
                <w:szCs w:val="22"/>
                <w:color w:val="auto"/>
              </w:rPr>
            </w:pPr>
          </w:p>
        </w:tc>
        <w:tc>
          <w:tcPr>
            <w:tcW w:w="600" w:type="dxa"/>
            <w:vAlign w:val="bottom"/>
            <w:gridSpan w:val="2"/>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c>
          <w:tcPr>
            <w:tcW w:w="340" w:type="dxa"/>
            <w:vAlign w:val="bottom"/>
            <w:gridSpan w:val="2"/>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600" w:type="dxa"/>
            <w:vAlign w:val="bottom"/>
            <w:gridSpan w:val="2"/>
            <w:shd w:val="clear" w:color="auto" w:fill="DBDBDB"/>
          </w:tcPr>
          <w:p>
            <w:pPr>
              <w:spacing w:after="0"/>
              <w:rPr>
                <w:sz w:val="22"/>
                <w:szCs w:val="22"/>
                <w:color w:val="auto"/>
              </w:rPr>
            </w:pPr>
          </w:p>
        </w:tc>
        <w:tc>
          <w:tcPr>
            <w:tcW w:w="1140" w:type="dxa"/>
            <w:vAlign w:val="bottom"/>
            <w:shd w:val="clear" w:color="auto" w:fill="DBDBDB"/>
          </w:tcPr>
          <w:p>
            <w:pPr>
              <w:spacing w:after="0"/>
              <w:rPr>
                <w:sz w:val="22"/>
                <w:szCs w:val="22"/>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Operating income (E)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117,426</w:t>
            </w:r>
          </w:p>
        </w:tc>
        <w:tc>
          <w:tcPr>
            <w:tcW w:w="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91,263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360,273</w:t>
            </w:r>
          </w:p>
        </w:tc>
        <w:tc>
          <w:tcPr>
            <w:tcW w:w="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182,715</w:t>
            </w:r>
          </w:p>
        </w:tc>
      </w:tr>
      <w:tr>
        <w:trPr>
          <w:trHeight w:val="216"/>
        </w:trPr>
        <w:tc>
          <w:tcPr>
            <w:tcW w:w="4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 (F)</w:t>
            </w:r>
          </w:p>
        </w:tc>
        <w:tc>
          <w:tcPr>
            <w:tcW w:w="5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5,773,599</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5,572,205</w:t>
            </w:r>
          </w:p>
        </w:tc>
        <w:tc>
          <w:tcPr>
            <w:tcW w:w="340" w:type="dxa"/>
            <w:vAlign w:val="bottom"/>
            <w:gridSpan w:val="2"/>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5,773,599</w:t>
            </w:r>
          </w:p>
        </w:tc>
        <w:tc>
          <w:tcPr>
            <w:tcW w:w="600" w:type="dxa"/>
            <w:vAlign w:val="bottom"/>
            <w:gridSpan w:val="2"/>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5,572,205</w:t>
            </w:r>
          </w:p>
        </w:tc>
      </w:tr>
      <w:tr>
        <w:trPr>
          <w:trHeight w:val="211"/>
        </w:trPr>
        <w:tc>
          <w:tcPr>
            <w:tcW w:w="4400" w:type="dxa"/>
            <w:vAlign w:val="bottom"/>
          </w:tcPr>
          <w:p>
            <w:pPr>
              <w:ind w:left="20"/>
              <w:spacing w:after="0"/>
              <w:rPr>
                <w:sz w:val="20"/>
                <w:szCs w:val="20"/>
                <w:color w:val="auto"/>
              </w:rPr>
            </w:pPr>
            <w:r>
              <w:rPr>
                <w:rFonts w:ascii="Arial" w:cs="Arial" w:eastAsia="Arial" w:hAnsi="Arial"/>
                <w:sz w:val="16"/>
                <w:szCs w:val="16"/>
                <w:color w:val="auto"/>
              </w:rPr>
              <w:t>Income before income tax / Total Assets (E/F)</w:t>
            </w: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8.2 %</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6.5 %</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6.4 %</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2022-02-24T15:39:09Z</dcterms:created>
  <dcterms:modified xsi:type="dcterms:W3CDTF">2022-02-24T15:39:09Z</dcterms:modified>
</cp:coreProperties>
</file>