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191135</wp:posOffset>
            </wp:positionH>
            <wp:positionV relativeFrom="page">
              <wp:posOffset>408940</wp:posOffset>
            </wp:positionV>
            <wp:extent cx="716724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7245" cy="6350"/>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383540</wp:posOffset>
            </wp:positionV>
            <wp:extent cx="71672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7245" cy="6350"/>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39370</wp:posOffset>
            </wp:positionV>
            <wp:extent cx="716724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7245" cy="635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56515</wp:posOffset>
            </wp:positionV>
            <wp:extent cx="71672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245" cy="6350"/>
                    </a:xfrm>
                    <a:prstGeom prst="rect">
                      <a:avLst/>
                    </a:prstGeom>
                    <a:noFill/>
                  </pic:spPr>
                </pic:pic>
              </a:graphicData>
            </a:graphic>
          </wp:anchor>
        </w:drawing>
      </w:r>
    </w:p>
    <w:p>
      <w:pPr>
        <w:spacing w:after="0" w:line="212" w:lineRule="exact"/>
        <w:rPr>
          <w:sz w:val="24"/>
          <w:szCs w:val="24"/>
          <w:color w:val="auto"/>
        </w:rPr>
      </w:pPr>
    </w:p>
    <w:p>
      <w:pPr>
        <w:ind w:left="1520" w:hanging="788"/>
        <w:spacing w:after="0"/>
        <w:tabs>
          <w:tab w:leader="none" w:pos="1520" w:val="left"/>
        </w:tabs>
        <w:numPr>
          <w:ilvl w:val="0"/>
          <w:numId w:val="1"/>
        </w:numPr>
        <w:rPr>
          <w:rFonts w:ascii="MS PGothic" w:cs="MS PGothic" w:eastAsia="MS PGothic" w:hAnsi="MS PGothic"/>
          <w:sz w:val="13"/>
          <w:szCs w:val="13"/>
          <w:color w:val="auto"/>
        </w:rPr>
      </w:pPr>
      <w:r>
        <w:rPr>
          <w:rFonts w:ascii="Arial" w:cs="Arial" w:eastAsia="Arial" w:hAnsi="Arial"/>
          <w:sz w:val="11"/>
          <w:szCs w:val="11"/>
          <w:b w:val="1"/>
          <w:bCs w:val="1"/>
          <w:color w:val="auto"/>
        </w:rPr>
        <w:t>QUARTERLY REPORT PURSUANT TO SECTION 13 OR 15(d) OF THE SECURITIES EXCHANGE ACT OF 1934</w:t>
      </w:r>
    </w:p>
    <w:p>
      <w:pPr>
        <w:spacing w:after="0" w:line="319" w:lineRule="exact"/>
        <w:rPr>
          <w:sz w:val="24"/>
          <w:szCs w:val="24"/>
          <w:color w:val="auto"/>
        </w:rPr>
      </w:pPr>
    </w:p>
    <w:p>
      <w:pPr>
        <w:ind w:left="4320" w:right="4240" w:hanging="3588"/>
        <w:spacing w:after="0" w:line="393" w:lineRule="auto"/>
        <w:tabs>
          <w:tab w:leader="none" w:pos="1532" w:val="left"/>
        </w:tabs>
        <w:numPr>
          <w:ilvl w:val="0"/>
          <w:numId w:val="2"/>
        </w:numPr>
        <w:rPr>
          <w:rFonts w:ascii="MS PGothic" w:cs="MS PGothic" w:eastAsia="MS PGothic" w:hAnsi="MS PGothic"/>
          <w:sz w:val="12"/>
          <w:szCs w:val="12"/>
          <w:color w:val="auto"/>
        </w:rPr>
      </w:pPr>
      <w:r>
        <w:rPr>
          <w:rFonts w:ascii="Arial" w:cs="Arial" w:eastAsia="Arial" w:hAnsi="Arial"/>
          <w:sz w:val="10"/>
          <w:szCs w:val="10"/>
          <w:b w:val="1"/>
          <w:bCs w:val="1"/>
          <w:color w:val="auto"/>
        </w:rPr>
        <w:t>TRANSITION REPORT PURSUANT TO SECTION 13 OR 15(d) OF THE SECURITIES EXCHANGE ACT OF 1934 For the transition period from ________ to ________</w:t>
      </w:r>
    </w:p>
    <w:p>
      <w:pPr>
        <w:spacing w:after="0" w:line="12" w:lineRule="exact"/>
        <w:rPr>
          <w:sz w:val="24"/>
          <w:szCs w:val="24"/>
          <w:color w:val="auto"/>
        </w:rPr>
      </w:pPr>
    </w:p>
    <w:p>
      <w:pPr>
        <w:ind w:left="4300"/>
        <w:spacing w:after="0"/>
        <w:rPr>
          <w:sz w:val="20"/>
          <w:szCs w:val="20"/>
          <w:color w:val="auto"/>
        </w:rPr>
      </w:pPr>
      <w:r>
        <w:rPr>
          <w:rFonts w:ascii="Arial" w:cs="Arial" w:eastAsia="Arial" w:hAnsi="Arial"/>
          <w:sz w:val="11"/>
          <w:szCs w:val="11"/>
          <w:b w:val="1"/>
          <w:bCs w:val="1"/>
          <w:color w:val="auto"/>
        </w:rPr>
        <w:t xml:space="preserve">Commission File Number: </w:t>
      </w:r>
      <w:r>
        <w:rPr>
          <w:rFonts w:ascii="Arial" w:cs="Arial" w:eastAsia="Arial" w:hAnsi="Arial"/>
          <w:sz w:val="11"/>
          <w:szCs w:val="11"/>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2511425</wp:posOffset>
            </wp:positionH>
            <wp:positionV relativeFrom="paragraph">
              <wp:posOffset>46990</wp:posOffset>
            </wp:positionV>
            <wp:extent cx="2152015" cy="601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2015" cy="601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313"/>
        </w:trPr>
        <w:tc>
          <w:tcPr>
            <w:tcW w:w="11280" w:type="dxa"/>
            <w:vAlign w:val="bottom"/>
            <w:gridSpan w:val="3"/>
          </w:tcPr>
          <w:p>
            <w:pPr>
              <w:jc w:val="center"/>
              <w:spacing w:after="0"/>
              <w:rPr>
                <w:sz w:val="20"/>
                <w:szCs w:val="20"/>
                <w:color w:val="auto"/>
              </w:rPr>
            </w:pPr>
            <w:r>
              <w:rPr>
                <w:rFonts w:ascii="Arial" w:cs="Arial" w:eastAsia="Arial" w:hAnsi="Arial"/>
                <w:sz w:val="24"/>
                <w:szCs w:val="24"/>
                <w:b w:val="1"/>
                <w:bCs w:val="1"/>
                <w:color w:val="auto"/>
              </w:rPr>
              <w:t>WILLSCOT MOBILE MINI HOLDINGS CORP.</w:t>
            </w:r>
          </w:p>
        </w:tc>
      </w:tr>
      <w:tr>
        <w:trPr>
          <w:trHeight w:val="129"/>
        </w:trPr>
        <w:tc>
          <w:tcPr>
            <w:tcW w:w="3840" w:type="dxa"/>
            <w:vAlign w:val="bottom"/>
          </w:tcPr>
          <w:p>
            <w:pPr>
              <w:spacing w:after="0"/>
              <w:rPr>
                <w:sz w:val="11"/>
                <w:szCs w:val="11"/>
                <w:color w:val="auto"/>
              </w:rPr>
            </w:pPr>
          </w:p>
        </w:tc>
        <w:tc>
          <w:tcPr>
            <w:tcW w:w="3760" w:type="dxa"/>
            <w:vAlign w:val="bottom"/>
          </w:tcPr>
          <w:p>
            <w:pPr>
              <w:jc w:val="center"/>
              <w:ind w:right="106"/>
              <w:spacing w:after="0"/>
              <w:rPr>
                <w:sz w:val="20"/>
                <w:szCs w:val="20"/>
                <w:color w:val="auto"/>
              </w:rPr>
            </w:pPr>
            <w:r>
              <w:rPr>
                <w:rFonts w:ascii="Arial" w:cs="Arial" w:eastAsia="Arial" w:hAnsi="Arial"/>
                <w:sz w:val="11"/>
                <w:szCs w:val="11"/>
                <w:color w:val="auto"/>
                <w:w w:val="97"/>
              </w:rPr>
              <w:t>(Exact name of registrant as specified in its charter)</w:t>
            </w:r>
          </w:p>
        </w:tc>
        <w:tc>
          <w:tcPr>
            <w:tcW w:w="3680" w:type="dxa"/>
            <w:vAlign w:val="bottom"/>
          </w:tcPr>
          <w:p>
            <w:pPr>
              <w:spacing w:after="0"/>
              <w:rPr>
                <w:sz w:val="11"/>
                <w:szCs w:val="11"/>
                <w:color w:val="auto"/>
              </w:rPr>
            </w:pPr>
          </w:p>
        </w:tc>
      </w:tr>
      <w:tr>
        <w:trPr>
          <w:trHeight w:val="151"/>
        </w:trPr>
        <w:tc>
          <w:tcPr>
            <w:tcW w:w="3840" w:type="dxa"/>
            <w:vAlign w:val="bottom"/>
          </w:tcPr>
          <w:p>
            <w:pPr>
              <w:jc w:val="center"/>
              <w:spacing w:after="0"/>
              <w:rPr>
                <w:sz w:val="20"/>
                <w:szCs w:val="20"/>
                <w:color w:val="auto"/>
              </w:rPr>
            </w:pPr>
            <w:r>
              <w:rPr>
                <w:rFonts w:ascii="Arial" w:cs="Arial" w:eastAsia="Arial" w:hAnsi="Arial"/>
                <w:sz w:val="11"/>
                <w:szCs w:val="11"/>
                <w:b w:val="1"/>
                <w:bCs w:val="1"/>
                <w:color w:val="auto"/>
                <w:w w:val="95"/>
              </w:rPr>
              <w:t>Delaware</w:t>
            </w:r>
          </w:p>
        </w:tc>
        <w:tc>
          <w:tcPr>
            <w:tcW w:w="3760" w:type="dxa"/>
            <w:vAlign w:val="bottom"/>
          </w:tcPr>
          <w:p>
            <w:pPr>
              <w:spacing w:after="0"/>
              <w:rPr>
                <w:sz w:val="13"/>
                <w:szCs w:val="13"/>
                <w:color w:val="auto"/>
              </w:rPr>
            </w:pPr>
          </w:p>
        </w:tc>
        <w:tc>
          <w:tcPr>
            <w:tcW w:w="3680" w:type="dxa"/>
            <w:vAlign w:val="bottom"/>
          </w:tcPr>
          <w:p>
            <w:pPr>
              <w:jc w:val="right"/>
              <w:ind w:right="1566"/>
              <w:spacing w:after="0"/>
              <w:rPr>
                <w:sz w:val="20"/>
                <w:szCs w:val="20"/>
                <w:color w:val="auto"/>
              </w:rPr>
            </w:pPr>
            <w:r>
              <w:rPr>
                <w:rFonts w:ascii="Arial" w:cs="Arial" w:eastAsia="Arial" w:hAnsi="Arial"/>
                <w:sz w:val="11"/>
                <w:szCs w:val="11"/>
                <w:b w:val="1"/>
                <w:bCs w:val="1"/>
                <w:color w:val="auto"/>
              </w:rPr>
              <w:t>82-3430194</w:t>
            </w:r>
          </w:p>
        </w:tc>
      </w:tr>
      <w:tr>
        <w:trPr>
          <w:trHeight w:val="141"/>
        </w:trPr>
        <w:tc>
          <w:tcPr>
            <w:tcW w:w="3840" w:type="dxa"/>
            <w:vAlign w:val="bottom"/>
          </w:tcPr>
          <w:p>
            <w:pPr>
              <w:jc w:val="center"/>
              <w:spacing w:after="0"/>
              <w:rPr>
                <w:sz w:val="20"/>
                <w:szCs w:val="20"/>
                <w:color w:val="auto"/>
              </w:rPr>
            </w:pPr>
            <w:r>
              <w:rPr>
                <w:rFonts w:ascii="Arial" w:cs="Arial" w:eastAsia="Arial" w:hAnsi="Arial"/>
                <w:sz w:val="11"/>
                <w:szCs w:val="11"/>
                <w:color w:val="auto"/>
                <w:w w:val="97"/>
              </w:rPr>
              <w:t>(State or other jurisdiction of incorporation)</w:t>
            </w:r>
          </w:p>
        </w:tc>
        <w:tc>
          <w:tcPr>
            <w:tcW w:w="3760" w:type="dxa"/>
            <w:vAlign w:val="bottom"/>
          </w:tcPr>
          <w:p>
            <w:pPr>
              <w:spacing w:after="0"/>
              <w:rPr>
                <w:sz w:val="12"/>
                <w:szCs w:val="12"/>
                <w:color w:val="auto"/>
              </w:rPr>
            </w:pPr>
          </w:p>
        </w:tc>
        <w:tc>
          <w:tcPr>
            <w:tcW w:w="3680" w:type="dxa"/>
            <w:vAlign w:val="bottom"/>
          </w:tcPr>
          <w:p>
            <w:pPr>
              <w:jc w:val="center"/>
              <w:ind w:right="86"/>
              <w:spacing w:after="0"/>
              <w:rPr>
                <w:sz w:val="20"/>
                <w:szCs w:val="20"/>
                <w:color w:val="auto"/>
              </w:rPr>
            </w:pPr>
            <w:r>
              <w:rPr>
                <w:rFonts w:ascii="Arial" w:cs="Arial" w:eastAsia="Arial" w:hAnsi="Arial"/>
                <w:sz w:val="11"/>
                <w:szCs w:val="11"/>
                <w:color w:val="auto"/>
                <w:w w:val="98"/>
              </w:rPr>
              <w:t>(I.R.S. Employer Identification No.)</w:t>
            </w:r>
          </w:p>
        </w:tc>
      </w:tr>
      <w:tr>
        <w:trPr>
          <w:trHeight w:val="181"/>
        </w:trPr>
        <w:tc>
          <w:tcPr>
            <w:tcW w:w="3840" w:type="dxa"/>
            <w:vAlign w:val="bottom"/>
          </w:tcPr>
          <w:p>
            <w:pPr>
              <w:spacing w:after="0"/>
              <w:rPr>
                <w:sz w:val="15"/>
                <w:szCs w:val="15"/>
                <w:color w:val="auto"/>
              </w:rPr>
            </w:pPr>
          </w:p>
        </w:tc>
        <w:tc>
          <w:tcPr>
            <w:tcW w:w="3760" w:type="dxa"/>
            <w:vAlign w:val="bottom"/>
          </w:tcPr>
          <w:p>
            <w:pPr>
              <w:jc w:val="center"/>
              <w:ind w:right="106"/>
              <w:spacing w:after="0"/>
              <w:rPr>
                <w:sz w:val="20"/>
                <w:szCs w:val="20"/>
                <w:color w:val="auto"/>
              </w:rPr>
            </w:pPr>
            <w:r>
              <w:rPr>
                <w:rFonts w:ascii="Arial" w:cs="Arial" w:eastAsia="Arial" w:hAnsi="Arial"/>
                <w:sz w:val="11"/>
                <w:szCs w:val="11"/>
                <w:b w:val="1"/>
                <w:bCs w:val="1"/>
                <w:color w:val="auto"/>
                <w:w w:val="97"/>
              </w:rPr>
              <w:t>4646 E Van Buren St., Suite 400</w:t>
            </w:r>
          </w:p>
        </w:tc>
        <w:tc>
          <w:tcPr>
            <w:tcW w:w="3680" w:type="dxa"/>
            <w:vAlign w:val="bottom"/>
          </w:tcPr>
          <w:p>
            <w:pPr>
              <w:spacing w:after="0"/>
              <w:rPr>
                <w:sz w:val="15"/>
                <w:szCs w:val="15"/>
                <w:color w:val="auto"/>
              </w:rPr>
            </w:pPr>
          </w:p>
        </w:tc>
      </w:tr>
      <w:tr>
        <w:trPr>
          <w:trHeight w:val="133"/>
        </w:trPr>
        <w:tc>
          <w:tcPr>
            <w:tcW w:w="3840" w:type="dxa"/>
            <w:vAlign w:val="bottom"/>
          </w:tcPr>
          <w:p>
            <w:pPr>
              <w:spacing w:after="0"/>
              <w:rPr>
                <w:sz w:val="11"/>
                <w:szCs w:val="11"/>
                <w:color w:val="auto"/>
              </w:rPr>
            </w:pPr>
          </w:p>
        </w:tc>
        <w:tc>
          <w:tcPr>
            <w:tcW w:w="3760" w:type="dxa"/>
            <w:vAlign w:val="bottom"/>
          </w:tcPr>
          <w:p>
            <w:pPr>
              <w:jc w:val="center"/>
              <w:ind w:right="106"/>
              <w:spacing w:after="0"/>
              <w:rPr>
                <w:sz w:val="20"/>
                <w:szCs w:val="20"/>
                <w:color w:val="auto"/>
              </w:rPr>
            </w:pPr>
            <w:r>
              <w:rPr>
                <w:rFonts w:ascii="Arial" w:cs="Arial" w:eastAsia="Arial" w:hAnsi="Arial"/>
                <w:sz w:val="11"/>
                <w:szCs w:val="11"/>
                <w:b w:val="1"/>
                <w:bCs w:val="1"/>
                <w:color w:val="auto"/>
                <w:w w:val="97"/>
              </w:rPr>
              <w:t>Phoenix, Arizona 85008</w:t>
            </w:r>
          </w:p>
        </w:tc>
        <w:tc>
          <w:tcPr>
            <w:tcW w:w="3680" w:type="dxa"/>
            <w:vAlign w:val="bottom"/>
          </w:tcPr>
          <w:p>
            <w:pPr>
              <w:spacing w:after="0"/>
              <w:rPr>
                <w:sz w:val="11"/>
                <w:szCs w:val="11"/>
                <w:color w:val="auto"/>
              </w:rPr>
            </w:pPr>
          </w:p>
        </w:tc>
      </w:tr>
      <w:tr>
        <w:trPr>
          <w:trHeight w:val="129"/>
        </w:trPr>
        <w:tc>
          <w:tcPr>
            <w:tcW w:w="3840" w:type="dxa"/>
            <w:vAlign w:val="bottom"/>
          </w:tcPr>
          <w:p>
            <w:pPr>
              <w:spacing w:after="0"/>
              <w:rPr>
                <w:sz w:val="11"/>
                <w:szCs w:val="11"/>
                <w:color w:val="auto"/>
              </w:rPr>
            </w:pPr>
          </w:p>
        </w:tc>
        <w:tc>
          <w:tcPr>
            <w:tcW w:w="3760" w:type="dxa"/>
            <w:vAlign w:val="bottom"/>
          </w:tcPr>
          <w:p>
            <w:pPr>
              <w:jc w:val="center"/>
              <w:ind w:right="86"/>
              <w:spacing w:after="0"/>
              <w:rPr>
                <w:sz w:val="20"/>
                <w:szCs w:val="20"/>
                <w:color w:val="auto"/>
              </w:rPr>
            </w:pPr>
            <w:r>
              <w:rPr>
                <w:rFonts w:ascii="Arial" w:cs="Arial" w:eastAsia="Arial" w:hAnsi="Arial"/>
                <w:sz w:val="11"/>
                <w:szCs w:val="11"/>
                <w:color w:val="auto"/>
                <w:w w:val="97"/>
              </w:rPr>
              <w:t>(Address, including zip code, of principal executive offices)</w:t>
            </w:r>
          </w:p>
        </w:tc>
        <w:tc>
          <w:tcPr>
            <w:tcW w:w="3680" w:type="dxa"/>
            <w:vAlign w:val="bottom"/>
          </w:tcPr>
          <w:p>
            <w:pPr>
              <w:spacing w:after="0"/>
              <w:rPr>
                <w:sz w:val="11"/>
                <w:szCs w:val="11"/>
                <w:color w:val="auto"/>
              </w:rPr>
            </w:pPr>
          </w:p>
        </w:tc>
      </w:tr>
      <w:tr>
        <w:trPr>
          <w:trHeight w:val="294"/>
        </w:trPr>
        <w:tc>
          <w:tcPr>
            <w:tcW w:w="3840" w:type="dxa"/>
            <w:vAlign w:val="bottom"/>
          </w:tcPr>
          <w:p>
            <w:pPr>
              <w:spacing w:after="0"/>
              <w:rPr>
                <w:sz w:val="24"/>
                <w:szCs w:val="24"/>
                <w:color w:val="auto"/>
              </w:rPr>
            </w:pPr>
          </w:p>
        </w:tc>
        <w:tc>
          <w:tcPr>
            <w:tcW w:w="3760" w:type="dxa"/>
            <w:vAlign w:val="bottom"/>
          </w:tcPr>
          <w:p>
            <w:pPr>
              <w:jc w:val="center"/>
              <w:ind w:right="86"/>
              <w:spacing w:after="0"/>
              <w:rPr>
                <w:sz w:val="20"/>
                <w:szCs w:val="20"/>
                <w:color w:val="auto"/>
              </w:rPr>
            </w:pPr>
            <w:r>
              <w:rPr>
                <w:rFonts w:ascii="Arial" w:cs="Arial" w:eastAsia="Arial" w:hAnsi="Arial"/>
                <w:sz w:val="11"/>
                <w:szCs w:val="11"/>
                <w:b w:val="1"/>
                <w:bCs w:val="1"/>
                <w:color w:val="auto"/>
                <w:w w:val="98"/>
              </w:rPr>
              <w:t>(480) 894-6311</w:t>
            </w:r>
          </w:p>
        </w:tc>
        <w:tc>
          <w:tcPr>
            <w:tcW w:w="3680" w:type="dxa"/>
            <w:vAlign w:val="bottom"/>
          </w:tcPr>
          <w:p>
            <w:pPr>
              <w:spacing w:after="0"/>
              <w:rPr>
                <w:sz w:val="24"/>
                <w:szCs w:val="24"/>
                <w:color w:val="auto"/>
              </w:rPr>
            </w:pPr>
          </w:p>
        </w:tc>
      </w:tr>
      <w:tr>
        <w:trPr>
          <w:trHeight w:val="129"/>
        </w:trPr>
        <w:tc>
          <w:tcPr>
            <w:tcW w:w="3840" w:type="dxa"/>
            <w:vAlign w:val="bottom"/>
          </w:tcPr>
          <w:p>
            <w:pPr>
              <w:spacing w:after="0"/>
              <w:rPr>
                <w:sz w:val="11"/>
                <w:szCs w:val="11"/>
                <w:color w:val="auto"/>
              </w:rPr>
            </w:pPr>
          </w:p>
        </w:tc>
        <w:tc>
          <w:tcPr>
            <w:tcW w:w="3760" w:type="dxa"/>
            <w:vAlign w:val="bottom"/>
          </w:tcPr>
          <w:p>
            <w:pPr>
              <w:jc w:val="center"/>
              <w:ind w:right="106"/>
              <w:spacing w:after="0"/>
              <w:rPr>
                <w:sz w:val="20"/>
                <w:szCs w:val="20"/>
                <w:color w:val="auto"/>
              </w:rPr>
            </w:pPr>
            <w:r>
              <w:rPr>
                <w:rFonts w:ascii="Arial" w:cs="Arial" w:eastAsia="Arial" w:hAnsi="Arial"/>
                <w:sz w:val="11"/>
                <w:szCs w:val="11"/>
                <w:color w:val="auto"/>
                <w:w w:val="97"/>
              </w:rPr>
              <w:t>(Registrant’s telephone number, including area code)</w:t>
            </w:r>
          </w:p>
        </w:tc>
        <w:tc>
          <w:tcPr>
            <w:tcW w:w="3680" w:type="dxa"/>
            <w:vAlign w:val="bottom"/>
          </w:tcPr>
          <w:p>
            <w:pPr>
              <w:spacing w:after="0"/>
              <w:rPr>
                <w:sz w:val="11"/>
                <w:szCs w:val="11"/>
                <w:color w:val="auto"/>
              </w:rPr>
            </w:pPr>
          </w:p>
        </w:tc>
      </w:tr>
      <w:tr>
        <w:trPr>
          <w:trHeight w:val="202"/>
        </w:trPr>
        <w:tc>
          <w:tcPr>
            <w:tcW w:w="3840" w:type="dxa"/>
            <w:vAlign w:val="bottom"/>
          </w:tcPr>
          <w:p>
            <w:pPr>
              <w:spacing w:after="0"/>
              <w:rPr>
                <w:sz w:val="17"/>
                <w:szCs w:val="17"/>
                <w:color w:val="auto"/>
              </w:rPr>
            </w:pPr>
          </w:p>
        </w:tc>
        <w:tc>
          <w:tcPr>
            <w:tcW w:w="3760" w:type="dxa"/>
            <w:vAlign w:val="bottom"/>
          </w:tcPr>
          <w:p>
            <w:pPr>
              <w:jc w:val="center"/>
              <w:ind w:right="106"/>
              <w:spacing w:after="0"/>
              <w:rPr>
                <w:sz w:val="20"/>
                <w:szCs w:val="20"/>
                <w:color w:val="auto"/>
              </w:rPr>
            </w:pPr>
            <w:r>
              <w:rPr>
                <w:rFonts w:ascii="Arial" w:cs="Arial" w:eastAsia="Arial" w:hAnsi="Arial"/>
                <w:sz w:val="11"/>
                <w:szCs w:val="11"/>
                <w:color w:val="auto"/>
                <w:w w:val="97"/>
              </w:rPr>
              <w:t>(Former Name or Former Address, if Changed Since Last Report)</w:t>
            </w:r>
          </w:p>
        </w:tc>
        <w:tc>
          <w:tcPr>
            <w:tcW w:w="3680" w:type="dxa"/>
            <w:vAlign w:val="bottom"/>
          </w:tcPr>
          <w:p>
            <w:pPr>
              <w:spacing w:after="0"/>
              <w:rPr>
                <w:sz w:val="17"/>
                <w:szCs w:val="17"/>
                <w:color w:val="auto"/>
              </w:rPr>
            </w:pPr>
          </w:p>
        </w:tc>
      </w:tr>
      <w:tr>
        <w:trPr>
          <w:trHeight w:val="303"/>
        </w:trPr>
        <w:tc>
          <w:tcPr>
            <w:tcW w:w="3840" w:type="dxa"/>
            <w:vAlign w:val="bottom"/>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37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50"/>
        </w:trPr>
        <w:tc>
          <w:tcPr>
            <w:tcW w:w="3840" w:type="dxa"/>
            <w:vAlign w:val="bottom"/>
            <w:tcBorders>
              <w:bottom w:val="single" w:sz="8" w:color="auto"/>
            </w:tcBorders>
          </w:tcPr>
          <w:p>
            <w:pPr>
              <w:jc w:val="center"/>
              <w:ind w:left="1137"/>
              <w:spacing w:after="0"/>
              <w:rPr>
                <w:sz w:val="20"/>
                <w:szCs w:val="20"/>
                <w:color w:val="auto"/>
              </w:rPr>
            </w:pPr>
            <w:r>
              <w:rPr>
                <w:rFonts w:ascii="Arial" w:cs="Arial" w:eastAsia="Arial" w:hAnsi="Arial"/>
                <w:sz w:val="11"/>
                <w:szCs w:val="11"/>
                <w:b w:val="1"/>
                <w:bCs w:val="1"/>
                <w:color w:val="auto"/>
                <w:w w:val="97"/>
              </w:rPr>
              <w:t>Title of each class</w:t>
            </w:r>
          </w:p>
        </w:tc>
        <w:tc>
          <w:tcPr>
            <w:tcW w:w="3760" w:type="dxa"/>
            <w:vAlign w:val="bottom"/>
            <w:tcBorders>
              <w:bottom w:val="single" w:sz="8" w:color="auto"/>
            </w:tcBorders>
          </w:tcPr>
          <w:p>
            <w:pPr>
              <w:jc w:val="center"/>
              <w:ind w:left="486"/>
              <w:spacing w:after="0"/>
              <w:rPr>
                <w:sz w:val="20"/>
                <w:szCs w:val="20"/>
                <w:color w:val="auto"/>
              </w:rPr>
            </w:pPr>
            <w:r>
              <w:rPr>
                <w:rFonts w:ascii="Arial" w:cs="Arial" w:eastAsia="Arial" w:hAnsi="Arial"/>
                <w:sz w:val="11"/>
                <w:szCs w:val="11"/>
                <w:b w:val="1"/>
                <w:bCs w:val="1"/>
                <w:color w:val="auto"/>
                <w:w w:val="97"/>
              </w:rPr>
              <w:t>Trading Symbol(s)</w:t>
            </w:r>
          </w:p>
        </w:tc>
        <w:tc>
          <w:tcPr>
            <w:tcW w:w="3680" w:type="dxa"/>
            <w:vAlign w:val="bottom"/>
            <w:tcBorders>
              <w:bottom w:val="single" w:sz="8" w:color="auto"/>
            </w:tcBorders>
          </w:tcPr>
          <w:p>
            <w:pPr>
              <w:jc w:val="center"/>
              <w:ind w:right="566"/>
              <w:spacing w:after="0"/>
              <w:rPr>
                <w:sz w:val="20"/>
                <w:szCs w:val="20"/>
                <w:color w:val="auto"/>
              </w:rPr>
            </w:pPr>
            <w:r>
              <w:rPr>
                <w:rFonts w:ascii="Arial" w:cs="Arial" w:eastAsia="Arial" w:hAnsi="Arial"/>
                <w:sz w:val="11"/>
                <w:szCs w:val="11"/>
                <w:b w:val="1"/>
                <w:bCs w:val="1"/>
                <w:color w:val="auto"/>
                <w:w w:val="97"/>
              </w:rPr>
              <w:t>Name of each exchange on which registered</w:t>
            </w:r>
          </w:p>
        </w:tc>
      </w:tr>
      <w:tr>
        <w:trPr>
          <w:trHeight w:val="133"/>
        </w:trPr>
        <w:tc>
          <w:tcPr>
            <w:tcW w:w="3840" w:type="dxa"/>
            <w:vAlign w:val="bottom"/>
          </w:tcPr>
          <w:p>
            <w:pPr>
              <w:jc w:val="center"/>
              <w:ind w:left="1117"/>
              <w:spacing w:after="0"/>
              <w:rPr>
                <w:sz w:val="20"/>
                <w:szCs w:val="20"/>
                <w:color w:val="auto"/>
              </w:rPr>
            </w:pPr>
            <w:r>
              <w:rPr>
                <w:rFonts w:ascii="Arial" w:cs="Arial" w:eastAsia="Arial" w:hAnsi="Arial"/>
                <w:sz w:val="11"/>
                <w:szCs w:val="11"/>
                <w:color w:val="auto"/>
                <w:w w:val="97"/>
              </w:rPr>
              <w:t>Common Stock, par value $0.0001 per share</w:t>
            </w:r>
          </w:p>
        </w:tc>
        <w:tc>
          <w:tcPr>
            <w:tcW w:w="3760" w:type="dxa"/>
            <w:vAlign w:val="bottom"/>
          </w:tcPr>
          <w:p>
            <w:pPr>
              <w:jc w:val="center"/>
              <w:ind w:left="506"/>
              <w:spacing w:after="0"/>
              <w:rPr>
                <w:sz w:val="20"/>
                <w:szCs w:val="20"/>
                <w:color w:val="auto"/>
              </w:rPr>
            </w:pPr>
            <w:r>
              <w:rPr>
                <w:rFonts w:ascii="Arial" w:cs="Arial" w:eastAsia="Arial" w:hAnsi="Arial"/>
                <w:sz w:val="11"/>
                <w:szCs w:val="11"/>
                <w:color w:val="auto"/>
                <w:w w:val="93"/>
              </w:rPr>
              <w:t>WSC</w:t>
            </w:r>
          </w:p>
        </w:tc>
        <w:tc>
          <w:tcPr>
            <w:tcW w:w="3680" w:type="dxa"/>
            <w:vAlign w:val="bottom"/>
          </w:tcPr>
          <w:p>
            <w:pPr>
              <w:jc w:val="center"/>
              <w:ind w:right="566"/>
              <w:spacing w:after="0"/>
              <w:rPr>
                <w:sz w:val="20"/>
                <w:szCs w:val="20"/>
                <w:color w:val="auto"/>
              </w:rPr>
            </w:pPr>
            <w:r>
              <w:rPr>
                <w:rFonts w:ascii="Arial" w:cs="Arial" w:eastAsia="Arial" w:hAnsi="Arial"/>
                <w:sz w:val="11"/>
                <w:szCs w:val="11"/>
                <w:color w:val="auto"/>
                <w:w w:val="97"/>
              </w:rPr>
              <w:t>The Nasdaq Capital Market</w:t>
            </w:r>
          </w:p>
        </w:tc>
      </w:tr>
      <w:tr>
        <w:trPr>
          <w:trHeight w:val="184"/>
        </w:trPr>
        <w:tc>
          <w:tcPr>
            <w:tcW w:w="3840" w:type="dxa"/>
            <w:vAlign w:val="bottom"/>
          </w:tcPr>
          <w:p>
            <w:pPr>
              <w:jc w:val="center"/>
              <w:ind w:left="1117"/>
              <w:spacing w:after="0"/>
              <w:rPr>
                <w:sz w:val="20"/>
                <w:szCs w:val="20"/>
                <w:color w:val="auto"/>
              </w:rPr>
            </w:pPr>
            <w:r>
              <w:rPr>
                <w:rFonts w:ascii="Arial" w:cs="Arial" w:eastAsia="Arial" w:hAnsi="Arial"/>
                <w:sz w:val="11"/>
                <w:szCs w:val="11"/>
                <w:color w:val="auto"/>
                <w:w w:val="95"/>
              </w:rPr>
              <w:t>Warrants to purchase Common Stock</w:t>
            </w:r>
            <w:r>
              <w:rPr>
                <w:rFonts w:ascii="Arial" w:cs="Arial" w:eastAsia="Arial" w:hAnsi="Arial"/>
                <w:sz w:val="13"/>
                <w:szCs w:val="13"/>
                <w:color w:val="auto"/>
                <w:w w:val="95"/>
                <w:vertAlign w:val="superscript"/>
              </w:rPr>
              <w:t>(1)</w:t>
            </w:r>
          </w:p>
        </w:tc>
        <w:tc>
          <w:tcPr>
            <w:tcW w:w="3760" w:type="dxa"/>
            <w:vAlign w:val="bottom"/>
          </w:tcPr>
          <w:p>
            <w:pPr>
              <w:jc w:val="center"/>
              <w:ind w:left="486"/>
              <w:spacing w:after="0"/>
              <w:rPr>
                <w:sz w:val="20"/>
                <w:szCs w:val="20"/>
                <w:color w:val="auto"/>
              </w:rPr>
            </w:pPr>
            <w:r>
              <w:rPr>
                <w:rFonts w:ascii="Arial" w:cs="Arial" w:eastAsia="Arial" w:hAnsi="Arial"/>
                <w:sz w:val="11"/>
                <w:szCs w:val="11"/>
                <w:color w:val="auto"/>
                <w:w w:val="98"/>
              </w:rPr>
              <w:t>WSCTW</w:t>
            </w:r>
          </w:p>
        </w:tc>
        <w:tc>
          <w:tcPr>
            <w:tcW w:w="3680" w:type="dxa"/>
            <w:vAlign w:val="bottom"/>
          </w:tcPr>
          <w:p>
            <w:pPr>
              <w:jc w:val="center"/>
              <w:ind w:right="566"/>
              <w:spacing w:after="0"/>
              <w:rPr>
                <w:sz w:val="20"/>
                <w:szCs w:val="20"/>
                <w:color w:val="auto"/>
              </w:rPr>
            </w:pPr>
            <w:r>
              <w:rPr>
                <w:rFonts w:ascii="Arial" w:cs="Arial" w:eastAsia="Arial" w:hAnsi="Arial"/>
                <w:sz w:val="11"/>
                <w:szCs w:val="11"/>
                <w:color w:val="auto"/>
                <w:w w:val="98"/>
              </w:rPr>
              <w:t>OTC Markets Group Inc.</w:t>
            </w:r>
          </w:p>
        </w:tc>
      </w:tr>
    </w:tbl>
    <w:p>
      <w:pPr>
        <w:spacing w:after="0" w:line="60" w:lineRule="exact"/>
        <w:rPr>
          <w:sz w:val="24"/>
          <w:szCs w:val="24"/>
          <w:color w:val="auto"/>
        </w:rPr>
      </w:pPr>
    </w:p>
    <w:p>
      <w:pPr>
        <w:ind w:left="600" w:hanging="115"/>
        <w:spacing w:after="0"/>
        <w:tabs>
          <w:tab w:leader="none" w:pos="600" w:val="left"/>
        </w:tabs>
        <w:numPr>
          <w:ilvl w:val="0"/>
          <w:numId w:val="3"/>
        </w:numPr>
        <w:rPr>
          <w:rFonts w:ascii="Arial" w:cs="Arial" w:eastAsia="Arial" w:hAnsi="Arial"/>
          <w:sz w:val="7"/>
          <w:szCs w:val="7"/>
          <w:color w:val="auto"/>
        </w:rPr>
      </w:pPr>
      <w:r>
        <w:rPr>
          <w:rFonts w:ascii="Arial" w:cs="Arial" w:eastAsia="Arial" w:hAnsi="Arial"/>
          <w:sz w:val="11"/>
          <w:szCs w:val="11"/>
          <w:color w:val="auto"/>
        </w:rPr>
        <w:t>Issued in connection with the registrant's acquisition of Modular Space Holding, Inc. in August 2018, which are exercisable for one share of the registrant's common stock at an exercise price of $15.50 per share.</w:t>
      </w:r>
    </w:p>
    <w:p>
      <w:pPr>
        <w:spacing w:after="0" w:line="116" w:lineRule="exact"/>
        <w:rPr>
          <w:sz w:val="24"/>
          <w:szCs w:val="24"/>
          <w:color w:val="auto"/>
        </w:rPr>
      </w:pPr>
    </w:p>
    <w:p>
      <w:pPr>
        <w:ind w:firstLine="484"/>
        <w:spacing w:after="0" w:line="131"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31" w:lineRule="exact"/>
        <w:rPr>
          <w:sz w:val="24"/>
          <w:szCs w:val="24"/>
          <w:color w:val="auto"/>
        </w:rPr>
      </w:pPr>
    </w:p>
    <w:p>
      <w:pPr>
        <w:ind w:firstLine="484"/>
        <w:spacing w:after="0" w:line="131"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31" w:lineRule="exact"/>
        <w:rPr>
          <w:sz w:val="24"/>
          <w:szCs w:val="24"/>
          <w:color w:val="auto"/>
        </w:rPr>
      </w:pPr>
    </w:p>
    <w:p>
      <w:pPr>
        <w:ind w:firstLine="484"/>
        <w:spacing w:after="0" w:line="23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752" w:right="319" w:bottom="1440" w:gutter="0" w:footer="0" w:header="0"/>
        </w:sectPr>
      </w:pPr>
    </w:p>
    <w:p>
      <w:pPr>
        <w:spacing w:after="0" w:line="36" w:lineRule="exact"/>
        <w:rPr>
          <w:sz w:val="24"/>
          <w:szCs w:val="24"/>
          <w:color w:val="auto"/>
        </w:rPr>
      </w:pPr>
    </w:p>
    <w:p>
      <w:pPr>
        <w:ind w:left="980"/>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Accelerated filer </w:t>
      </w:r>
      <w:r>
        <w:rPr>
          <w:rFonts w:ascii="MS PGothic" w:cs="MS PGothic" w:eastAsia="MS PGothic" w:hAnsi="MS PGothic"/>
          <w:sz w:val="10"/>
          <w:szCs w:val="10"/>
          <w:color w:val="auto"/>
        </w:rPr>
        <w:t>☐</w:t>
      </w:r>
    </w:p>
    <w:p>
      <w:pPr>
        <w:spacing w:after="0" w:line="53" w:lineRule="exact"/>
        <w:rPr>
          <w:sz w:val="24"/>
          <w:szCs w:val="24"/>
          <w:color w:val="auto"/>
        </w:rPr>
      </w:pPr>
    </w:p>
    <w:p>
      <w:pPr>
        <w:sectPr>
          <w:pgSz w:w="11900" w:h="16838" w:orient="portrait"/>
          <w:cols w:equalWidth="0" w:num="2">
            <w:col w:w="5900" w:space="720"/>
            <w:col w:w="4660"/>
          </w:cols>
          <w:pgMar w:left="300" w:top="752" w:right="319" w:bottom="1440" w:gutter="0" w:footer="0" w:header="0"/>
          <w:type w:val="continuous"/>
        </w:sectPr>
      </w:pPr>
    </w:p>
    <w:p>
      <w:pPr>
        <w:ind w:left="1000"/>
        <w:spacing w:after="0" w:line="115" w:lineRule="exact"/>
        <w:rPr>
          <w:sz w:val="20"/>
          <w:szCs w:val="20"/>
          <w:color w:val="auto"/>
        </w:rPr>
      </w:pPr>
      <w:r>
        <w:rPr>
          <w:rFonts w:ascii="Arial" w:cs="Arial" w:eastAsia="Arial" w:hAnsi="Arial"/>
          <w:sz w:val="10"/>
          <w:szCs w:val="10"/>
          <w:color w:val="auto"/>
        </w:rPr>
        <w:t xml:space="preserve">Non-accelerated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95" w:lineRule="exact"/>
        <w:rPr>
          <w:sz w:val="20"/>
          <w:szCs w:val="20"/>
          <w:color w:val="auto"/>
        </w:rPr>
      </w:pPr>
      <w:r>
        <w:rPr>
          <w:rFonts w:ascii="Arial" w:cs="Arial" w:eastAsia="Arial" w:hAnsi="Arial"/>
          <w:sz w:val="10"/>
          <w:szCs w:val="10"/>
          <w:color w:val="auto"/>
        </w:rPr>
        <w:t xml:space="preserve">Smaller reporting company </w:t>
      </w:r>
      <w:r>
        <w:rPr>
          <w:rFonts w:ascii="MS PGothic" w:cs="MS PGothic" w:eastAsia="MS PGothic" w:hAnsi="MS PGothic"/>
          <w:sz w:val="10"/>
          <w:szCs w:val="10"/>
          <w:color w:val="auto"/>
        </w:rPr>
        <w:t>☐</w:t>
      </w:r>
    </w:p>
    <w:p>
      <w:pPr>
        <w:spacing w:after="0" w:line="36"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147" w:lineRule="exact"/>
        <w:rPr>
          <w:sz w:val="24"/>
          <w:szCs w:val="24"/>
          <w:color w:val="auto"/>
        </w:rPr>
      </w:pPr>
    </w:p>
    <w:p>
      <w:pPr>
        <w:sectPr>
          <w:pgSz w:w="11900" w:h="16838" w:orient="portrait"/>
          <w:cols w:equalWidth="0" w:num="2">
            <w:col w:w="5900" w:space="720"/>
            <w:col w:w="4660"/>
          </w:cols>
          <w:pgMar w:left="300" w:top="752" w:right="319" w:bottom="1440" w:gutter="0" w:footer="0" w:header="0"/>
          <w:type w:val="continuous"/>
        </w:sectPr>
      </w:pPr>
    </w:p>
    <w:p>
      <w:pPr>
        <w:ind w:firstLine="484"/>
        <w:spacing w:after="0" w:line="13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5" w:lineRule="exact"/>
        <w:rPr>
          <w:sz w:val="24"/>
          <w:szCs w:val="24"/>
          <w:color w:val="auto"/>
        </w:rPr>
      </w:pPr>
    </w:p>
    <w:p>
      <w:pPr>
        <w:ind w:left="480"/>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71" w:lineRule="exact"/>
        <w:rPr>
          <w:sz w:val="24"/>
          <w:szCs w:val="24"/>
          <w:color w:val="auto"/>
        </w:rPr>
      </w:pPr>
    </w:p>
    <w:p>
      <w:pPr>
        <w:ind w:left="480"/>
        <w:spacing w:after="0"/>
        <w:rPr>
          <w:sz w:val="20"/>
          <w:szCs w:val="20"/>
          <w:color w:val="auto"/>
        </w:rPr>
      </w:pPr>
      <w:r>
        <w:rPr>
          <w:rFonts w:ascii="Arial" w:cs="Arial" w:eastAsia="Arial" w:hAnsi="Arial"/>
          <w:sz w:val="11"/>
          <w:szCs w:val="11"/>
          <w:color w:val="auto"/>
        </w:rPr>
        <w:t>Shares of Common Stock, par value $0.0001 per share, outstanding: 226,182,486 shares at August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33020</wp:posOffset>
            </wp:positionV>
            <wp:extent cx="716724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724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6985</wp:posOffset>
            </wp:positionV>
            <wp:extent cx="716724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7245" cy="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154940</wp:posOffset>
            </wp:positionV>
            <wp:extent cx="719264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752"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2"/>
        </w:trPr>
        <w:tc>
          <w:tcPr>
            <w:tcW w:w="1020" w:type="dxa"/>
            <w:vAlign w:val="bottom"/>
          </w:tcPr>
          <w:p>
            <w:pPr>
              <w:spacing w:after="0"/>
              <w:rPr>
                <w:sz w:val="17"/>
                <w:szCs w:val="17"/>
                <w:color w:val="auto"/>
              </w:rPr>
            </w:pPr>
          </w:p>
        </w:tc>
        <w:tc>
          <w:tcPr>
            <w:tcW w:w="10260" w:type="dxa"/>
            <w:vAlign w:val="bottom"/>
          </w:tcPr>
          <w:p>
            <w:pPr>
              <w:jc w:val="center"/>
              <w:ind w:right="955"/>
              <w:spacing w:after="0"/>
              <w:rPr>
                <w:sz w:val="20"/>
                <w:szCs w:val="20"/>
                <w:color w:val="auto"/>
              </w:rPr>
            </w:pPr>
            <w:r>
              <w:rPr>
                <w:rFonts w:ascii="Arial" w:cs="Arial" w:eastAsia="Arial" w:hAnsi="Arial"/>
                <w:sz w:val="17"/>
                <w:szCs w:val="17"/>
                <w:b w:val="1"/>
                <w:bCs w:val="1"/>
                <w:color w:val="1D2758"/>
              </w:rPr>
              <w:t>WILLSCOT MOBILE MINI HOLDINGS CORP.</w:t>
            </w:r>
          </w:p>
        </w:tc>
      </w:tr>
      <w:tr>
        <w:trPr>
          <w:trHeight w:val="224"/>
        </w:trPr>
        <w:tc>
          <w:tcPr>
            <w:tcW w:w="1020" w:type="dxa"/>
            <w:vAlign w:val="bottom"/>
          </w:tcPr>
          <w:p>
            <w:pPr>
              <w:spacing w:after="0"/>
              <w:rPr>
                <w:sz w:val="19"/>
                <w:szCs w:val="19"/>
                <w:color w:val="auto"/>
              </w:rPr>
            </w:pPr>
          </w:p>
        </w:tc>
        <w:tc>
          <w:tcPr>
            <w:tcW w:w="10260" w:type="dxa"/>
            <w:vAlign w:val="bottom"/>
          </w:tcPr>
          <w:p>
            <w:pPr>
              <w:jc w:val="center"/>
              <w:ind w:right="935"/>
              <w:spacing w:after="0"/>
              <w:rPr>
                <w:sz w:val="20"/>
                <w:szCs w:val="20"/>
                <w:color w:val="auto"/>
              </w:rPr>
            </w:pPr>
            <w:r>
              <w:rPr>
                <w:rFonts w:ascii="Arial" w:cs="Arial" w:eastAsia="Arial" w:hAnsi="Arial"/>
                <w:sz w:val="17"/>
                <w:szCs w:val="17"/>
                <w:b w:val="1"/>
                <w:bCs w:val="1"/>
                <w:color w:val="1D2758"/>
              </w:rPr>
              <w:t>Quarterly Report on Form 10-Q</w:t>
            </w:r>
          </w:p>
        </w:tc>
      </w:tr>
      <w:tr>
        <w:trPr>
          <w:trHeight w:val="214"/>
        </w:trPr>
        <w:tc>
          <w:tcPr>
            <w:tcW w:w="1020" w:type="dxa"/>
            <w:vAlign w:val="bottom"/>
          </w:tcPr>
          <w:p>
            <w:pPr>
              <w:spacing w:after="0"/>
              <w:rPr>
                <w:sz w:val="18"/>
                <w:szCs w:val="18"/>
                <w:color w:val="auto"/>
              </w:rPr>
            </w:pPr>
          </w:p>
        </w:tc>
        <w:tc>
          <w:tcPr>
            <w:tcW w:w="10260" w:type="dxa"/>
            <w:vAlign w:val="bottom"/>
          </w:tcPr>
          <w:p>
            <w:pPr>
              <w:jc w:val="center"/>
              <w:ind w:right="955"/>
              <w:spacing w:after="0"/>
              <w:rPr>
                <w:sz w:val="20"/>
                <w:szCs w:val="20"/>
                <w:color w:val="auto"/>
              </w:rPr>
            </w:pPr>
            <w:r>
              <w:rPr>
                <w:rFonts w:ascii="Arial" w:cs="Arial" w:eastAsia="Arial" w:hAnsi="Arial"/>
                <w:sz w:val="17"/>
                <w:szCs w:val="17"/>
                <w:color w:val="1D2758"/>
              </w:rPr>
              <w:t>Table of Contents</w:t>
            </w:r>
          </w:p>
        </w:tc>
      </w:tr>
      <w:tr>
        <w:trPr>
          <w:trHeight w:val="164"/>
        </w:trPr>
        <w:tc>
          <w:tcPr>
            <w:tcW w:w="11280" w:type="dxa"/>
            <w:vAlign w:val="bottom"/>
            <w:gridSpan w:val="2"/>
            <w:shd w:val="clear" w:color="auto" w:fill="DBDBDB"/>
          </w:tcPr>
          <w:p>
            <w:pPr>
              <w:ind w:left="20"/>
              <w:spacing w:after="0"/>
              <w:rPr>
                <w:rFonts w:ascii="Arial" w:cs="Arial" w:eastAsia="Arial" w:hAnsi="Arial"/>
                <w:sz w:val="12"/>
                <w:szCs w:val="12"/>
                <w:b w:val="1"/>
                <w:bCs w:val="1"/>
                <w:color w:val="auto"/>
              </w:rPr>
            </w:pPr>
            <w:hyperlink w:anchor="page2">
              <w:r>
                <w:rPr>
                  <w:rFonts w:ascii="Arial" w:cs="Arial" w:eastAsia="Arial" w:hAnsi="Arial"/>
                  <w:sz w:val="12"/>
                  <w:szCs w:val="12"/>
                  <w:b w:val="1"/>
                  <w:bCs w:val="1"/>
                  <w:color w:val="auto"/>
                </w:rPr>
                <w:t xml:space="preserve">PART I </w:t>
              </w:r>
            </w:hyperlink>
            <w:r>
              <w:rPr>
                <w:rFonts w:ascii="Arial" w:cs="Arial" w:eastAsia="Arial" w:hAnsi="Arial"/>
                <w:sz w:val="12"/>
                <w:szCs w:val="12"/>
                <w:b w:val="1"/>
                <w:bCs w:val="1"/>
                <w:color w:val="auto"/>
              </w:rPr>
              <w:t>Financial Information</w:t>
            </w:r>
          </w:p>
        </w:tc>
      </w:tr>
      <w:tr>
        <w:trPr>
          <w:trHeight w:val="133"/>
        </w:trPr>
        <w:tc>
          <w:tcPr>
            <w:tcW w:w="1020" w:type="dxa"/>
            <w:vAlign w:val="bottom"/>
            <w:shd w:val="clear" w:color="auto" w:fill="DBDBDB"/>
          </w:tcPr>
          <w:p>
            <w:pPr>
              <w:spacing w:after="0"/>
              <w:rPr>
                <w:sz w:val="11"/>
                <w:szCs w:val="11"/>
                <w:color w:val="auto"/>
              </w:rPr>
            </w:pPr>
          </w:p>
        </w:tc>
        <w:tc>
          <w:tcPr>
            <w:tcW w:w="10260" w:type="dxa"/>
            <w:vAlign w:val="bottom"/>
            <w:shd w:val="clear" w:color="auto" w:fill="DBDBDB"/>
          </w:tcPr>
          <w:p>
            <w:pPr>
              <w:spacing w:after="0"/>
              <w:rPr>
                <w:sz w:val="11"/>
                <w:szCs w:val="11"/>
                <w:color w:val="auto"/>
              </w:rPr>
            </w:pPr>
          </w:p>
        </w:tc>
      </w:tr>
      <w:tr>
        <w:trPr>
          <w:trHeight w:val="157"/>
        </w:trPr>
        <w:tc>
          <w:tcPr>
            <w:tcW w:w="1020" w:type="dxa"/>
            <w:vAlign w:val="bottom"/>
          </w:tcPr>
          <w:p>
            <w:pPr>
              <w:ind w:left="380"/>
              <w:spacing w:after="0"/>
              <w:rPr>
                <w:rFonts w:ascii="Arial" w:cs="Arial" w:eastAsia="Arial" w:hAnsi="Arial"/>
                <w:sz w:val="12"/>
                <w:szCs w:val="12"/>
                <w:color w:val="auto"/>
              </w:rPr>
            </w:pPr>
            <w:hyperlink w:anchor="page3">
              <w:r>
                <w:rPr>
                  <w:rFonts w:ascii="Arial" w:cs="Arial" w:eastAsia="Arial" w:hAnsi="Arial"/>
                  <w:sz w:val="12"/>
                  <w:szCs w:val="12"/>
                  <w:color w:val="auto"/>
                </w:rPr>
                <w:t>Item 1</w:t>
              </w:r>
            </w:hyperlink>
          </w:p>
        </w:tc>
        <w:tc>
          <w:tcPr>
            <w:tcW w:w="10260" w:type="dxa"/>
            <w:vAlign w:val="bottom"/>
          </w:tcPr>
          <w:p>
            <w:pPr>
              <w:ind w:left="240"/>
              <w:spacing w:after="0"/>
              <w:rPr>
                <w:rFonts w:ascii="Arial" w:cs="Arial" w:eastAsia="Arial" w:hAnsi="Arial"/>
                <w:sz w:val="12"/>
                <w:szCs w:val="12"/>
                <w:color w:val="auto"/>
              </w:rPr>
            </w:pPr>
            <w:hyperlink w:anchor="page3">
              <w:r>
                <w:rPr>
                  <w:rFonts w:ascii="Arial" w:cs="Arial" w:eastAsia="Arial" w:hAnsi="Arial"/>
                  <w:sz w:val="12"/>
                  <w:szCs w:val="12"/>
                  <w:color w:val="auto"/>
                </w:rPr>
                <w:t>Financial Statements (unaudited, except as noted below)</w:t>
              </w:r>
            </w:hyperlink>
          </w:p>
        </w:tc>
      </w:tr>
      <w:tr>
        <w:trPr>
          <w:trHeight w:val="135"/>
        </w:trPr>
        <w:tc>
          <w:tcPr>
            <w:tcW w:w="1020" w:type="dxa"/>
            <w:vAlign w:val="bottom"/>
          </w:tcPr>
          <w:p>
            <w:pPr>
              <w:spacing w:after="0"/>
              <w:rPr>
                <w:sz w:val="11"/>
                <w:szCs w:val="11"/>
                <w:color w:val="auto"/>
              </w:rPr>
            </w:pPr>
          </w:p>
        </w:tc>
        <w:tc>
          <w:tcPr>
            <w:tcW w:w="10260" w:type="dxa"/>
            <w:vAlign w:val="bottom"/>
          </w:tcPr>
          <w:p>
            <w:pPr>
              <w:spacing w:after="0"/>
              <w:rPr>
                <w:sz w:val="11"/>
                <w:szCs w:val="11"/>
                <w:color w:val="auto"/>
              </w:rPr>
            </w:pPr>
          </w:p>
        </w:tc>
      </w:tr>
      <w:tr>
        <w:trPr>
          <w:trHeight w:val="157"/>
        </w:trPr>
        <w:tc>
          <w:tcPr>
            <w:tcW w:w="1020" w:type="dxa"/>
            <w:vAlign w:val="bottom"/>
            <w:shd w:val="clear" w:color="auto" w:fill="DBDBDB"/>
          </w:tcPr>
          <w:p>
            <w:pPr>
              <w:spacing w:after="0"/>
              <w:rPr>
                <w:sz w:val="13"/>
                <w:szCs w:val="13"/>
                <w:color w:val="auto"/>
              </w:rPr>
            </w:pPr>
          </w:p>
        </w:tc>
        <w:tc>
          <w:tcPr>
            <w:tcW w:w="10260" w:type="dxa"/>
            <w:vAlign w:val="bottom"/>
            <w:shd w:val="clear" w:color="auto" w:fill="DBDBDB"/>
          </w:tcPr>
          <w:p>
            <w:pPr>
              <w:ind w:left="580"/>
              <w:spacing w:after="0"/>
              <w:rPr>
                <w:rFonts w:ascii="Arial" w:cs="Arial" w:eastAsia="Arial" w:hAnsi="Arial"/>
                <w:sz w:val="12"/>
                <w:szCs w:val="12"/>
                <w:color w:val="auto"/>
              </w:rPr>
            </w:pPr>
            <w:hyperlink w:anchor="page3">
              <w:r>
                <w:rPr>
                  <w:rFonts w:ascii="Arial" w:cs="Arial" w:eastAsia="Arial" w:hAnsi="Arial"/>
                  <w:sz w:val="12"/>
                  <w:szCs w:val="12"/>
                  <w:color w:val="auto"/>
                </w:rPr>
                <w:t>Condensed Consolidated Balance Sheets as of June 30, 2021 and December 31, 2020 (audited)</w:t>
              </w:r>
            </w:hyperlink>
          </w:p>
        </w:tc>
      </w:tr>
      <w:tr>
        <w:trPr>
          <w:trHeight w:val="135"/>
        </w:trPr>
        <w:tc>
          <w:tcPr>
            <w:tcW w:w="1020" w:type="dxa"/>
            <w:vAlign w:val="bottom"/>
            <w:shd w:val="clear" w:color="auto" w:fill="DBDBDB"/>
          </w:tcPr>
          <w:p>
            <w:pPr>
              <w:spacing w:after="0"/>
              <w:rPr>
                <w:sz w:val="11"/>
                <w:szCs w:val="11"/>
                <w:color w:val="auto"/>
              </w:rPr>
            </w:pPr>
          </w:p>
        </w:tc>
        <w:tc>
          <w:tcPr>
            <w:tcW w:w="10260" w:type="dxa"/>
            <w:vAlign w:val="bottom"/>
            <w:shd w:val="clear" w:color="auto" w:fill="DBDBDB"/>
          </w:tcPr>
          <w:p>
            <w:pPr>
              <w:spacing w:after="0"/>
              <w:rPr>
                <w:sz w:val="11"/>
                <w:szCs w:val="11"/>
                <w:color w:val="auto"/>
              </w:rPr>
            </w:pPr>
          </w:p>
        </w:tc>
      </w:tr>
      <w:tr>
        <w:trPr>
          <w:trHeight w:val="157"/>
        </w:trPr>
        <w:tc>
          <w:tcPr>
            <w:tcW w:w="1020" w:type="dxa"/>
            <w:vAlign w:val="bottom"/>
          </w:tcPr>
          <w:p>
            <w:pPr>
              <w:spacing w:after="0"/>
              <w:rPr>
                <w:sz w:val="13"/>
                <w:szCs w:val="13"/>
                <w:color w:val="auto"/>
              </w:rPr>
            </w:pPr>
          </w:p>
        </w:tc>
        <w:tc>
          <w:tcPr>
            <w:tcW w:w="10260" w:type="dxa"/>
            <w:vAlign w:val="bottom"/>
          </w:tcPr>
          <w:p>
            <w:pPr>
              <w:ind w:left="580"/>
              <w:spacing w:after="0"/>
              <w:rPr>
                <w:rFonts w:ascii="Arial" w:cs="Arial" w:eastAsia="Arial" w:hAnsi="Arial"/>
                <w:sz w:val="12"/>
                <w:szCs w:val="12"/>
                <w:color w:val="auto"/>
              </w:rPr>
            </w:pPr>
            <w:hyperlink w:anchor="page3">
              <w:r>
                <w:rPr>
                  <w:rFonts w:ascii="Arial" w:cs="Arial" w:eastAsia="Arial" w:hAnsi="Arial"/>
                  <w:sz w:val="12"/>
                  <w:szCs w:val="12"/>
                  <w:color w:val="auto"/>
                </w:rPr>
                <w:t>Condensed Consolidated Statements of Operations for the Three and Six Months Ended June 30, 2021 and 2020</w:t>
              </w:r>
            </w:hyperlink>
          </w:p>
        </w:tc>
      </w:tr>
      <w:tr>
        <w:trPr>
          <w:trHeight w:val="135"/>
        </w:trPr>
        <w:tc>
          <w:tcPr>
            <w:tcW w:w="1020" w:type="dxa"/>
            <w:vAlign w:val="bottom"/>
          </w:tcPr>
          <w:p>
            <w:pPr>
              <w:spacing w:after="0"/>
              <w:rPr>
                <w:sz w:val="11"/>
                <w:szCs w:val="11"/>
                <w:color w:val="auto"/>
              </w:rPr>
            </w:pPr>
          </w:p>
        </w:tc>
        <w:tc>
          <w:tcPr>
            <w:tcW w:w="10260" w:type="dxa"/>
            <w:vAlign w:val="bottom"/>
          </w:tcPr>
          <w:p>
            <w:pPr>
              <w:spacing w:after="0"/>
              <w:rPr>
                <w:sz w:val="11"/>
                <w:szCs w:val="11"/>
                <w:color w:val="auto"/>
              </w:rPr>
            </w:pPr>
          </w:p>
        </w:tc>
      </w:tr>
      <w:tr>
        <w:trPr>
          <w:trHeight w:val="157"/>
        </w:trPr>
        <w:tc>
          <w:tcPr>
            <w:tcW w:w="1020" w:type="dxa"/>
            <w:vAlign w:val="bottom"/>
            <w:shd w:val="clear" w:color="auto" w:fill="DBDBDB"/>
          </w:tcPr>
          <w:p>
            <w:pPr>
              <w:spacing w:after="0"/>
              <w:rPr>
                <w:sz w:val="13"/>
                <w:szCs w:val="13"/>
                <w:color w:val="auto"/>
              </w:rPr>
            </w:pPr>
          </w:p>
        </w:tc>
        <w:tc>
          <w:tcPr>
            <w:tcW w:w="10260" w:type="dxa"/>
            <w:vAlign w:val="bottom"/>
            <w:shd w:val="clear" w:color="auto" w:fill="DBDBDB"/>
          </w:tcPr>
          <w:p>
            <w:pPr>
              <w:ind w:left="580"/>
              <w:spacing w:after="0"/>
              <w:rPr>
                <w:sz w:val="20"/>
                <w:szCs w:val="20"/>
                <w:color w:val="auto"/>
              </w:rPr>
            </w:pPr>
            <w:r>
              <w:rPr>
                <w:rFonts w:ascii="Arial" w:cs="Arial" w:eastAsia="Arial" w:hAnsi="Arial"/>
                <w:sz w:val="12"/>
                <w:szCs w:val="12"/>
                <w:color w:val="auto"/>
              </w:rPr>
              <w:t>Condensed Consolidated Statements of Comprehensive Income (Loss) for the Three and Six Months Ended June 30, 2021 and 2020</w:t>
            </w:r>
          </w:p>
        </w:tc>
      </w:tr>
      <w:tr>
        <w:trPr>
          <w:trHeight w:val="135"/>
        </w:trPr>
        <w:tc>
          <w:tcPr>
            <w:tcW w:w="1020" w:type="dxa"/>
            <w:vAlign w:val="bottom"/>
            <w:shd w:val="clear" w:color="auto" w:fill="DBDBDB"/>
          </w:tcPr>
          <w:p>
            <w:pPr>
              <w:spacing w:after="0"/>
              <w:rPr>
                <w:sz w:val="11"/>
                <w:szCs w:val="11"/>
                <w:color w:val="auto"/>
              </w:rPr>
            </w:pPr>
          </w:p>
        </w:tc>
        <w:tc>
          <w:tcPr>
            <w:tcW w:w="10260" w:type="dxa"/>
            <w:vAlign w:val="bottom"/>
            <w:shd w:val="clear" w:color="auto" w:fill="DBDBDB"/>
          </w:tcPr>
          <w:p>
            <w:pPr>
              <w:spacing w:after="0"/>
              <w:rPr>
                <w:sz w:val="11"/>
                <w:szCs w:val="11"/>
                <w:color w:val="auto"/>
              </w:rPr>
            </w:pPr>
          </w:p>
        </w:tc>
      </w:tr>
      <w:tr>
        <w:trPr>
          <w:trHeight w:val="159"/>
        </w:trPr>
        <w:tc>
          <w:tcPr>
            <w:tcW w:w="1020" w:type="dxa"/>
            <w:vAlign w:val="bottom"/>
          </w:tcPr>
          <w:p>
            <w:pPr>
              <w:spacing w:after="0"/>
              <w:rPr>
                <w:sz w:val="13"/>
                <w:szCs w:val="13"/>
                <w:color w:val="auto"/>
              </w:rPr>
            </w:pPr>
          </w:p>
        </w:tc>
        <w:tc>
          <w:tcPr>
            <w:tcW w:w="10260" w:type="dxa"/>
            <w:vAlign w:val="bottom"/>
          </w:tcPr>
          <w:p>
            <w:pPr>
              <w:ind w:left="580"/>
              <w:spacing w:after="0"/>
              <w:rPr>
                <w:rFonts w:ascii="Arial" w:cs="Arial" w:eastAsia="Arial" w:hAnsi="Arial"/>
                <w:sz w:val="12"/>
                <w:szCs w:val="12"/>
                <w:color w:val="auto"/>
              </w:rPr>
            </w:pPr>
            <w:hyperlink w:anchor="page5">
              <w:r>
                <w:rPr>
                  <w:rFonts w:ascii="Arial" w:cs="Arial" w:eastAsia="Arial" w:hAnsi="Arial"/>
                  <w:sz w:val="12"/>
                  <w:szCs w:val="12"/>
                  <w:color w:val="auto"/>
                </w:rPr>
                <w:t>Condensed Consolidated Statements of Changes in Equity for the Three and Six Months Ended June 30, 2021 and 2020</w:t>
              </w:r>
            </w:hyperlink>
          </w:p>
        </w:tc>
      </w:tr>
      <w:tr>
        <w:trPr>
          <w:trHeight w:val="159"/>
        </w:trPr>
        <w:tc>
          <w:tcPr>
            <w:tcW w:w="1020" w:type="dxa"/>
            <w:vAlign w:val="bottom"/>
            <w:shd w:val="clear" w:color="auto" w:fill="DBDBDB"/>
          </w:tcPr>
          <w:p>
            <w:pPr>
              <w:spacing w:after="0"/>
              <w:rPr>
                <w:sz w:val="13"/>
                <w:szCs w:val="13"/>
                <w:color w:val="auto"/>
              </w:rPr>
            </w:pPr>
          </w:p>
        </w:tc>
        <w:tc>
          <w:tcPr>
            <w:tcW w:w="10260" w:type="dxa"/>
            <w:vAlign w:val="bottom"/>
            <w:shd w:val="clear" w:color="auto" w:fill="DBDBDB"/>
          </w:tcPr>
          <w:p>
            <w:pPr>
              <w:ind w:left="580"/>
              <w:spacing w:after="0"/>
              <w:rPr>
                <w:rFonts w:ascii="Arial" w:cs="Arial" w:eastAsia="Arial" w:hAnsi="Arial"/>
                <w:sz w:val="12"/>
                <w:szCs w:val="12"/>
                <w:color w:val="auto"/>
              </w:rPr>
            </w:pPr>
            <w:hyperlink w:anchor="page7">
              <w:r>
                <w:rPr>
                  <w:rFonts w:ascii="Arial" w:cs="Arial" w:eastAsia="Arial" w:hAnsi="Arial"/>
                  <w:sz w:val="12"/>
                  <w:szCs w:val="12"/>
                  <w:color w:val="auto"/>
                </w:rPr>
                <w:t>Condensed Consolidated Statements of Cash Flows for the Six Months Ended June 30, 2021 and 2020</w:t>
              </w:r>
            </w:hyperlink>
          </w:p>
        </w:tc>
      </w:tr>
      <w:tr>
        <w:trPr>
          <w:trHeight w:val="135"/>
        </w:trPr>
        <w:tc>
          <w:tcPr>
            <w:tcW w:w="1020" w:type="dxa"/>
            <w:vAlign w:val="bottom"/>
            <w:shd w:val="clear" w:color="auto" w:fill="DBDBDB"/>
          </w:tcPr>
          <w:p>
            <w:pPr>
              <w:spacing w:after="0"/>
              <w:rPr>
                <w:sz w:val="11"/>
                <w:szCs w:val="11"/>
                <w:color w:val="auto"/>
              </w:rPr>
            </w:pPr>
          </w:p>
        </w:tc>
        <w:tc>
          <w:tcPr>
            <w:tcW w:w="10260" w:type="dxa"/>
            <w:vAlign w:val="bottom"/>
            <w:shd w:val="clear" w:color="auto" w:fill="DBDBDB"/>
          </w:tcPr>
          <w:p>
            <w:pPr>
              <w:spacing w:after="0"/>
              <w:rPr>
                <w:sz w:val="11"/>
                <w:szCs w:val="11"/>
                <w:color w:val="auto"/>
              </w:rPr>
            </w:pPr>
          </w:p>
        </w:tc>
      </w:tr>
      <w:tr>
        <w:trPr>
          <w:trHeight w:val="157"/>
        </w:trPr>
        <w:tc>
          <w:tcPr>
            <w:tcW w:w="1020" w:type="dxa"/>
            <w:vAlign w:val="bottom"/>
          </w:tcPr>
          <w:p>
            <w:pPr>
              <w:spacing w:after="0"/>
              <w:rPr>
                <w:sz w:val="13"/>
                <w:szCs w:val="13"/>
                <w:color w:val="auto"/>
              </w:rPr>
            </w:pPr>
          </w:p>
        </w:tc>
        <w:tc>
          <w:tcPr>
            <w:tcW w:w="10260" w:type="dxa"/>
            <w:vAlign w:val="bottom"/>
          </w:tcPr>
          <w:p>
            <w:pPr>
              <w:ind w:left="580"/>
              <w:spacing w:after="0"/>
              <w:rPr>
                <w:rFonts w:ascii="Arial" w:cs="Arial" w:eastAsia="Arial" w:hAnsi="Arial"/>
                <w:sz w:val="12"/>
                <w:szCs w:val="12"/>
                <w:color w:val="auto"/>
              </w:rPr>
            </w:pPr>
            <w:hyperlink w:anchor="page8">
              <w:r>
                <w:rPr>
                  <w:rFonts w:ascii="Arial" w:cs="Arial" w:eastAsia="Arial" w:hAnsi="Arial"/>
                  <w:sz w:val="12"/>
                  <w:szCs w:val="12"/>
                  <w:color w:val="auto"/>
                </w:rPr>
                <w:t>Notes to the Condensed Consolidated Financial Statements</w:t>
              </w:r>
            </w:hyperlink>
          </w:p>
        </w:tc>
      </w:tr>
      <w:tr>
        <w:trPr>
          <w:trHeight w:val="135"/>
        </w:trPr>
        <w:tc>
          <w:tcPr>
            <w:tcW w:w="1020" w:type="dxa"/>
            <w:vAlign w:val="bottom"/>
          </w:tcPr>
          <w:p>
            <w:pPr>
              <w:spacing w:after="0"/>
              <w:rPr>
                <w:sz w:val="11"/>
                <w:szCs w:val="11"/>
                <w:color w:val="auto"/>
              </w:rPr>
            </w:pPr>
          </w:p>
        </w:tc>
        <w:tc>
          <w:tcPr>
            <w:tcW w:w="10260" w:type="dxa"/>
            <w:vAlign w:val="bottom"/>
          </w:tcPr>
          <w:p>
            <w:pPr>
              <w:spacing w:after="0"/>
              <w:rPr>
                <w:sz w:val="11"/>
                <w:szCs w:val="11"/>
                <w:color w:val="auto"/>
              </w:rPr>
            </w:pPr>
          </w:p>
        </w:tc>
      </w:tr>
      <w:tr>
        <w:trPr>
          <w:trHeight w:val="157"/>
        </w:trPr>
        <w:tc>
          <w:tcPr>
            <w:tcW w:w="1020" w:type="dxa"/>
            <w:vAlign w:val="bottom"/>
            <w:shd w:val="clear" w:color="auto" w:fill="DBDBDB"/>
          </w:tcPr>
          <w:p>
            <w:pPr>
              <w:ind w:left="380"/>
              <w:spacing w:after="0"/>
              <w:rPr>
                <w:rFonts w:ascii="Arial" w:cs="Arial" w:eastAsia="Arial" w:hAnsi="Arial"/>
                <w:sz w:val="12"/>
                <w:szCs w:val="12"/>
                <w:color w:val="auto"/>
              </w:rPr>
            </w:pPr>
            <w:hyperlink w:anchor="page35">
              <w:r>
                <w:rPr>
                  <w:rFonts w:ascii="Arial" w:cs="Arial" w:eastAsia="Arial" w:hAnsi="Arial"/>
                  <w:sz w:val="12"/>
                  <w:szCs w:val="12"/>
                  <w:color w:val="auto"/>
                </w:rPr>
                <w:t>Item 2</w:t>
              </w:r>
            </w:hyperlink>
          </w:p>
        </w:tc>
        <w:tc>
          <w:tcPr>
            <w:tcW w:w="10260" w:type="dxa"/>
            <w:vAlign w:val="bottom"/>
            <w:shd w:val="clear" w:color="auto" w:fill="DBDBDB"/>
          </w:tcPr>
          <w:p>
            <w:pPr>
              <w:ind w:left="240"/>
              <w:spacing w:after="0"/>
              <w:rPr>
                <w:rFonts w:ascii="Arial" w:cs="Arial" w:eastAsia="Arial" w:hAnsi="Arial"/>
                <w:sz w:val="12"/>
                <w:szCs w:val="12"/>
                <w:color w:val="auto"/>
              </w:rPr>
            </w:pPr>
            <w:hyperlink w:anchor="page35">
              <w:r>
                <w:rPr>
                  <w:rFonts w:ascii="Arial" w:cs="Arial" w:eastAsia="Arial" w:hAnsi="Arial"/>
                  <w:sz w:val="12"/>
                  <w:szCs w:val="12"/>
                  <w:color w:val="auto"/>
                </w:rPr>
                <w:t>Management’s Discussion and Analysis of Financial Condition and Results of Operations</w:t>
              </w:r>
            </w:hyperlink>
          </w:p>
        </w:tc>
      </w:tr>
      <w:tr>
        <w:trPr>
          <w:trHeight w:val="135"/>
        </w:trPr>
        <w:tc>
          <w:tcPr>
            <w:tcW w:w="1020" w:type="dxa"/>
            <w:vAlign w:val="bottom"/>
            <w:shd w:val="clear" w:color="auto" w:fill="DBDBDB"/>
          </w:tcPr>
          <w:p>
            <w:pPr>
              <w:spacing w:after="0"/>
              <w:rPr>
                <w:sz w:val="11"/>
                <w:szCs w:val="11"/>
                <w:color w:val="auto"/>
              </w:rPr>
            </w:pPr>
          </w:p>
        </w:tc>
        <w:tc>
          <w:tcPr>
            <w:tcW w:w="10260" w:type="dxa"/>
            <w:vAlign w:val="bottom"/>
            <w:shd w:val="clear" w:color="auto" w:fill="DBDBDB"/>
          </w:tcPr>
          <w:p>
            <w:pPr>
              <w:spacing w:after="0"/>
              <w:rPr>
                <w:sz w:val="11"/>
                <w:szCs w:val="11"/>
                <w:color w:val="auto"/>
              </w:rPr>
            </w:pPr>
          </w:p>
        </w:tc>
      </w:tr>
      <w:tr>
        <w:trPr>
          <w:trHeight w:val="157"/>
        </w:trPr>
        <w:tc>
          <w:tcPr>
            <w:tcW w:w="1020" w:type="dxa"/>
            <w:vAlign w:val="bottom"/>
          </w:tcPr>
          <w:p>
            <w:pPr>
              <w:ind w:left="380"/>
              <w:spacing w:after="0"/>
              <w:rPr>
                <w:rFonts w:ascii="Arial" w:cs="Arial" w:eastAsia="Arial" w:hAnsi="Arial"/>
                <w:sz w:val="12"/>
                <w:szCs w:val="12"/>
                <w:color w:val="auto"/>
              </w:rPr>
            </w:pPr>
            <w:hyperlink w:anchor="page64">
              <w:r>
                <w:rPr>
                  <w:rFonts w:ascii="Arial" w:cs="Arial" w:eastAsia="Arial" w:hAnsi="Arial"/>
                  <w:sz w:val="12"/>
                  <w:szCs w:val="12"/>
                  <w:color w:val="auto"/>
                </w:rPr>
                <w:t>Item 3</w:t>
              </w:r>
            </w:hyperlink>
          </w:p>
        </w:tc>
        <w:tc>
          <w:tcPr>
            <w:tcW w:w="10260" w:type="dxa"/>
            <w:vAlign w:val="bottom"/>
          </w:tcPr>
          <w:p>
            <w:pPr>
              <w:ind w:left="240"/>
              <w:spacing w:after="0"/>
              <w:rPr>
                <w:rFonts w:ascii="Arial" w:cs="Arial" w:eastAsia="Arial" w:hAnsi="Arial"/>
                <w:sz w:val="12"/>
                <w:szCs w:val="12"/>
                <w:color w:val="auto"/>
              </w:rPr>
            </w:pPr>
            <w:hyperlink w:anchor="page64">
              <w:r>
                <w:rPr>
                  <w:rFonts w:ascii="Arial" w:cs="Arial" w:eastAsia="Arial" w:hAnsi="Arial"/>
                  <w:sz w:val="12"/>
                  <w:szCs w:val="12"/>
                  <w:color w:val="auto"/>
                </w:rPr>
                <w:t>Quantitative and Qualitative Disclosures About Market Risk</w:t>
              </w:r>
            </w:hyperlink>
          </w:p>
        </w:tc>
      </w:tr>
      <w:tr>
        <w:trPr>
          <w:trHeight w:val="135"/>
        </w:trPr>
        <w:tc>
          <w:tcPr>
            <w:tcW w:w="1020" w:type="dxa"/>
            <w:vAlign w:val="bottom"/>
          </w:tcPr>
          <w:p>
            <w:pPr>
              <w:spacing w:after="0"/>
              <w:rPr>
                <w:sz w:val="11"/>
                <w:szCs w:val="11"/>
                <w:color w:val="auto"/>
              </w:rPr>
            </w:pPr>
          </w:p>
        </w:tc>
        <w:tc>
          <w:tcPr>
            <w:tcW w:w="10260" w:type="dxa"/>
            <w:vAlign w:val="bottom"/>
          </w:tcPr>
          <w:p>
            <w:pPr>
              <w:spacing w:after="0"/>
              <w:rPr>
                <w:sz w:val="11"/>
                <w:szCs w:val="11"/>
                <w:color w:val="auto"/>
              </w:rPr>
            </w:pPr>
          </w:p>
        </w:tc>
      </w:tr>
      <w:tr>
        <w:trPr>
          <w:trHeight w:val="157"/>
        </w:trPr>
        <w:tc>
          <w:tcPr>
            <w:tcW w:w="1020" w:type="dxa"/>
            <w:vAlign w:val="bottom"/>
            <w:shd w:val="clear" w:color="auto" w:fill="DBDBDB"/>
          </w:tcPr>
          <w:p>
            <w:pPr>
              <w:ind w:left="380"/>
              <w:spacing w:after="0"/>
              <w:rPr>
                <w:rFonts w:ascii="Arial" w:cs="Arial" w:eastAsia="Arial" w:hAnsi="Arial"/>
                <w:sz w:val="12"/>
                <w:szCs w:val="12"/>
                <w:color w:val="auto"/>
              </w:rPr>
            </w:pPr>
            <w:hyperlink w:anchor="page65">
              <w:r>
                <w:rPr>
                  <w:rFonts w:ascii="Arial" w:cs="Arial" w:eastAsia="Arial" w:hAnsi="Arial"/>
                  <w:sz w:val="12"/>
                  <w:szCs w:val="12"/>
                  <w:color w:val="auto"/>
                </w:rPr>
                <w:t>Item 4</w:t>
              </w:r>
            </w:hyperlink>
          </w:p>
        </w:tc>
        <w:tc>
          <w:tcPr>
            <w:tcW w:w="10260" w:type="dxa"/>
            <w:vAlign w:val="bottom"/>
            <w:shd w:val="clear" w:color="auto" w:fill="DBDBDB"/>
          </w:tcPr>
          <w:p>
            <w:pPr>
              <w:ind w:left="240"/>
              <w:spacing w:after="0"/>
              <w:rPr>
                <w:rFonts w:ascii="Arial" w:cs="Arial" w:eastAsia="Arial" w:hAnsi="Arial"/>
                <w:sz w:val="12"/>
                <w:szCs w:val="12"/>
                <w:color w:val="auto"/>
              </w:rPr>
            </w:pPr>
            <w:hyperlink w:anchor="page65">
              <w:r>
                <w:rPr>
                  <w:rFonts w:ascii="Arial" w:cs="Arial" w:eastAsia="Arial" w:hAnsi="Arial"/>
                  <w:sz w:val="12"/>
                  <w:szCs w:val="12"/>
                  <w:color w:val="auto"/>
                </w:rPr>
                <w:t>Controls and Procedures</w:t>
              </w:r>
            </w:hyperlink>
          </w:p>
        </w:tc>
      </w:tr>
      <w:tr>
        <w:trPr>
          <w:trHeight w:val="135"/>
        </w:trPr>
        <w:tc>
          <w:tcPr>
            <w:tcW w:w="11280" w:type="dxa"/>
            <w:vAlign w:val="bottom"/>
            <w:gridSpan w:val="2"/>
            <w:shd w:val="clear" w:color="auto" w:fill="DBDBDB"/>
          </w:tcPr>
          <w:p>
            <w:pPr>
              <w:spacing w:after="0"/>
              <w:rPr>
                <w:sz w:val="11"/>
                <w:szCs w:val="11"/>
                <w:color w:val="auto"/>
              </w:rPr>
            </w:pPr>
          </w:p>
        </w:tc>
      </w:tr>
      <w:tr>
        <w:trPr>
          <w:trHeight w:val="160"/>
        </w:trPr>
        <w:tc>
          <w:tcPr>
            <w:tcW w:w="11280" w:type="dxa"/>
            <w:vAlign w:val="bottom"/>
            <w:gridSpan w:val="2"/>
          </w:tcPr>
          <w:p>
            <w:pPr>
              <w:ind w:left="20"/>
              <w:spacing w:after="0"/>
              <w:rPr>
                <w:rFonts w:ascii="Arial" w:cs="Arial" w:eastAsia="Arial" w:hAnsi="Arial"/>
                <w:sz w:val="12"/>
                <w:szCs w:val="12"/>
                <w:b w:val="1"/>
                <w:bCs w:val="1"/>
                <w:color w:val="auto"/>
              </w:rPr>
            </w:pPr>
            <w:hyperlink w:anchor="page65">
              <w:r>
                <w:rPr>
                  <w:rFonts w:ascii="Arial" w:cs="Arial" w:eastAsia="Arial" w:hAnsi="Arial"/>
                  <w:sz w:val="12"/>
                  <w:szCs w:val="12"/>
                  <w:b w:val="1"/>
                  <w:bCs w:val="1"/>
                  <w:color w:val="auto"/>
                </w:rPr>
                <w:t>PART II Other Information</w:t>
              </w:r>
            </w:hyperlink>
          </w:p>
        </w:tc>
      </w:tr>
      <w:tr>
        <w:trPr>
          <w:trHeight w:val="133"/>
        </w:trPr>
        <w:tc>
          <w:tcPr>
            <w:tcW w:w="1020" w:type="dxa"/>
            <w:vAlign w:val="bottom"/>
          </w:tcPr>
          <w:p>
            <w:pPr>
              <w:spacing w:after="0"/>
              <w:rPr>
                <w:sz w:val="11"/>
                <w:szCs w:val="11"/>
                <w:color w:val="auto"/>
              </w:rPr>
            </w:pPr>
          </w:p>
        </w:tc>
        <w:tc>
          <w:tcPr>
            <w:tcW w:w="10260" w:type="dxa"/>
            <w:vAlign w:val="bottom"/>
          </w:tcPr>
          <w:p>
            <w:pPr>
              <w:spacing w:after="0"/>
              <w:rPr>
                <w:sz w:val="11"/>
                <w:szCs w:val="11"/>
                <w:color w:val="auto"/>
              </w:rPr>
            </w:pPr>
          </w:p>
        </w:tc>
      </w:tr>
      <w:tr>
        <w:trPr>
          <w:trHeight w:val="157"/>
        </w:trPr>
        <w:tc>
          <w:tcPr>
            <w:tcW w:w="1020" w:type="dxa"/>
            <w:vAlign w:val="bottom"/>
            <w:shd w:val="clear" w:color="auto" w:fill="DBDBDB"/>
          </w:tcPr>
          <w:p>
            <w:pPr>
              <w:ind w:left="380"/>
              <w:spacing w:after="0"/>
              <w:rPr>
                <w:rFonts w:ascii="Arial" w:cs="Arial" w:eastAsia="Arial" w:hAnsi="Arial"/>
                <w:sz w:val="12"/>
                <w:szCs w:val="12"/>
                <w:color w:val="auto"/>
              </w:rPr>
            </w:pPr>
            <w:hyperlink w:anchor="page65">
              <w:r>
                <w:rPr>
                  <w:rFonts w:ascii="Arial" w:cs="Arial" w:eastAsia="Arial" w:hAnsi="Arial"/>
                  <w:sz w:val="12"/>
                  <w:szCs w:val="12"/>
                  <w:color w:val="auto"/>
                </w:rPr>
                <w:t>Item 1</w:t>
              </w:r>
            </w:hyperlink>
          </w:p>
        </w:tc>
        <w:tc>
          <w:tcPr>
            <w:tcW w:w="10260" w:type="dxa"/>
            <w:vAlign w:val="bottom"/>
            <w:shd w:val="clear" w:color="auto" w:fill="DBDBDB"/>
          </w:tcPr>
          <w:p>
            <w:pPr>
              <w:ind w:left="240"/>
              <w:spacing w:after="0"/>
              <w:rPr>
                <w:rFonts w:ascii="Arial" w:cs="Arial" w:eastAsia="Arial" w:hAnsi="Arial"/>
                <w:sz w:val="12"/>
                <w:szCs w:val="12"/>
                <w:color w:val="auto"/>
              </w:rPr>
            </w:pPr>
            <w:hyperlink w:anchor="page65">
              <w:r>
                <w:rPr>
                  <w:rFonts w:ascii="Arial" w:cs="Arial" w:eastAsia="Arial" w:hAnsi="Arial"/>
                  <w:sz w:val="12"/>
                  <w:szCs w:val="12"/>
                  <w:color w:val="auto"/>
                </w:rPr>
                <w:t>Legal Proceedings</w:t>
              </w:r>
            </w:hyperlink>
          </w:p>
        </w:tc>
      </w:tr>
      <w:tr>
        <w:trPr>
          <w:trHeight w:val="135"/>
        </w:trPr>
        <w:tc>
          <w:tcPr>
            <w:tcW w:w="1020" w:type="dxa"/>
            <w:vAlign w:val="bottom"/>
            <w:shd w:val="clear" w:color="auto" w:fill="DBDBDB"/>
          </w:tcPr>
          <w:p>
            <w:pPr>
              <w:spacing w:after="0"/>
              <w:rPr>
                <w:sz w:val="11"/>
                <w:szCs w:val="11"/>
                <w:color w:val="auto"/>
              </w:rPr>
            </w:pPr>
          </w:p>
        </w:tc>
        <w:tc>
          <w:tcPr>
            <w:tcW w:w="10260" w:type="dxa"/>
            <w:vAlign w:val="bottom"/>
            <w:shd w:val="clear" w:color="auto" w:fill="DBDBDB"/>
          </w:tcPr>
          <w:p>
            <w:pPr>
              <w:spacing w:after="0"/>
              <w:rPr>
                <w:sz w:val="11"/>
                <w:szCs w:val="11"/>
                <w:color w:val="auto"/>
              </w:rPr>
            </w:pPr>
          </w:p>
        </w:tc>
      </w:tr>
      <w:tr>
        <w:trPr>
          <w:trHeight w:val="157"/>
        </w:trPr>
        <w:tc>
          <w:tcPr>
            <w:tcW w:w="1020" w:type="dxa"/>
            <w:vAlign w:val="bottom"/>
          </w:tcPr>
          <w:p>
            <w:pPr>
              <w:ind w:left="380"/>
              <w:spacing w:after="0"/>
              <w:rPr>
                <w:rFonts w:ascii="Arial" w:cs="Arial" w:eastAsia="Arial" w:hAnsi="Arial"/>
                <w:sz w:val="12"/>
                <w:szCs w:val="12"/>
                <w:color w:val="auto"/>
              </w:rPr>
            </w:pPr>
            <w:hyperlink w:anchor="page65">
              <w:r>
                <w:rPr>
                  <w:rFonts w:ascii="Arial" w:cs="Arial" w:eastAsia="Arial" w:hAnsi="Arial"/>
                  <w:sz w:val="12"/>
                  <w:szCs w:val="12"/>
                  <w:color w:val="auto"/>
                </w:rPr>
                <w:t>Item 1A</w:t>
              </w:r>
            </w:hyperlink>
          </w:p>
        </w:tc>
        <w:tc>
          <w:tcPr>
            <w:tcW w:w="10260" w:type="dxa"/>
            <w:vAlign w:val="bottom"/>
          </w:tcPr>
          <w:p>
            <w:pPr>
              <w:ind w:left="240"/>
              <w:spacing w:after="0"/>
              <w:rPr>
                <w:rFonts w:ascii="Arial" w:cs="Arial" w:eastAsia="Arial" w:hAnsi="Arial"/>
                <w:sz w:val="12"/>
                <w:szCs w:val="12"/>
                <w:color w:val="auto"/>
              </w:rPr>
            </w:pPr>
            <w:hyperlink w:anchor="page65">
              <w:r>
                <w:rPr>
                  <w:rFonts w:ascii="Arial" w:cs="Arial" w:eastAsia="Arial" w:hAnsi="Arial"/>
                  <w:sz w:val="12"/>
                  <w:szCs w:val="12"/>
                  <w:color w:val="auto"/>
                </w:rPr>
                <w:t>Risk Factors</w:t>
              </w:r>
            </w:hyperlink>
          </w:p>
        </w:tc>
      </w:tr>
      <w:tr>
        <w:trPr>
          <w:trHeight w:val="135"/>
        </w:trPr>
        <w:tc>
          <w:tcPr>
            <w:tcW w:w="1020" w:type="dxa"/>
            <w:vAlign w:val="bottom"/>
          </w:tcPr>
          <w:p>
            <w:pPr>
              <w:spacing w:after="0"/>
              <w:rPr>
                <w:sz w:val="11"/>
                <w:szCs w:val="11"/>
                <w:color w:val="auto"/>
              </w:rPr>
            </w:pPr>
          </w:p>
        </w:tc>
        <w:tc>
          <w:tcPr>
            <w:tcW w:w="10260" w:type="dxa"/>
            <w:vAlign w:val="bottom"/>
          </w:tcPr>
          <w:p>
            <w:pPr>
              <w:spacing w:after="0"/>
              <w:rPr>
                <w:sz w:val="11"/>
                <w:szCs w:val="11"/>
                <w:color w:val="auto"/>
              </w:rPr>
            </w:pPr>
          </w:p>
        </w:tc>
      </w:tr>
      <w:tr>
        <w:trPr>
          <w:trHeight w:val="157"/>
        </w:trPr>
        <w:tc>
          <w:tcPr>
            <w:tcW w:w="1020" w:type="dxa"/>
            <w:vAlign w:val="bottom"/>
            <w:shd w:val="clear" w:color="auto" w:fill="DBDBDB"/>
          </w:tcPr>
          <w:p>
            <w:pPr>
              <w:ind w:left="380"/>
              <w:spacing w:after="0"/>
              <w:rPr>
                <w:rFonts w:ascii="Arial" w:cs="Arial" w:eastAsia="Arial" w:hAnsi="Arial"/>
                <w:sz w:val="12"/>
                <w:szCs w:val="12"/>
                <w:color w:val="auto"/>
              </w:rPr>
            </w:pPr>
            <w:hyperlink w:anchor="page65">
              <w:r>
                <w:rPr>
                  <w:rFonts w:ascii="Arial" w:cs="Arial" w:eastAsia="Arial" w:hAnsi="Arial"/>
                  <w:sz w:val="12"/>
                  <w:szCs w:val="12"/>
                  <w:color w:val="auto"/>
                </w:rPr>
                <w:t>Item 2</w:t>
              </w:r>
            </w:hyperlink>
          </w:p>
        </w:tc>
        <w:tc>
          <w:tcPr>
            <w:tcW w:w="10260" w:type="dxa"/>
            <w:vAlign w:val="bottom"/>
            <w:shd w:val="clear" w:color="auto" w:fill="DBDBDB"/>
          </w:tcPr>
          <w:p>
            <w:pPr>
              <w:ind w:left="240"/>
              <w:spacing w:after="0"/>
              <w:rPr>
                <w:rFonts w:ascii="Arial" w:cs="Arial" w:eastAsia="Arial" w:hAnsi="Arial"/>
                <w:sz w:val="12"/>
                <w:szCs w:val="12"/>
                <w:color w:val="auto"/>
              </w:rPr>
            </w:pPr>
            <w:hyperlink w:anchor="page65">
              <w:r>
                <w:rPr>
                  <w:rFonts w:ascii="Arial" w:cs="Arial" w:eastAsia="Arial" w:hAnsi="Arial"/>
                  <w:sz w:val="12"/>
                  <w:szCs w:val="12"/>
                  <w:color w:val="auto"/>
                </w:rPr>
                <w:t>Unregistered Sales of Equity Securities and Use of Proceeds</w:t>
              </w:r>
            </w:hyperlink>
          </w:p>
        </w:tc>
      </w:tr>
      <w:tr>
        <w:trPr>
          <w:trHeight w:val="135"/>
        </w:trPr>
        <w:tc>
          <w:tcPr>
            <w:tcW w:w="1020" w:type="dxa"/>
            <w:vAlign w:val="bottom"/>
            <w:shd w:val="clear" w:color="auto" w:fill="DBDBDB"/>
          </w:tcPr>
          <w:p>
            <w:pPr>
              <w:spacing w:after="0"/>
              <w:rPr>
                <w:sz w:val="11"/>
                <w:szCs w:val="11"/>
                <w:color w:val="auto"/>
              </w:rPr>
            </w:pPr>
          </w:p>
        </w:tc>
        <w:tc>
          <w:tcPr>
            <w:tcW w:w="10260" w:type="dxa"/>
            <w:vAlign w:val="bottom"/>
            <w:shd w:val="clear" w:color="auto" w:fill="DBDBDB"/>
          </w:tcPr>
          <w:p>
            <w:pPr>
              <w:spacing w:after="0"/>
              <w:rPr>
                <w:sz w:val="11"/>
                <w:szCs w:val="11"/>
                <w:color w:val="auto"/>
              </w:rPr>
            </w:pPr>
          </w:p>
        </w:tc>
      </w:tr>
      <w:tr>
        <w:trPr>
          <w:trHeight w:val="157"/>
        </w:trPr>
        <w:tc>
          <w:tcPr>
            <w:tcW w:w="1020" w:type="dxa"/>
            <w:vAlign w:val="bottom"/>
          </w:tcPr>
          <w:p>
            <w:pPr>
              <w:ind w:left="380"/>
              <w:spacing w:after="0"/>
              <w:rPr>
                <w:rFonts w:ascii="Arial" w:cs="Arial" w:eastAsia="Arial" w:hAnsi="Arial"/>
                <w:sz w:val="12"/>
                <w:szCs w:val="12"/>
                <w:color w:val="auto"/>
              </w:rPr>
            </w:pPr>
            <w:hyperlink w:anchor="page66">
              <w:r>
                <w:rPr>
                  <w:rFonts w:ascii="Arial" w:cs="Arial" w:eastAsia="Arial" w:hAnsi="Arial"/>
                  <w:sz w:val="12"/>
                  <w:szCs w:val="12"/>
                  <w:color w:val="auto"/>
                </w:rPr>
                <w:t>Item 3</w:t>
              </w:r>
            </w:hyperlink>
          </w:p>
        </w:tc>
        <w:tc>
          <w:tcPr>
            <w:tcW w:w="10260" w:type="dxa"/>
            <w:vAlign w:val="bottom"/>
          </w:tcPr>
          <w:p>
            <w:pPr>
              <w:ind w:left="240"/>
              <w:spacing w:after="0"/>
              <w:rPr>
                <w:rFonts w:ascii="Arial" w:cs="Arial" w:eastAsia="Arial" w:hAnsi="Arial"/>
                <w:sz w:val="12"/>
                <w:szCs w:val="12"/>
                <w:color w:val="auto"/>
              </w:rPr>
            </w:pPr>
            <w:hyperlink w:anchor="page66">
              <w:r>
                <w:rPr>
                  <w:rFonts w:ascii="Arial" w:cs="Arial" w:eastAsia="Arial" w:hAnsi="Arial"/>
                  <w:sz w:val="12"/>
                  <w:szCs w:val="12"/>
                  <w:color w:val="auto"/>
                </w:rPr>
                <w:t>Defaults Upon Senior Securities</w:t>
              </w:r>
            </w:hyperlink>
          </w:p>
        </w:tc>
      </w:tr>
      <w:tr>
        <w:trPr>
          <w:trHeight w:val="135"/>
        </w:trPr>
        <w:tc>
          <w:tcPr>
            <w:tcW w:w="1020" w:type="dxa"/>
            <w:vAlign w:val="bottom"/>
          </w:tcPr>
          <w:p>
            <w:pPr>
              <w:spacing w:after="0"/>
              <w:rPr>
                <w:sz w:val="11"/>
                <w:szCs w:val="11"/>
                <w:color w:val="auto"/>
              </w:rPr>
            </w:pPr>
          </w:p>
        </w:tc>
        <w:tc>
          <w:tcPr>
            <w:tcW w:w="10260" w:type="dxa"/>
            <w:vAlign w:val="bottom"/>
          </w:tcPr>
          <w:p>
            <w:pPr>
              <w:spacing w:after="0"/>
              <w:rPr>
                <w:sz w:val="11"/>
                <w:szCs w:val="11"/>
                <w:color w:val="auto"/>
              </w:rPr>
            </w:pPr>
          </w:p>
        </w:tc>
      </w:tr>
      <w:tr>
        <w:trPr>
          <w:trHeight w:val="157"/>
        </w:trPr>
        <w:tc>
          <w:tcPr>
            <w:tcW w:w="1020" w:type="dxa"/>
            <w:vAlign w:val="bottom"/>
            <w:shd w:val="clear" w:color="auto" w:fill="DBDBDB"/>
          </w:tcPr>
          <w:p>
            <w:pPr>
              <w:ind w:left="380"/>
              <w:spacing w:after="0"/>
              <w:rPr>
                <w:rFonts w:ascii="Arial" w:cs="Arial" w:eastAsia="Arial" w:hAnsi="Arial"/>
                <w:sz w:val="12"/>
                <w:szCs w:val="12"/>
                <w:color w:val="auto"/>
              </w:rPr>
            </w:pPr>
            <w:hyperlink w:anchor="page66">
              <w:r>
                <w:rPr>
                  <w:rFonts w:ascii="Arial" w:cs="Arial" w:eastAsia="Arial" w:hAnsi="Arial"/>
                  <w:sz w:val="12"/>
                  <w:szCs w:val="12"/>
                  <w:color w:val="auto"/>
                </w:rPr>
                <w:t>Item 4</w:t>
              </w:r>
            </w:hyperlink>
          </w:p>
        </w:tc>
        <w:tc>
          <w:tcPr>
            <w:tcW w:w="10260" w:type="dxa"/>
            <w:vAlign w:val="bottom"/>
            <w:shd w:val="clear" w:color="auto" w:fill="DBDBDB"/>
          </w:tcPr>
          <w:p>
            <w:pPr>
              <w:ind w:left="240"/>
              <w:spacing w:after="0"/>
              <w:rPr>
                <w:rFonts w:ascii="Arial" w:cs="Arial" w:eastAsia="Arial" w:hAnsi="Arial"/>
                <w:sz w:val="12"/>
                <w:szCs w:val="12"/>
                <w:color w:val="auto"/>
              </w:rPr>
            </w:pPr>
            <w:hyperlink w:anchor="page66">
              <w:r>
                <w:rPr>
                  <w:rFonts w:ascii="Arial" w:cs="Arial" w:eastAsia="Arial" w:hAnsi="Arial"/>
                  <w:sz w:val="12"/>
                  <w:szCs w:val="12"/>
                  <w:color w:val="auto"/>
                </w:rPr>
                <w:t>Mine Safety Disclosures</w:t>
              </w:r>
            </w:hyperlink>
          </w:p>
        </w:tc>
      </w:tr>
      <w:tr>
        <w:trPr>
          <w:trHeight w:val="135"/>
        </w:trPr>
        <w:tc>
          <w:tcPr>
            <w:tcW w:w="1020" w:type="dxa"/>
            <w:vAlign w:val="bottom"/>
            <w:shd w:val="clear" w:color="auto" w:fill="DBDBDB"/>
          </w:tcPr>
          <w:p>
            <w:pPr>
              <w:spacing w:after="0"/>
              <w:rPr>
                <w:sz w:val="11"/>
                <w:szCs w:val="11"/>
                <w:color w:val="auto"/>
              </w:rPr>
            </w:pPr>
          </w:p>
        </w:tc>
        <w:tc>
          <w:tcPr>
            <w:tcW w:w="10260" w:type="dxa"/>
            <w:vAlign w:val="bottom"/>
            <w:shd w:val="clear" w:color="auto" w:fill="DBDBDB"/>
          </w:tcPr>
          <w:p>
            <w:pPr>
              <w:spacing w:after="0"/>
              <w:rPr>
                <w:sz w:val="11"/>
                <w:szCs w:val="11"/>
                <w:color w:val="auto"/>
              </w:rPr>
            </w:pPr>
          </w:p>
        </w:tc>
      </w:tr>
      <w:tr>
        <w:trPr>
          <w:trHeight w:val="157"/>
        </w:trPr>
        <w:tc>
          <w:tcPr>
            <w:tcW w:w="1020" w:type="dxa"/>
            <w:vAlign w:val="bottom"/>
          </w:tcPr>
          <w:p>
            <w:pPr>
              <w:ind w:left="380"/>
              <w:spacing w:after="0"/>
              <w:rPr>
                <w:rFonts w:ascii="Arial" w:cs="Arial" w:eastAsia="Arial" w:hAnsi="Arial"/>
                <w:sz w:val="12"/>
                <w:szCs w:val="12"/>
                <w:color w:val="auto"/>
              </w:rPr>
            </w:pPr>
            <w:hyperlink w:anchor="page66">
              <w:r>
                <w:rPr>
                  <w:rFonts w:ascii="Arial" w:cs="Arial" w:eastAsia="Arial" w:hAnsi="Arial"/>
                  <w:sz w:val="12"/>
                  <w:szCs w:val="12"/>
                  <w:color w:val="auto"/>
                </w:rPr>
                <w:t>Item 5</w:t>
              </w:r>
            </w:hyperlink>
          </w:p>
        </w:tc>
        <w:tc>
          <w:tcPr>
            <w:tcW w:w="10260" w:type="dxa"/>
            <w:vAlign w:val="bottom"/>
          </w:tcPr>
          <w:p>
            <w:pPr>
              <w:ind w:left="240"/>
              <w:spacing w:after="0"/>
              <w:rPr>
                <w:rFonts w:ascii="Arial" w:cs="Arial" w:eastAsia="Arial" w:hAnsi="Arial"/>
                <w:sz w:val="12"/>
                <w:szCs w:val="12"/>
                <w:color w:val="auto"/>
              </w:rPr>
            </w:pPr>
            <w:hyperlink w:anchor="page66">
              <w:r>
                <w:rPr>
                  <w:rFonts w:ascii="Arial" w:cs="Arial" w:eastAsia="Arial" w:hAnsi="Arial"/>
                  <w:sz w:val="12"/>
                  <w:szCs w:val="12"/>
                  <w:color w:val="auto"/>
                </w:rPr>
                <w:t>Other Information</w:t>
              </w:r>
            </w:hyperlink>
          </w:p>
        </w:tc>
      </w:tr>
      <w:tr>
        <w:trPr>
          <w:trHeight w:val="135"/>
        </w:trPr>
        <w:tc>
          <w:tcPr>
            <w:tcW w:w="1020" w:type="dxa"/>
            <w:vAlign w:val="bottom"/>
          </w:tcPr>
          <w:p>
            <w:pPr>
              <w:spacing w:after="0"/>
              <w:rPr>
                <w:sz w:val="11"/>
                <w:szCs w:val="11"/>
                <w:color w:val="auto"/>
              </w:rPr>
            </w:pPr>
          </w:p>
        </w:tc>
        <w:tc>
          <w:tcPr>
            <w:tcW w:w="10260" w:type="dxa"/>
            <w:vAlign w:val="bottom"/>
          </w:tcPr>
          <w:p>
            <w:pPr>
              <w:spacing w:after="0"/>
              <w:rPr>
                <w:sz w:val="11"/>
                <w:szCs w:val="11"/>
                <w:color w:val="auto"/>
              </w:rPr>
            </w:pPr>
          </w:p>
        </w:tc>
      </w:tr>
      <w:tr>
        <w:trPr>
          <w:trHeight w:val="157"/>
        </w:trPr>
        <w:tc>
          <w:tcPr>
            <w:tcW w:w="1020" w:type="dxa"/>
            <w:vAlign w:val="bottom"/>
            <w:shd w:val="clear" w:color="auto" w:fill="DBDBDB"/>
          </w:tcPr>
          <w:p>
            <w:pPr>
              <w:ind w:left="380"/>
              <w:spacing w:after="0"/>
              <w:rPr>
                <w:rFonts w:ascii="Arial" w:cs="Arial" w:eastAsia="Arial" w:hAnsi="Arial"/>
                <w:sz w:val="12"/>
                <w:szCs w:val="12"/>
                <w:color w:val="auto"/>
              </w:rPr>
            </w:pPr>
            <w:hyperlink w:anchor="page66">
              <w:r>
                <w:rPr>
                  <w:rFonts w:ascii="Arial" w:cs="Arial" w:eastAsia="Arial" w:hAnsi="Arial"/>
                  <w:sz w:val="12"/>
                  <w:szCs w:val="12"/>
                  <w:color w:val="auto"/>
                </w:rPr>
                <w:t>Item 6</w:t>
              </w:r>
            </w:hyperlink>
          </w:p>
        </w:tc>
        <w:tc>
          <w:tcPr>
            <w:tcW w:w="10260" w:type="dxa"/>
            <w:vAlign w:val="bottom"/>
            <w:shd w:val="clear" w:color="auto" w:fill="DBDBDB"/>
          </w:tcPr>
          <w:p>
            <w:pPr>
              <w:ind w:left="240"/>
              <w:spacing w:after="0"/>
              <w:rPr>
                <w:rFonts w:ascii="Arial" w:cs="Arial" w:eastAsia="Arial" w:hAnsi="Arial"/>
                <w:sz w:val="12"/>
                <w:szCs w:val="12"/>
                <w:color w:val="auto"/>
              </w:rPr>
            </w:pPr>
            <w:hyperlink w:anchor="page66">
              <w:r>
                <w:rPr>
                  <w:rFonts w:ascii="Arial" w:cs="Arial" w:eastAsia="Arial" w:hAnsi="Arial"/>
                  <w:sz w:val="12"/>
                  <w:szCs w:val="12"/>
                  <w:color w:val="auto"/>
                </w:rPr>
                <w:t>Exhibits</w:t>
              </w:r>
            </w:hyperlink>
          </w:p>
        </w:tc>
      </w:tr>
      <w:tr>
        <w:trPr>
          <w:trHeight w:val="135"/>
        </w:trPr>
        <w:tc>
          <w:tcPr>
            <w:tcW w:w="1020" w:type="dxa"/>
            <w:vAlign w:val="bottom"/>
            <w:shd w:val="clear" w:color="auto" w:fill="DBDBDB"/>
          </w:tcPr>
          <w:p>
            <w:pPr>
              <w:spacing w:after="0"/>
              <w:rPr>
                <w:sz w:val="11"/>
                <w:szCs w:val="11"/>
                <w:color w:val="auto"/>
              </w:rPr>
            </w:pPr>
          </w:p>
        </w:tc>
        <w:tc>
          <w:tcPr>
            <w:tcW w:w="10260" w:type="dxa"/>
            <w:vAlign w:val="bottom"/>
            <w:shd w:val="clear" w:color="auto" w:fill="DBDBDB"/>
          </w:tcPr>
          <w:p>
            <w:pPr>
              <w:spacing w:after="0"/>
              <w:rPr>
                <w:sz w:val="11"/>
                <w:szCs w:val="11"/>
                <w:color w:val="auto"/>
              </w:rPr>
            </w:pPr>
          </w:p>
        </w:tc>
      </w:tr>
      <w:tr>
        <w:trPr>
          <w:trHeight w:val="160"/>
        </w:trPr>
        <w:tc>
          <w:tcPr>
            <w:tcW w:w="1020" w:type="dxa"/>
            <w:vAlign w:val="bottom"/>
          </w:tcPr>
          <w:p>
            <w:pPr>
              <w:ind w:left="20"/>
              <w:spacing w:after="0"/>
              <w:rPr>
                <w:rFonts w:ascii="Arial" w:cs="Arial" w:eastAsia="Arial" w:hAnsi="Arial"/>
                <w:sz w:val="12"/>
                <w:szCs w:val="12"/>
                <w:b w:val="1"/>
                <w:bCs w:val="1"/>
                <w:color w:val="auto"/>
              </w:rPr>
            </w:pPr>
            <w:hyperlink w:anchor="page67">
              <w:r>
                <w:rPr>
                  <w:rFonts w:ascii="Arial" w:cs="Arial" w:eastAsia="Arial" w:hAnsi="Arial"/>
                  <w:sz w:val="12"/>
                  <w:szCs w:val="12"/>
                  <w:b w:val="1"/>
                  <w:bCs w:val="1"/>
                  <w:color w:val="auto"/>
                </w:rPr>
                <w:t>SIGNATURE</w:t>
              </w:r>
            </w:hyperlink>
          </w:p>
        </w:tc>
        <w:tc>
          <w:tcPr>
            <w:tcW w:w="1026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154940</wp:posOffset>
            </wp:positionV>
            <wp:extent cx="719264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028"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57"/>
        </w:trPr>
        <w:tc>
          <w:tcPr>
            <w:tcW w:w="4020" w:type="dxa"/>
            <w:vAlign w:val="bottom"/>
          </w:tcPr>
          <w:p>
            <w:pPr>
              <w:ind w:left="2960"/>
              <w:spacing w:after="0"/>
              <w:rPr>
                <w:sz w:val="20"/>
                <w:szCs w:val="20"/>
                <w:color w:val="auto"/>
              </w:rPr>
            </w:pPr>
            <w:r>
              <w:rPr>
                <w:rFonts w:ascii="Arial" w:cs="Arial" w:eastAsia="Arial" w:hAnsi="Arial"/>
                <w:sz w:val="27"/>
                <w:szCs w:val="27"/>
                <w:b w:val="1"/>
                <w:bCs w:val="1"/>
                <w:color w:val="auto"/>
              </w:rPr>
              <w:t>ITEM 1.</w:t>
            </w:r>
          </w:p>
        </w:tc>
        <w:tc>
          <w:tcPr>
            <w:tcW w:w="3660" w:type="dxa"/>
            <w:vAlign w:val="bottom"/>
            <w:gridSpan w:val="2"/>
          </w:tcPr>
          <w:p>
            <w:pPr>
              <w:jc w:val="right"/>
              <w:ind w:right="739"/>
              <w:spacing w:after="0"/>
              <w:rPr>
                <w:sz w:val="20"/>
                <w:szCs w:val="20"/>
                <w:color w:val="auto"/>
              </w:rPr>
            </w:pPr>
            <w:r>
              <w:rPr>
                <w:rFonts w:ascii="Arial" w:cs="Arial" w:eastAsia="Arial" w:hAnsi="Arial"/>
                <w:sz w:val="27"/>
                <w:szCs w:val="27"/>
                <w:b w:val="1"/>
                <w:bCs w:val="1"/>
                <w:color w:val="auto"/>
              </w:rPr>
              <w:t>Financial Statements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4020" w:type="dxa"/>
            <w:vAlign w:val="bottom"/>
          </w:tcPr>
          <w:p>
            <w:pPr>
              <w:spacing w:after="0"/>
              <w:rPr>
                <w:sz w:val="24"/>
                <w:szCs w:val="24"/>
                <w:color w:val="auto"/>
              </w:rPr>
            </w:pPr>
          </w:p>
        </w:tc>
        <w:tc>
          <w:tcPr>
            <w:tcW w:w="3660" w:type="dxa"/>
            <w:vAlign w:val="bottom"/>
            <w:gridSpan w:val="2"/>
          </w:tcPr>
          <w:p>
            <w:pPr>
              <w:jc w:val="right"/>
              <w:ind w:right="599"/>
              <w:spacing w:after="0"/>
              <w:rPr>
                <w:sz w:val="20"/>
                <w:szCs w:val="20"/>
                <w:color w:val="auto"/>
              </w:rPr>
            </w:pPr>
            <w:r>
              <w:rPr>
                <w:rFonts w:ascii="Arial" w:cs="Arial" w:eastAsia="Arial" w:hAnsi="Arial"/>
                <w:sz w:val="17"/>
                <w:szCs w:val="17"/>
                <w:color w:val="1D2758"/>
              </w:rPr>
              <w:t>WillScot Mobile Mini Holdings Corp.</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3660" w:type="dxa"/>
            <w:vAlign w:val="bottom"/>
            <w:gridSpan w:val="2"/>
          </w:tcPr>
          <w:p>
            <w:pPr>
              <w:jc w:val="right"/>
              <w:ind w:right="359"/>
              <w:spacing w:after="0"/>
              <w:rPr>
                <w:sz w:val="20"/>
                <w:szCs w:val="20"/>
                <w:color w:val="auto"/>
              </w:rPr>
            </w:pPr>
            <w:r>
              <w:rPr>
                <w:rFonts w:ascii="Arial" w:cs="Arial" w:eastAsia="Arial" w:hAnsi="Arial"/>
                <w:sz w:val="17"/>
                <w:szCs w:val="17"/>
                <w:color w:val="1D2758"/>
              </w:rPr>
              <w:t>Condensed Consolidated Balance Sheets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20" w:type="dxa"/>
            <w:vAlign w:val="bottom"/>
            <w:vMerge w:val="restart"/>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share data)</w:t>
            </w:r>
          </w:p>
        </w:tc>
        <w:tc>
          <w:tcPr>
            <w:tcW w:w="2240" w:type="dxa"/>
            <w:vAlign w:val="bottom"/>
            <w:shd w:val="clear" w:color="auto" w:fill="1D2758"/>
          </w:tcPr>
          <w:p>
            <w:pPr>
              <w:spacing w:after="0"/>
              <w:rPr>
                <w:sz w:val="19"/>
                <w:szCs w:val="19"/>
                <w:color w:val="auto"/>
              </w:rPr>
            </w:pPr>
          </w:p>
        </w:tc>
        <w:tc>
          <w:tcPr>
            <w:tcW w:w="2560" w:type="dxa"/>
            <w:vAlign w:val="bottom"/>
            <w:gridSpan w:val="3"/>
            <w:vMerge w:val="restart"/>
            <w:shd w:val="clear" w:color="auto" w:fill="1D2758"/>
          </w:tcPr>
          <w:p>
            <w:pPr>
              <w:ind w:left="500"/>
              <w:spacing w:after="0"/>
              <w:rPr>
                <w:sz w:val="20"/>
                <w:szCs w:val="20"/>
                <w:color w:val="auto"/>
              </w:rPr>
            </w:pPr>
            <w:r>
              <w:rPr>
                <w:rFonts w:ascii="Arial" w:cs="Arial" w:eastAsia="Arial" w:hAnsi="Arial"/>
                <w:sz w:val="12"/>
                <w:szCs w:val="12"/>
                <w:b w:val="1"/>
                <w:bCs w:val="1"/>
                <w:color w:val="FFFFFF"/>
              </w:rPr>
              <w:t>June 30, 2021 (unaudited)</w:t>
            </w:r>
          </w:p>
        </w:tc>
        <w:tc>
          <w:tcPr>
            <w:tcW w:w="380" w:type="dxa"/>
            <w:vAlign w:val="bottom"/>
            <w:shd w:val="clear" w:color="auto" w:fill="1D2758"/>
          </w:tcPr>
          <w:p>
            <w:pPr>
              <w:spacing w:after="0"/>
              <w:rPr>
                <w:sz w:val="19"/>
                <w:szCs w:val="19"/>
                <w:color w:val="auto"/>
              </w:rPr>
            </w:pPr>
          </w:p>
        </w:tc>
        <w:tc>
          <w:tcPr>
            <w:tcW w:w="2080" w:type="dxa"/>
            <w:vAlign w:val="bottom"/>
            <w:shd w:val="clear" w:color="auto" w:fill="1D2758"/>
          </w:tcPr>
          <w:p>
            <w:pPr>
              <w:jc w:val="right"/>
              <w:ind w:right="619"/>
              <w:spacing w:after="0"/>
              <w:rPr>
                <w:sz w:val="20"/>
                <w:szCs w:val="20"/>
                <w:color w:val="auto"/>
              </w:rPr>
            </w:pPr>
            <w:r>
              <w:rPr>
                <w:rFonts w:ascii="Arial" w:cs="Arial" w:eastAsia="Arial" w:hAnsi="Arial"/>
                <w:sz w:val="12"/>
                <w:szCs w:val="12"/>
                <w:b w:val="1"/>
                <w:bCs w:val="1"/>
                <w:color w:val="FFFFFF"/>
              </w:rPr>
              <w:t>December 31, 2020</w:t>
            </w:r>
          </w:p>
        </w:tc>
        <w:tc>
          <w:tcPr>
            <w:tcW w:w="0" w:type="dxa"/>
            <w:vAlign w:val="bottom"/>
          </w:tcPr>
          <w:p>
            <w:pPr>
              <w:spacing w:after="0"/>
              <w:rPr>
                <w:sz w:val="1"/>
                <w:szCs w:val="1"/>
                <w:color w:val="auto"/>
              </w:rPr>
            </w:pPr>
          </w:p>
        </w:tc>
      </w:tr>
      <w:tr>
        <w:trPr>
          <w:trHeight w:val="85"/>
        </w:trPr>
        <w:tc>
          <w:tcPr>
            <w:tcW w:w="4020" w:type="dxa"/>
            <w:vAlign w:val="bottom"/>
            <w:vMerge w:val="continue"/>
            <w:shd w:val="clear" w:color="auto" w:fill="1D2758"/>
          </w:tcPr>
          <w:p>
            <w:pPr>
              <w:spacing w:after="0"/>
              <w:rPr>
                <w:sz w:val="7"/>
                <w:szCs w:val="7"/>
                <w:color w:val="auto"/>
              </w:rPr>
            </w:pPr>
          </w:p>
        </w:tc>
        <w:tc>
          <w:tcPr>
            <w:tcW w:w="2240" w:type="dxa"/>
            <w:vAlign w:val="bottom"/>
            <w:shd w:val="clear" w:color="auto" w:fill="1D2758"/>
          </w:tcPr>
          <w:p>
            <w:pPr>
              <w:spacing w:after="0"/>
              <w:rPr>
                <w:sz w:val="7"/>
                <w:szCs w:val="7"/>
                <w:color w:val="auto"/>
              </w:rPr>
            </w:pPr>
          </w:p>
        </w:tc>
        <w:tc>
          <w:tcPr>
            <w:tcW w:w="2560" w:type="dxa"/>
            <w:vAlign w:val="bottom"/>
            <w:gridSpan w:val="3"/>
            <w:vMerge w:val="continue"/>
            <w:shd w:val="clear" w:color="auto" w:fill="1D2758"/>
          </w:tcPr>
          <w:p>
            <w:pPr>
              <w:spacing w:after="0"/>
              <w:rPr>
                <w:sz w:val="7"/>
                <w:szCs w:val="7"/>
                <w:color w:val="auto"/>
              </w:rPr>
            </w:pPr>
          </w:p>
        </w:tc>
        <w:tc>
          <w:tcPr>
            <w:tcW w:w="380" w:type="dxa"/>
            <w:vAlign w:val="bottom"/>
            <w:shd w:val="clear" w:color="auto" w:fill="1D2758"/>
          </w:tcPr>
          <w:p>
            <w:pPr>
              <w:spacing w:after="0"/>
              <w:rPr>
                <w:sz w:val="7"/>
                <w:szCs w:val="7"/>
                <w:color w:val="auto"/>
              </w:rPr>
            </w:pPr>
          </w:p>
        </w:tc>
        <w:tc>
          <w:tcPr>
            <w:tcW w:w="208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020" w:type="dxa"/>
            <w:vAlign w:val="bottom"/>
            <w:shd w:val="clear" w:color="auto" w:fill="DDDDDD"/>
          </w:tcPr>
          <w:p>
            <w:pPr>
              <w:ind w:left="20"/>
              <w:spacing w:after="0"/>
              <w:rPr>
                <w:sz w:val="20"/>
                <w:szCs w:val="20"/>
                <w:color w:val="auto"/>
              </w:rPr>
            </w:pPr>
            <w:r>
              <w:rPr>
                <w:rFonts w:ascii="Arial" w:cs="Arial" w:eastAsia="Arial" w:hAnsi="Arial"/>
                <w:sz w:val="12"/>
                <w:szCs w:val="12"/>
                <w:color w:val="auto"/>
              </w:rPr>
              <w:t>Assets</w:t>
            </w:r>
          </w:p>
        </w:tc>
        <w:tc>
          <w:tcPr>
            <w:tcW w:w="2240" w:type="dxa"/>
            <w:vAlign w:val="bottom"/>
            <w:shd w:val="clear" w:color="auto" w:fill="DDDDDD"/>
          </w:tcPr>
          <w:p>
            <w:pPr>
              <w:spacing w:after="0"/>
              <w:rPr>
                <w:sz w:val="14"/>
                <w:szCs w:val="14"/>
                <w:color w:val="auto"/>
              </w:rPr>
            </w:pPr>
          </w:p>
        </w:tc>
        <w:tc>
          <w:tcPr>
            <w:tcW w:w="1420" w:type="dxa"/>
            <w:vAlign w:val="bottom"/>
            <w:shd w:val="clear" w:color="auto" w:fill="DDDDDD"/>
          </w:tcPr>
          <w:p>
            <w:pPr>
              <w:spacing w:after="0"/>
              <w:rPr>
                <w:sz w:val="14"/>
                <w:szCs w:val="14"/>
                <w:color w:val="auto"/>
              </w:rPr>
            </w:pPr>
          </w:p>
        </w:tc>
        <w:tc>
          <w:tcPr>
            <w:tcW w:w="106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208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20" w:type="dxa"/>
            <w:vAlign w:val="bottom"/>
          </w:tcPr>
          <w:p>
            <w:pPr>
              <w:ind w:left="180"/>
              <w:spacing w:after="0"/>
              <w:rPr>
                <w:sz w:val="20"/>
                <w:szCs w:val="20"/>
                <w:color w:val="auto"/>
              </w:rPr>
            </w:pPr>
            <w:r>
              <w:rPr>
                <w:rFonts w:ascii="Arial" w:cs="Arial" w:eastAsia="Arial" w:hAnsi="Arial"/>
                <w:sz w:val="12"/>
                <w:szCs w:val="12"/>
                <w:color w:val="auto"/>
              </w:rPr>
              <w:t>Cash and cash equivalents</w:t>
            </w:r>
          </w:p>
        </w:tc>
        <w:tc>
          <w:tcPr>
            <w:tcW w:w="3660" w:type="dxa"/>
            <w:vAlign w:val="bottom"/>
            <w:gridSpan w:val="2"/>
          </w:tcPr>
          <w:p>
            <w:pPr>
              <w:jc w:val="right"/>
              <w:ind w:right="1279"/>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15,402</w:t>
            </w:r>
          </w:p>
        </w:tc>
        <w:tc>
          <w:tcPr>
            <w:tcW w:w="80" w:type="dxa"/>
            <w:vAlign w:val="bottom"/>
          </w:tcPr>
          <w:p>
            <w:pPr>
              <w:spacing w:after="0"/>
              <w:rPr>
                <w:sz w:val="13"/>
                <w:szCs w:val="13"/>
                <w:color w:val="auto"/>
              </w:rPr>
            </w:pPr>
          </w:p>
        </w:tc>
        <w:tc>
          <w:tcPr>
            <w:tcW w:w="380" w:type="dxa"/>
            <w:vAlign w:val="bottom"/>
          </w:tcPr>
          <w:p>
            <w:pPr>
              <w:jc w:val="right"/>
              <w:ind w:right="239"/>
              <w:spacing w:after="0"/>
              <w:rPr>
                <w:sz w:val="20"/>
                <w:szCs w:val="20"/>
                <w:color w:val="auto"/>
              </w:rPr>
            </w:pPr>
            <w:r>
              <w:rPr>
                <w:rFonts w:ascii="Arial" w:cs="Arial" w:eastAsia="Arial" w:hAnsi="Arial"/>
                <w:sz w:val="12"/>
                <w:szCs w:val="12"/>
                <w:color w:val="auto"/>
                <w:w w:val="89"/>
              </w:rPr>
              <w:t>$</w:t>
            </w:r>
          </w:p>
        </w:tc>
        <w:tc>
          <w:tcPr>
            <w:tcW w:w="2080" w:type="dxa"/>
            <w:vAlign w:val="bottom"/>
          </w:tcPr>
          <w:p>
            <w:pPr>
              <w:jc w:val="right"/>
              <w:spacing w:after="0"/>
              <w:rPr>
                <w:sz w:val="20"/>
                <w:szCs w:val="20"/>
                <w:color w:val="auto"/>
              </w:rPr>
            </w:pPr>
            <w:r>
              <w:rPr>
                <w:rFonts w:ascii="Arial" w:cs="Arial" w:eastAsia="Arial" w:hAnsi="Arial"/>
                <w:sz w:val="12"/>
                <w:szCs w:val="12"/>
                <w:color w:val="auto"/>
              </w:rPr>
              <w:t>24,937</w:t>
            </w:r>
          </w:p>
        </w:tc>
        <w:tc>
          <w:tcPr>
            <w:tcW w:w="0" w:type="dxa"/>
            <w:vAlign w:val="bottom"/>
          </w:tcPr>
          <w:p>
            <w:pPr>
              <w:spacing w:after="0"/>
              <w:rPr>
                <w:sz w:val="1"/>
                <w:szCs w:val="1"/>
                <w:color w:val="auto"/>
              </w:rPr>
            </w:pPr>
          </w:p>
        </w:tc>
      </w:tr>
      <w:tr>
        <w:trPr>
          <w:trHeight w:val="135"/>
        </w:trPr>
        <w:tc>
          <w:tcPr>
            <w:tcW w:w="7680" w:type="dxa"/>
            <w:vAlign w:val="bottom"/>
            <w:gridSpan w:val="3"/>
            <w:shd w:val="clear" w:color="auto" w:fill="DDDDDD"/>
          </w:tcPr>
          <w:p>
            <w:pPr>
              <w:ind w:left="180"/>
              <w:spacing w:after="0" w:line="135" w:lineRule="exact"/>
              <w:rPr>
                <w:sz w:val="20"/>
                <w:szCs w:val="20"/>
                <w:color w:val="auto"/>
              </w:rPr>
            </w:pPr>
            <w:r>
              <w:rPr>
                <w:rFonts w:ascii="Arial" w:cs="Arial" w:eastAsia="Arial" w:hAnsi="Arial"/>
                <w:sz w:val="12"/>
                <w:szCs w:val="12"/>
                <w:color w:val="auto"/>
              </w:rPr>
              <w:t>Trade receivables, net of allowances for credit losses at June 30, 2021 and December 31, 2020 of $36,785 and</w:t>
            </w:r>
          </w:p>
        </w:tc>
        <w:tc>
          <w:tcPr>
            <w:tcW w:w="10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380" w:type="dxa"/>
            <w:vAlign w:val="bottom"/>
            <w:shd w:val="clear" w:color="auto" w:fill="DDDDDD"/>
          </w:tcPr>
          <w:p>
            <w:pPr>
              <w:spacing w:after="0"/>
              <w:rPr>
                <w:sz w:val="11"/>
                <w:szCs w:val="11"/>
                <w:color w:val="auto"/>
              </w:rPr>
            </w:pPr>
          </w:p>
        </w:tc>
        <w:tc>
          <w:tcPr>
            <w:tcW w:w="208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020" w:type="dxa"/>
            <w:vAlign w:val="bottom"/>
            <w:shd w:val="clear" w:color="auto" w:fill="DDDDDD"/>
          </w:tcPr>
          <w:p>
            <w:pPr>
              <w:ind w:left="180"/>
              <w:spacing w:after="0"/>
              <w:rPr>
                <w:sz w:val="20"/>
                <w:szCs w:val="20"/>
                <w:color w:val="auto"/>
              </w:rPr>
            </w:pPr>
            <w:r>
              <w:rPr>
                <w:rFonts w:ascii="Arial" w:cs="Arial" w:eastAsia="Arial" w:hAnsi="Arial"/>
                <w:sz w:val="12"/>
                <w:szCs w:val="12"/>
                <w:color w:val="auto"/>
              </w:rPr>
              <w:t>$29,258, respectively</w:t>
            </w:r>
          </w:p>
        </w:tc>
        <w:tc>
          <w:tcPr>
            <w:tcW w:w="2240" w:type="dxa"/>
            <w:vAlign w:val="bottom"/>
            <w:shd w:val="clear" w:color="auto" w:fill="DDDDDD"/>
          </w:tcPr>
          <w:p>
            <w:pPr>
              <w:spacing w:after="0"/>
              <w:rPr>
                <w:sz w:val="13"/>
                <w:szCs w:val="13"/>
                <w:color w:val="auto"/>
              </w:rPr>
            </w:pPr>
          </w:p>
        </w:tc>
        <w:tc>
          <w:tcPr>
            <w:tcW w:w="1420" w:type="dxa"/>
            <w:vAlign w:val="bottom"/>
            <w:shd w:val="clear" w:color="auto" w:fill="DDDDDD"/>
          </w:tcPr>
          <w:p>
            <w:pPr>
              <w:spacing w:after="0"/>
              <w:rPr>
                <w:sz w:val="13"/>
                <w:szCs w:val="13"/>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365,164</w:t>
            </w:r>
          </w:p>
        </w:tc>
        <w:tc>
          <w:tcPr>
            <w:tcW w:w="80" w:type="dxa"/>
            <w:vAlign w:val="bottom"/>
            <w:shd w:val="clear" w:color="auto" w:fill="DDDDDD"/>
          </w:tcPr>
          <w:p>
            <w:pPr>
              <w:spacing w:after="0"/>
              <w:rPr>
                <w:sz w:val="13"/>
                <w:szCs w:val="13"/>
                <w:color w:val="auto"/>
              </w:rPr>
            </w:pPr>
          </w:p>
        </w:tc>
        <w:tc>
          <w:tcPr>
            <w:tcW w:w="380" w:type="dxa"/>
            <w:vAlign w:val="bottom"/>
            <w:shd w:val="clear" w:color="auto" w:fill="DDDDDD"/>
          </w:tcPr>
          <w:p>
            <w:pPr>
              <w:spacing w:after="0"/>
              <w:rPr>
                <w:sz w:val="13"/>
                <w:szCs w:val="13"/>
                <w:color w:val="auto"/>
              </w:rPr>
            </w:pPr>
          </w:p>
        </w:tc>
        <w:tc>
          <w:tcPr>
            <w:tcW w:w="20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330,942</w:t>
            </w:r>
          </w:p>
        </w:tc>
        <w:tc>
          <w:tcPr>
            <w:tcW w:w="0" w:type="dxa"/>
            <w:vAlign w:val="bottom"/>
          </w:tcPr>
          <w:p>
            <w:pPr>
              <w:spacing w:after="0"/>
              <w:rPr>
                <w:sz w:val="1"/>
                <w:szCs w:val="1"/>
                <w:color w:val="auto"/>
              </w:rPr>
            </w:pPr>
          </w:p>
        </w:tc>
      </w:tr>
      <w:tr>
        <w:trPr>
          <w:trHeight w:val="159"/>
        </w:trPr>
        <w:tc>
          <w:tcPr>
            <w:tcW w:w="4020" w:type="dxa"/>
            <w:vAlign w:val="bottom"/>
          </w:tcPr>
          <w:p>
            <w:pPr>
              <w:ind w:left="180"/>
              <w:spacing w:after="0"/>
              <w:rPr>
                <w:sz w:val="20"/>
                <w:szCs w:val="20"/>
                <w:color w:val="auto"/>
              </w:rPr>
            </w:pPr>
            <w:r>
              <w:rPr>
                <w:rFonts w:ascii="Arial" w:cs="Arial" w:eastAsia="Arial" w:hAnsi="Arial"/>
                <w:sz w:val="12"/>
                <w:szCs w:val="12"/>
                <w:color w:val="auto"/>
              </w:rPr>
              <w:t>Inventories</w:t>
            </w:r>
          </w:p>
        </w:tc>
        <w:tc>
          <w:tcPr>
            <w:tcW w:w="2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32,294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Arial" w:cs="Arial" w:eastAsia="Arial" w:hAnsi="Arial"/>
                <w:sz w:val="12"/>
                <w:szCs w:val="12"/>
                <w:color w:val="auto"/>
              </w:rPr>
              <w:t>23,731</w:t>
            </w:r>
          </w:p>
        </w:tc>
        <w:tc>
          <w:tcPr>
            <w:tcW w:w="0" w:type="dxa"/>
            <w:vAlign w:val="bottom"/>
          </w:tcPr>
          <w:p>
            <w:pPr>
              <w:spacing w:after="0"/>
              <w:rPr>
                <w:sz w:val="1"/>
                <w:szCs w:val="1"/>
                <w:color w:val="auto"/>
              </w:rPr>
            </w:pPr>
          </w:p>
        </w:tc>
      </w:tr>
      <w:tr>
        <w:trPr>
          <w:trHeight w:val="164"/>
        </w:trPr>
        <w:tc>
          <w:tcPr>
            <w:tcW w:w="4020" w:type="dxa"/>
            <w:vAlign w:val="bottom"/>
            <w:shd w:val="clear" w:color="auto" w:fill="DDDDDD"/>
          </w:tcPr>
          <w:p>
            <w:pPr>
              <w:ind w:left="180"/>
              <w:spacing w:after="0"/>
              <w:rPr>
                <w:sz w:val="20"/>
                <w:szCs w:val="20"/>
                <w:color w:val="auto"/>
              </w:rPr>
            </w:pPr>
            <w:r>
              <w:rPr>
                <w:rFonts w:ascii="Arial" w:cs="Arial" w:eastAsia="Arial" w:hAnsi="Arial"/>
                <w:sz w:val="12"/>
                <w:szCs w:val="12"/>
                <w:color w:val="auto"/>
              </w:rPr>
              <w:t>Prepaid expenses and other current assets</w:t>
            </w:r>
          </w:p>
        </w:tc>
        <w:tc>
          <w:tcPr>
            <w:tcW w:w="2240" w:type="dxa"/>
            <w:vAlign w:val="bottom"/>
            <w:shd w:val="clear" w:color="auto" w:fill="DDDDDD"/>
          </w:tcPr>
          <w:p>
            <w:pPr>
              <w:spacing w:after="0"/>
              <w:rPr>
                <w:sz w:val="14"/>
                <w:szCs w:val="14"/>
                <w:color w:val="auto"/>
              </w:rPr>
            </w:pPr>
          </w:p>
        </w:tc>
        <w:tc>
          <w:tcPr>
            <w:tcW w:w="1420" w:type="dxa"/>
            <w:vAlign w:val="bottom"/>
            <w:shd w:val="clear" w:color="auto" w:fill="DDDDDD"/>
          </w:tcPr>
          <w:p>
            <w:pPr>
              <w:spacing w:after="0"/>
              <w:rPr>
                <w:sz w:val="14"/>
                <w:szCs w:val="14"/>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26,686</w:t>
            </w:r>
          </w:p>
        </w:tc>
        <w:tc>
          <w:tcPr>
            <w:tcW w:w="8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20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29,954</w:t>
            </w:r>
          </w:p>
        </w:tc>
        <w:tc>
          <w:tcPr>
            <w:tcW w:w="0" w:type="dxa"/>
            <w:vAlign w:val="bottom"/>
          </w:tcPr>
          <w:p>
            <w:pPr>
              <w:spacing w:after="0"/>
              <w:rPr>
                <w:sz w:val="1"/>
                <w:szCs w:val="1"/>
                <w:color w:val="auto"/>
              </w:rPr>
            </w:pPr>
          </w:p>
        </w:tc>
      </w:tr>
      <w:tr>
        <w:trPr>
          <w:trHeight w:val="159"/>
        </w:trPr>
        <w:tc>
          <w:tcPr>
            <w:tcW w:w="4020" w:type="dxa"/>
            <w:vAlign w:val="bottom"/>
          </w:tcPr>
          <w:p>
            <w:pPr>
              <w:ind w:left="180"/>
              <w:spacing w:after="0"/>
              <w:rPr>
                <w:sz w:val="20"/>
                <w:szCs w:val="20"/>
                <w:color w:val="auto"/>
              </w:rPr>
            </w:pPr>
            <w:r>
              <w:rPr>
                <w:rFonts w:ascii="Arial" w:cs="Arial" w:eastAsia="Arial" w:hAnsi="Arial"/>
                <w:sz w:val="12"/>
                <w:szCs w:val="12"/>
                <w:color w:val="auto"/>
              </w:rPr>
              <w:t>Assets held for sale</w:t>
            </w:r>
          </w:p>
        </w:tc>
        <w:tc>
          <w:tcPr>
            <w:tcW w:w="2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Arial" w:cs="Arial" w:eastAsia="Arial" w:hAnsi="Arial"/>
                <w:sz w:val="12"/>
                <w:szCs w:val="12"/>
                <w:color w:val="auto"/>
              </w:rPr>
              <w:t>12,004</w:t>
            </w:r>
          </w:p>
        </w:tc>
        <w:tc>
          <w:tcPr>
            <w:tcW w:w="0" w:type="dxa"/>
            <w:vAlign w:val="bottom"/>
          </w:tcPr>
          <w:p>
            <w:pPr>
              <w:spacing w:after="0"/>
              <w:rPr>
                <w:sz w:val="1"/>
                <w:szCs w:val="1"/>
                <w:color w:val="auto"/>
              </w:rPr>
            </w:pPr>
          </w:p>
        </w:tc>
      </w:tr>
      <w:tr>
        <w:trPr>
          <w:trHeight w:val="154"/>
        </w:trPr>
        <w:tc>
          <w:tcPr>
            <w:tcW w:w="4020" w:type="dxa"/>
            <w:vAlign w:val="bottom"/>
            <w:tcBorders>
              <w:top w:val="single" w:sz="8" w:color="DDDDDD"/>
            </w:tcBorders>
            <w:shd w:val="clear" w:color="auto" w:fill="DDDDDD"/>
          </w:tcPr>
          <w:p>
            <w:pPr>
              <w:ind w:left="340"/>
              <w:spacing w:after="0"/>
              <w:rPr>
                <w:sz w:val="20"/>
                <w:szCs w:val="20"/>
                <w:color w:val="auto"/>
              </w:rPr>
            </w:pPr>
            <w:r>
              <w:rPr>
                <w:rFonts w:ascii="Arial" w:cs="Arial" w:eastAsia="Arial" w:hAnsi="Arial"/>
                <w:sz w:val="12"/>
                <w:szCs w:val="12"/>
                <w:color w:val="auto"/>
              </w:rPr>
              <w:t>Total current assets</w:t>
            </w:r>
          </w:p>
        </w:tc>
        <w:tc>
          <w:tcPr>
            <w:tcW w:w="2240" w:type="dxa"/>
            <w:vAlign w:val="bottom"/>
            <w:tcBorders>
              <w:top w:val="single" w:sz="8" w:color="DDDDDD"/>
            </w:tcBorders>
            <w:shd w:val="clear" w:color="auto" w:fill="DDDDDD"/>
          </w:tcPr>
          <w:p>
            <w:pPr>
              <w:spacing w:after="0"/>
              <w:rPr>
                <w:sz w:val="13"/>
                <w:szCs w:val="13"/>
                <w:color w:val="auto"/>
              </w:rPr>
            </w:pPr>
          </w:p>
        </w:tc>
        <w:tc>
          <w:tcPr>
            <w:tcW w:w="1420" w:type="dxa"/>
            <w:vAlign w:val="bottom"/>
            <w:tcBorders>
              <w:top w:val="single" w:sz="8" w:color="auto"/>
            </w:tcBorders>
            <w:shd w:val="clear" w:color="auto" w:fill="DDDDDD"/>
          </w:tcPr>
          <w:p>
            <w:pPr>
              <w:spacing w:after="0"/>
              <w:rPr>
                <w:sz w:val="13"/>
                <w:szCs w:val="13"/>
                <w:color w:val="auto"/>
              </w:rPr>
            </w:pPr>
          </w:p>
        </w:tc>
        <w:tc>
          <w:tcPr>
            <w:tcW w:w="10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439,546</w:t>
            </w:r>
          </w:p>
        </w:tc>
        <w:tc>
          <w:tcPr>
            <w:tcW w:w="80" w:type="dxa"/>
            <w:vAlign w:val="bottom"/>
            <w:tcBorders>
              <w:top w:val="single" w:sz="8" w:color="DDDDDD"/>
            </w:tcBorders>
            <w:shd w:val="clear" w:color="auto" w:fill="DDDDDD"/>
          </w:tcPr>
          <w:p>
            <w:pPr>
              <w:spacing w:after="0"/>
              <w:rPr>
                <w:sz w:val="13"/>
                <w:szCs w:val="13"/>
                <w:color w:val="auto"/>
              </w:rPr>
            </w:pPr>
          </w:p>
        </w:tc>
        <w:tc>
          <w:tcPr>
            <w:tcW w:w="380" w:type="dxa"/>
            <w:vAlign w:val="bottom"/>
            <w:tcBorders>
              <w:top w:val="single" w:sz="8" w:color="auto"/>
            </w:tcBorders>
            <w:shd w:val="clear" w:color="auto" w:fill="DDDDDD"/>
          </w:tcPr>
          <w:p>
            <w:pPr>
              <w:spacing w:after="0"/>
              <w:rPr>
                <w:sz w:val="13"/>
                <w:szCs w:val="13"/>
                <w:color w:val="auto"/>
              </w:rPr>
            </w:pPr>
          </w:p>
        </w:tc>
        <w:tc>
          <w:tcPr>
            <w:tcW w:w="20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421,568</w:t>
            </w:r>
          </w:p>
        </w:tc>
        <w:tc>
          <w:tcPr>
            <w:tcW w:w="0" w:type="dxa"/>
            <w:vAlign w:val="bottom"/>
          </w:tcPr>
          <w:p>
            <w:pPr>
              <w:spacing w:after="0"/>
              <w:rPr>
                <w:sz w:val="1"/>
                <w:szCs w:val="1"/>
                <w:color w:val="auto"/>
              </w:rPr>
            </w:pPr>
          </w:p>
        </w:tc>
      </w:tr>
      <w:tr>
        <w:trPr>
          <w:trHeight w:val="159"/>
        </w:trPr>
        <w:tc>
          <w:tcPr>
            <w:tcW w:w="4020" w:type="dxa"/>
            <w:vAlign w:val="bottom"/>
          </w:tcPr>
          <w:p>
            <w:pPr>
              <w:ind w:left="180"/>
              <w:spacing w:after="0"/>
              <w:rPr>
                <w:sz w:val="20"/>
                <w:szCs w:val="20"/>
                <w:color w:val="auto"/>
              </w:rPr>
            </w:pPr>
            <w:r>
              <w:rPr>
                <w:rFonts w:ascii="Arial" w:cs="Arial" w:eastAsia="Arial" w:hAnsi="Arial"/>
                <w:sz w:val="12"/>
                <w:szCs w:val="12"/>
                <w:color w:val="auto"/>
              </w:rPr>
              <w:t>Rental equipment, net</w:t>
            </w:r>
          </w:p>
        </w:tc>
        <w:tc>
          <w:tcPr>
            <w:tcW w:w="2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2,914,572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Arial" w:cs="Arial" w:eastAsia="Arial" w:hAnsi="Arial"/>
                <w:sz w:val="12"/>
                <w:szCs w:val="12"/>
                <w:color w:val="auto"/>
              </w:rPr>
              <w:t>2,931,646</w:t>
            </w:r>
          </w:p>
        </w:tc>
        <w:tc>
          <w:tcPr>
            <w:tcW w:w="0" w:type="dxa"/>
            <w:vAlign w:val="bottom"/>
          </w:tcPr>
          <w:p>
            <w:pPr>
              <w:spacing w:after="0"/>
              <w:rPr>
                <w:sz w:val="1"/>
                <w:szCs w:val="1"/>
                <w:color w:val="auto"/>
              </w:rPr>
            </w:pPr>
          </w:p>
        </w:tc>
      </w:tr>
      <w:tr>
        <w:trPr>
          <w:trHeight w:val="164"/>
        </w:trPr>
        <w:tc>
          <w:tcPr>
            <w:tcW w:w="4020" w:type="dxa"/>
            <w:vAlign w:val="bottom"/>
            <w:shd w:val="clear" w:color="auto" w:fill="DDDDDD"/>
          </w:tcPr>
          <w:p>
            <w:pPr>
              <w:ind w:left="180"/>
              <w:spacing w:after="0"/>
              <w:rPr>
                <w:sz w:val="20"/>
                <w:szCs w:val="20"/>
                <w:color w:val="auto"/>
              </w:rPr>
            </w:pPr>
            <w:r>
              <w:rPr>
                <w:rFonts w:ascii="Arial" w:cs="Arial" w:eastAsia="Arial" w:hAnsi="Arial"/>
                <w:sz w:val="12"/>
                <w:szCs w:val="12"/>
                <w:color w:val="auto"/>
              </w:rPr>
              <w:t>Property, plant and equipment, net</w:t>
            </w:r>
          </w:p>
        </w:tc>
        <w:tc>
          <w:tcPr>
            <w:tcW w:w="2240" w:type="dxa"/>
            <w:vAlign w:val="bottom"/>
            <w:shd w:val="clear" w:color="auto" w:fill="DDDDDD"/>
          </w:tcPr>
          <w:p>
            <w:pPr>
              <w:spacing w:after="0"/>
              <w:rPr>
                <w:sz w:val="14"/>
                <w:szCs w:val="14"/>
                <w:color w:val="auto"/>
              </w:rPr>
            </w:pPr>
          </w:p>
        </w:tc>
        <w:tc>
          <w:tcPr>
            <w:tcW w:w="1420" w:type="dxa"/>
            <w:vAlign w:val="bottom"/>
            <w:shd w:val="clear" w:color="auto" w:fill="DDDDDD"/>
          </w:tcPr>
          <w:p>
            <w:pPr>
              <w:spacing w:after="0"/>
              <w:rPr>
                <w:sz w:val="14"/>
                <w:szCs w:val="14"/>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303,488</w:t>
            </w:r>
          </w:p>
        </w:tc>
        <w:tc>
          <w:tcPr>
            <w:tcW w:w="8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20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303,650</w:t>
            </w:r>
          </w:p>
        </w:tc>
        <w:tc>
          <w:tcPr>
            <w:tcW w:w="0" w:type="dxa"/>
            <w:vAlign w:val="bottom"/>
          </w:tcPr>
          <w:p>
            <w:pPr>
              <w:spacing w:after="0"/>
              <w:rPr>
                <w:sz w:val="1"/>
                <w:szCs w:val="1"/>
                <w:color w:val="auto"/>
              </w:rPr>
            </w:pPr>
          </w:p>
        </w:tc>
      </w:tr>
      <w:tr>
        <w:trPr>
          <w:trHeight w:val="159"/>
        </w:trPr>
        <w:tc>
          <w:tcPr>
            <w:tcW w:w="4020" w:type="dxa"/>
            <w:vAlign w:val="bottom"/>
          </w:tcPr>
          <w:p>
            <w:pPr>
              <w:ind w:left="180"/>
              <w:spacing w:after="0"/>
              <w:rPr>
                <w:sz w:val="20"/>
                <w:szCs w:val="20"/>
                <w:color w:val="auto"/>
              </w:rPr>
            </w:pPr>
            <w:r>
              <w:rPr>
                <w:rFonts w:ascii="Arial" w:cs="Arial" w:eastAsia="Arial" w:hAnsi="Arial"/>
                <w:sz w:val="12"/>
                <w:szCs w:val="12"/>
                <w:color w:val="auto"/>
              </w:rPr>
              <w:t>Operating lease assets</w:t>
            </w:r>
          </w:p>
        </w:tc>
        <w:tc>
          <w:tcPr>
            <w:tcW w:w="2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235,258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Arial" w:cs="Arial" w:eastAsia="Arial" w:hAnsi="Arial"/>
                <w:sz w:val="12"/>
                <w:szCs w:val="12"/>
                <w:color w:val="auto"/>
              </w:rPr>
              <w:t>232,094</w:t>
            </w:r>
          </w:p>
        </w:tc>
        <w:tc>
          <w:tcPr>
            <w:tcW w:w="0" w:type="dxa"/>
            <w:vAlign w:val="bottom"/>
          </w:tcPr>
          <w:p>
            <w:pPr>
              <w:spacing w:after="0"/>
              <w:rPr>
                <w:sz w:val="1"/>
                <w:szCs w:val="1"/>
                <w:color w:val="auto"/>
              </w:rPr>
            </w:pPr>
          </w:p>
        </w:tc>
      </w:tr>
      <w:tr>
        <w:trPr>
          <w:trHeight w:val="164"/>
        </w:trPr>
        <w:tc>
          <w:tcPr>
            <w:tcW w:w="4020" w:type="dxa"/>
            <w:vAlign w:val="bottom"/>
            <w:shd w:val="clear" w:color="auto" w:fill="DDDDDD"/>
          </w:tcPr>
          <w:p>
            <w:pPr>
              <w:ind w:left="180"/>
              <w:spacing w:after="0"/>
              <w:rPr>
                <w:sz w:val="20"/>
                <w:szCs w:val="20"/>
                <w:color w:val="auto"/>
              </w:rPr>
            </w:pPr>
            <w:r>
              <w:rPr>
                <w:rFonts w:ascii="Arial" w:cs="Arial" w:eastAsia="Arial" w:hAnsi="Arial"/>
                <w:sz w:val="12"/>
                <w:szCs w:val="12"/>
                <w:color w:val="auto"/>
              </w:rPr>
              <w:t>Goodwill</w:t>
            </w:r>
          </w:p>
        </w:tc>
        <w:tc>
          <w:tcPr>
            <w:tcW w:w="2240" w:type="dxa"/>
            <w:vAlign w:val="bottom"/>
            <w:shd w:val="clear" w:color="auto" w:fill="DDDDDD"/>
          </w:tcPr>
          <w:p>
            <w:pPr>
              <w:spacing w:after="0"/>
              <w:rPr>
                <w:sz w:val="14"/>
                <w:szCs w:val="14"/>
                <w:color w:val="auto"/>
              </w:rPr>
            </w:pPr>
          </w:p>
        </w:tc>
        <w:tc>
          <w:tcPr>
            <w:tcW w:w="1420" w:type="dxa"/>
            <w:vAlign w:val="bottom"/>
            <w:shd w:val="clear" w:color="auto" w:fill="DDDDDD"/>
          </w:tcPr>
          <w:p>
            <w:pPr>
              <w:spacing w:after="0"/>
              <w:rPr>
                <w:sz w:val="14"/>
                <w:szCs w:val="14"/>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1,180,737</w:t>
            </w:r>
          </w:p>
        </w:tc>
        <w:tc>
          <w:tcPr>
            <w:tcW w:w="8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20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1,171,219</w:t>
            </w:r>
          </w:p>
        </w:tc>
        <w:tc>
          <w:tcPr>
            <w:tcW w:w="0" w:type="dxa"/>
            <w:vAlign w:val="bottom"/>
          </w:tcPr>
          <w:p>
            <w:pPr>
              <w:spacing w:after="0"/>
              <w:rPr>
                <w:sz w:val="1"/>
                <w:szCs w:val="1"/>
                <w:color w:val="auto"/>
              </w:rPr>
            </w:pPr>
          </w:p>
        </w:tc>
      </w:tr>
      <w:tr>
        <w:trPr>
          <w:trHeight w:val="159"/>
        </w:trPr>
        <w:tc>
          <w:tcPr>
            <w:tcW w:w="4020" w:type="dxa"/>
            <w:vAlign w:val="bottom"/>
          </w:tcPr>
          <w:p>
            <w:pPr>
              <w:ind w:left="180"/>
              <w:spacing w:after="0"/>
              <w:rPr>
                <w:sz w:val="20"/>
                <w:szCs w:val="20"/>
                <w:color w:val="auto"/>
              </w:rPr>
            </w:pPr>
            <w:r>
              <w:rPr>
                <w:rFonts w:ascii="Arial" w:cs="Arial" w:eastAsia="Arial" w:hAnsi="Arial"/>
                <w:sz w:val="12"/>
                <w:szCs w:val="12"/>
                <w:color w:val="auto"/>
              </w:rPr>
              <w:t>Intangible assets, net</w:t>
            </w:r>
          </w:p>
        </w:tc>
        <w:tc>
          <w:tcPr>
            <w:tcW w:w="2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474,327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Arial" w:cs="Arial" w:eastAsia="Arial" w:hAnsi="Arial"/>
                <w:sz w:val="12"/>
                <w:szCs w:val="12"/>
                <w:color w:val="auto"/>
              </w:rPr>
              <w:t>495,947</w:t>
            </w:r>
          </w:p>
        </w:tc>
        <w:tc>
          <w:tcPr>
            <w:tcW w:w="0" w:type="dxa"/>
            <w:vAlign w:val="bottom"/>
          </w:tcPr>
          <w:p>
            <w:pPr>
              <w:spacing w:after="0"/>
              <w:rPr>
                <w:sz w:val="1"/>
                <w:szCs w:val="1"/>
                <w:color w:val="auto"/>
              </w:rPr>
            </w:pPr>
          </w:p>
        </w:tc>
      </w:tr>
      <w:tr>
        <w:trPr>
          <w:trHeight w:val="164"/>
        </w:trPr>
        <w:tc>
          <w:tcPr>
            <w:tcW w:w="4020" w:type="dxa"/>
            <w:vAlign w:val="bottom"/>
            <w:shd w:val="clear" w:color="auto" w:fill="DDDDDD"/>
          </w:tcPr>
          <w:p>
            <w:pPr>
              <w:ind w:left="180"/>
              <w:spacing w:after="0"/>
              <w:rPr>
                <w:sz w:val="20"/>
                <w:szCs w:val="20"/>
                <w:color w:val="auto"/>
              </w:rPr>
            </w:pPr>
            <w:r>
              <w:rPr>
                <w:rFonts w:ascii="Arial" w:cs="Arial" w:eastAsia="Arial" w:hAnsi="Arial"/>
                <w:sz w:val="12"/>
                <w:szCs w:val="12"/>
                <w:color w:val="auto"/>
              </w:rPr>
              <w:t>Other non-current assets</w:t>
            </w:r>
          </w:p>
        </w:tc>
        <w:tc>
          <w:tcPr>
            <w:tcW w:w="2240" w:type="dxa"/>
            <w:vAlign w:val="bottom"/>
            <w:shd w:val="clear" w:color="auto" w:fill="DDDDDD"/>
          </w:tcPr>
          <w:p>
            <w:pPr>
              <w:spacing w:after="0"/>
              <w:rPr>
                <w:sz w:val="14"/>
                <w:szCs w:val="14"/>
                <w:color w:val="auto"/>
              </w:rPr>
            </w:pPr>
          </w:p>
        </w:tc>
        <w:tc>
          <w:tcPr>
            <w:tcW w:w="1420" w:type="dxa"/>
            <w:vAlign w:val="bottom"/>
            <w:tcBorders>
              <w:bottom w:val="single" w:sz="8" w:color="auto"/>
            </w:tcBorders>
            <w:shd w:val="clear" w:color="auto" w:fill="DDDDDD"/>
          </w:tcPr>
          <w:p>
            <w:pPr>
              <w:spacing w:after="0"/>
              <w:rPr>
                <w:sz w:val="14"/>
                <w:szCs w:val="14"/>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11,785</w:t>
            </w:r>
          </w:p>
        </w:tc>
        <w:tc>
          <w:tcPr>
            <w:tcW w:w="80" w:type="dxa"/>
            <w:vAlign w:val="bottom"/>
            <w:shd w:val="clear" w:color="auto" w:fill="DDDDDD"/>
          </w:tcPr>
          <w:p>
            <w:pPr>
              <w:spacing w:after="0"/>
              <w:rPr>
                <w:sz w:val="14"/>
                <w:szCs w:val="14"/>
                <w:color w:val="auto"/>
              </w:rPr>
            </w:pPr>
          </w:p>
        </w:tc>
        <w:tc>
          <w:tcPr>
            <w:tcW w:w="380" w:type="dxa"/>
            <w:vAlign w:val="bottom"/>
            <w:tcBorders>
              <w:bottom w:val="single" w:sz="8" w:color="auto"/>
            </w:tcBorders>
            <w:shd w:val="clear" w:color="auto" w:fill="DDDDDD"/>
          </w:tcPr>
          <w:p>
            <w:pPr>
              <w:spacing w:after="0"/>
              <w:rPr>
                <w:sz w:val="14"/>
                <w:szCs w:val="14"/>
                <w:color w:val="auto"/>
              </w:rPr>
            </w:pPr>
          </w:p>
        </w:tc>
        <w:tc>
          <w:tcPr>
            <w:tcW w:w="2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16,081</w:t>
            </w:r>
          </w:p>
        </w:tc>
        <w:tc>
          <w:tcPr>
            <w:tcW w:w="0" w:type="dxa"/>
            <w:vAlign w:val="bottom"/>
          </w:tcPr>
          <w:p>
            <w:pPr>
              <w:spacing w:after="0"/>
              <w:rPr>
                <w:sz w:val="1"/>
                <w:szCs w:val="1"/>
                <w:color w:val="auto"/>
              </w:rPr>
            </w:pPr>
          </w:p>
        </w:tc>
      </w:tr>
      <w:tr>
        <w:trPr>
          <w:trHeight w:val="149"/>
        </w:trPr>
        <w:tc>
          <w:tcPr>
            <w:tcW w:w="4020" w:type="dxa"/>
            <w:vAlign w:val="bottom"/>
            <w:tcBorders>
              <w:bottom w:val="single" w:sz="8" w:color="DDDDDD"/>
            </w:tcBorders>
          </w:tcPr>
          <w:p>
            <w:pPr>
              <w:ind w:left="340"/>
              <w:spacing w:after="0"/>
              <w:rPr>
                <w:sz w:val="20"/>
                <w:szCs w:val="20"/>
                <w:color w:val="auto"/>
              </w:rPr>
            </w:pPr>
            <w:r>
              <w:rPr>
                <w:rFonts w:ascii="Arial" w:cs="Arial" w:eastAsia="Arial" w:hAnsi="Arial"/>
                <w:sz w:val="12"/>
                <w:szCs w:val="12"/>
                <w:color w:val="auto"/>
              </w:rPr>
              <w:t>Total long-term assets</w:t>
            </w:r>
          </w:p>
        </w:tc>
        <w:tc>
          <w:tcPr>
            <w:tcW w:w="2240" w:type="dxa"/>
            <w:vAlign w:val="bottom"/>
            <w:tcBorders>
              <w:bottom w:val="single" w:sz="8" w:color="DDDDDD"/>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5,120,167</w:t>
            </w:r>
          </w:p>
        </w:tc>
        <w:tc>
          <w:tcPr>
            <w:tcW w:w="80" w:type="dxa"/>
            <w:vAlign w:val="bottom"/>
            <w:tcBorders>
              <w:bottom w:val="single" w:sz="8" w:color="DDDDDD"/>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5,150,637</w:t>
            </w:r>
          </w:p>
        </w:tc>
        <w:tc>
          <w:tcPr>
            <w:tcW w:w="0" w:type="dxa"/>
            <w:vAlign w:val="bottom"/>
          </w:tcPr>
          <w:p>
            <w:pPr>
              <w:spacing w:after="0"/>
              <w:rPr>
                <w:sz w:val="1"/>
                <w:szCs w:val="1"/>
                <w:color w:val="auto"/>
              </w:rPr>
            </w:pPr>
          </w:p>
        </w:tc>
      </w:tr>
      <w:tr>
        <w:trPr>
          <w:trHeight w:val="171"/>
        </w:trPr>
        <w:tc>
          <w:tcPr>
            <w:tcW w:w="4020" w:type="dxa"/>
            <w:vAlign w:val="bottom"/>
            <w:shd w:val="clear" w:color="auto" w:fill="DDDDDD"/>
          </w:tcPr>
          <w:p>
            <w:pPr>
              <w:ind w:left="20"/>
              <w:spacing w:after="0"/>
              <w:rPr>
                <w:sz w:val="20"/>
                <w:szCs w:val="20"/>
                <w:color w:val="auto"/>
              </w:rPr>
            </w:pPr>
            <w:r>
              <w:rPr>
                <w:rFonts w:ascii="Arial" w:cs="Arial" w:eastAsia="Arial" w:hAnsi="Arial"/>
                <w:sz w:val="12"/>
                <w:szCs w:val="12"/>
                <w:color w:val="auto"/>
              </w:rPr>
              <w:t>Total assets</w:t>
            </w:r>
          </w:p>
        </w:tc>
        <w:tc>
          <w:tcPr>
            <w:tcW w:w="3660" w:type="dxa"/>
            <w:vAlign w:val="bottom"/>
            <w:gridSpan w:val="2"/>
            <w:shd w:val="clear" w:color="auto" w:fill="DDDDDD"/>
          </w:tcPr>
          <w:p>
            <w:pPr>
              <w:jc w:val="right"/>
              <w:ind w:right="1279"/>
              <w:spacing w:after="0"/>
              <w:rPr>
                <w:sz w:val="20"/>
                <w:szCs w:val="20"/>
                <w:color w:val="auto"/>
              </w:rPr>
            </w:pPr>
            <w:r>
              <w:rPr>
                <w:rFonts w:ascii="Arial" w:cs="Arial" w:eastAsia="Arial" w:hAnsi="Arial"/>
                <w:sz w:val="12"/>
                <w:szCs w:val="12"/>
                <w:color w:val="auto"/>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5,559,713</w:t>
            </w:r>
          </w:p>
        </w:tc>
        <w:tc>
          <w:tcPr>
            <w:tcW w:w="80" w:type="dxa"/>
            <w:vAlign w:val="bottom"/>
            <w:shd w:val="clear" w:color="auto" w:fill="DDDDDD"/>
          </w:tcPr>
          <w:p>
            <w:pPr>
              <w:spacing w:after="0"/>
              <w:rPr>
                <w:sz w:val="14"/>
                <w:szCs w:val="14"/>
                <w:color w:val="auto"/>
              </w:rPr>
            </w:pPr>
          </w:p>
        </w:tc>
        <w:tc>
          <w:tcPr>
            <w:tcW w:w="380" w:type="dxa"/>
            <w:vAlign w:val="bottom"/>
            <w:shd w:val="clear" w:color="auto" w:fill="DDDDDD"/>
          </w:tcPr>
          <w:p>
            <w:pPr>
              <w:jc w:val="right"/>
              <w:ind w:right="239"/>
              <w:spacing w:after="0"/>
              <w:rPr>
                <w:sz w:val="20"/>
                <w:szCs w:val="20"/>
                <w:color w:val="auto"/>
              </w:rPr>
            </w:pPr>
            <w:r>
              <w:rPr>
                <w:rFonts w:ascii="Arial" w:cs="Arial" w:eastAsia="Arial" w:hAnsi="Arial"/>
                <w:sz w:val="12"/>
                <w:szCs w:val="12"/>
                <w:color w:val="auto"/>
                <w:w w:val="89"/>
              </w:rPr>
              <w:t>$</w:t>
            </w:r>
          </w:p>
        </w:tc>
        <w:tc>
          <w:tcPr>
            <w:tcW w:w="20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5,572,205</w:t>
            </w:r>
          </w:p>
        </w:tc>
        <w:tc>
          <w:tcPr>
            <w:tcW w:w="0" w:type="dxa"/>
            <w:vAlign w:val="bottom"/>
          </w:tcPr>
          <w:p>
            <w:pPr>
              <w:spacing w:after="0"/>
              <w:rPr>
                <w:sz w:val="1"/>
                <w:szCs w:val="1"/>
                <w:color w:val="auto"/>
              </w:rPr>
            </w:pPr>
          </w:p>
        </w:tc>
      </w:tr>
      <w:tr>
        <w:trPr>
          <w:trHeight w:val="20"/>
        </w:trPr>
        <w:tc>
          <w:tcPr>
            <w:tcW w:w="402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2"/>
                <w:szCs w:val="12"/>
                <w:color w:val="auto"/>
              </w:rPr>
              <w:t>Liabilities and equity</w:t>
            </w:r>
          </w:p>
        </w:tc>
        <w:tc>
          <w:tcPr>
            <w:tcW w:w="2240" w:type="dxa"/>
            <w:vAlign w:val="bottom"/>
            <w:tcBorders>
              <w:top w:val="single" w:sz="8" w:color="DDDDDD"/>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02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020" w:type="dxa"/>
            <w:vAlign w:val="bottom"/>
            <w:shd w:val="clear" w:color="auto" w:fill="DDDDDD"/>
          </w:tcPr>
          <w:p>
            <w:pPr>
              <w:ind w:left="180"/>
              <w:spacing w:after="0"/>
              <w:rPr>
                <w:sz w:val="20"/>
                <w:szCs w:val="20"/>
                <w:color w:val="auto"/>
              </w:rPr>
            </w:pPr>
            <w:r>
              <w:rPr>
                <w:rFonts w:ascii="Arial" w:cs="Arial" w:eastAsia="Arial" w:hAnsi="Arial"/>
                <w:sz w:val="12"/>
                <w:szCs w:val="12"/>
                <w:color w:val="auto"/>
              </w:rPr>
              <w:t>Accounts payable</w:t>
            </w:r>
          </w:p>
        </w:tc>
        <w:tc>
          <w:tcPr>
            <w:tcW w:w="3660" w:type="dxa"/>
            <w:vAlign w:val="bottom"/>
            <w:gridSpan w:val="2"/>
            <w:shd w:val="clear" w:color="auto" w:fill="DDDDDD"/>
          </w:tcPr>
          <w:p>
            <w:pPr>
              <w:jc w:val="right"/>
              <w:ind w:right="1279"/>
              <w:spacing w:after="0"/>
              <w:rPr>
                <w:sz w:val="20"/>
                <w:szCs w:val="20"/>
                <w:color w:val="auto"/>
              </w:rPr>
            </w:pPr>
            <w:r>
              <w:rPr>
                <w:rFonts w:ascii="Arial" w:cs="Arial" w:eastAsia="Arial" w:hAnsi="Arial"/>
                <w:sz w:val="12"/>
                <w:szCs w:val="12"/>
                <w:color w:val="auto"/>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132,031</w:t>
            </w:r>
          </w:p>
        </w:tc>
        <w:tc>
          <w:tcPr>
            <w:tcW w:w="80" w:type="dxa"/>
            <w:vAlign w:val="bottom"/>
            <w:shd w:val="clear" w:color="auto" w:fill="DDDDDD"/>
          </w:tcPr>
          <w:p>
            <w:pPr>
              <w:spacing w:after="0"/>
              <w:rPr>
                <w:sz w:val="14"/>
                <w:szCs w:val="14"/>
                <w:color w:val="auto"/>
              </w:rPr>
            </w:pPr>
          </w:p>
        </w:tc>
        <w:tc>
          <w:tcPr>
            <w:tcW w:w="380" w:type="dxa"/>
            <w:vAlign w:val="bottom"/>
            <w:shd w:val="clear" w:color="auto" w:fill="DDDDDD"/>
          </w:tcPr>
          <w:p>
            <w:pPr>
              <w:jc w:val="right"/>
              <w:ind w:right="239"/>
              <w:spacing w:after="0"/>
              <w:rPr>
                <w:sz w:val="20"/>
                <w:szCs w:val="20"/>
                <w:color w:val="auto"/>
              </w:rPr>
            </w:pPr>
            <w:r>
              <w:rPr>
                <w:rFonts w:ascii="Arial" w:cs="Arial" w:eastAsia="Arial" w:hAnsi="Arial"/>
                <w:sz w:val="12"/>
                <w:szCs w:val="12"/>
                <w:color w:val="auto"/>
                <w:w w:val="89"/>
              </w:rPr>
              <w:t>$</w:t>
            </w:r>
          </w:p>
        </w:tc>
        <w:tc>
          <w:tcPr>
            <w:tcW w:w="20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106,926</w:t>
            </w:r>
          </w:p>
        </w:tc>
        <w:tc>
          <w:tcPr>
            <w:tcW w:w="0" w:type="dxa"/>
            <w:vAlign w:val="bottom"/>
          </w:tcPr>
          <w:p>
            <w:pPr>
              <w:spacing w:after="0"/>
              <w:rPr>
                <w:sz w:val="1"/>
                <w:szCs w:val="1"/>
                <w:color w:val="auto"/>
              </w:rPr>
            </w:pPr>
          </w:p>
        </w:tc>
      </w:tr>
      <w:tr>
        <w:trPr>
          <w:trHeight w:val="159"/>
        </w:trPr>
        <w:tc>
          <w:tcPr>
            <w:tcW w:w="4020" w:type="dxa"/>
            <w:vAlign w:val="bottom"/>
          </w:tcPr>
          <w:p>
            <w:pPr>
              <w:ind w:left="180"/>
              <w:spacing w:after="0"/>
              <w:rPr>
                <w:sz w:val="20"/>
                <w:szCs w:val="20"/>
                <w:color w:val="auto"/>
              </w:rPr>
            </w:pPr>
            <w:r>
              <w:rPr>
                <w:rFonts w:ascii="Arial" w:cs="Arial" w:eastAsia="Arial" w:hAnsi="Arial"/>
                <w:sz w:val="12"/>
                <w:szCs w:val="12"/>
                <w:color w:val="auto"/>
              </w:rPr>
              <w:t>Accrued expenses</w:t>
            </w:r>
          </w:p>
        </w:tc>
        <w:tc>
          <w:tcPr>
            <w:tcW w:w="2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149,670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Arial" w:cs="Arial" w:eastAsia="Arial" w:hAnsi="Arial"/>
                <w:sz w:val="12"/>
                <w:szCs w:val="12"/>
                <w:color w:val="auto"/>
              </w:rPr>
              <w:t>141,672</w:t>
            </w:r>
          </w:p>
        </w:tc>
        <w:tc>
          <w:tcPr>
            <w:tcW w:w="0" w:type="dxa"/>
            <w:vAlign w:val="bottom"/>
          </w:tcPr>
          <w:p>
            <w:pPr>
              <w:spacing w:after="0"/>
              <w:rPr>
                <w:sz w:val="1"/>
                <w:szCs w:val="1"/>
                <w:color w:val="auto"/>
              </w:rPr>
            </w:pPr>
          </w:p>
        </w:tc>
      </w:tr>
      <w:tr>
        <w:trPr>
          <w:trHeight w:val="164"/>
        </w:trPr>
        <w:tc>
          <w:tcPr>
            <w:tcW w:w="4020" w:type="dxa"/>
            <w:vAlign w:val="bottom"/>
            <w:shd w:val="clear" w:color="auto" w:fill="DDDDDD"/>
          </w:tcPr>
          <w:p>
            <w:pPr>
              <w:ind w:left="180"/>
              <w:spacing w:after="0"/>
              <w:rPr>
                <w:sz w:val="20"/>
                <w:szCs w:val="20"/>
                <w:color w:val="auto"/>
              </w:rPr>
            </w:pPr>
            <w:r>
              <w:rPr>
                <w:rFonts w:ascii="Arial" w:cs="Arial" w:eastAsia="Arial" w:hAnsi="Arial"/>
                <w:sz w:val="12"/>
                <w:szCs w:val="12"/>
                <w:color w:val="auto"/>
              </w:rPr>
              <w:t>Deferred revenue and customer deposits</w:t>
            </w:r>
          </w:p>
        </w:tc>
        <w:tc>
          <w:tcPr>
            <w:tcW w:w="2240" w:type="dxa"/>
            <w:vAlign w:val="bottom"/>
            <w:shd w:val="clear" w:color="auto" w:fill="DDDDDD"/>
          </w:tcPr>
          <w:p>
            <w:pPr>
              <w:spacing w:after="0"/>
              <w:rPr>
                <w:sz w:val="14"/>
                <w:szCs w:val="14"/>
                <w:color w:val="auto"/>
              </w:rPr>
            </w:pPr>
          </w:p>
        </w:tc>
        <w:tc>
          <w:tcPr>
            <w:tcW w:w="1420" w:type="dxa"/>
            <w:vAlign w:val="bottom"/>
            <w:shd w:val="clear" w:color="auto" w:fill="DDDDDD"/>
          </w:tcPr>
          <w:p>
            <w:pPr>
              <w:spacing w:after="0"/>
              <w:rPr>
                <w:sz w:val="14"/>
                <w:szCs w:val="14"/>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151,819</w:t>
            </w:r>
          </w:p>
        </w:tc>
        <w:tc>
          <w:tcPr>
            <w:tcW w:w="8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20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135,485</w:t>
            </w:r>
          </w:p>
        </w:tc>
        <w:tc>
          <w:tcPr>
            <w:tcW w:w="0" w:type="dxa"/>
            <w:vAlign w:val="bottom"/>
          </w:tcPr>
          <w:p>
            <w:pPr>
              <w:spacing w:after="0"/>
              <w:rPr>
                <w:sz w:val="1"/>
                <w:szCs w:val="1"/>
                <w:color w:val="auto"/>
              </w:rPr>
            </w:pPr>
          </w:p>
        </w:tc>
      </w:tr>
      <w:tr>
        <w:trPr>
          <w:trHeight w:val="159"/>
        </w:trPr>
        <w:tc>
          <w:tcPr>
            <w:tcW w:w="4020" w:type="dxa"/>
            <w:vAlign w:val="bottom"/>
          </w:tcPr>
          <w:p>
            <w:pPr>
              <w:ind w:left="180"/>
              <w:spacing w:after="0"/>
              <w:rPr>
                <w:sz w:val="20"/>
                <w:szCs w:val="20"/>
                <w:color w:val="auto"/>
              </w:rPr>
            </w:pPr>
            <w:r>
              <w:rPr>
                <w:rFonts w:ascii="Arial" w:cs="Arial" w:eastAsia="Arial" w:hAnsi="Arial"/>
                <w:sz w:val="12"/>
                <w:szCs w:val="12"/>
                <w:color w:val="auto"/>
              </w:rPr>
              <w:t>Operating lease liabilities - current</w:t>
            </w:r>
          </w:p>
        </w:tc>
        <w:tc>
          <w:tcPr>
            <w:tcW w:w="2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49,606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Arial" w:cs="Arial" w:eastAsia="Arial" w:hAnsi="Arial"/>
                <w:sz w:val="12"/>
                <w:szCs w:val="12"/>
                <w:color w:val="auto"/>
              </w:rPr>
              <w:t>48,063</w:t>
            </w:r>
          </w:p>
        </w:tc>
        <w:tc>
          <w:tcPr>
            <w:tcW w:w="0" w:type="dxa"/>
            <w:vAlign w:val="bottom"/>
          </w:tcPr>
          <w:p>
            <w:pPr>
              <w:spacing w:after="0"/>
              <w:rPr>
                <w:sz w:val="1"/>
                <w:szCs w:val="1"/>
                <w:color w:val="auto"/>
              </w:rPr>
            </w:pPr>
          </w:p>
        </w:tc>
      </w:tr>
      <w:tr>
        <w:trPr>
          <w:trHeight w:val="164"/>
        </w:trPr>
        <w:tc>
          <w:tcPr>
            <w:tcW w:w="4020" w:type="dxa"/>
            <w:vAlign w:val="bottom"/>
            <w:shd w:val="clear" w:color="auto" w:fill="DDDDDD"/>
          </w:tcPr>
          <w:p>
            <w:pPr>
              <w:ind w:left="180"/>
              <w:spacing w:after="0"/>
              <w:rPr>
                <w:sz w:val="20"/>
                <w:szCs w:val="20"/>
                <w:color w:val="auto"/>
              </w:rPr>
            </w:pPr>
            <w:r>
              <w:rPr>
                <w:rFonts w:ascii="Arial" w:cs="Arial" w:eastAsia="Arial" w:hAnsi="Arial"/>
                <w:sz w:val="12"/>
                <w:szCs w:val="12"/>
                <w:color w:val="auto"/>
              </w:rPr>
              <w:t>Current portion of long-term debt</w:t>
            </w:r>
          </w:p>
        </w:tc>
        <w:tc>
          <w:tcPr>
            <w:tcW w:w="2240" w:type="dxa"/>
            <w:vAlign w:val="bottom"/>
            <w:shd w:val="clear" w:color="auto" w:fill="DDDDDD"/>
          </w:tcPr>
          <w:p>
            <w:pPr>
              <w:spacing w:after="0"/>
              <w:rPr>
                <w:sz w:val="14"/>
                <w:szCs w:val="14"/>
                <w:color w:val="auto"/>
              </w:rPr>
            </w:pPr>
          </w:p>
        </w:tc>
        <w:tc>
          <w:tcPr>
            <w:tcW w:w="1420" w:type="dxa"/>
            <w:vAlign w:val="bottom"/>
            <w:tcBorders>
              <w:bottom w:val="single" w:sz="8" w:color="auto"/>
            </w:tcBorders>
            <w:shd w:val="clear" w:color="auto" w:fill="DDDDDD"/>
          </w:tcPr>
          <w:p>
            <w:pPr>
              <w:spacing w:after="0"/>
              <w:rPr>
                <w:sz w:val="14"/>
                <w:szCs w:val="14"/>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16,557</w:t>
            </w:r>
          </w:p>
        </w:tc>
        <w:tc>
          <w:tcPr>
            <w:tcW w:w="80" w:type="dxa"/>
            <w:vAlign w:val="bottom"/>
            <w:shd w:val="clear" w:color="auto" w:fill="DDDDDD"/>
          </w:tcPr>
          <w:p>
            <w:pPr>
              <w:spacing w:after="0"/>
              <w:rPr>
                <w:sz w:val="14"/>
                <w:szCs w:val="14"/>
                <w:color w:val="auto"/>
              </w:rPr>
            </w:pPr>
          </w:p>
        </w:tc>
        <w:tc>
          <w:tcPr>
            <w:tcW w:w="380" w:type="dxa"/>
            <w:vAlign w:val="bottom"/>
            <w:tcBorders>
              <w:bottom w:val="single" w:sz="8" w:color="auto"/>
            </w:tcBorders>
            <w:shd w:val="clear" w:color="auto" w:fill="DDDDDD"/>
          </w:tcPr>
          <w:p>
            <w:pPr>
              <w:spacing w:after="0"/>
              <w:rPr>
                <w:sz w:val="14"/>
                <w:szCs w:val="14"/>
                <w:color w:val="auto"/>
              </w:rPr>
            </w:pPr>
          </w:p>
        </w:tc>
        <w:tc>
          <w:tcPr>
            <w:tcW w:w="2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16,521</w:t>
            </w:r>
          </w:p>
        </w:tc>
        <w:tc>
          <w:tcPr>
            <w:tcW w:w="0" w:type="dxa"/>
            <w:vAlign w:val="bottom"/>
          </w:tcPr>
          <w:p>
            <w:pPr>
              <w:spacing w:after="0"/>
              <w:rPr>
                <w:sz w:val="1"/>
                <w:szCs w:val="1"/>
                <w:color w:val="auto"/>
              </w:rPr>
            </w:pPr>
          </w:p>
        </w:tc>
      </w:tr>
      <w:tr>
        <w:trPr>
          <w:trHeight w:val="149"/>
        </w:trPr>
        <w:tc>
          <w:tcPr>
            <w:tcW w:w="4020" w:type="dxa"/>
            <w:vAlign w:val="bottom"/>
          </w:tcPr>
          <w:p>
            <w:pPr>
              <w:ind w:left="340"/>
              <w:spacing w:after="0"/>
              <w:rPr>
                <w:sz w:val="20"/>
                <w:szCs w:val="20"/>
                <w:color w:val="auto"/>
              </w:rPr>
            </w:pPr>
            <w:r>
              <w:rPr>
                <w:rFonts w:ascii="Arial" w:cs="Arial" w:eastAsia="Arial" w:hAnsi="Arial"/>
                <w:sz w:val="12"/>
                <w:szCs w:val="12"/>
                <w:color w:val="auto"/>
              </w:rPr>
              <w:t>Total current liabilities</w:t>
            </w:r>
          </w:p>
        </w:tc>
        <w:tc>
          <w:tcPr>
            <w:tcW w:w="2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499,683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80" w:type="dxa"/>
            <w:vAlign w:val="bottom"/>
          </w:tcPr>
          <w:p>
            <w:pPr>
              <w:jc w:val="right"/>
              <w:spacing w:after="0"/>
              <w:rPr>
                <w:sz w:val="20"/>
                <w:szCs w:val="20"/>
                <w:color w:val="auto"/>
              </w:rPr>
            </w:pPr>
            <w:r>
              <w:rPr>
                <w:rFonts w:ascii="Arial" w:cs="Arial" w:eastAsia="Arial" w:hAnsi="Arial"/>
                <w:sz w:val="12"/>
                <w:szCs w:val="12"/>
                <w:color w:val="auto"/>
              </w:rPr>
              <w:t>448,667</w:t>
            </w:r>
          </w:p>
        </w:tc>
        <w:tc>
          <w:tcPr>
            <w:tcW w:w="0" w:type="dxa"/>
            <w:vAlign w:val="bottom"/>
          </w:tcPr>
          <w:p>
            <w:pPr>
              <w:spacing w:after="0"/>
              <w:rPr>
                <w:sz w:val="1"/>
                <w:szCs w:val="1"/>
                <w:color w:val="auto"/>
              </w:rPr>
            </w:pPr>
          </w:p>
        </w:tc>
      </w:tr>
      <w:tr>
        <w:trPr>
          <w:trHeight w:val="164"/>
        </w:trPr>
        <w:tc>
          <w:tcPr>
            <w:tcW w:w="4020" w:type="dxa"/>
            <w:vAlign w:val="bottom"/>
            <w:shd w:val="clear" w:color="auto" w:fill="DDDDDD"/>
          </w:tcPr>
          <w:p>
            <w:pPr>
              <w:ind w:left="180"/>
              <w:spacing w:after="0"/>
              <w:rPr>
                <w:sz w:val="20"/>
                <w:szCs w:val="20"/>
                <w:color w:val="auto"/>
              </w:rPr>
            </w:pPr>
            <w:r>
              <w:rPr>
                <w:rFonts w:ascii="Arial" w:cs="Arial" w:eastAsia="Arial" w:hAnsi="Arial"/>
                <w:sz w:val="12"/>
                <w:szCs w:val="12"/>
                <w:color w:val="auto"/>
              </w:rPr>
              <w:t>Long-term debt</w:t>
            </w:r>
          </w:p>
        </w:tc>
        <w:tc>
          <w:tcPr>
            <w:tcW w:w="2240" w:type="dxa"/>
            <w:vAlign w:val="bottom"/>
            <w:shd w:val="clear" w:color="auto" w:fill="DDDDDD"/>
          </w:tcPr>
          <w:p>
            <w:pPr>
              <w:spacing w:after="0"/>
              <w:rPr>
                <w:sz w:val="14"/>
                <w:szCs w:val="14"/>
                <w:color w:val="auto"/>
              </w:rPr>
            </w:pPr>
          </w:p>
        </w:tc>
        <w:tc>
          <w:tcPr>
            <w:tcW w:w="1420" w:type="dxa"/>
            <w:vAlign w:val="bottom"/>
            <w:shd w:val="clear" w:color="auto" w:fill="DDDDDD"/>
          </w:tcPr>
          <w:p>
            <w:pPr>
              <w:spacing w:after="0"/>
              <w:rPr>
                <w:sz w:val="14"/>
                <w:szCs w:val="14"/>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2,506,295</w:t>
            </w:r>
          </w:p>
        </w:tc>
        <w:tc>
          <w:tcPr>
            <w:tcW w:w="8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20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2,453,809</w:t>
            </w:r>
          </w:p>
        </w:tc>
        <w:tc>
          <w:tcPr>
            <w:tcW w:w="0" w:type="dxa"/>
            <w:vAlign w:val="bottom"/>
          </w:tcPr>
          <w:p>
            <w:pPr>
              <w:spacing w:after="0"/>
              <w:rPr>
                <w:sz w:val="1"/>
                <w:szCs w:val="1"/>
                <w:color w:val="auto"/>
              </w:rPr>
            </w:pPr>
          </w:p>
        </w:tc>
      </w:tr>
      <w:tr>
        <w:trPr>
          <w:trHeight w:val="159"/>
        </w:trPr>
        <w:tc>
          <w:tcPr>
            <w:tcW w:w="4020" w:type="dxa"/>
            <w:vAlign w:val="bottom"/>
          </w:tcPr>
          <w:p>
            <w:pPr>
              <w:ind w:left="180"/>
              <w:spacing w:after="0"/>
              <w:rPr>
                <w:sz w:val="20"/>
                <w:szCs w:val="20"/>
                <w:color w:val="auto"/>
              </w:rPr>
            </w:pPr>
            <w:r>
              <w:rPr>
                <w:rFonts w:ascii="Arial" w:cs="Arial" w:eastAsia="Arial" w:hAnsi="Arial"/>
                <w:sz w:val="12"/>
                <w:szCs w:val="12"/>
                <w:color w:val="auto"/>
              </w:rPr>
              <w:t>Deferred tax liabilities</w:t>
            </w:r>
          </w:p>
        </w:tc>
        <w:tc>
          <w:tcPr>
            <w:tcW w:w="2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332,492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Arial" w:cs="Arial" w:eastAsia="Arial" w:hAnsi="Arial"/>
                <w:sz w:val="12"/>
                <w:szCs w:val="12"/>
                <w:color w:val="auto"/>
              </w:rPr>
              <w:t>307,541</w:t>
            </w:r>
          </w:p>
        </w:tc>
        <w:tc>
          <w:tcPr>
            <w:tcW w:w="0" w:type="dxa"/>
            <w:vAlign w:val="bottom"/>
          </w:tcPr>
          <w:p>
            <w:pPr>
              <w:spacing w:after="0"/>
              <w:rPr>
                <w:sz w:val="1"/>
                <w:szCs w:val="1"/>
                <w:color w:val="auto"/>
              </w:rPr>
            </w:pPr>
          </w:p>
        </w:tc>
      </w:tr>
      <w:tr>
        <w:trPr>
          <w:trHeight w:val="164"/>
        </w:trPr>
        <w:tc>
          <w:tcPr>
            <w:tcW w:w="4020" w:type="dxa"/>
            <w:vAlign w:val="bottom"/>
            <w:shd w:val="clear" w:color="auto" w:fill="DDDDDD"/>
          </w:tcPr>
          <w:p>
            <w:pPr>
              <w:ind w:left="180"/>
              <w:spacing w:after="0"/>
              <w:rPr>
                <w:sz w:val="20"/>
                <w:szCs w:val="20"/>
                <w:color w:val="auto"/>
              </w:rPr>
            </w:pPr>
            <w:r>
              <w:rPr>
                <w:rFonts w:ascii="Arial" w:cs="Arial" w:eastAsia="Arial" w:hAnsi="Arial"/>
                <w:sz w:val="12"/>
                <w:szCs w:val="12"/>
                <w:color w:val="auto"/>
              </w:rPr>
              <w:t>Operating lease liabilities - non-current</w:t>
            </w:r>
          </w:p>
        </w:tc>
        <w:tc>
          <w:tcPr>
            <w:tcW w:w="2240" w:type="dxa"/>
            <w:vAlign w:val="bottom"/>
            <w:shd w:val="clear" w:color="auto" w:fill="DDDDDD"/>
          </w:tcPr>
          <w:p>
            <w:pPr>
              <w:spacing w:after="0"/>
              <w:rPr>
                <w:sz w:val="14"/>
                <w:szCs w:val="14"/>
                <w:color w:val="auto"/>
              </w:rPr>
            </w:pPr>
          </w:p>
        </w:tc>
        <w:tc>
          <w:tcPr>
            <w:tcW w:w="1420" w:type="dxa"/>
            <w:vAlign w:val="bottom"/>
            <w:shd w:val="clear" w:color="auto" w:fill="DDDDDD"/>
          </w:tcPr>
          <w:p>
            <w:pPr>
              <w:spacing w:after="0"/>
              <w:rPr>
                <w:sz w:val="14"/>
                <w:szCs w:val="14"/>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184,874</w:t>
            </w:r>
          </w:p>
        </w:tc>
        <w:tc>
          <w:tcPr>
            <w:tcW w:w="8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20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183,761</w:t>
            </w:r>
          </w:p>
        </w:tc>
        <w:tc>
          <w:tcPr>
            <w:tcW w:w="0" w:type="dxa"/>
            <w:vAlign w:val="bottom"/>
          </w:tcPr>
          <w:p>
            <w:pPr>
              <w:spacing w:after="0"/>
              <w:rPr>
                <w:sz w:val="1"/>
                <w:szCs w:val="1"/>
                <w:color w:val="auto"/>
              </w:rPr>
            </w:pPr>
          </w:p>
        </w:tc>
      </w:tr>
      <w:tr>
        <w:trPr>
          <w:trHeight w:val="159"/>
        </w:trPr>
        <w:tc>
          <w:tcPr>
            <w:tcW w:w="4020" w:type="dxa"/>
            <w:vAlign w:val="bottom"/>
          </w:tcPr>
          <w:p>
            <w:pPr>
              <w:ind w:left="180"/>
              <w:spacing w:after="0"/>
              <w:rPr>
                <w:sz w:val="20"/>
                <w:szCs w:val="20"/>
                <w:color w:val="auto"/>
              </w:rPr>
            </w:pPr>
            <w:r>
              <w:rPr>
                <w:rFonts w:ascii="Arial" w:cs="Arial" w:eastAsia="Arial" w:hAnsi="Arial"/>
                <w:sz w:val="12"/>
                <w:szCs w:val="12"/>
                <w:color w:val="auto"/>
              </w:rPr>
              <w:t>Common stock warrant liabilities</w:t>
            </w:r>
          </w:p>
        </w:tc>
        <w:tc>
          <w:tcPr>
            <w:tcW w:w="2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Arial" w:cs="Arial" w:eastAsia="Arial" w:hAnsi="Arial"/>
                <w:sz w:val="12"/>
                <w:szCs w:val="12"/>
                <w:color w:val="auto"/>
              </w:rPr>
              <w:t>77,404</w:t>
            </w:r>
          </w:p>
        </w:tc>
        <w:tc>
          <w:tcPr>
            <w:tcW w:w="0" w:type="dxa"/>
            <w:vAlign w:val="bottom"/>
          </w:tcPr>
          <w:p>
            <w:pPr>
              <w:spacing w:after="0"/>
              <w:rPr>
                <w:sz w:val="1"/>
                <w:szCs w:val="1"/>
                <w:color w:val="auto"/>
              </w:rPr>
            </w:pPr>
          </w:p>
        </w:tc>
      </w:tr>
      <w:tr>
        <w:trPr>
          <w:trHeight w:val="164"/>
        </w:trPr>
        <w:tc>
          <w:tcPr>
            <w:tcW w:w="4020" w:type="dxa"/>
            <w:vAlign w:val="bottom"/>
            <w:shd w:val="clear" w:color="auto" w:fill="DDDDDD"/>
          </w:tcPr>
          <w:p>
            <w:pPr>
              <w:ind w:left="180"/>
              <w:spacing w:after="0"/>
              <w:rPr>
                <w:sz w:val="20"/>
                <w:szCs w:val="20"/>
                <w:color w:val="auto"/>
              </w:rPr>
            </w:pPr>
            <w:r>
              <w:rPr>
                <w:rFonts w:ascii="Arial" w:cs="Arial" w:eastAsia="Arial" w:hAnsi="Arial"/>
                <w:sz w:val="12"/>
                <w:szCs w:val="12"/>
                <w:color w:val="auto"/>
              </w:rPr>
              <w:t>Other non-current liabilities</w:t>
            </w:r>
          </w:p>
        </w:tc>
        <w:tc>
          <w:tcPr>
            <w:tcW w:w="2240" w:type="dxa"/>
            <w:vAlign w:val="bottom"/>
            <w:shd w:val="clear" w:color="auto" w:fill="DDDDDD"/>
          </w:tcPr>
          <w:p>
            <w:pPr>
              <w:spacing w:after="0"/>
              <w:rPr>
                <w:sz w:val="14"/>
                <w:szCs w:val="14"/>
                <w:color w:val="auto"/>
              </w:rPr>
            </w:pPr>
          </w:p>
        </w:tc>
        <w:tc>
          <w:tcPr>
            <w:tcW w:w="1420" w:type="dxa"/>
            <w:vAlign w:val="bottom"/>
            <w:tcBorders>
              <w:bottom w:val="single" w:sz="8" w:color="auto"/>
            </w:tcBorders>
            <w:shd w:val="clear" w:color="auto" w:fill="DDDDDD"/>
          </w:tcPr>
          <w:p>
            <w:pPr>
              <w:spacing w:after="0"/>
              <w:rPr>
                <w:sz w:val="14"/>
                <w:szCs w:val="14"/>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30,956</w:t>
            </w:r>
          </w:p>
        </w:tc>
        <w:tc>
          <w:tcPr>
            <w:tcW w:w="80" w:type="dxa"/>
            <w:vAlign w:val="bottom"/>
            <w:shd w:val="clear" w:color="auto" w:fill="DDDDDD"/>
          </w:tcPr>
          <w:p>
            <w:pPr>
              <w:spacing w:after="0"/>
              <w:rPr>
                <w:sz w:val="14"/>
                <w:szCs w:val="14"/>
                <w:color w:val="auto"/>
              </w:rPr>
            </w:pPr>
          </w:p>
        </w:tc>
        <w:tc>
          <w:tcPr>
            <w:tcW w:w="380" w:type="dxa"/>
            <w:vAlign w:val="bottom"/>
            <w:tcBorders>
              <w:bottom w:val="single" w:sz="8" w:color="auto"/>
            </w:tcBorders>
            <w:shd w:val="clear" w:color="auto" w:fill="DDDDDD"/>
          </w:tcPr>
          <w:p>
            <w:pPr>
              <w:spacing w:after="0"/>
              <w:rPr>
                <w:sz w:val="14"/>
                <w:szCs w:val="14"/>
                <w:color w:val="auto"/>
              </w:rPr>
            </w:pPr>
          </w:p>
        </w:tc>
        <w:tc>
          <w:tcPr>
            <w:tcW w:w="2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37,150</w:t>
            </w:r>
          </w:p>
        </w:tc>
        <w:tc>
          <w:tcPr>
            <w:tcW w:w="0" w:type="dxa"/>
            <w:vAlign w:val="bottom"/>
          </w:tcPr>
          <w:p>
            <w:pPr>
              <w:spacing w:after="0"/>
              <w:rPr>
                <w:sz w:val="1"/>
                <w:szCs w:val="1"/>
                <w:color w:val="auto"/>
              </w:rPr>
            </w:pPr>
          </w:p>
        </w:tc>
      </w:tr>
      <w:tr>
        <w:trPr>
          <w:trHeight w:val="149"/>
        </w:trPr>
        <w:tc>
          <w:tcPr>
            <w:tcW w:w="4020" w:type="dxa"/>
            <w:vAlign w:val="bottom"/>
            <w:tcBorders>
              <w:bottom w:val="single" w:sz="8" w:color="DDDDDD"/>
            </w:tcBorders>
          </w:tcPr>
          <w:p>
            <w:pPr>
              <w:ind w:left="340"/>
              <w:spacing w:after="0"/>
              <w:rPr>
                <w:sz w:val="20"/>
                <w:szCs w:val="20"/>
                <w:color w:val="auto"/>
              </w:rPr>
            </w:pPr>
            <w:r>
              <w:rPr>
                <w:rFonts w:ascii="Arial" w:cs="Arial" w:eastAsia="Arial" w:hAnsi="Arial"/>
                <w:sz w:val="12"/>
                <w:szCs w:val="12"/>
                <w:color w:val="auto"/>
              </w:rPr>
              <w:t>Long-term liabilities</w:t>
            </w:r>
          </w:p>
        </w:tc>
        <w:tc>
          <w:tcPr>
            <w:tcW w:w="2240" w:type="dxa"/>
            <w:vAlign w:val="bottom"/>
            <w:tcBorders>
              <w:bottom w:val="single" w:sz="8" w:color="DDDDDD"/>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3,054,617</w:t>
            </w:r>
          </w:p>
        </w:tc>
        <w:tc>
          <w:tcPr>
            <w:tcW w:w="80" w:type="dxa"/>
            <w:vAlign w:val="bottom"/>
            <w:tcBorders>
              <w:bottom w:val="single" w:sz="8" w:color="DDDDDD"/>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3,059,665</w:t>
            </w:r>
          </w:p>
        </w:tc>
        <w:tc>
          <w:tcPr>
            <w:tcW w:w="0" w:type="dxa"/>
            <w:vAlign w:val="bottom"/>
          </w:tcPr>
          <w:p>
            <w:pPr>
              <w:spacing w:after="0"/>
              <w:rPr>
                <w:sz w:val="1"/>
                <w:szCs w:val="1"/>
                <w:color w:val="auto"/>
              </w:rPr>
            </w:pPr>
          </w:p>
        </w:tc>
      </w:tr>
      <w:tr>
        <w:trPr>
          <w:trHeight w:val="154"/>
        </w:trPr>
        <w:tc>
          <w:tcPr>
            <w:tcW w:w="4020" w:type="dxa"/>
            <w:vAlign w:val="bottom"/>
            <w:shd w:val="clear" w:color="auto" w:fill="DDDDDD"/>
          </w:tcPr>
          <w:p>
            <w:pPr>
              <w:ind w:left="20"/>
              <w:spacing w:after="0"/>
              <w:rPr>
                <w:sz w:val="20"/>
                <w:szCs w:val="20"/>
                <w:color w:val="auto"/>
              </w:rPr>
            </w:pPr>
            <w:r>
              <w:rPr>
                <w:rFonts w:ascii="Arial" w:cs="Arial" w:eastAsia="Arial" w:hAnsi="Arial"/>
                <w:sz w:val="12"/>
                <w:szCs w:val="12"/>
                <w:color w:val="auto"/>
              </w:rPr>
              <w:t>Total liabilities</w:t>
            </w:r>
          </w:p>
        </w:tc>
        <w:tc>
          <w:tcPr>
            <w:tcW w:w="2240" w:type="dxa"/>
            <w:vAlign w:val="bottom"/>
            <w:shd w:val="clear" w:color="auto" w:fill="DDDDDD"/>
          </w:tcPr>
          <w:p>
            <w:pPr>
              <w:spacing w:after="0"/>
              <w:rPr>
                <w:sz w:val="13"/>
                <w:szCs w:val="13"/>
                <w:color w:val="auto"/>
              </w:rPr>
            </w:pPr>
          </w:p>
        </w:tc>
        <w:tc>
          <w:tcPr>
            <w:tcW w:w="1420" w:type="dxa"/>
            <w:vAlign w:val="bottom"/>
            <w:tcBorders>
              <w:bottom w:val="single" w:sz="8" w:color="auto"/>
            </w:tcBorders>
            <w:shd w:val="clear" w:color="auto" w:fill="DDDDDD"/>
          </w:tcPr>
          <w:p>
            <w:pPr>
              <w:spacing w:after="0"/>
              <w:rPr>
                <w:sz w:val="13"/>
                <w:szCs w:val="13"/>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3,554,300</w:t>
            </w:r>
          </w:p>
        </w:tc>
        <w:tc>
          <w:tcPr>
            <w:tcW w:w="80" w:type="dxa"/>
            <w:vAlign w:val="bottom"/>
            <w:shd w:val="clear" w:color="auto" w:fill="DDDDDD"/>
          </w:tcPr>
          <w:p>
            <w:pPr>
              <w:spacing w:after="0"/>
              <w:rPr>
                <w:sz w:val="13"/>
                <w:szCs w:val="13"/>
                <w:color w:val="auto"/>
              </w:rPr>
            </w:pPr>
          </w:p>
        </w:tc>
        <w:tc>
          <w:tcPr>
            <w:tcW w:w="380" w:type="dxa"/>
            <w:vAlign w:val="bottom"/>
            <w:tcBorders>
              <w:bottom w:val="single" w:sz="8" w:color="auto"/>
            </w:tcBorders>
            <w:shd w:val="clear" w:color="auto" w:fill="DDDDDD"/>
          </w:tcPr>
          <w:p>
            <w:pPr>
              <w:spacing w:after="0"/>
              <w:rPr>
                <w:sz w:val="13"/>
                <w:szCs w:val="13"/>
                <w:color w:val="auto"/>
              </w:rPr>
            </w:pPr>
          </w:p>
        </w:tc>
        <w:tc>
          <w:tcPr>
            <w:tcW w:w="2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3,508,332</w:t>
            </w: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rPr>
                <w:sz w:val="20"/>
                <w:szCs w:val="20"/>
                <w:color w:val="auto"/>
              </w:rPr>
            </w:pPr>
            <w:r>
              <w:rPr>
                <w:rFonts w:ascii="Arial" w:cs="Arial" w:eastAsia="Arial" w:hAnsi="Arial"/>
                <w:sz w:val="12"/>
                <w:szCs w:val="12"/>
                <w:color w:val="auto"/>
              </w:rPr>
              <w:t>Commitments and contingencies (see Note 17)</w:t>
            </w:r>
          </w:p>
        </w:tc>
        <w:tc>
          <w:tcPr>
            <w:tcW w:w="2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80" w:type="dxa"/>
            <w:vAlign w:val="bottom"/>
            <w:gridSpan w:val="3"/>
            <w:shd w:val="clear" w:color="auto" w:fill="DDDDDD"/>
          </w:tcPr>
          <w:p>
            <w:pPr>
              <w:ind w:left="180"/>
              <w:spacing w:after="0" w:line="135" w:lineRule="exact"/>
              <w:rPr>
                <w:sz w:val="20"/>
                <w:szCs w:val="20"/>
                <w:color w:val="auto"/>
              </w:rPr>
            </w:pPr>
            <w:r>
              <w:rPr>
                <w:rFonts w:ascii="Arial" w:cs="Arial" w:eastAsia="Arial" w:hAnsi="Arial"/>
                <w:sz w:val="12"/>
                <w:szCs w:val="12"/>
                <w:color w:val="auto"/>
              </w:rPr>
              <w:t>Preferred Stock: $0.0001 par, 1,000,000 shares authorized and zero shares issued and outstanding at June 30,</w:t>
            </w:r>
          </w:p>
        </w:tc>
        <w:tc>
          <w:tcPr>
            <w:tcW w:w="10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380" w:type="dxa"/>
            <w:vAlign w:val="bottom"/>
            <w:shd w:val="clear" w:color="auto" w:fill="DDDDDD"/>
          </w:tcPr>
          <w:p>
            <w:pPr>
              <w:spacing w:after="0"/>
              <w:rPr>
                <w:sz w:val="11"/>
                <w:szCs w:val="11"/>
                <w:color w:val="auto"/>
              </w:rPr>
            </w:pPr>
          </w:p>
        </w:tc>
        <w:tc>
          <w:tcPr>
            <w:tcW w:w="208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020" w:type="dxa"/>
            <w:vAlign w:val="bottom"/>
            <w:shd w:val="clear" w:color="auto" w:fill="DDDDDD"/>
          </w:tcPr>
          <w:p>
            <w:pPr>
              <w:ind w:left="180"/>
              <w:spacing w:after="0"/>
              <w:rPr>
                <w:sz w:val="20"/>
                <w:szCs w:val="20"/>
                <w:color w:val="auto"/>
              </w:rPr>
            </w:pPr>
            <w:r>
              <w:rPr>
                <w:rFonts w:ascii="Arial" w:cs="Arial" w:eastAsia="Arial" w:hAnsi="Arial"/>
                <w:sz w:val="12"/>
                <w:szCs w:val="12"/>
                <w:color w:val="auto"/>
              </w:rPr>
              <w:t>2021 and December 31, 2020</w:t>
            </w:r>
          </w:p>
        </w:tc>
        <w:tc>
          <w:tcPr>
            <w:tcW w:w="2240" w:type="dxa"/>
            <w:vAlign w:val="bottom"/>
            <w:shd w:val="clear" w:color="auto" w:fill="DDDDDD"/>
          </w:tcPr>
          <w:p>
            <w:pPr>
              <w:spacing w:after="0"/>
              <w:rPr>
                <w:sz w:val="13"/>
                <w:szCs w:val="13"/>
                <w:color w:val="auto"/>
              </w:rPr>
            </w:pPr>
          </w:p>
        </w:tc>
        <w:tc>
          <w:tcPr>
            <w:tcW w:w="1420" w:type="dxa"/>
            <w:vAlign w:val="bottom"/>
            <w:shd w:val="clear" w:color="auto" w:fill="DDDDDD"/>
          </w:tcPr>
          <w:p>
            <w:pPr>
              <w:spacing w:after="0"/>
              <w:rPr>
                <w:sz w:val="13"/>
                <w:szCs w:val="13"/>
                <w:color w:val="auto"/>
              </w:rPr>
            </w:pPr>
          </w:p>
        </w:tc>
        <w:tc>
          <w:tcPr>
            <w:tcW w:w="1140" w:type="dxa"/>
            <w:vAlign w:val="bottom"/>
            <w:gridSpan w:val="2"/>
            <w:shd w:val="clear" w:color="auto" w:fill="DDDDDD"/>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DDDDDD"/>
          </w:tcPr>
          <w:p>
            <w:pPr>
              <w:spacing w:after="0"/>
              <w:rPr>
                <w:sz w:val="13"/>
                <w:szCs w:val="13"/>
                <w:color w:val="auto"/>
              </w:rPr>
            </w:pPr>
          </w:p>
        </w:tc>
        <w:tc>
          <w:tcPr>
            <w:tcW w:w="20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7680" w:type="dxa"/>
            <w:vAlign w:val="bottom"/>
            <w:gridSpan w:val="3"/>
          </w:tcPr>
          <w:p>
            <w:pPr>
              <w:ind w:left="180"/>
              <w:spacing w:after="0" w:line="133" w:lineRule="exact"/>
              <w:rPr>
                <w:sz w:val="20"/>
                <w:szCs w:val="20"/>
                <w:color w:val="auto"/>
              </w:rPr>
            </w:pPr>
            <w:r>
              <w:rPr>
                <w:rFonts w:ascii="Arial" w:cs="Arial" w:eastAsia="Arial" w:hAnsi="Arial"/>
                <w:sz w:val="12"/>
                <w:szCs w:val="12"/>
                <w:color w:val="auto"/>
              </w:rPr>
              <w:t>Common Stock: $0.0001 par, 500,000,000 shares authorized and 226,832,627 and 229,038,158 shares issued</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20" w:type="dxa"/>
            <w:vAlign w:val="bottom"/>
          </w:tcPr>
          <w:p>
            <w:pPr>
              <w:ind w:left="180"/>
              <w:spacing w:after="0"/>
              <w:rPr>
                <w:sz w:val="20"/>
                <w:szCs w:val="20"/>
                <w:color w:val="auto"/>
              </w:rPr>
            </w:pPr>
            <w:r>
              <w:rPr>
                <w:rFonts w:ascii="Arial" w:cs="Arial" w:eastAsia="Arial" w:hAnsi="Arial"/>
                <w:sz w:val="12"/>
                <w:szCs w:val="12"/>
                <w:color w:val="auto"/>
              </w:rPr>
              <w:t>and outstanding at June 30, 2021 and December 31, 2020, respectively</w:t>
            </w:r>
          </w:p>
        </w:tc>
        <w:tc>
          <w:tcPr>
            <w:tcW w:w="2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80" w:type="dxa"/>
            <w:vAlign w:val="bottom"/>
          </w:tcPr>
          <w:p>
            <w:pPr>
              <w:jc w:val="right"/>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64"/>
        </w:trPr>
        <w:tc>
          <w:tcPr>
            <w:tcW w:w="4020" w:type="dxa"/>
            <w:vAlign w:val="bottom"/>
            <w:shd w:val="clear" w:color="auto" w:fill="DDDDDD"/>
          </w:tcPr>
          <w:p>
            <w:pPr>
              <w:ind w:left="180"/>
              <w:spacing w:after="0"/>
              <w:rPr>
                <w:sz w:val="20"/>
                <w:szCs w:val="20"/>
                <w:color w:val="auto"/>
              </w:rPr>
            </w:pPr>
            <w:r>
              <w:rPr>
                <w:rFonts w:ascii="Arial" w:cs="Arial" w:eastAsia="Arial" w:hAnsi="Arial"/>
                <w:sz w:val="12"/>
                <w:szCs w:val="12"/>
                <w:color w:val="auto"/>
              </w:rPr>
              <w:t>Additional paid-in-capital</w:t>
            </w:r>
          </w:p>
        </w:tc>
        <w:tc>
          <w:tcPr>
            <w:tcW w:w="2240" w:type="dxa"/>
            <w:vAlign w:val="bottom"/>
            <w:shd w:val="clear" w:color="auto" w:fill="DDDDDD"/>
          </w:tcPr>
          <w:p>
            <w:pPr>
              <w:spacing w:after="0"/>
              <w:rPr>
                <w:sz w:val="14"/>
                <w:szCs w:val="14"/>
                <w:color w:val="auto"/>
              </w:rPr>
            </w:pPr>
          </w:p>
        </w:tc>
        <w:tc>
          <w:tcPr>
            <w:tcW w:w="1420" w:type="dxa"/>
            <w:vAlign w:val="bottom"/>
            <w:shd w:val="clear" w:color="auto" w:fill="DDDDDD"/>
          </w:tcPr>
          <w:p>
            <w:pPr>
              <w:spacing w:after="0"/>
              <w:rPr>
                <w:sz w:val="14"/>
                <w:szCs w:val="14"/>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3,756,563</w:t>
            </w:r>
          </w:p>
        </w:tc>
        <w:tc>
          <w:tcPr>
            <w:tcW w:w="8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20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3,852,291</w:t>
            </w:r>
          </w:p>
        </w:tc>
        <w:tc>
          <w:tcPr>
            <w:tcW w:w="0" w:type="dxa"/>
            <w:vAlign w:val="bottom"/>
          </w:tcPr>
          <w:p>
            <w:pPr>
              <w:spacing w:after="0"/>
              <w:rPr>
                <w:sz w:val="1"/>
                <w:szCs w:val="1"/>
                <w:color w:val="auto"/>
              </w:rPr>
            </w:pPr>
          </w:p>
        </w:tc>
      </w:tr>
      <w:tr>
        <w:trPr>
          <w:trHeight w:val="159"/>
        </w:trPr>
        <w:tc>
          <w:tcPr>
            <w:tcW w:w="4020" w:type="dxa"/>
            <w:vAlign w:val="bottom"/>
          </w:tcPr>
          <w:p>
            <w:pPr>
              <w:ind w:left="180"/>
              <w:spacing w:after="0"/>
              <w:rPr>
                <w:sz w:val="20"/>
                <w:szCs w:val="20"/>
                <w:color w:val="auto"/>
              </w:rPr>
            </w:pPr>
            <w:r>
              <w:rPr>
                <w:rFonts w:ascii="Arial" w:cs="Arial" w:eastAsia="Arial" w:hAnsi="Arial"/>
                <w:sz w:val="12"/>
                <w:szCs w:val="12"/>
                <w:color w:val="auto"/>
              </w:rPr>
              <w:t>Accumulated other comprehensive loss</w:t>
            </w:r>
          </w:p>
        </w:tc>
        <w:tc>
          <w:tcPr>
            <w:tcW w:w="2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(24,757)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Arial" w:cs="Arial" w:eastAsia="Arial" w:hAnsi="Arial"/>
                <w:sz w:val="12"/>
                <w:szCs w:val="12"/>
                <w:color w:val="auto"/>
              </w:rPr>
              <w:t>(37,207)</w:t>
            </w:r>
          </w:p>
        </w:tc>
        <w:tc>
          <w:tcPr>
            <w:tcW w:w="0" w:type="dxa"/>
            <w:vAlign w:val="bottom"/>
          </w:tcPr>
          <w:p>
            <w:pPr>
              <w:spacing w:after="0"/>
              <w:rPr>
                <w:sz w:val="1"/>
                <w:szCs w:val="1"/>
                <w:color w:val="auto"/>
              </w:rPr>
            </w:pPr>
          </w:p>
        </w:tc>
      </w:tr>
      <w:tr>
        <w:trPr>
          <w:trHeight w:val="164"/>
        </w:trPr>
        <w:tc>
          <w:tcPr>
            <w:tcW w:w="4020" w:type="dxa"/>
            <w:vAlign w:val="bottom"/>
            <w:shd w:val="clear" w:color="auto" w:fill="DDDDDD"/>
          </w:tcPr>
          <w:p>
            <w:pPr>
              <w:ind w:left="180"/>
              <w:spacing w:after="0"/>
              <w:rPr>
                <w:sz w:val="20"/>
                <w:szCs w:val="20"/>
                <w:color w:val="auto"/>
              </w:rPr>
            </w:pPr>
            <w:r>
              <w:rPr>
                <w:rFonts w:ascii="Arial" w:cs="Arial" w:eastAsia="Arial" w:hAnsi="Arial"/>
                <w:sz w:val="12"/>
                <w:szCs w:val="12"/>
                <w:color w:val="auto"/>
              </w:rPr>
              <w:t>Accumulated deficit</w:t>
            </w:r>
          </w:p>
        </w:tc>
        <w:tc>
          <w:tcPr>
            <w:tcW w:w="2240" w:type="dxa"/>
            <w:vAlign w:val="bottom"/>
            <w:shd w:val="clear" w:color="auto" w:fill="DDDDDD"/>
          </w:tcPr>
          <w:p>
            <w:pPr>
              <w:spacing w:after="0"/>
              <w:rPr>
                <w:sz w:val="14"/>
                <w:szCs w:val="14"/>
                <w:color w:val="auto"/>
              </w:rPr>
            </w:pPr>
          </w:p>
        </w:tc>
        <w:tc>
          <w:tcPr>
            <w:tcW w:w="1420" w:type="dxa"/>
            <w:vAlign w:val="bottom"/>
            <w:tcBorders>
              <w:bottom w:val="single" w:sz="8" w:color="auto"/>
            </w:tcBorders>
            <w:shd w:val="clear" w:color="auto" w:fill="DDDDDD"/>
          </w:tcPr>
          <w:p>
            <w:pPr>
              <w:spacing w:after="0"/>
              <w:rPr>
                <w:sz w:val="14"/>
                <w:szCs w:val="14"/>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(1,726,416)</w:t>
            </w:r>
          </w:p>
        </w:tc>
        <w:tc>
          <w:tcPr>
            <w:tcW w:w="80" w:type="dxa"/>
            <w:vAlign w:val="bottom"/>
            <w:shd w:val="clear" w:color="auto" w:fill="DDDDDD"/>
          </w:tcPr>
          <w:p>
            <w:pPr>
              <w:spacing w:after="0"/>
              <w:rPr>
                <w:sz w:val="14"/>
                <w:szCs w:val="14"/>
                <w:color w:val="auto"/>
              </w:rPr>
            </w:pPr>
          </w:p>
        </w:tc>
        <w:tc>
          <w:tcPr>
            <w:tcW w:w="380" w:type="dxa"/>
            <w:vAlign w:val="bottom"/>
            <w:tcBorders>
              <w:bottom w:val="single" w:sz="8" w:color="auto"/>
            </w:tcBorders>
            <w:shd w:val="clear" w:color="auto" w:fill="DDDDDD"/>
          </w:tcPr>
          <w:p>
            <w:pPr>
              <w:spacing w:after="0"/>
              <w:rPr>
                <w:sz w:val="14"/>
                <w:szCs w:val="14"/>
                <w:color w:val="auto"/>
              </w:rPr>
            </w:pPr>
          </w:p>
        </w:tc>
        <w:tc>
          <w:tcPr>
            <w:tcW w:w="2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(1,751,234)</w:t>
            </w:r>
          </w:p>
        </w:tc>
        <w:tc>
          <w:tcPr>
            <w:tcW w:w="0" w:type="dxa"/>
            <w:vAlign w:val="bottom"/>
          </w:tcPr>
          <w:p>
            <w:pPr>
              <w:spacing w:after="0"/>
              <w:rPr>
                <w:sz w:val="1"/>
                <w:szCs w:val="1"/>
                <w:color w:val="auto"/>
              </w:rPr>
            </w:pPr>
          </w:p>
        </w:tc>
      </w:tr>
      <w:tr>
        <w:trPr>
          <w:trHeight w:val="149"/>
        </w:trPr>
        <w:tc>
          <w:tcPr>
            <w:tcW w:w="4020" w:type="dxa"/>
            <w:vAlign w:val="bottom"/>
            <w:tcBorders>
              <w:bottom w:val="single" w:sz="8" w:color="DDDDDD"/>
            </w:tcBorders>
          </w:tcPr>
          <w:p>
            <w:pPr>
              <w:ind w:left="20"/>
              <w:spacing w:after="0"/>
              <w:rPr>
                <w:sz w:val="20"/>
                <w:szCs w:val="20"/>
                <w:color w:val="auto"/>
              </w:rPr>
            </w:pPr>
            <w:r>
              <w:rPr>
                <w:rFonts w:ascii="Arial" w:cs="Arial" w:eastAsia="Arial" w:hAnsi="Arial"/>
                <w:sz w:val="12"/>
                <w:szCs w:val="12"/>
                <w:color w:val="auto"/>
              </w:rPr>
              <w:t>Total shareholders' equity</w:t>
            </w:r>
          </w:p>
        </w:tc>
        <w:tc>
          <w:tcPr>
            <w:tcW w:w="2240" w:type="dxa"/>
            <w:vAlign w:val="bottom"/>
            <w:tcBorders>
              <w:bottom w:val="single" w:sz="8" w:color="DDDDDD"/>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2,005,413</w:t>
            </w:r>
          </w:p>
        </w:tc>
        <w:tc>
          <w:tcPr>
            <w:tcW w:w="80" w:type="dxa"/>
            <w:vAlign w:val="bottom"/>
            <w:tcBorders>
              <w:bottom w:val="single" w:sz="8" w:color="DDDDDD"/>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2,063,873</w:t>
            </w:r>
          </w:p>
        </w:tc>
        <w:tc>
          <w:tcPr>
            <w:tcW w:w="0" w:type="dxa"/>
            <w:vAlign w:val="bottom"/>
          </w:tcPr>
          <w:p>
            <w:pPr>
              <w:spacing w:after="0"/>
              <w:rPr>
                <w:sz w:val="1"/>
                <w:szCs w:val="1"/>
                <w:color w:val="auto"/>
              </w:rPr>
            </w:pPr>
          </w:p>
        </w:tc>
      </w:tr>
      <w:tr>
        <w:trPr>
          <w:trHeight w:val="171"/>
        </w:trPr>
        <w:tc>
          <w:tcPr>
            <w:tcW w:w="4020" w:type="dxa"/>
            <w:vAlign w:val="bottom"/>
            <w:shd w:val="clear" w:color="auto" w:fill="DDDDDD"/>
          </w:tcPr>
          <w:p>
            <w:pPr>
              <w:ind w:left="20"/>
              <w:spacing w:after="0"/>
              <w:rPr>
                <w:sz w:val="20"/>
                <w:szCs w:val="20"/>
                <w:color w:val="auto"/>
              </w:rPr>
            </w:pPr>
            <w:r>
              <w:rPr>
                <w:rFonts w:ascii="Arial" w:cs="Arial" w:eastAsia="Arial" w:hAnsi="Arial"/>
                <w:sz w:val="12"/>
                <w:szCs w:val="12"/>
                <w:color w:val="auto"/>
              </w:rPr>
              <w:t>Total liabilities and equity</w:t>
            </w:r>
          </w:p>
        </w:tc>
        <w:tc>
          <w:tcPr>
            <w:tcW w:w="3660" w:type="dxa"/>
            <w:vAlign w:val="bottom"/>
            <w:gridSpan w:val="2"/>
            <w:shd w:val="clear" w:color="auto" w:fill="DDDDDD"/>
          </w:tcPr>
          <w:p>
            <w:pPr>
              <w:jc w:val="right"/>
              <w:ind w:right="1279"/>
              <w:spacing w:after="0"/>
              <w:rPr>
                <w:sz w:val="20"/>
                <w:szCs w:val="20"/>
                <w:color w:val="auto"/>
              </w:rPr>
            </w:pPr>
            <w:r>
              <w:rPr>
                <w:rFonts w:ascii="Arial" w:cs="Arial" w:eastAsia="Arial" w:hAnsi="Arial"/>
                <w:sz w:val="12"/>
                <w:szCs w:val="12"/>
                <w:color w:val="auto"/>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5,559,713</w:t>
            </w:r>
          </w:p>
        </w:tc>
        <w:tc>
          <w:tcPr>
            <w:tcW w:w="80" w:type="dxa"/>
            <w:vAlign w:val="bottom"/>
            <w:shd w:val="clear" w:color="auto" w:fill="DDDDDD"/>
          </w:tcPr>
          <w:p>
            <w:pPr>
              <w:spacing w:after="0"/>
              <w:rPr>
                <w:sz w:val="14"/>
                <w:szCs w:val="14"/>
                <w:color w:val="auto"/>
              </w:rPr>
            </w:pPr>
          </w:p>
        </w:tc>
        <w:tc>
          <w:tcPr>
            <w:tcW w:w="380" w:type="dxa"/>
            <w:vAlign w:val="bottom"/>
            <w:shd w:val="clear" w:color="auto" w:fill="DDDDDD"/>
          </w:tcPr>
          <w:p>
            <w:pPr>
              <w:jc w:val="right"/>
              <w:ind w:right="239"/>
              <w:spacing w:after="0"/>
              <w:rPr>
                <w:sz w:val="20"/>
                <w:szCs w:val="20"/>
                <w:color w:val="auto"/>
              </w:rPr>
            </w:pPr>
            <w:r>
              <w:rPr>
                <w:rFonts w:ascii="Arial" w:cs="Arial" w:eastAsia="Arial" w:hAnsi="Arial"/>
                <w:sz w:val="12"/>
                <w:szCs w:val="12"/>
                <w:color w:val="auto"/>
                <w:w w:val="89"/>
              </w:rPr>
              <w:t>$</w:t>
            </w:r>
          </w:p>
        </w:tc>
        <w:tc>
          <w:tcPr>
            <w:tcW w:w="20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5,572,205</w:t>
            </w:r>
          </w:p>
        </w:tc>
        <w:tc>
          <w:tcPr>
            <w:tcW w:w="0" w:type="dxa"/>
            <w:vAlign w:val="bottom"/>
          </w:tcPr>
          <w:p>
            <w:pPr>
              <w:spacing w:after="0"/>
              <w:rPr>
                <w:sz w:val="1"/>
                <w:szCs w:val="1"/>
                <w:color w:val="auto"/>
              </w:rPr>
            </w:pPr>
          </w:p>
        </w:tc>
      </w:tr>
      <w:tr>
        <w:trPr>
          <w:trHeight w:val="20"/>
        </w:trPr>
        <w:tc>
          <w:tcPr>
            <w:tcW w:w="4020" w:type="dxa"/>
            <w:vAlign w:val="bottom"/>
            <w:tcBorders>
              <w:top w:val="single" w:sz="8" w:color="DDDDDD"/>
            </w:tcBorders>
          </w:tcPr>
          <w:p>
            <w:pPr>
              <w:spacing w:after="0" w:line="20" w:lineRule="exact"/>
              <w:rPr>
                <w:sz w:val="1"/>
                <w:szCs w:val="1"/>
                <w:color w:val="auto"/>
              </w:rPr>
            </w:pPr>
          </w:p>
        </w:tc>
        <w:tc>
          <w:tcPr>
            <w:tcW w:w="2240" w:type="dxa"/>
            <w:vAlign w:val="bottom"/>
            <w:tcBorders>
              <w:top w:val="single" w:sz="8" w:color="DDDDDD"/>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9"/>
          <w:szCs w:val="9"/>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33020</wp:posOffset>
            </wp:positionV>
            <wp:extent cx="719264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447"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1D2758"/>
        </w:rPr>
        <w:t>WillScot Mobile Mini Holdings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1D2758"/>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1D2758"/>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380" w:type="dxa"/>
            <w:vAlign w:val="bottom"/>
            <w:shd w:val="clear" w:color="auto" w:fill="1D2758"/>
          </w:tcPr>
          <w:p>
            <w:pPr>
              <w:spacing w:after="0"/>
              <w:rPr>
                <w:sz w:val="13"/>
                <w:szCs w:val="13"/>
                <w:color w:val="auto"/>
              </w:rPr>
            </w:pPr>
          </w:p>
        </w:tc>
        <w:tc>
          <w:tcPr>
            <w:tcW w:w="380" w:type="dxa"/>
            <w:vAlign w:val="bottom"/>
            <w:shd w:val="clear" w:color="auto" w:fill="1D2758"/>
          </w:tcPr>
          <w:p>
            <w:pPr>
              <w:spacing w:after="0"/>
              <w:rPr>
                <w:sz w:val="13"/>
                <w:szCs w:val="13"/>
                <w:color w:val="auto"/>
              </w:rPr>
            </w:pPr>
          </w:p>
        </w:tc>
        <w:tc>
          <w:tcPr>
            <w:tcW w:w="3120" w:type="dxa"/>
            <w:vAlign w:val="bottom"/>
            <w:gridSpan w:val="5"/>
            <w:shd w:val="clear" w:color="auto" w:fill="1D2758"/>
          </w:tcPr>
          <w:p>
            <w:pPr>
              <w:ind w:left="480"/>
              <w:spacing w:after="0"/>
              <w:rPr>
                <w:sz w:val="20"/>
                <w:szCs w:val="20"/>
                <w:color w:val="auto"/>
              </w:rPr>
            </w:pPr>
            <w:r>
              <w:rPr>
                <w:rFonts w:ascii="Arial" w:cs="Arial" w:eastAsia="Arial" w:hAnsi="Arial"/>
                <w:sz w:val="12"/>
                <w:szCs w:val="12"/>
                <w:b w:val="1"/>
                <w:bCs w:val="1"/>
                <w:color w:val="FFFFFF"/>
              </w:rPr>
              <w:t>Three Months Ended June 30,</w:t>
            </w:r>
          </w:p>
        </w:tc>
        <w:tc>
          <w:tcPr>
            <w:tcW w:w="400" w:type="dxa"/>
            <w:vAlign w:val="bottom"/>
            <w:shd w:val="clear" w:color="auto" w:fill="1D2758"/>
          </w:tcPr>
          <w:p>
            <w:pPr>
              <w:spacing w:after="0"/>
              <w:rPr>
                <w:sz w:val="13"/>
                <w:szCs w:val="13"/>
                <w:color w:val="auto"/>
              </w:rPr>
            </w:pPr>
          </w:p>
        </w:tc>
        <w:tc>
          <w:tcPr>
            <w:tcW w:w="3000" w:type="dxa"/>
            <w:vAlign w:val="bottom"/>
            <w:gridSpan w:val="4"/>
            <w:shd w:val="clear" w:color="auto" w:fill="1D2758"/>
          </w:tcPr>
          <w:p>
            <w:pPr>
              <w:jc w:val="right"/>
              <w:ind w:right="839"/>
              <w:spacing w:after="0"/>
              <w:rPr>
                <w:sz w:val="20"/>
                <w:szCs w:val="20"/>
                <w:color w:val="auto"/>
              </w:rPr>
            </w:pPr>
            <w:r>
              <w:rPr>
                <w:rFonts w:ascii="Arial" w:cs="Arial" w:eastAsia="Arial" w:hAnsi="Arial"/>
                <w:sz w:val="12"/>
                <w:szCs w:val="12"/>
                <w:b w:val="1"/>
                <w:bCs w:val="1"/>
                <w:color w:val="FFFFFF"/>
              </w:rPr>
              <w:t>Six Months Ended June 30,</w:t>
            </w:r>
          </w:p>
        </w:tc>
        <w:tc>
          <w:tcPr>
            <w:tcW w:w="0" w:type="dxa"/>
            <w:vAlign w:val="bottom"/>
          </w:tcPr>
          <w:p>
            <w:pPr>
              <w:spacing w:after="0"/>
              <w:rPr>
                <w:sz w:val="1"/>
                <w:szCs w:val="1"/>
                <w:color w:val="auto"/>
              </w:rPr>
            </w:pPr>
          </w:p>
        </w:tc>
      </w:tr>
      <w:tr>
        <w:trPr>
          <w:trHeight w:val="160"/>
        </w:trPr>
        <w:tc>
          <w:tcPr>
            <w:tcW w:w="43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share and per share data)</w:t>
            </w:r>
          </w:p>
        </w:tc>
        <w:tc>
          <w:tcPr>
            <w:tcW w:w="380" w:type="dxa"/>
            <w:vAlign w:val="bottom"/>
            <w:shd w:val="clear" w:color="auto" w:fill="1D2758"/>
          </w:tcPr>
          <w:p>
            <w:pPr>
              <w:spacing w:after="0"/>
              <w:rPr>
                <w:sz w:val="13"/>
                <w:szCs w:val="13"/>
                <w:color w:val="auto"/>
              </w:rPr>
            </w:pPr>
          </w:p>
        </w:tc>
        <w:tc>
          <w:tcPr>
            <w:tcW w:w="1300" w:type="dxa"/>
            <w:vAlign w:val="bottom"/>
            <w:vMerge w:val="restart"/>
            <w:shd w:val="clear" w:color="auto" w:fill="1D2758"/>
          </w:tcPr>
          <w:p>
            <w:pPr>
              <w:jc w:val="right"/>
              <w:ind w:right="639"/>
              <w:spacing w:after="0"/>
              <w:rPr>
                <w:sz w:val="20"/>
                <w:szCs w:val="20"/>
                <w:color w:val="auto"/>
              </w:rPr>
            </w:pPr>
            <w:r>
              <w:rPr>
                <w:rFonts w:ascii="Arial" w:cs="Arial" w:eastAsia="Arial" w:hAnsi="Arial"/>
                <w:sz w:val="12"/>
                <w:szCs w:val="12"/>
                <w:b w:val="1"/>
                <w:bCs w:val="1"/>
                <w:color w:val="FFFFFF"/>
              </w:rPr>
              <w:t>2021</w:t>
            </w:r>
          </w:p>
        </w:tc>
        <w:tc>
          <w:tcPr>
            <w:tcW w:w="80" w:type="dxa"/>
            <w:vAlign w:val="bottom"/>
            <w:shd w:val="clear" w:color="auto" w:fill="1D2758"/>
          </w:tcPr>
          <w:p>
            <w:pPr>
              <w:spacing w:after="0"/>
              <w:rPr>
                <w:sz w:val="13"/>
                <w:szCs w:val="13"/>
                <w:color w:val="auto"/>
              </w:rPr>
            </w:pPr>
          </w:p>
        </w:tc>
        <w:tc>
          <w:tcPr>
            <w:tcW w:w="380" w:type="dxa"/>
            <w:vAlign w:val="bottom"/>
            <w:shd w:val="clear" w:color="auto" w:fill="1D2758"/>
          </w:tcPr>
          <w:p>
            <w:pPr>
              <w:spacing w:after="0"/>
              <w:rPr>
                <w:sz w:val="13"/>
                <w:szCs w:val="13"/>
                <w:color w:val="auto"/>
              </w:rPr>
            </w:pPr>
          </w:p>
        </w:tc>
        <w:tc>
          <w:tcPr>
            <w:tcW w:w="1280" w:type="dxa"/>
            <w:vAlign w:val="bottom"/>
            <w:vMerge w:val="restart"/>
            <w:shd w:val="clear" w:color="auto" w:fill="1D2758"/>
          </w:tcPr>
          <w:p>
            <w:pPr>
              <w:jc w:val="right"/>
              <w:ind w:right="639"/>
              <w:spacing w:after="0"/>
              <w:rPr>
                <w:sz w:val="20"/>
                <w:szCs w:val="20"/>
                <w:color w:val="auto"/>
              </w:rPr>
            </w:pPr>
            <w:r>
              <w:rPr>
                <w:rFonts w:ascii="Arial" w:cs="Arial" w:eastAsia="Arial" w:hAnsi="Arial"/>
                <w:sz w:val="12"/>
                <w:szCs w:val="12"/>
                <w:b w:val="1"/>
                <w:bCs w:val="1"/>
                <w:color w:val="FFFFFF"/>
              </w:rPr>
              <w:t>2020</w:t>
            </w:r>
          </w:p>
        </w:tc>
        <w:tc>
          <w:tcPr>
            <w:tcW w:w="80" w:type="dxa"/>
            <w:vAlign w:val="bottom"/>
            <w:shd w:val="clear" w:color="auto" w:fill="1D2758"/>
          </w:tcPr>
          <w:p>
            <w:pPr>
              <w:spacing w:after="0"/>
              <w:rPr>
                <w:sz w:val="13"/>
                <w:szCs w:val="13"/>
                <w:color w:val="auto"/>
              </w:rPr>
            </w:pPr>
          </w:p>
        </w:tc>
        <w:tc>
          <w:tcPr>
            <w:tcW w:w="400" w:type="dxa"/>
            <w:vAlign w:val="bottom"/>
            <w:shd w:val="clear" w:color="auto" w:fill="1D2758"/>
          </w:tcPr>
          <w:p>
            <w:pPr>
              <w:spacing w:after="0"/>
              <w:rPr>
                <w:sz w:val="13"/>
                <w:szCs w:val="13"/>
                <w:color w:val="auto"/>
              </w:rPr>
            </w:pPr>
          </w:p>
        </w:tc>
        <w:tc>
          <w:tcPr>
            <w:tcW w:w="1300" w:type="dxa"/>
            <w:vAlign w:val="bottom"/>
            <w:vMerge w:val="restart"/>
            <w:shd w:val="clear" w:color="auto" w:fill="1D2758"/>
          </w:tcPr>
          <w:p>
            <w:pPr>
              <w:jc w:val="right"/>
              <w:ind w:right="659"/>
              <w:spacing w:after="0"/>
              <w:rPr>
                <w:sz w:val="20"/>
                <w:szCs w:val="20"/>
                <w:color w:val="auto"/>
              </w:rPr>
            </w:pPr>
            <w:r>
              <w:rPr>
                <w:rFonts w:ascii="Arial" w:cs="Arial" w:eastAsia="Arial" w:hAnsi="Arial"/>
                <w:sz w:val="12"/>
                <w:szCs w:val="12"/>
                <w:b w:val="1"/>
                <w:bCs w:val="1"/>
                <w:color w:val="FFFFFF"/>
              </w:rPr>
              <w:t>2021</w:t>
            </w:r>
          </w:p>
        </w:tc>
        <w:tc>
          <w:tcPr>
            <w:tcW w:w="80" w:type="dxa"/>
            <w:vAlign w:val="bottom"/>
            <w:shd w:val="clear" w:color="auto" w:fill="1D2758"/>
          </w:tcPr>
          <w:p>
            <w:pPr>
              <w:spacing w:after="0"/>
              <w:rPr>
                <w:sz w:val="13"/>
                <w:szCs w:val="13"/>
                <w:color w:val="auto"/>
              </w:rPr>
            </w:pPr>
          </w:p>
        </w:tc>
        <w:tc>
          <w:tcPr>
            <w:tcW w:w="380" w:type="dxa"/>
            <w:vAlign w:val="bottom"/>
            <w:shd w:val="clear" w:color="auto" w:fill="1D2758"/>
          </w:tcPr>
          <w:p>
            <w:pPr>
              <w:spacing w:after="0"/>
              <w:rPr>
                <w:sz w:val="13"/>
                <w:szCs w:val="13"/>
                <w:color w:val="auto"/>
              </w:rPr>
            </w:pPr>
          </w:p>
        </w:tc>
        <w:tc>
          <w:tcPr>
            <w:tcW w:w="1240" w:type="dxa"/>
            <w:vAlign w:val="bottom"/>
            <w:vMerge w:val="restart"/>
            <w:shd w:val="clear" w:color="auto" w:fill="1D2758"/>
          </w:tcPr>
          <w:p>
            <w:pPr>
              <w:jc w:val="right"/>
              <w:ind w:right="619"/>
              <w:spacing w:after="0"/>
              <w:rPr>
                <w:sz w:val="20"/>
                <w:szCs w:val="20"/>
                <w:color w:val="auto"/>
              </w:rPr>
            </w:pPr>
            <w:r>
              <w:rPr>
                <w:rFonts w:ascii="Arial" w:cs="Arial" w:eastAsia="Arial" w:hAnsi="Arial"/>
                <w:sz w:val="12"/>
                <w:szCs w:val="12"/>
                <w:b w:val="1"/>
                <w:bCs w:val="1"/>
                <w:color w:val="FFFFFF"/>
              </w:rPr>
              <w:t>2020</w:t>
            </w:r>
          </w:p>
        </w:tc>
        <w:tc>
          <w:tcPr>
            <w:tcW w:w="0" w:type="dxa"/>
            <w:vAlign w:val="bottom"/>
          </w:tcPr>
          <w:p>
            <w:pPr>
              <w:spacing w:after="0"/>
              <w:rPr>
                <w:sz w:val="1"/>
                <w:szCs w:val="1"/>
                <w:color w:val="auto"/>
              </w:rPr>
            </w:pPr>
          </w:p>
        </w:tc>
      </w:tr>
      <w:tr>
        <w:trPr>
          <w:trHeight w:val="72"/>
        </w:trPr>
        <w:tc>
          <w:tcPr>
            <w:tcW w:w="4380" w:type="dxa"/>
            <w:vAlign w:val="bottom"/>
            <w:shd w:val="clear" w:color="auto" w:fill="1D2758"/>
          </w:tcPr>
          <w:p>
            <w:pPr>
              <w:spacing w:after="0"/>
              <w:rPr>
                <w:sz w:val="6"/>
                <w:szCs w:val="6"/>
                <w:color w:val="auto"/>
              </w:rPr>
            </w:pPr>
          </w:p>
        </w:tc>
        <w:tc>
          <w:tcPr>
            <w:tcW w:w="380" w:type="dxa"/>
            <w:vAlign w:val="bottom"/>
            <w:shd w:val="clear" w:color="auto" w:fill="1D2758"/>
          </w:tcPr>
          <w:p>
            <w:pPr>
              <w:spacing w:after="0"/>
              <w:rPr>
                <w:sz w:val="6"/>
                <w:szCs w:val="6"/>
                <w:color w:val="auto"/>
              </w:rPr>
            </w:pPr>
          </w:p>
        </w:tc>
        <w:tc>
          <w:tcPr>
            <w:tcW w:w="1300" w:type="dxa"/>
            <w:vAlign w:val="bottom"/>
            <w:vMerge w:val="continue"/>
            <w:shd w:val="clear" w:color="auto" w:fill="1D2758"/>
          </w:tcPr>
          <w:p>
            <w:pPr>
              <w:spacing w:after="0"/>
              <w:rPr>
                <w:sz w:val="6"/>
                <w:szCs w:val="6"/>
                <w:color w:val="auto"/>
              </w:rPr>
            </w:pPr>
          </w:p>
        </w:tc>
        <w:tc>
          <w:tcPr>
            <w:tcW w:w="80" w:type="dxa"/>
            <w:vAlign w:val="bottom"/>
            <w:shd w:val="clear" w:color="auto" w:fill="1D2758"/>
          </w:tcPr>
          <w:p>
            <w:pPr>
              <w:spacing w:after="0"/>
              <w:rPr>
                <w:sz w:val="6"/>
                <w:szCs w:val="6"/>
                <w:color w:val="auto"/>
              </w:rPr>
            </w:pPr>
          </w:p>
        </w:tc>
        <w:tc>
          <w:tcPr>
            <w:tcW w:w="380" w:type="dxa"/>
            <w:vAlign w:val="bottom"/>
            <w:shd w:val="clear" w:color="auto" w:fill="1D2758"/>
          </w:tcPr>
          <w:p>
            <w:pPr>
              <w:spacing w:after="0"/>
              <w:rPr>
                <w:sz w:val="6"/>
                <w:szCs w:val="6"/>
                <w:color w:val="auto"/>
              </w:rPr>
            </w:pPr>
          </w:p>
        </w:tc>
        <w:tc>
          <w:tcPr>
            <w:tcW w:w="1280" w:type="dxa"/>
            <w:vAlign w:val="bottom"/>
            <w:vMerge w:val="continue"/>
            <w:shd w:val="clear" w:color="auto" w:fill="1D2758"/>
          </w:tcPr>
          <w:p>
            <w:pPr>
              <w:spacing w:after="0"/>
              <w:rPr>
                <w:sz w:val="6"/>
                <w:szCs w:val="6"/>
                <w:color w:val="auto"/>
              </w:rPr>
            </w:pPr>
          </w:p>
        </w:tc>
        <w:tc>
          <w:tcPr>
            <w:tcW w:w="80" w:type="dxa"/>
            <w:vAlign w:val="bottom"/>
            <w:shd w:val="clear" w:color="auto" w:fill="1D2758"/>
          </w:tcPr>
          <w:p>
            <w:pPr>
              <w:spacing w:after="0"/>
              <w:rPr>
                <w:sz w:val="6"/>
                <w:szCs w:val="6"/>
                <w:color w:val="auto"/>
              </w:rPr>
            </w:pPr>
          </w:p>
        </w:tc>
        <w:tc>
          <w:tcPr>
            <w:tcW w:w="400" w:type="dxa"/>
            <w:vAlign w:val="bottom"/>
            <w:shd w:val="clear" w:color="auto" w:fill="1D2758"/>
          </w:tcPr>
          <w:p>
            <w:pPr>
              <w:spacing w:after="0"/>
              <w:rPr>
                <w:sz w:val="6"/>
                <w:szCs w:val="6"/>
                <w:color w:val="auto"/>
              </w:rPr>
            </w:pPr>
          </w:p>
        </w:tc>
        <w:tc>
          <w:tcPr>
            <w:tcW w:w="1300" w:type="dxa"/>
            <w:vAlign w:val="bottom"/>
            <w:vMerge w:val="continue"/>
            <w:shd w:val="clear" w:color="auto" w:fill="1D2758"/>
          </w:tcPr>
          <w:p>
            <w:pPr>
              <w:spacing w:after="0"/>
              <w:rPr>
                <w:sz w:val="6"/>
                <w:szCs w:val="6"/>
                <w:color w:val="auto"/>
              </w:rPr>
            </w:pPr>
          </w:p>
        </w:tc>
        <w:tc>
          <w:tcPr>
            <w:tcW w:w="80" w:type="dxa"/>
            <w:vAlign w:val="bottom"/>
            <w:shd w:val="clear" w:color="auto" w:fill="1D2758"/>
          </w:tcPr>
          <w:p>
            <w:pPr>
              <w:spacing w:after="0"/>
              <w:rPr>
                <w:sz w:val="6"/>
                <w:szCs w:val="6"/>
                <w:color w:val="auto"/>
              </w:rPr>
            </w:pPr>
          </w:p>
        </w:tc>
        <w:tc>
          <w:tcPr>
            <w:tcW w:w="380" w:type="dxa"/>
            <w:vAlign w:val="bottom"/>
            <w:shd w:val="clear" w:color="auto" w:fill="1D2758"/>
          </w:tcPr>
          <w:p>
            <w:pPr>
              <w:spacing w:after="0"/>
              <w:rPr>
                <w:sz w:val="6"/>
                <w:szCs w:val="6"/>
                <w:color w:val="auto"/>
              </w:rPr>
            </w:pPr>
          </w:p>
        </w:tc>
        <w:tc>
          <w:tcPr>
            <w:tcW w:w="1240" w:type="dxa"/>
            <w:vAlign w:val="bottom"/>
            <w:vMerge w:val="continue"/>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438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Revenues:</w:t>
            </w:r>
          </w:p>
        </w:tc>
        <w:tc>
          <w:tcPr>
            <w:tcW w:w="38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380" w:type="dxa"/>
            <w:vAlign w:val="bottom"/>
          </w:tcPr>
          <w:p>
            <w:pPr>
              <w:ind w:left="180"/>
              <w:spacing w:after="0"/>
              <w:rPr>
                <w:sz w:val="20"/>
                <w:szCs w:val="20"/>
                <w:color w:val="auto"/>
              </w:rPr>
            </w:pPr>
            <w:r>
              <w:rPr>
                <w:rFonts w:ascii="Arial" w:cs="Arial" w:eastAsia="Arial" w:hAnsi="Arial"/>
                <w:sz w:val="12"/>
                <w:szCs w:val="12"/>
                <w:color w:val="auto"/>
              </w:rPr>
              <w:t>Leasing and services revenue:</w:t>
            </w: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Leasing</w:t>
            </w:r>
          </w:p>
        </w:tc>
        <w:tc>
          <w:tcPr>
            <w:tcW w:w="380" w:type="dxa"/>
            <w:vAlign w:val="bottom"/>
            <w:shd w:val="clear" w:color="auto" w:fill="DBDBDB"/>
          </w:tcPr>
          <w:p>
            <w:pPr>
              <w:jc w:val="right"/>
              <w:ind w:right="239"/>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343,179</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jc w:val="right"/>
              <w:ind w:right="239"/>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190,143</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jc w:val="right"/>
              <w:ind w:right="259"/>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658,841</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jc w:val="right"/>
              <w:ind w:right="239"/>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378,495</w:t>
            </w:r>
          </w:p>
        </w:tc>
        <w:tc>
          <w:tcPr>
            <w:tcW w:w="0" w:type="dxa"/>
            <w:vAlign w:val="bottom"/>
          </w:tcPr>
          <w:p>
            <w:pPr>
              <w:spacing w:after="0"/>
              <w:rPr>
                <w:sz w:val="1"/>
                <w:szCs w:val="1"/>
                <w:color w:val="auto"/>
              </w:rPr>
            </w:pPr>
          </w:p>
        </w:tc>
      </w:tr>
      <w:tr>
        <w:trPr>
          <w:trHeight w:val="159"/>
        </w:trPr>
        <w:tc>
          <w:tcPr>
            <w:tcW w:w="4380" w:type="dxa"/>
            <w:vAlign w:val="bottom"/>
          </w:tcPr>
          <w:p>
            <w:pPr>
              <w:ind w:left="340"/>
              <w:spacing w:after="0"/>
              <w:rPr>
                <w:sz w:val="20"/>
                <w:szCs w:val="20"/>
                <w:color w:val="auto"/>
              </w:rPr>
            </w:pPr>
            <w:r>
              <w:rPr>
                <w:rFonts w:ascii="Arial" w:cs="Arial" w:eastAsia="Arial" w:hAnsi="Arial"/>
                <w:sz w:val="12"/>
                <w:szCs w:val="12"/>
                <w:color w:val="auto"/>
              </w:rPr>
              <w:t>Delivery and installation</w:t>
            </w:r>
          </w:p>
        </w:tc>
        <w:tc>
          <w:tcPr>
            <w:tcW w:w="3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91,680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51,640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175,184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102,710</w:t>
            </w: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Sales revenue:</w:t>
            </w:r>
          </w:p>
        </w:tc>
        <w:tc>
          <w:tcPr>
            <w:tcW w:w="38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380" w:type="dxa"/>
            <w:vAlign w:val="bottom"/>
          </w:tcPr>
          <w:p>
            <w:pPr>
              <w:ind w:left="340"/>
              <w:spacing w:after="0"/>
              <w:rPr>
                <w:sz w:val="20"/>
                <w:szCs w:val="20"/>
                <w:color w:val="auto"/>
              </w:rPr>
            </w:pPr>
            <w:r>
              <w:rPr>
                <w:rFonts w:ascii="Arial" w:cs="Arial" w:eastAsia="Arial" w:hAnsi="Arial"/>
                <w:sz w:val="12"/>
                <w:szCs w:val="12"/>
                <w:color w:val="auto"/>
              </w:rPr>
              <w:t>New units</w:t>
            </w:r>
          </w:p>
        </w:tc>
        <w:tc>
          <w:tcPr>
            <w:tcW w:w="3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11,008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9,763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21,963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19,376</w:t>
            </w: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Rental units</w:t>
            </w:r>
          </w:p>
        </w:tc>
        <w:tc>
          <w:tcPr>
            <w:tcW w:w="38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15,235</w:t>
            </w:r>
          </w:p>
        </w:tc>
        <w:tc>
          <w:tcPr>
            <w:tcW w:w="80" w:type="dxa"/>
            <w:vAlign w:val="bottom"/>
            <w:shd w:val="clear" w:color="auto" w:fill="DBDBDB"/>
          </w:tcPr>
          <w:p>
            <w:pPr>
              <w:spacing w:after="0"/>
              <w:rPr>
                <w:sz w:val="14"/>
                <w:szCs w:val="14"/>
                <w:color w:val="auto"/>
              </w:rPr>
            </w:pPr>
          </w:p>
        </w:tc>
        <w:tc>
          <w:tcPr>
            <w:tcW w:w="380" w:type="dxa"/>
            <w:vAlign w:val="bottom"/>
            <w:tcBorders>
              <w:bottom w:val="single" w:sz="8" w:color="auto"/>
            </w:tcBorders>
            <w:shd w:val="clear" w:color="auto" w:fill="DBDBDB"/>
          </w:tcPr>
          <w:p>
            <w:pPr>
              <w:spacing w:after="0"/>
              <w:rPr>
                <w:sz w:val="14"/>
                <w:szCs w:val="14"/>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5,316</w:t>
            </w:r>
          </w:p>
        </w:tc>
        <w:tc>
          <w:tcPr>
            <w:tcW w:w="80" w:type="dxa"/>
            <w:vAlign w:val="bottom"/>
            <w:shd w:val="clear" w:color="auto" w:fill="DBDBDB"/>
          </w:tcPr>
          <w:p>
            <w:pPr>
              <w:spacing w:after="0"/>
              <w:rPr>
                <w:sz w:val="14"/>
                <w:szCs w:val="14"/>
                <w:color w:val="auto"/>
              </w:rPr>
            </w:pPr>
          </w:p>
        </w:tc>
        <w:tc>
          <w:tcPr>
            <w:tcW w:w="40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30,437</w:t>
            </w:r>
          </w:p>
        </w:tc>
        <w:tc>
          <w:tcPr>
            <w:tcW w:w="80" w:type="dxa"/>
            <w:vAlign w:val="bottom"/>
            <w:shd w:val="clear" w:color="auto" w:fill="DBDBDB"/>
          </w:tcPr>
          <w:p>
            <w:pPr>
              <w:spacing w:after="0"/>
              <w:rPr>
                <w:sz w:val="14"/>
                <w:szCs w:val="14"/>
                <w:color w:val="auto"/>
              </w:rPr>
            </w:pPr>
          </w:p>
        </w:tc>
        <w:tc>
          <w:tcPr>
            <w:tcW w:w="380" w:type="dxa"/>
            <w:vAlign w:val="bottom"/>
            <w:tcBorders>
              <w:bottom w:val="single" w:sz="8" w:color="auto"/>
            </w:tcBorders>
            <w:shd w:val="clear" w:color="auto" w:fill="DBDBDB"/>
          </w:tcPr>
          <w:p>
            <w:pPr>
              <w:spacing w:after="0"/>
              <w:rPr>
                <w:sz w:val="14"/>
                <w:szCs w:val="14"/>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12,102</w:t>
            </w:r>
          </w:p>
        </w:tc>
        <w:tc>
          <w:tcPr>
            <w:tcW w:w="0" w:type="dxa"/>
            <w:vAlign w:val="bottom"/>
          </w:tcPr>
          <w:p>
            <w:pPr>
              <w:spacing w:after="0"/>
              <w:rPr>
                <w:sz w:val="1"/>
                <w:szCs w:val="1"/>
                <w:color w:val="auto"/>
              </w:rPr>
            </w:pPr>
          </w:p>
        </w:tc>
      </w:tr>
      <w:tr>
        <w:trPr>
          <w:trHeight w:val="149"/>
        </w:trPr>
        <w:tc>
          <w:tcPr>
            <w:tcW w:w="4380" w:type="dxa"/>
            <w:vAlign w:val="bottom"/>
          </w:tcPr>
          <w:p>
            <w:pPr>
              <w:ind w:left="500"/>
              <w:spacing w:after="0"/>
              <w:rPr>
                <w:sz w:val="20"/>
                <w:szCs w:val="20"/>
                <w:color w:val="auto"/>
              </w:rPr>
            </w:pPr>
            <w:r>
              <w:rPr>
                <w:rFonts w:ascii="Arial" w:cs="Arial" w:eastAsia="Arial" w:hAnsi="Arial"/>
                <w:sz w:val="12"/>
                <w:szCs w:val="12"/>
                <w:color w:val="auto"/>
              </w:rPr>
              <w:t>Total revenues</w:t>
            </w:r>
          </w:p>
        </w:tc>
        <w:tc>
          <w:tcPr>
            <w:tcW w:w="3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461,102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256,862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886,425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512,683</w:t>
            </w: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20"/>
              <w:spacing w:after="0"/>
              <w:rPr>
                <w:sz w:val="20"/>
                <w:szCs w:val="20"/>
                <w:color w:val="auto"/>
              </w:rPr>
            </w:pPr>
            <w:r>
              <w:rPr>
                <w:rFonts w:ascii="Arial" w:cs="Arial" w:eastAsia="Arial" w:hAnsi="Arial"/>
                <w:sz w:val="12"/>
                <w:szCs w:val="12"/>
                <w:color w:val="auto"/>
              </w:rPr>
              <w:t>Costs:</w:t>
            </w:r>
          </w:p>
        </w:tc>
        <w:tc>
          <w:tcPr>
            <w:tcW w:w="38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380" w:type="dxa"/>
            <w:vAlign w:val="bottom"/>
          </w:tcPr>
          <w:p>
            <w:pPr>
              <w:ind w:left="180"/>
              <w:spacing w:after="0"/>
              <w:rPr>
                <w:sz w:val="20"/>
                <w:szCs w:val="20"/>
                <w:color w:val="auto"/>
              </w:rPr>
            </w:pPr>
            <w:r>
              <w:rPr>
                <w:rFonts w:ascii="Arial" w:cs="Arial" w:eastAsia="Arial" w:hAnsi="Arial"/>
                <w:sz w:val="12"/>
                <w:szCs w:val="12"/>
                <w:color w:val="auto"/>
              </w:rPr>
              <w:t>Costs of leasing and services:</w:t>
            </w: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Leasing</w:t>
            </w:r>
          </w:p>
        </w:tc>
        <w:tc>
          <w:tcPr>
            <w:tcW w:w="38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83,032</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47,747</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152,927</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97,556</w:t>
            </w:r>
          </w:p>
        </w:tc>
        <w:tc>
          <w:tcPr>
            <w:tcW w:w="0" w:type="dxa"/>
            <w:vAlign w:val="bottom"/>
          </w:tcPr>
          <w:p>
            <w:pPr>
              <w:spacing w:after="0"/>
              <w:rPr>
                <w:sz w:val="1"/>
                <w:szCs w:val="1"/>
                <w:color w:val="auto"/>
              </w:rPr>
            </w:pPr>
          </w:p>
        </w:tc>
      </w:tr>
      <w:tr>
        <w:trPr>
          <w:trHeight w:val="159"/>
        </w:trPr>
        <w:tc>
          <w:tcPr>
            <w:tcW w:w="4380" w:type="dxa"/>
            <w:vAlign w:val="bottom"/>
          </w:tcPr>
          <w:p>
            <w:pPr>
              <w:ind w:left="340"/>
              <w:spacing w:after="0"/>
              <w:rPr>
                <w:sz w:val="20"/>
                <w:szCs w:val="20"/>
                <w:color w:val="auto"/>
              </w:rPr>
            </w:pPr>
            <w:r>
              <w:rPr>
                <w:rFonts w:ascii="Arial" w:cs="Arial" w:eastAsia="Arial" w:hAnsi="Arial"/>
                <w:sz w:val="12"/>
                <w:szCs w:val="12"/>
                <w:color w:val="auto"/>
              </w:rPr>
              <w:t>Delivery and installation</w:t>
            </w:r>
          </w:p>
        </w:tc>
        <w:tc>
          <w:tcPr>
            <w:tcW w:w="3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77,153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43,523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147,289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87,388</w:t>
            </w: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Costs of sales:</w:t>
            </w:r>
          </w:p>
        </w:tc>
        <w:tc>
          <w:tcPr>
            <w:tcW w:w="38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380" w:type="dxa"/>
            <w:vAlign w:val="bottom"/>
          </w:tcPr>
          <w:p>
            <w:pPr>
              <w:ind w:left="340"/>
              <w:spacing w:after="0"/>
              <w:rPr>
                <w:sz w:val="20"/>
                <w:szCs w:val="20"/>
                <w:color w:val="auto"/>
              </w:rPr>
            </w:pPr>
            <w:r>
              <w:rPr>
                <w:rFonts w:ascii="Arial" w:cs="Arial" w:eastAsia="Arial" w:hAnsi="Arial"/>
                <w:sz w:val="12"/>
                <w:szCs w:val="12"/>
                <w:color w:val="auto"/>
              </w:rPr>
              <w:t>New units</w:t>
            </w:r>
          </w:p>
        </w:tc>
        <w:tc>
          <w:tcPr>
            <w:tcW w:w="3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7,052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6,331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14,161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12,534</w:t>
            </w: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Rental units</w:t>
            </w:r>
          </w:p>
        </w:tc>
        <w:tc>
          <w:tcPr>
            <w:tcW w:w="38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8,162</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3,803</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17,267</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7,609</w:t>
            </w:r>
          </w:p>
        </w:tc>
        <w:tc>
          <w:tcPr>
            <w:tcW w:w="0" w:type="dxa"/>
            <w:vAlign w:val="bottom"/>
          </w:tcPr>
          <w:p>
            <w:pPr>
              <w:spacing w:after="0"/>
              <w:rPr>
                <w:sz w:val="1"/>
                <w:szCs w:val="1"/>
                <w:color w:val="auto"/>
              </w:rPr>
            </w:pPr>
          </w:p>
        </w:tc>
      </w:tr>
      <w:tr>
        <w:trPr>
          <w:trHeight w:val="159"/>
        </w:trPr>
        <w:tc>
          <w:tcPr>
            <w:tcW w:w="4380" w:type="dxa"/>
            <w:vAlign w:val="bottom"/>
            <w:tcBorders>
              <w:bottom w:val="single" w:sz="8" w:color="DBDBDB"/>
            </w:tcBorders>
          </w:tcPr>
          <w:p>
            <w:pPr>
              <w:ind w:left="180"/>
              <w:spacing w:after="0"/>
              <w:rPr>
                <w:sz w:val="20"/>
                <w:szCs w:val="20"/>
                <w:color w:val="auto"/>
              </w:rPr>
            </w:pPr>
            <w:r>
              <w:rPr>
                <w:rFonts w:ascii="Arial" w:cs="Arial" w:eastAsia="Arial" w:hAnsi="Arial"/>
                <w:sz w:val="12"/>
                <w:szCs w:val="12"/>
                <w:color w:val="auto"/>
              </w:rPr>
              <w:t>Depreciation of rental equipment</w:t>
            </w: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62,893</w:t>
            </w:r>
          </w:p>
        </w:tc>
        <w:tc>
          <w:tcPr>
            <w:tcW w:w="80" w:type="dxa"/>
            <w:vAlign w:val="bottom"/>
            <w:tcBorders>
              <w:bottom w:val="single" w:sz="8" w:color="DBDBDB"/>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45,494</w:t>
            </w:r>
          </w:p>
        </w:tc>
        <w:tc>
          <w:tcPr>
            <w:tcW w:w="80" w:type="dxa"/>
            <w:vAlign w:val="bottom"/>
            <w:tcBorders>
              <w:bottom w:val="single" w:sz="8" w:color="DBDBDB"/>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118,591</w:t>
            </w:r>
          </w:p>
        </w:tc>
        <w:tc>
          <w:tcPr>
            <w:tcW w:w="80" w:type="dxa"/>
            <w:vAlign w:val="bottom"/>
            <w:tcBorders>
              <w:bottom w:val="single" w:sz="8" w:color="DBDBDB"/>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91,442</w:t>
            </w:r>
          </w:p>
        </w:tc>
        <w:tc>
          <w:tcPr>
            <w:tcW w:w="0" w:type="dxa"/>
            <w:vAlign w:val="bottom"/>
          </w:tcPr>
          <w:p>
            <w:pPr>
              <w:spacing w:after="0"/>
              <w:rPr>
                <w:sz w:val="1"/>
                <w:szCs w:val="1"/>
                <w:color w:val="auto"/>
              </w:rPr>
            </w:pPr>
          </w:p>
        </w:tc>
      </w:tr>
      <w:tr>
        <w:trPr>
          <w:trHeight w:val="154"/>
        </w:trPr>
        <w:tc>
          <w:tcPr>
            <w:tcW w:w="43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Gross profit</w:t>
            </w:r>
          </w:p>
        </w:tc>
        <w:tc>
          <w:tcPr>
            <w:tcW w:w="380" w:type="dxa"/>
            <w:vAlign w:val="bottom"/>
            <w:shd w:val="clear" w:color="auto" w:fill="DBDBDB"/>
          </w:tcPr>
          <w:p>
            <w:pPr>
              <w:spacing w:after="0"/>
              <w:rPr>
                <w:sz w:val="13"/>
                <w:szCs w:val="13"/>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222,810</w:t>
            </w:r>
          </w:p>
        </w:tc>
        <w:tc>
          <w:tcPr>
            <w:tcW w:w="8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109,964</w:t>
            </w:r>
          </w:p>
        </w:tc>
        <w:tc>
          <w:tcPr>
            <w:tcW w:w="8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436,190</w:t>
            </w:r>
          </w:p>
        </w:tc>
        <w:tc>
          <w:tcPr>
            <w:tcW w:w="8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216,154</w:t>
            </w:r>
          </w:p>
        </w:tc>
        <w:tc>
          <w:tcPr>
            <w:tcW w:w="0" w:type="dxa"/>
            <w:vAlign w:val="bottom"/>
          </w:tcPr>
          <w:p>
            <w:pPr>
              <w:spacing w:after="0"/>
              <w:rPr>
                <w:sz w:val="1"/>
                <w:szCs w:val="1"/>
                <w:color w:val="auto"/>
              </w:rPr>
            </w:pPr>
          </w:p>
        </w:tc>
      </w:tr>
      <w:tr>
        <w:trPr>
          <w:trHeight w:val="159"/>
        </w:trPr>
        <w:tc>
          <w:tcPr>
            <w:tcW w:w="4380" w:type="dxa"/>
            <w:vAlign w:val="bottom"/>
          </w:tcPr>
          <w:p>
            <w:pPr>
              <w:ind w:left="20"/>
              <w:spacing w:after="0"/>
              <w:rPr>
                <w:sz w:val="20"/>
                <w:szCs w:val="20"/>
                <w:color w:val="auto"/>
              </w:rPr>
            </w:pPr>
            <w:r>
              <w:rPr>
                <w:rFonts w:ascii="Arial" w:cs="Arial" w:eastAsia="Arial" w:hAnsi="Arial"/>
                <w:sz w:val="12"/>
                <w:szCs w:val="12"/>
                <w:color w:val="auto"/>
              </w:rPr>
              <w:t>Expenses:</w:t>
            </w: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Selling, general and administrative</w:t>
            </w:r>
          </w:p>
        </w:tc>
        <w:tc>
          <w:tcPr>
            <w:tcW w:w="38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122,387</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63,653</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238,872</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129,190</w:t>
            </w:r>
          </w:p>
        </w:tc>
        <w:tc>
          <w:tcPr>
            <w:tcW w:w="0" w:type="dxa"/>
            <w:vAlign w:val="bottom"/>
          </w:tcPr>
          <w:p>
            <w:pPr>
              <w:spacing w:after="0"/>
              <w:rPr>
                <w:sz w:val="1"/>
                <w:szCs w:val="1"/>
                <w:color w:val="auto"/>
              </w:rPr>
            </w:pPr>
          </w:p>
        </w:tc>
      </w:tr>
      <w:tr>
        <w:trPr>
          <w:trHeight w:val="159"/>
        </w:trPr>
        <w:tc>
          <w:tcPr>
            <w:tcW w:w="4380" w:type="dxa"/>
            <w:vAlign w:val="bottom"/>
          </w:tcPr>
          <w:p>
            <w:pPr>
              <w:ind w:left="180"/>
              <w:spacing w:after="0"/>
              <w:rPr>
                <w:sz w:val="20"/>
                <w:szCs w:val="20"/>
                <w:color w:val="auto"/>
              </w:rPr>
            </w:pPr>
            <w:r>
              <w:rPr>
                <w:rFonts w:ascii="Arial" w:cs="Arial" w:eastAsia="Arial" w:hAnsi="Arial"/>
                <w:sz w:val="12"/>
                <w:szCs w:val="12"/>
                <w:color w:val="auto"/>
              </w:rPr>
              <w:t>Transaction costs</w:t>
            </w:r>
          </w:p>
        </w:tc>
        <w:tc>
          <w:tcPr>
            <w:tcW w:w="38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1,619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844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11,050</w:t>
            </w: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Other depreciation and amortization</w:t>
            </w:r>
          </w:p>
        </w:tc>
        <w:tc>
          <w:tcPr>
            <w:tcW w:w="38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21,622</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2,883</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39,946</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5,957</w:t>
            </w:r>
          </w:p>
        </w:tc>
        <w:tc>
          <w:tcPr>
            <w:tcW w:w="0" w:type="dxa"/>
            <w:vAlign w:val="bottom"/>
          </w:tcPr>
          <w:p>
            <w:pPr>
              <w:spacing w:after="0"/>
              <w:rPr>
                <w:sz w:val="1"/>
                <w:szCs w:val="1"/>
                <w:color w:val="auto"/>
              </w:rPr>
            </w:pPr>
          </w:p>
        </w:tc>
      </w:tr>
      <w:tr>
        <w:trPr>
          <w:trHeight w:val="159"/>
        </w:trPr>
        <w:tc>
          <w:tcPr>
            <w:tcW w:w="4380" w:type="dxa"/>
            <w:vAlign w:val="bottom"/>
          </w:tcPr>
          <w:p>
            <w:pPr>
              <w:ind w:left="180"/>
              <w:spacing w:after="0"/>
              <w:rPr>
                <w:sz w:val="20"/>
                <w:szCs w:val="20"/>
                <w:color w:val="auto"/>
              </w:rPr>
            </w:pPr>
            <w:r>
              <w:rPr>
                <w:rFonts w:ascii="Arial" w:cs="Arial" w:eastAsia="Arial" w:hAnsi="Arial"/>
                <w:sz w:val="12"/>
                <w:szCs w:val="12"/>
                <w:color w:val="auto"/>
              </w:rPr>
              <w:t>Lease impairment expense and other related charges</w:t>
            </w:r>
          </w:p>
        </w:tc>
        <w:tc>
          <w:tcPr>
            <w:tcW w:w="3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474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1,394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1,727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3,055</w:t>
            </w: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Restructuring costs</w:t>
            </w:r>
          </w:p>
        </w:tc>
        <w:tc>
          <w:tcPr>
            <w:tcW w:w="38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6,960</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749</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10,102</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689</w:t>
            </w:r>
          </w:p>
        </w:tc>
        <w:tc>
          <w:tcPr>
            <w:tcW w:w="0" w:type="dxa"/>
            <w:vAlign w:val="bottom"/>
          </w:tcPr>
          <w:p>
            <w:pPr>
              <w:spacing w:after="0"/>
              <w:rPr>
                <w:sz w:val="1"/>
                <w:szCs w:val="1"/>
                <w:color w:val="auto"/>
              </w:rPr>
            </w:pPr>
          </w:p>
        </w:tc>
      </w:tr>
      <w:tr>
        <w:trPr>
          <w:trHeight w:val="159"/>
        </w:trPr>
        <w:tc>
          <w:tcPr>
            <w:tcW w:w="4380" w:type="dxa"/>
            <w:vAlign w:val="bottom"/>
          </w:tcPr>
          <w:p>
            <w:pPr>
              <w:ind w:left="180"/>
              <w:spacing w:after="0"/>
              <w:rPr>
                <w:sz w:val="20"/>
                <w:szCs w:val="20"/>
                <w:color w:val="auto"/>
              </w:rPr>
            </w:pPr>
            <w:r>
              <w:rPr>
                <w:rFonts w:ascii="Arial" w:cs="Arial" w:eastAsia="Arial" w:hAnsi="Arial"/>
                <w:sz w:val="12"/>
                <w:szCs w:val="12"/>
                <w:color w:val="auto"/>
              </w:rPr>
              <w:t>Currency losses (gains), net</w:t>
            </w:r>
          </w:p>
        </w:tc>
        <w:tc>
          <w:tcPr>
            <w:tcW w:w="3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(380)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69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518</w:t>
            </w: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Other expense (income), net</w:t>
            </w:r>
          </w:p>
        </w:tc>
        <w:tc>
          <w:tcPr>
            <w:tcW w:w="38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719</w:t>
            </w:r>
          </w:p>
        </w:tc>
        <w:tc>
          <w:tcPr>
            <w:tcW w:w="80" w:type="dxa"/>
            <w:vAlign w:val="bottom"/>
            <w:shd w:val="clear" w:color="auto" w:fill="DBDBDB"/>
          </w:tcPr>
          <w:p>
            <w:pPr>
              <w:spacing w:after="0"/>
              <w:rPr>
                <w:sz w:val="14"/>
                <w:szCs w:val="14"/>
                <w:color w:val="auto"/>
              </w:rPr>
            </w:pPr>
          </w:p>
        </w:tc>
        <w:tc>
          <w:tcPr>
            <w:tcW w:w="380" w:type="dxa"/>
            <w:vAlign w:val="bottom"/>
            <w:tcBorders>
              <w:bottom w:val="single" w:sz="8" w:color="auto"/>
            </w:tcBorders>
            <w:shd w:val="clear" w:color="auto" w:fill="DBDBDB"/>
          </w:tcPr>
          <w:p>
            <w:pPr>
              <w:spacing w:after="0"/>
              <w:rPr>
                <w:sz w:val="14"/>
                <w:szCs w:val="14"/>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(1,021)</w:t>
            </w:r>
          </w:p>
        </w:tc>
        <w:tc>
          <w:tcPr>
            <w:tcW w:w="80" w:type="dxa"/>
            <w:vAlign w:val="bottom"/>
            <w:shd w:val="clear" w:color="auto" w:fill="DBDBDB"/>
          </w:tcPr>
          <w:p>
            <w:pPr>
              <w:spacing w:after="0"/>
              <w:rPr>
                <w:sz w:val="14"/>
                <w:szCs w:val="14"/>
                <w:color w:val="auto"/>
              </w:rPr>
            </w:pPr>
          </w:p>
        </w:tc>
        <w:tc>
          <w:tcPr>
            <w:tcW w:w="40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(1,269)</w:t>
            </w:r>
          </w:p>
        </w:tc>
        <w:tc>
          <w:tcPr>
            <w:tcW w:w="80" w:type="dxa"/>
            <w:vAlign w:val="bottom"/>
            <w:shd w:val="clear" w:color="auto" w:fill="DBDBDB"/>
          </w:tcPr>
          <w:p>
            <w:pPr>
              <w:spacing w:after="0"/>
              <w:rPr>
                <w:sz w:val="14"/>
                <w:szCs w:val="14"/>
                <w:color w:val="auto"/>
              </w:rPr>
            </w:pPr>
          </w:p>
        </w:tc>
        <w:tc>
          <w:tcPr>
            <w:tcW w:w="380" w:type="dxa"/>
            <w:vAlign w:val="bottom"/>
            <w:tcBorders>
              <w:bottom w:val="single" w:sz="8" w:color="auto"/>
            </w:tcBorders>
            <w:shd w:val="clear" w:color="auto" w:fill="DBDBDB"/>
          </w:tcPr>
          <w:p>
            <w:pPr>
              <w:spacing w:after="0"/>
              <w:rPr>
                <w:sz w:val="14"/>
                <w:szCs w:val="14"/>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(745)</w:t>
            </w:r>
          </w:p>
        </w:tc>
        <w:tc>
          <w:tcPr>
            <w:tcW w:w="0" w:type="dxa"/>
            <w:vAlign w:val="bottom"/>
          </w:tcPr>
          <w:p>
            <w:pPr>
              <w:spacing w:after="0"/>
              <w:rPr>
                <w:sz w:val="1"/>
                <w:szCs w:val="1"/>
                <w:color w:val="auto"/>
              </w:rPr>
            </w:pPr>
          </w:p>
        </w:tc>
      </w:tr>
      <w:tr>
        <w:trPr>
          <w:trHeight w:val="149"/>
        </w:trPr>
        <w:tc>
          <w:tcPr>
            <w:tcW w:w="4380" w:type="dxa"/>
            <w:vAlign w:val="bottom"/>
          </w:tcPr>
          <w:p>
            <w:pPr>
              <w:ind w:left="340"/>
              <w:spacing w:after="0"/>
              <w:rPr>
                <w:sz w:val="20"/>
                <w:szCs w:val="20"/>
                <w:color w:val="auto"/>
              </w:rPr>
            </w:pPr>
            <w:r>
              <w:rPr>
                <w:rFonts w:ascii="Arial" w:cs="Arial" w:eastAsia="Arial" w:hAnsi="Arial"/>
                <w:sz w:val="12"/>
                <w:szCs w:val="12"/>
                <w:color w:val="auto"/>
              </w:rPr>
              <w:t>Operating income</w:t>
            </w:r>
          </w:p>
        </w:tc>
        <w:tc>
          <w:tcPr>
            <w:tcW w:w="3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70,615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41,067</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145,899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66,440</w:t>
            </w: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Interest expense</w:t>
            </w:r>
          </w:p>
        </w:tc>
        <w:tc>
          <w:tcPr>
            <w:tcW w:w="38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29,212</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28,519</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59,176</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56,776</w:t>
            </w:r>
          </w:p>
        </w:tc>
        <w:tc>
          <w:tcPr>
            <w:tcW w:w="0" w:type="dxa"/>
            <w:vAlign w:val="bottom"/>
          </w:tcPr>
          <w:p>
            <w:pPr>
              <w:spacing w:after="0"/>
              <w:rPr>
                <w:sz w:val="1"/>
                <w:szCs w:val="1"/>
                <w:color w:val="auto"/>
              </w:rPr>
            </w:pPr>
          </w:p>
        </w:tc>
      </w:tr>
      <w:tr>
        <w:trPr>
          <w:trHeight w:val="159"/>
        </w:trPr>
        <w:tc>
          <w:tcPr>
            <w:tcW w:w="4380" w:type="dxa"/>
            <w:vAlign w:val="bottom"/>
          </w:tcPr>
          <w:p>
            <w:pPr>
              <w:ind w:left="180"/>
              <w:spacing w:after="0"/>
              <w:rPr>
                <w:sz w:val="20"/>
                <w:szCs w:val="20"/>
                <w:color w:val="auto"/>
              </w:rPr>
            </w:pPr>
            <w:r>
              <w:rPr>
                <w:rFonts w:ascii="Arial" w:cs="Arial" w:eastAsia="Arial" w:hAnsi="Arial"/>
                <w:sz w:val="12"/>
                <w:szCs w:val="12"/>
                <w:color w:val="auto"/>
              </w:rPr>
              <w:t>Fair value (gain) loss on common stock warrant liabilities</w:t>
            </w:r>
          </w:p>
        </w:tc>
        <w:tc>
          <w:tcPr>
            <w:tcW w:w="3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(610)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26,963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26,597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(68,366)</w:t>
            </w: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Loss on extinguishment of debt</w:t>
            </w:r>
          </w:p>
        </w:tc>
        <w:tc>
          <w:tcPr>
            <w:tcW w:w="38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2,814</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36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5,999</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4380" w:type="dxa"/>
            <w:vAlign w:val="bottom"/>
          </w:tcPr>
          <w:p>
            <w:pPr>
              <w:ind w:left="20"/>
              <w:spacing w:after="0"/>
              <w:rPr>
                <w:sz w:val="20"/>
                <w:szCs w:val="20"/>
                <w:color w:val="auto"/>
              </w:rPr>
            </w:pPr>
            <w:r>
              <w:rPr>
                <w:rFonts w:ascii="Arial" w:cs="Arial" w:eastAsia="Arial" w:hAnsi="Arial"/>
                <w:sz w:val="12"/>
                <w:szCs w:val="12"/>
                <w:color w:val="auto"/>
              </w:rPr>
              <w:t>Income (loss) before income tax</w:t>
            </w:r>
          </w:p>
        </w:tc>
        <w:tc>
          <w:tcPr>
            <w:tcW w:w="3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39,199</w:t>
            </w: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(14,415)</w:t>
            </w: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54,127</w:t>
            </w: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78,030</w:t>
            </w: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Income tax expense (benefit)</w:t>
            </w:r>
          </w:p>
        </w:tc>
        <w:tc>
          <w:tcPr>
            <w:tcW w:w="38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18,828</w:t>
            </w:r>
          </w:p>
        </w:tc>
        <w:tc>
          <w:tcPr>
            <w:tcW w:w="80" w:type="dxa"/>
            <w:vAlign w:val="bottom"/>
            <w:shd w:val="clear" w:color="auto" w:fill="DBDBDB"/>
          </w:tcPr>
          <w:p>
            <w:pPr>
              <w:spacing w:after="0"/>
              <w:rPr>
                <w:sz w:val="14"/>
                <w:szCs w:val="14"/>
                <w:color w:val="auto"/>
              </w:rPr>
            </w:pPr>
          </w:p>
        </w:tc>
        <w:tc>
          <w:tcPr>
            <w:tcW w:w="380" w:type="dxa"/>
            <w:vAlign w:val="bottom"/>
            <w:tcBorders>
              <w:bottom w:val="single" w:sz="8" w:color="auto"/>
            </w:tcBorders>
            <w:shd w:val="clear" w:color="auto" w:fill="DBDBDB"/>
          </w:tcPr>
          <w:p>
            <w:pPr>
              <w:spacing w:after="0"/>
              <w:rPr>
                <w:sz w:val="14"/>
                <w:szCs w:val="14"/>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(285)</w:t>
            </w:r>
          </w:p>
        </w:tc>
        <w:tc>
          <w:tcPr>
            <w:tcW w:w="80" w:type="dxa"/>
            <w:vAlign w:val="bottom"/>
            <w:shd w:val="clear" w:color="auto" w:fill="DBDBDB"/>
          </w:tcPr>
          <w:p>
            <w:pPr>
              <w:spacing w:after="0"/>
              <w:rPr>
                <w:sz w:val="14"/>
                <w:szCs w:val="14"/>
                <w:color w:val="auto"/>
              </w:rPr>
            </w:pPr>
          </w:p>
        </w:tc>
        <w:tc>
          <w:tcPr>
            <w:tcW w:w="40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29,309</w:t>
            </w:r>
          </w:p>
        </w:tc>
        <w:tc>
          <w:tcPr>
            <w:tcW w:w="80" w:type="dxa"/>
            <w:vAlign w:val="bottom"/>
            <w:shd w:val="clear" w:color="auto" w:fill="DBDBDB"/>
          </w:tcPr>
          <w:p>
            <w:pPr>
              <w:spacing w:after="0"/>
              <w:rPr>
                <w:sz w:val="14"/>
                <w:szCs w:val="14"/>
                <w:color w:val="auto"/>
              </w:rPr>
            </w:pPr>
          </w:p>
        </w:tc>
        <w:tc>
          <w:tcPr>
            <w:tcW w:w="380" w:type="dxa"/>
            <w:vAlign w:val="bottom"/>
            <w:tcBorders>
              <w:bottom w:val="single" w:sz="8" w:color="auto"/>
            </w:tcBorders>
            <w:shd w:val="clear" w:color="auto" w:fill="DBDBDB"/>
          </w:tcPr>
          <w:p>
            <w:pPr>
              <w:spacing w:after="0"/>
              <w:rPr>
                <w:sz w:val="14"/>
                <w:szCs w:val="14"/>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505</w:t>
            </w:r>
          </w:p>
        </w:tc>
        <w:tc>
          <w:tcPr>
            <w:tcW w:w="0" w:type="dxa"/>
            <w:vAlign w:val="bottom"/>
          </w:tcPr>
          <w:p>
            <w:pPr>
              <w:spacing w:after="0"/>
              <w:rPr>
                <w:sz w:val="1"/>
                <w:szCs w:val="1"/>
                <w:color w:val="auto"/>
              </w:rPr>
            </w:pPr>
          </w:p>
        </w:tc>
      </w:tr>
      <w:tr>
        <w:trPr>
          <w:trHeight w:val="149"/>
        </w:trPr>
        <w:tc>
          <w:tcPr>
            <w:tcW w:w="43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3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20,371</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(14,130)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24,818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77,525</w:t>
            </w: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20"/>
              <w:spacing w:after="0"/>
              <w:rPr>
                <w:sz w:val="20"/>
                <w:szCs w:val="20"/>
                <w:color w:val="auto"/>
              </w:rPr>
            </w:pPr>
            <w:r>
              <w:rPr>
                <w:rFonts w:ascii="Arial" w:cs="Arial" w:eastAsia="Arial" w:hAnsi="Arial"/>
                <w:sz w:val="12"/>
                <w:szCs w:val="12"/>
                <w:color w:val="auto"/>
              </w:rPr>
              <w:t>Net income attributable to non-controlling interest, net of tax</w:t>
            </w:r>
          </w:p>
        </w:tc>
        <w:tc>
          <w:tcPr>
            <w:tcW w:w="380" w:type="dxa"/>
            <w:vAlign w:val="bottom"/>
            <w:shd w:val="clear" w:color="auto" w:fill="DBDBDB"/>
          </w:tcPr>
          <w:p>
            <w:pPr>
              <w:spacing w:after="0"/>
              <w:rPr>
                <w:sz w:val="14"/>
                <w:szCs w:val="14"/>
                <w:color w:val="auto"/>
              </w:rPr>
            </w:pPr>
          </w:p>
        </w:tc>
        <w:tc>
          <w:tcPr>
            <w:tcW w:w="138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1,343</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8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1,213</w:t>
            </w:r>
          </w:p>
        </w:tc>
        <w:tc>
          <w:tcPr>
            <w:tcW w:w="0" w:type="dxa"/>
            <w:vAlign w:val="bottom"/>
          </w:tcPr>
          <w:p>
            <w:pPr>
              <w:spacing w:after="0"/>
              <w:rPr>
                <w:sz w:val="1"/>
                <w:szCs w:val="1"/>
                <w:color w:val="auto"/>
              </w:rPr>
            </w:pPr>
          </w:p>
        </w:tc>
      </w:tr>
      <w:tr>
        <w:trPr>
          <w:trHeight w:val="149"/>
        </w:trPr>
        <w:tc>
          <w:tcPr>
            <w:tcW w:w="4380" w:type="dxa"/>
            <w:vAlign w:val="bottom"/>
          </w:tcPr>
          <w:p>
            <w:pPr>
              <w:ind w:left="20"/>
              <w:spacing w:after="0"/>
              <w:rPr>
                <w:sz w:val="20"/>
                <w:szCs w:val="20"/>
                <w:color w:val="auto"/>
              </w:rPr>
            </w:pPr>
            <w:r>
              <w:rPr>
                <w:rFonts w:ascii="Arial" w:cs="Arial" w:eastAsia="Arial" w:hAnsi="Arial"/>
                <w:sz w:val="12"/>
                <w:szCs w:val="12"/>
                <w:color w:val="auto"/>
              </w:rPr>
              <w:t>Net income (loss) attributable to WillScot Mobile Mini</w:t>
            </w:r>
          </w:p>
        </w:tc>
        <w:tc>
          <w:tcPr>
            <w:tcW w:w="3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20,371</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(15,473)</w:t>
            </w: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24,818</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76,312</w:t>
            </w:r>
          </w:p>
        </w:tc>
        <w:tc>
          <w:tcPr>
            <w:tcW w:w="0" w:type="dxa"/>
            <w:vAlign w:val="bottom"/>
          </w:tcPr>
          <w:p>
            <w:pPr>
              <w:spacing w:after="0"/>
              <w:rPr>
                <w:sz w:val="1"/>
                <w:szCs w:val="1"/>
                <w:color w:val="auto"/>
              </w:rPr>
            </w:pPr>
          </w:p>
        </w:tc>
      </w:tr>
      <w:tr>
        <w:trPr>
          <w:trHeight w:val="20"/>
        </w:trPr>
        <w:tc>
          <w:tcPr>
            <w:tcW w:w="438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38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2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80" w:type="dxa"/>
            <w:vAlign w:val="bottom"/>
          </w:tcPr>
          <w:p>
            <w:pPr>
              <w:ind w:left="20"/>
              <w:spacing w:after="0" w:line="133" w:lineRule="exact"/>
              <w:rPr>
                <w:sz w:val="20"/>
                <w:szCs w:val="20"/>
                <w:color w:val="auto"/>
              </w:rPr>
            </w:pPr>
            <w:r>
              <w:rPr>
                <w:rFonts w:ascii="Arial" w:cs="Arial" w:eastAsia="Arial" w:hAnsi="Arial"/>
                <w:sz w:val="12"/>
                <w:szCs w:val="12"/>
                <w:color w:val="auto"/>
              </w:rPr>
              <w:t>Earnings (loss) per share attributable to WillScot Mobile Mini common</w:t>
            </w: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80" w:type="dxa"/>
            <w:vAlign w:val="bottom"/>
          </w:tcPr>
          <w:p>
            <w:pPr>
              <w:ind w:left="20"/>
              <w:spacing w:after="0"/>
              <w:rPr>
                <w:sz w:val="20"/>
                <w:szCs w:val="20"/>
                <w:color w:val="auto"/>
              </w:rPr>
            </w:pPr>
            <w:r>
              <w:rPr>
                <w:rFonts w:ascii="Arial" w:cs="Arial" w:eastAsia="Arial" w:hAnsi="Arial"/>
                <w:sz w:val="12"/>
                <w:szCs w:val="12"/>
                <w:color w:val="auto"/>
              </w:rPr>
              <w:t>shareholders</w:t>
            </w: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20"/>
              <w:spacing w:after="0"/>
              <w:rPr>
                <w:sz w:val="20"/>
                <w:szCs w:val="20"/>
                <w:color w:val="auto"/>
              </w:rPr>
            </w:pPr>
            <w:r>
              <w:rPr>
                <w:rFonts w:ascii="Arial" w:cs="Arial" w:eastAsia="Arial" w:hAnsi="Arial"/>
                <w:sz w:val="12"/>
                <w:szCs w:val="12"/>
                <w:color w:val="auto"/>
              </w:rPr>
              <w:t>Basic</w:t>
            </w:r>
          </w:p>
        </w:tc>
        <w:tc>
          <w:tcPr>
            <w:tcW w:w="380" w:type="dxa"/>
            <w:vAlign w:val="bottom"/>
            <w:shd w:val="clear" w:color="auto" w:fill="DBDBDB"/>
          </w:tcPr>
          <w:p>
            <w:pPr>
              <w:jc w:val="right"/>
              <w:ind w:right="239"/>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0.09</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jc w:val="right"/>
              <w:ind w:right="239"/>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(0.14)</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jc w:val="right"/>
              <w:ind w:right="259"/>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0.11</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jc w:val="right"/>
              <w:ind w:right="239"/>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0.69</w:t>
            </w:r>
          </w:p>
        </w:tc>
        <w:tc>
          <w:tcPr>
            <w:tcW w:w="0" w:type="dxa"/>
            <w:vAlign w:val="bottom"/>
          </w:tcPr>
          <w:p>
            <w:pPr>
              <w:spacing w:after="0"/>
              <w:rPr>
                <w:sz w:val="1"/>
                <w:szCs w:val="1"/>
                <w:color w:val="auto"/>
              </w:rPr>
            </w:pPr>
          </w:p>
        </w:tc>
      </w:tr>
      <w:tr>
        <w:trPr>
          <w:trHeight w:val="159"/>
        </w:trPr>
        <w:tc>
          <w:tcPr>
            <w:tcW w:w="4380" w:type="dxa"/>
            <w:vAlign w:val="bottom"/>
          </w:tcPr>
          <w:p>
            <w:pPr>
              <w:ind w:left="20"/>
              <w:spacing w:after="0"/>
              <w:rPr>
                <w:sz w:val="20"/>
                <w:szCs w:val="20"/>
                <w:color w:val="auto"/>
              </w:rPr>
            </w:pPr>
            <w:r>
              <w:rPr>
                <w:rFonts w:ascii="Arial" w:cs="Arial" w:eastAsia="Arial" w:hAnsi="Arial"/>
                <w:sz w:val="12"/>
                <w:szCs w:val="12"/>
                <w:color w:val="auto"/>
              </w:rPr>
              <w:t>Diluted</w:t>
            </w:r>
          </w:p>
        </w:tc>
        <w:tc>
          <w:tcPr>
            <w:tcW w:w="380" w:type="dxa"/>
            <w:vAlign w:val="bottom"/>
          </w:tcPr>
          <w:p>
            <w:pPr>
              <w:jc w:val="right"/>
              <w:ind w:right="239"/>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0.08</w:t>
            </w:r>
          </w:p>
        </w:tc>
        <w:tc>
          <w:tcPr>
            <w:tcW w:w="80" w:type="dxa"/>
            <w:vAlign w:val="bottom"/>
          </w:tcPr>
          <w:p>
            <w:pPr>
              <w:spacing w:after="0"/>
              <w:rPr>
                <w:sz w:val="13"/>
                <w:szCs w:val="13"/>
                <w:color w:val="auto"/>
              </w:rPr>
            </w:pPr>
          </w:p>
        </w:tc>
        <w:tc>
          <w:tcPr>
            <w:tcW w:w="380" w:type="dxa"/>
            <w:vAlign w:val="bottom"/>
          </w:tcPr>
          <w:p>
            <w:pPr>
              <w:jc w:val="right"/>
              <w:ind w:right="239"/>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(0.14)</w:t>
            </w:r>
          </w:p>
        </w:tc>
        <w:tc>
          <w:tcPr>
            <w:tcW w:w="80" w:type="dxa"/>
            <w:vAlign w:val="bottom"/>
          </w:tcPr>
          <w:p>
            <w:pPr>
              <w:spacing w:after="0"/>
              <w:rPr>
                <w:sz w:val="13"/>
                <w:szCs w:val="13"/>
                <w:color w:val="auto"/>
              </w:rPr>
            </w:pPr>
          </w:p>
        </w:tc>
        <w:tc>
          <w:tcPr>
            <w:tcW w:w="400" w:type="dxa"/>
            <w:vAlign w:val="bottom"/>
          </w:tcPr>
          <w:p>
            <w:pPr>
              <w:jc w:val="right"/>
              <w:ind w:right="259"/>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0.11</w:t>
            </w:r>
          </w:p>
        </w:tc>
        <w:tc>
          <w:tcPr>
            <w:tcW w:w="80" w:type="dxa"/>
            <w:vAlign w:val="bottom"/>
          </w:tcPr>
          <w:p>
            <w:pPr>
              <w:spacing w:after="0"/>
              <w:rPr>
                <w:sz w:val="13"/>
                <w:szCs w:val="13"/>
                <w:color w:val="auto"/>
              </w:rPr>
            </w:pPr>
          </w:p>
        </w:tc>
        <w:tc>
          <w:tcPr>
            <w:tcW w:w="380" w:type="dxa"/>
            <w:vAlign w:val="bottom"/>
          </w:tcPr>
          <w:p>
            <w:pPr>
              <w:jc w:val="right"/>
              <w:ind w:right="239"/>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0.06</w:t>
            </w: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20"/>
              <w:spacing w:after="0"/>
              <w:rPr>
                <w:sz w:val="20"/>
                <w:szCs w:val="20"/>
                <w:color w:val="auto"/>
              </w:rPr>
            </w:pPr>
            <w:r>
              <w:rPr>
                <w:rFonts w:ascii="Arial" w:cs="Arial" w:eastAsia="Arial" w:hAnsi="Arial"/>
                <w:sz w:val="12"/>
                <w:szCs w:val="12"/>
                <w:color w:val="auto"/>
              </w:rPr>
              <w:t>Weighted average shares:</w:t>
            </w:r>
          </w:p>
        </w:tc>
        <w:tc>
          <w:tcPr>
            <w:tcW w:w="38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380" w:type="dxa"/>
            <w:vAlign w:val="bottom"/>
          </w:tcPr>
          <w:p>
            <w:pPr>
              <w:ind w:left="20"/>
              <w:spacing w:after="0"/>
              <w:rPr>
                <w:sz w:val="20"/>
                <w:szCs w:val="20"/>
                <w:color w:val="auto"/>
              </w:rPr>
            </w:pPr>
            <w:r>
              <w:rPr>
                <w:rFonts w:ascii="Arial" w:cs="Arial" w:eastAsia="Arial" w:hAnsi="Arial"/>
                <w:sz w:val="12"/>
                <w:szCs w:val="12"/>
                <w:color w:val="auto"/>
              </w:rPr>
              <w:t>Basic</w:t>
            </w:r>
          </w:p>
        </w:tc>
        <w:tc>
          <w:tcPr>
            <w:tcW w:w="3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228,406,812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110,692,426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228,350,318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110,174,536</w:t>
            </w:r>
          </w:p>
        </w:tc>
        <w:tc>
          <w:tcPr>
            <w:tcW w:w="0" w:type="dxa"/>
            <w:vAlign w:val="bottom"/>
          </w:tcPr>
          <w:p>
            <w:pPr>
              <w:spacing w:after="0"/>
              <w:rPr>
                <w:sz w:val="1"/>
                <w:szCs w:val="1"/>
                <w:color w:val="auto"/>
              </w:rPr>
            </w:pPr>
          </w:p>
        </w:tc>
      </w:tr>
      <w:tr>
        <w:trPr>
          <w:trHeight w:val="164"/>
        </w:trPr>
        <w:tc>
          <w:tcPr>
            <w:tcW w:w="4380" w:type="dxa"/>
            <w:vAlign w:val="bottom"/>
            <w:shd w:val="clear" w:color="auto" w:fill="DBDBDB"/>
          </w:tcPr>
          <w:p>
            <w:pPr>
              <w:ind w:left="20"/>
              <w:spacing w:after="0"/>
              <w:rPr>
                <w:sz w:val="20"/>
                <w:szCs w:val="20"/>
                <w:color w:val="auto"/>
              </w:rPr>
            </w:pPr>
            <w:r>
              <w:rPr>
                <w:rFonts w:ascii="Arial" w:cs="Arial" w:eastAsia="Arial" w:hAnsi="Arial"/>
                <w:sz w:val="12"/>
                <w:szCs w:val="12"/>
                <w:color w:val="auto"/>
              </w:rPr>
              <w:t>Diluted</w:t>
            </w:r>
          </w:p>
        </w:tc>
        <w:tc>
          <w:tcPr>
            <w:tcW w:w="38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236,536,713</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110,692,426</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234,898,911</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112,336,118</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9"/>
          <w:szCs w:val="9"/>
          <w:i w:val="1"/>
          <w:iCs w:val="1"/>
          <w:color w:val="auto"/>
        </w:rPr>
        <w:t>See the accompanying notes which are an integral part of these condensed consolidated financial statements.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33020</wp:posOffset>
            </wp:positionV>
            <wp:extent cx="719264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506"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1D2758"/>
        </w:rPr>
        <w:t>WillScot Mobile Mini Holdings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1D2758"/>
        </w:rPr>
        <w:t>Condensed 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1D2758"/>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60" w:type="dxa"/>
            <w:vAlign w:val="bottom"/>
            <w:shd w:val="clear" w:color="auto" w:fill="1D2758"/>
          </w:tcPr>
          <w:p>
            <w:pPr>
              <w:spacing w:after="0"/>
              <w:rPr>
                <w:sz w:val="12"/>
                <w:szCs w:val="12"/>
                <w:color w:val="auto"/>
              </w:rPr>
            </w:pPr>
          </w:p>
        </w:tc>
        <w:tc>
          <w:tcPr>
            <w:tcW w:w="980" w:type="dxa"/>
            <w:vAlign w:val="bottom"/>
            <w:shd w:val="clear" w:color="auto" w:fill="1D2758"/>
          </w:tcPr>
          <w:p>
            <w:pPr>
              <w:spacing w:after="0"/>
              <w:rPr>
                <w:sz w:val="12"/>
                <w:szCs w:val="12"/>
                <w:color w:val="auto"/>
              </w:rPr>
            </w:pPr>
          </w:p>
        </w:tc>
        <w:tc>
          <w:tcPr>
            <w:tcW w:w="1320" w:type="dxa"/>
            <w:vAlign w:val="bottom"/>
            <w:gridSpan w:val="3"/>
            <w:shd w:val="clear" w:color="auto" w:fill="1D2758"/>
          </w:tcPr>
          <w:p>
            <w:pPr>
              <w:jc w:val="right"/>
              <w:spacing w:after="0"/>
              <w:rPr>
                <w:sz w:val="20"/>
                <w:szCs w:val="20"/>
                <w:color w:val="auto"/>
              </w:rPr>
            </w:pPr>
            <w:r>
              <w:rPr>
                <w:rFonts w:ascii="Arial" w:cs="Arial" w:eastAsia="Arial" w:hAnsi="Arial"/>
                <w:sz w:val="12"/>
                <w:szCs w:val="12"/>
                <w:b w:val="1"/>
                <w:bCs w:val="1"/>
                <w:color w:val="FFFFFF"/>
              </w:rPr>
              <w:t>Three Months Ended</w:t>
            </w:r>
          </w:p>
        </w:tc>
        <w:tc>
          <w:tcPr>
            <w:tcW w:w="1000" w:type="dxa"/>
            <w:vAlign w:val="bottom"/>
            <w:shd w:val="clear" w:color="auto" w:fill="1D2758"/>
          </w:tcPr>
          <w:p>
            <w:pPr>
              <w:spacing w:after="0"/>
              <w:rPr>
                <w:sz w:val="12"/>
                <w:szCs w:val="12"/>
                <w:color w:val="auto"/>
              </w:rPr>
            </w:pPr>
          </w:p>
        </w:tc>
        <w:tc>
          <w:tcPr>
            <w:tcW w:w="80" w:type="dxa"/>
            <w:vAlign w:val="bottom"/>
            <w:shd w:val="clear" w:color="auto" w:fill="1D2758"/>
          </w:tcPr>
          <w:p>
            <w:pPr>
              <w:spacing w:after="0"/>
              <w:rPr>
                <w:sz w:val="12"/>
                <w:szCs w:val="12"/>
                <w:color w:val="auto"/>
              </w:rPr>
            </w:pPr>
          </w:p>
        </w:tc>
        <w:tc>
          <w:tcPr>
            <w:tcW w:w="380" w:type="dxa"/>
            <w:vAlign w:val="bottom"/>
            <w:shd w:val="clear" w:color="auto" w:fill="1D2758"/>
          </w:tcPr>
          <w:p>
            <w:pPr>
              <w:spacing w:after="0"/>
              <w:rPr>
                <w:sz w:val="12"/>
                <w:szCs w:val="12"/>
                <w:color w:val="auto"/>
              </w:rPr>
            </w:pPr>
          </w:p>
        </w:tc>
        <w:tc>
          <w:tcPr>
            <w:tcW w:w="1920" w:type="dxa"/>
            <w:vAlign w:val="bottom"/>
            <w:gridSpan w:val="3"/>
            <w:shd w:val="clear" w:color="auto" w:fill="1D2758"/>
          </w:tcPr>
          <w:p>
            <w:pPr>
              <w:jc w:val="right"/>
              <w:ind w:right="39"/>
              <w:spacing w:after="0"/>
              <w:rPr>
                <w:sz w:val="20"/>
                <w:szCs w:val="20"/>
                <w:color w:val="auto"/>
              </w:rPr>
            </w:pPr>
            <w:r>
              <w:rPr>
                <w:rFonts w:ascii="Arial" w:cs="Arial" w:eastAsia="Arial" w:hAnsi="Arial"/>
                <w:sz w:val="12"/>
                <w:szCs w:val="12"/>
                <w:b w:val="1"/>
                <w:bCs w:val="1"/>
                <w:color w:val="FFFFFF"/>
              </w:rPr>
              <w:t>Six Months Ended</w:t>
            </w:r>
          </w:p>
        </w:tc>
        <w:tc>
          <w:tcPr>
            <w:tcW w:w="1040" w:type="dxa"/>
            <w:vAlign w:val="bottom"/>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560" w:type="dxa"/>
            <w:vAlign w:val="bottom"/>
            <w:shd w:val="clear" w:color="auto" w:fill="1D2758"/>
          </w:tcPr>
          <w:p>
            <w:pPr>
              <w:spacing w:after="0"/>
              <w:rPr>
                <w:sz w:val="13"/>
                <w:szCs w:val="13"/>
                <w:color w:val="auto"/>
              </w:rPr>
            </w:pPr>
          </w:p>
        </w:tc>
        <w:tc>
          <w:tcPr>
            <w:tcW w:w="980" w:type="dxa"/>
            <w:vAlign w:val="bottom"/>
            <w:shd w:val="clear" w:color="auto" w:fill="1D2758"/>
          </w:tcPr>
          <w:p>
            <w:pPr>
              <w:spacing w:after="0"/>
              <w:rPr>
                <w:sz w:val="13"/>
                <w:szCs w:val="13"/>
                <w:color w:val="auto"/>
              </w:rPr>
            </w:pPr>
          </w:p>
        </w:tc>
        <w:tc>
          <w:tcPr>
            <w:tcW w:w="1320" w:type="dxa"/>
            <w:vAlign w:val="bottom"/>
            <w:gridSpan w:val="3"/>
            <w:shd w:val="clear" w:color="auto" w:fill="1D2758"/>
          </w:tcPr>
          <w:p>
            <w:pPr>
              <w:jc w:val="right"/>
              <w:ind w:right="339"/>
              <w:spacing w:after="0"/>
              <w:rPr>
                <w:sz w:val="20"/>
                <w:szCs w:val="20"/>
                <w:color w:val="auto"/>
              </w:rPr>
            </w:pPr>
            <w:r>
              <w:rPr>
                <w:rFonts w:ascii="Arial" w:cs="Arial" w:eastAsia="Arial" w:hAnsi="Arial"/>
                <w:sz w:val="12"/>
                <w:szCs w:val="12"/>
                <w:b w:val="1"/>
                <w:bCs w:val="1"/>
                <w:color w:val="FFFFFF"/>
              </w:rPr>
              <w:t>June 30,</w:t>
            </w:r>
          </w:p>
        </w:tc>
        <w:tc>
          <w:tcPr>
            <w:tcW w:w="100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380" w:type="dxa"/>
            <w:vAlign w:val="bottom"/>
            <w:shd w:val="clear" w:color="auto" w:fill="1D2758"/>
          </w:tcPr>
          <w:p>
            <w:pPr>
              <w:spacing w:after="0"/>
              <w:rPr>
                <w:sz w:val="13"/>
                <w:szCs w:val="13"/>
                <w:color w:val="auto"/>
              </w:rPr>
            </w:pPr>
          </w:p>
        </w:tc>
        <w:tc>
          <w:tcPr>
            <w:tcW w:w="1920" w:type="dxa"/>
            <w:vAlign w:val="bottom"/>
            <w:gridSpan w:val="3"/>
            <w:shd w:val="clear" w:color="auto" w:fill="1D2758"/>
          </w:tcPr>
          <w:p>
            <w:pPr>
              <w:jc w:val="right"/>
              <w:ind w:right="319"/>
              <w:spacing w:after="0"/>
              <w:rPr>
                <w:sz w:val="20"/>
                <w:szCs w:val="20"/>
                <w:color w:val="auto"/>
              </w:rPr>
            </w:pPr>
            <w:r>
              <w:rPr>
                <w:rFonts w:ascii="Arial" w:cs="Arial" w:eastAsia="Arial" w:hAnsi="Arial"/>
                <w:sz w:val="12"/>
                <w:szCs w:val="12"/>
                <w:b w:val="1"/>
                <w:bCs w:val="1"/>
                <w:color w:val="FFFFFF"/>
              </w:rPr>
              <w:t>June 30,</w:t>
            </w:r>
          </w:p>
        </w:tc>
        <w:tc>
          <w:tcPr>
            <w:tcW w:w="104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6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980" w:type="dxa"/>
            <w:vAlign w:val="bottom"/>
            <w:vMerge w:val="restart"/>
            <w:shd w:val="clear" w:color="auto" w:fill="1D2758"/>
          </w:tcPr>
          <w:p>
            <w:pPr>
              <w:jc w:val="right"/>
              <w:spacing w:after="0"/>
              <w:rPr>
                <w:sz w:val="20"/>
                <w:szCs w:val="20"/>
                <w:color w:val="auto"/>
              </w:rPr>
            </w:pPr>
            <w:r>
              <w:rPr>
                <w:rFonts w:ascii="Arial" w:cs="Arial" w:eastAsia="Arial" w:hAnsi="Arial"/>
                <w:sz w:val="12"/>
                <w:szCs w:val="12"/>
                <w:b w:val="1"/>
                <w:bCs w:val="1"/>
                <w:color w:val="FFFFFF"/>
              </w:rPr>
              <w:t>2021</w:t>
            </w:r>
          </w:p>
        </w:tc>
        <w:tc>
          <w:tcPr>
            <w:tcW w:w="60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640" w:type="dxa"/>
            <w:vAlign w:val="bottom"/>
            <w:shd w:val="clear" w:color="auto" w:fill="1D2758"/>
          </w:tcPr>
          <w:p>
            <w:pPr>
              <w:spacing w:after="0"/>
              <w:rPr>
                <w:sz w:val="13"/>
                <w:szCs w:val="13"/>
                <w:color w:val="auto"/>
              </w:rPr>
            </w:pPr>
          </w:p>
        </w:tc>
        <w:tc>
          <w:tcPr>
            <w:tcW w:w="1000" w:type="dxa"/>
            <w:vAlign w:val="bottom"/>
            <w:vMerge w:val="restart"/>
            <w:shd w:val="clear" w:color="auto" w:fill="1D2758"/>
          </w:tcPr>
          <w:p>
            <w:pPr>
              <w:jc w:val="right"/>
              <w:ind w:right="619"/>
              <w:spacing w:after="0"/>
              <w:rPr>
                <w:sz w:val="20"/>
                <w:szCs w:val="20"/>
                <w:color w:val="auto"/>
              </w:rPr>
            </w:pPr>
            <w:r>
              <w:rPr>
                <w:rFonts w:ascii="Arial" w:cs="Arial" w:eastAsia="Arial" w:hAnsi="Arial"/>
                <w:sz w:val="12"/>
                <w:szCs w:val="12"/>
                <w:b w:val="1"/>
                <w:bCs w:val="1"/>
                <w:color w:val="FFFFFF"/>
              </w:rPr>
              <w:t>2020</w:t>
            </w:r>
          </w:p>
        </w:tc>
        <w:tc>
          <w:tcPr>
            <w:tcW w:w="80" w:type="dxa"/>
            <w:vAlign w:val="bottom"/>
            <w:shd w:val="clear" w:color="auto" w:fill="1D2758"/>
          </w:tcPr>
          <w:p>
            <w:pPr>
              <w:spacing w:after="0"/>
              <w:rPr>
                <w:sz w:val="13"/>
                <w:szCs w:val="13"/>
                <w:color w:val="auto"/>
              </w:rPr>
            </w:pPr>
          </w:p>
        </w:tc>
        <w:tc>
          <w:tcPr>
            <w:tcW w:w="380" w:type="dxa"/>
            <w:vAlign w:val="bottom"/>
            <w:shd w:val="clear" w:color="auto" w:fill="1D2758"/>
          </w:tcPr>
          <w:p>
            <w:pPr>
              <w:spacing w:after="0"/>
              <w:rPr>
                <w:sz w:val="13"/>
                <w:szCs w:val="13"/>
                <w:color w:val="auto"/>
              </w:rPr>
            </w:pPr>
          </w:p>
        </w:tc>
        <w:tc>
          <w:tcPr>
            <w:tcW w:w="1260" w:type="dxa"/>
            <w:vAlign w:val="bottom"/>
            <w:vMerge w:val="restart"/>
            <w:shd w:val="clear" w:color="auto" w:fill="1D2758"/>
          </w:tcPr>
          <w:p>
            <w:pPr>
              <w:jc w:val="right"/>
              <w:ind w:right="619"/>
              <w:spacing w:after="0"/>
              <w:rPr>
                <w:sz w:val="20"/>
                <w:szCs w:val="20"/>
                <w:color w:val="auto"/>
              </w:rPr>
            </w:pPr>
            <w:r>
              <w:rPr>
                <w:rFonts w:ascii="Arial" w:cs="Arial" w:eastAsia="Arial" w:hAnsi="Arial"/>
                <w:sz w:val="12"/>
                <w:szCs w:val="12"/>
                <w:b w:val="1"/>
                <w:bCs w:val="1"/>
                <w:color w:val="FFFFFF"/>
              </w:rPr>
              <w:t>2021</w:t>
            </w:r>
          </w:p>
        </w:tc>
        <w:tc>
          <w:tcPr>
            <w:tcW w:w="80" w:type="dxa"/>
            <w:vAlign w:val="bottom"/>
            <w:shd w:val="clear" w:color="auto" w:fill="1D2758"/>
          </w:tcPr>
          <w:p>
            <w:pPr>
              <w:spacing w:after="0"/>
              <w:rPr>
                <w:sz w:val="13"/>
                <w:szCs w:val="13"/>
                <w:color w:val="auto"/>
              </w:rPr>
            </w:pPr>
          </w:p>
        </w:tc>
        <w:tc>
          <w:tcPr>
            <w:tcW w:w="5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619"/>
              <w:spacing w:after="0"/>
              <w:rPr>
                <w:sz w:val="20"/>
                <w:szCs w:val="20"/>
                <w:color w:val="auto"/>
              </w:rPr>
            </w:pPr>
            <w:r>
              <w:rPr>
                <w:rFonts w:ascii="Arial" w:cs="Arial" w:eastAsia="Arial" w:hAnsi="Arial"/>
                <w:sz w:val="12"/>
                <w:szCs w:val="12"/>
                <w:b w:val="1"/>
                <w:bCs w:val="1"/>
                <w:color w:val="FFFFFF"/>
              </w:rPr>
              <w:t>2020</w:t>
            </w:r>
          </w:p>
        </w:tc>
        <w:tc>
          <w:tcPr>
            <w:tcW w:w="0" w:type="dxa"/>
            <w:vAlign w:val="bottom"/>
          </w:tcPr>
          <w:p>
            <w:pPr>
              <w:spacing w:after="0"/>
              <w:rPr>
                <w:sz w:val="1"/>
                <w:szCs w:val="1"/>
                <w:color w:val="auto"/>
              </w:rPr>
            </w:pPr>
          </w:p>
        </w:tc>
      </w:tr>
      <w:tr>
        <w:trPr>
          <w:trHeight w:val="135"/>
        </w:trPr>
        <w:tc>
          <w:tcPr>
            <w:tcW w:w="4560" w:type="dxa"/>
            <w:vAlign w:val="bottom"/>
            <w:shd w:val="clear" w:color="auto" w:fill="1D2758"/>
          </w:tcPr>
          <w:p>
            <w:pPr>
              <w:spacing w:after="0"/>
              <w:rPr>
                <w:sz w:val="11"/>
                <w:szCs w:val="11"/>
                <w:color w:val="auto"/>
              </w:rPr>
            </w:pPr>
          </w:p>
        </w:tc>
        <w:tc>
          <w:tcPr>
            <w:tcW w:w="980" w:type="dxa"/>
            <w:vAlign w:val="bottom"/>
            <w:vMerge w:val="continue"/>
            <w:shd w:val="clear" w:color="auto" w:fill="1D2758"/>
          </w:tcPr>
          <w:p>
            <w:pPr>
              <w:spacing w:after="0"/>
              <w:rPr>
                <w:sz w:val="11"/>
                <w:szCs w:val="11"/>
                <w:color w:val="auto"/>
              </w:rPr>
            </w:pPr>
          </w:p>
        </w:tc>
        <w:tc>
          <w:tcPr>
            <w:tcW w:w="600" w:type="dxa"/>
            <w:vAlign w:val="bottom"/>
            <w:shd w:val="clear" w:color="auto" w:fill="1D2758"/>
          </w:tcPr>
          <w:p>
            <w:pPr>
              <w:spacing w:after="0"/>
              <w:rPr>
                <w:sz w:val="11"/>
                <w:szCs w:val="11"/>
                <w:color w:val="auto"/>
              </w:rPr>
            </w:pPr>
          </w:p>
        </w:tc>
        <w:tc>
          <w:tcPr>
            <w:tcW w:w="80" w:type="dxa"/>
            <w:vAlign w:val="bottom"/>
            <w:shd w:val="clear" w:color="auto" w:fill="1D2758"/>
          </w:tcPr>
          <w:p>
            <w:pPr>
              <w:spacing w:after="0"/>
              <w:rPr>
                <w:sz w:val="11"/>
                <w:szCs w:val="11"/>
                <w:color w:val="auto"/>
              </w:rPr>
            </w:pPr>
          </w:p>
        </w:tc>
        <w:tc>
          <w:tcPr>
            <w:tcW w:w="640" w:type="dxa"/>
            <w:vAlign w:val="bottom"/>
            <w:shd w:val="clear" w:color="auto" w:fill="1D2758"/>
          </w:tcPr>
          <w:p>
            <w:pPr>
              <w:spacing w:after="0"/>
              <w:rPr>
                <w:sz w:val="11"/>
                <w:szCs w:val="11"/>
                <w:color w:val="auto"/>
              </w:rPr>
            </w:pPr>
          </w:p>
        </w:tc>
        <w:tc>
          <w:tcPr>
            <w:tcW w:w="1000" w:type="dxa"/>
            <w:vAlign w:val="bottom"/>
            <w:vMerge w:val="continue"/>
            <w:shd w:val="clear" w:color="auto" w:fill="1D2758"/>
          </w:tcPr>
          <w:p>
            <w:pPr>
              <w:spacing w:after="0"/>
              <w:rPr>
                <w:sz w:val="11"/>
                <w:szCs w:val="11"/>
                <w:color w:val="auto"/>
              </w:rPr>
            </w:pPr>
          </w:p>
        </w:tc>
        <w:tc>
          <w:tcPr>
            <w:tcW w:w="80" w:type="dxa"/>
            <w:vAlign w:val="bottom"/>
            <w:shd w:val="clear" w:color="auto" w:fill="1D2758"/>
          </w:tcPr>
          <w:p>
            <w:pPr>
              <w:spacing w:after="0"/>
              <w:rPr>
                <w:sz w:val="11"/>
                <w:szCs w:val="11"/>
                <w:color w:val="auto"/>
              </w:rPr>
            </w:pPr>
          </w:p>
        </w:tc>
        <w:tc>
          <w:tcPr>
            <w:tcW w:w="380" w:type="dxa"/>
            <w:vAlign w:val="bottom"/>
            <w:shd w:val="clear" w:color="auto" w:fill="1D2758"/>
          </w:tcPr>
          <w:p>
            <w:pPr>
              <w:spacing w:after="0"/>
              <w:rPr>
                <w:sz w:val="11"/>
                <w:szCs w:val="11"/>
                <w:color w:val="auto"/>
              </w:rPr>
            </w:pPr>
          </w:p>
        </w:tc>
        <w:tc>
          <w:tcPr>
            <w:tcW w:w="1260" w:type="dxa"/>
            <w:vAlign w:val="bottom"/>
            <w:vMerge w:val="continue"/>
            <w:shd w:val="clear" w:color="auto" w:fill="1D2758"/>
          </w:tcPr>
          <w:p>
            <w:pPr>
              <w:spacing w:after="0"/>
              <w:rPr>
                <w:sz w:val="11"/>
                <w:szCs w:val="11"/>
                <w:color w:val="auto"/>
              </w:rPr>
            </w:pPr>
          </w:p>
        </w:tc>
        <w:tc>
          <w:tcPr>
            <w:tcW w:w="80" w:type="dxa"/>
            <w:vAlign w:val="bottom"/>
            <w:shd w:val="clear" w:color="auto" w:fill="1D2758"/>
          </w:tcPr>
          <w:p>
            <w:pPr>
              <w:spacing w:after="0"/>
              <w:rPr>
                <w:sz w:val="11"/>
                <w:szCs w:val="11"/>
                <w:color w:val="auto"/>
              </w:rPr>
            </w:pPr>
          </w:p>
        </w:tc>
        <w:tc>
          <w:tcPr>
            <w:tcW w:w="580" w:type="dxa"/>
            <w:vAlign w:val="bottom"/>
            <w:shd w:val="clear" w:color="auto" w:fill="1D2758"/>
          </w:tcPr>
          <w:p>
            <w:pPr>
              <w:spacing w:after="0"/>
              <w:rPr>
                <w:sz w:val="11"/>
                <w:szCs w:val="11"/>
                <w:color w:val="auto"/>
              </w:rPr>
            </w:pPr>
          </w:p>
        </w:tc>
        <w:tc>
          <w:tcPr>
            <w:tcW w:w="1040" w:type="dxa"/>
            <w:vAlign w:val="bottom"/>
            <w:vMerge w:val="continue"/>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60" w:type="dxa"/>
            <w:vAlign w:val="bottom"/>
            <w:shd w:val="clear" w:color="auto" w:fill="DBDBDB"/>
          </w:tcPr>
          <w:p>
            <w:pPr>
              <w:ind w:left="20"/>
              <w:spacing w:after="0"/>
              <w:rPr>
                <w:sz w:val="20"/>
                <w:szCs w:val="20"/>
                <w:color w:val="auto"/>
              </w:rPr>
            </w:pPr>
            <w:r>
              <w:rPr>
                <w:rFonts w:ascii="Arial" w:cs="Arial" w:eastAsia="Arial" w:hAnsi="Arial"/>
                <w:sz w:val="12"/>
                <w:szCs w:val="12"/>
                <w:color w:val="auto"/>
              </w:rPr>
              <w:t>Net income (loss)</w:t>
            </w:r>
          </w:p>
        </w:tc>
        <w:tc>
          <w:tcPr>
            <w:tcW w:w="980" w:type="dxa"/>
            <w:vAlign w:val="bottom"/>
            <w:shd w:val="clear" w:color="auto" w:fill="DBDBDB"/>
          </w:tcPr>
          <w:p>
            <w:pPr>
              <w:jc w:val="right"/>
              <w:ind w:right="83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20,371</w:t>
            </w:r>
          </w:p>
        </w:tc>
        <w:tc>
          <w:tcPr>
            <w:tcW w:w="80" w:type="dxa"/>
            <w:vAlign w:val="bottom"/>
            <w:shd w:val="clear" w:color="auto" w:fill="DBDBDB"/>
          </w:tcPr>
          <w:p>
            <w:pPr>
              <w:spacing w:after="0"/>
              <w:rPr>
                <w:sz w:val="14"/>
                <w:szCs w:val="14"/>
                <w:color w:val="auto"/>
              </w:rPr>
            </w:pPr>
          </w:p>
        </w:tc>
        <w:tc>
          <w:tcPr>
            <w:tcW w:w="640" w:type="dxa"/>
            <w:vAlign w:val="bottom"/>
            <w:shd w:val="clear" w:color="auto" w:fill="DBDBDB"/>
          </w:tcPr>
          <w:p>
            <w:pPr>
              <w:jc w:val="right"/>
              <w:ind w:right="499"/>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(14,130)</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jc w:val="right"/>
              <w:ind w:right="239"/>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24,818</w:t>
            </w:r>
          </w:p>
        </w:tc>
        <w:tc>
          <w:tcPr>
            <w:tcW w:w="80" w:type="dxa"/>
            <w:vAlign w:val="bottom"/>
            <w:shd w:val="clear" w:color="auto" w:fill="DBDBDB"/>
          </w:tcPr>
          <w:p>
            <w:pPr>
              <w:spacing w:after="0"/>
              <w:rPr>
                <w:sz w:val="14"/>
                <w:szCs w:val="14"/>
                <w:color w:val="auto"/>
              </w:rPr>
            </w:pPr>
          </w:p>
        </w:tc>
        <w:tc>
          <w:tcPr>
            <w:tcW w:w="580" w:type="dxa"/>
            <w:vAlign w:val="bottom"/>
            <w:shd w:val="clear" w:color="auto" w:fill="DBDBDB"/>
          </w:tcPr>
          <w:p>
            <w:pPr>
              <w:jc w:val="right"/>
              <w:ind w:right="439"/>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77,525</w:t>
            </w:r>
          </w:p>
        </w:tc>
        <w:tc>
          <w:tcPr>
            <w:tcW w:w="0" w:type="dxa"/>
            <w:vAlign w:val="bottom"/>
          </w:tcPr>
          <w:p>
            <w:pPr>
              <w:spacing w:after="0"/>
              <w:rPr>
                <w:sz w:val="1"/>
                <w:szCs w:val="1"/>
                <w:color w:val="auto"/>
              </w:rPr>
            </w:pPr>
          </w:p>
        </w:tc>
      </w:tr>
      <w:tr>
        <w:trPr>
          <w:trHeight w:val="159"/>
        </w:trPr>
        <w:tc>
          <w:tcPr>
            <w:tcW w:w="4560" w:type="dxa"/>
            <w:vAlign w:val="bottom"/>
          </w:tcPr>
          <w:p>
            <w:pPr>
              <w:ind w:left="20"/>
              <w:spacing w:after="0"/>
              <w:rPr>
                <w:sz w:val="20"/>
                <w:szCs w:val="20"/>
                <w:color w:val="auto"/>
              </w:rPr>
            </w:pPr>
            <w:r>
              <w:rPr>
                <w:rFonts w:ascii="Arial" w:cs="Arial" w:eastAsia="Arial" w:hAnsi="Arial"/>
                <w:sz w:val="12"/>
                <w:szCs w:val="12"/>
                <w:color w:val="auto"/>
              </w:rPr>
              <w:t>Other comprehensive income (loss):</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60" w:type="dxa"/>
            <w:vAlign w:val="bottom"/>
            <w:shd w:val="clear" w:color="auto" w:fill="DBDBDB"/>
          </w:tcPr>
          <w:p>
            <w:pPr>
              <w:ind w:left="180"/>
              <w:spacing w:after="0" w:line="135" w:lineRule="exact"/>
              <w:rPr>
                <w:sz w:val="20"/>
                <w:szCs w:val="20"/>
                <w:color w:val="auto"/>
              </w:rPr>
            </w:pPr>
            <w:r>
              <w:rPr>
                <w:rFonts w:ascii="Arial" w:cs="Arial" w:eastAsia="Arial" w:hAnsi="Arial"/>
                <w:sz w:val="12"/>
                <w:szCs w:val="12"/>
                <w:color w:val="auto"/>
              </w:rPr>
              <w:t>Foreign currency translation adjustment, net of income tax expense of $60 and</w:t>
            </w:r>
          </w:p>
        </w:tc>
        <w:tc>
          <w:tcPr>
            <w:tcW w:w="980" w:type="dxa"/>
            <w:vAlign w:val="bottom"/>
            <w:shd w:val="clear" w:color="auto" w:fill="DBDBDB"/>
          </w:tcPr>
          <w:p>
            <w:pPr>
              <w:spacing w:after="0"/>
              <w:rPr>
                <w:sz w:val="11"/>
                <w:szCs w:val="11"/>
                <w:color w:val="auto"/>
              </w:rPr>
            </w:pPr>
          </w:p>
        </w:tc>
        <w:tc>
          <w:tcPr>
            <w:tcW w:w="6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10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380" w:type="dxa"/>
            <w:vAlign w:val="bottom"/>
            <w:shd w:val="clear" w:color="auto" w:fill="DBDBDB"/>
          </w:tcPr>
          <w:p>
            <w:pPr>
              <w:spacing w:after="0"/>
              <w:rPr>
                <w:sz w:val="11"/>
                <w:szCs w:val="11"/>
                <w:color w:val="auto"/>
              </w:rPr>
            </w:pPr>
          </w:p>
        </w:tc>
        <w:tc>
          <w:tcPr>
            <w:tcW w:w="12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80" w:type="dxa"/>
            <w:vAlign w:val="bottom"/>
            <w:shd w:val="clear" w:color="auto" w:fill="DBDBDB"/>
          </w:tcPr>
          <w:p>
            <w:pPr>
              <w:spacing w:after="0"/>
              <w:rPr>
                <w:sz w:val="11"/>
                <w:szCs w:val="11"/>
                <w:color w:val="auto"/>
              </w:rPr>
            </w:pPr>
          </w:p>
        </w:tc>
        <w:tc>
          <w:tcPr>
            <w:tcW w:w="104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60" w:type="dxa"/>
            <w:vAlign w:val="bottom"/>
            <w:shd w:val="clear" w:color="auto" w:fill="DBDBDB"/>
          </w:tcPr>
          <w:p>
            <w:pPr>
              <w:ind w:left="180"/>
              <w:spacing w:after="0" w:line="121" w:lineRule="exact"/>
              <w:rPr>
                <w:sz w:val="20"/>
                <w:szCs w:val="20"/>
                <w:color w:val="auto"/>
              </w:rPr>
            </w:pPr>
            <w:r>
              <w:rPr>
                <w:rFonts w:ascii="Arial" w:cs="Arial" w:eastAsia="Arial" w:hAnsi="Arial"/>
                <w:sz w:val="12"/>
                <w:szCs w:val="12"/>
                <w:color w:val="auto"/>
              </w:rPr>
              <w:t>$0 for the three and six months ended June 30, 2021 and $0 for the three and six</w:t>
            </w:r>
          </w:p>
        </w:tc>
        <w:tc>
          <w:tcPr>
            <w:tcW w:w="980" w:type="dxa"/>
            <w:vAlign w:val="bottom"/>
            <w:shd w:val="clear" w:color="auto" w:fill="DBDBDB"/>
          </w:tcPr>
          <w:p>
            <w:pPr>
              <w:spacing w:after="0"/>
              <w:rPr>
                <w:sz w:val="10"/>
                <w:szCs w:val="10"/>
                <w:color w:val="auto"/>
              </w:rPr>
            </w:pPr>
          </w:p>
        </w:tc>
        <w:tc>
          <w:tcPr>
            <w:tcW w:w="6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640" w:type="dxa"/>
            <w:vAlign w:val="bottom"/>
            <w:shd w:val="clear" w:color="auto" w:fill="DBDBDB"/>
          </w:tcPr>
          <w:p>
            <w:pPr>
              <w:spacing w:after="0"/>
              <w:rPr>
                <w:sz w:val="10"/>
                <w:szCs w:val="10"/>
                <w:color w:val="auto"/>
              </w:rPr>
            </w:pPr>
          </w:p>
        </w:tc>
        <w:tc>
          <w:tcPr>
            <w:tcW w:w="10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380" w:type="dxa"/>
            <w:vAlign w:val="bottom"/>
            <w:shd w:val="clear" w:color="auto" w:fill="DBDBDB"/>
          </w:tcPr>
          <w:p>
            <w:pPr>
              <w:spacing w:after="0"/>
              <w:rPr>
                <w:sz w:val="10"/>
                <w:szCs w:val="10"/>
                <w:color w:val="auto"/>
              </w:rPr>
            </w:pPr>
          </w:p>
        </w:tc>
        <w:tc>
          <w:tcPr>
            <w:tcW w:w="12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104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45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months ended June 30, 2020, respectively</w:t>
            </w:r>
          </w:p>
        </w:tc>
        <w:tc>
          <w:tcPr>
            <w:tcW w:w="980" w:type="dxa"/>
            <w:vAlign w:val="bottom"/>
            <w:shd w:val="clear" w:color="auto" w:fill="DBDBDB"/>
          </w:tcPr>
          <w:p>
            <w:pPr>
              <w:spacing w:after="0"/>
              <w:rPr>
                <w:sz w:val="13"/>
                <w:szCs w:val="13"/>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3,093</w:t>
            </w:r>
          </w:p>
        </w:tc>
        <w:tc>
          <w:tcPr>
            <w:tcW w:w="8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7,982</w:t>
            </w:r>
          </w:p>
        </w:tc>
        <w:tc>
          <w:tcPr>
            <w:tcW w:w="8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8,127</w:t>
            </w:r>
          </w:p>
        </w:tc>
        <w:tc>
          <w:tcPr>
            <w:tcW w:w="8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(13,162)</w:t>
            </w:r>
          </w:p>
        </w:tc>
        <w:tc>
          <w:tcPr>
            <w:tcW w:w="0" w:type="dxa"/>
            <w:vAlign w:val="bottom"/>
          </w:tcPr>
          <w:p>
            <w:pPr>
              <w:spacing w:after="0"/>
              <w:rPr>
                <w:sz w:val="1"/>
                <w:szCs w:val="1"/>
                <w:color w:val="auto"/>
              </w:rPr>
            </w:pPr>
          </w:p>
        </w:tc>
      </w:tr>
      <w:tr>
        <w:trPr>
          <w:trHeight w:val="133"/>
        </w:trPr>
        <w:tc>
          <w:tcPr>
            <w:tcW w:w="4560" w:type="dxa"/>
            <w:vAlign w:val="bottom"/>
          </w:tcPr>
          <w:p>
            <w:pPr>
              <w:ind w:left="180"/>
              <w:spacing w:after="0" w:line="133" w:lineRule="exact"/>
              <w:rPr>
                <w:sz w:val="20"/>
                <w:szCs w:val="20"/>
                <w:color w:val="auto"/>
              </w:rPr>
            </w:pPr>
            <w:r>
              <w:rPr>
                <w:rFonts w:ascii="Arial" w:cs="Arial" w:eastAsia="Arial" w:hAnsi="Arial"/>
                <w:sz w:val="12"/>
                <w:szCs w:val="12"/>
                <w:color w:val="auto"/>
              </w:rPr>
              <w:t>Net gain (loss) on derivatives, net of income tax expense of $656 and $0 for the</w:t>
            </w: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60" w:type="dxa"/>
            <w:vAlign w:val="bottom"/>
          </w:tcPr>
          <w:p>
            <w:pPr>
              <w:ind w:left="180"/>
              <w:spacing w:after="0" w:line="121" w:lineRule="exact"/>
              <w:rPr>
                <w:sz w:val="20"/>
                <w:szCs w:val="20"/>
                <w:color w:val="auto"/>
              </w:rPr>
            </w:pPr>
            <w:r>
              <w:rPr>
                <w:rFonts w:ascii="Arial" w:cs="Arial" w:eastAsia="Arial" w:hAnsi="Arial"/>
                <w:sz w:val="12"/>
                <w:szCs w:val="12"/>
                <w:color w:val="auto"/>
              </w:rPr>
              <w:t>three months ended June 30, 2021 and 2020, respectively and $1,323 and $0 for</w:t>
            </w: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60" w:type="dxa"/>
            <w:vAlign w:val="bottom"/>
            <w:tcBorders>
              <w:bottom w:val="single" w:sz="8" w:color="DBDBDB"/>
            </w:tcBorders>
          </w:tcPr>
          <w:p>
            <w:pPr>
              <w:ind w:left="180"/>
              <w:spacing w:after="0"/>
              <w:rPr>
                <w:sz w:val="20"/>
                <w:szCs w:val="20"/>
                <w:color w:val="auto"/>
              </w:rPr>
            </w:pPr>
            <w:r>
              <w:rPr>
                <w:rFonts w:ascii="Arial" w:cs="Arial" w:eastAsia="Arial" w:hAnsi="Arial"/>
                <w:sz w:val="12"/>
                <w:szCs w:val="12"/>
                <w:color w:val="auto"/>
              </w:rPr>
              <w:t>the six months ended June 30, 2021 and 2020, respectively</w:t>
            </w: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2,146</w:t>
            </w:r>
          </w:p>
        </w:tc>
        <w:tc>
          <w:tcPr>
            <w:tcW w:w="80" w:type="dxa"/>
            <w:vAlign w:val="bottom"/>
            <w:tcBorders>
              <w:bottom w:val="single" w:sz="8" w:color="DBDBDB"/>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975</w:t>
            </w:r>
          </w:p>
        </w:tc>
        <w:tc>
          <w:tcPr>
            <w:tcW w:w="80" w:type="dxa"/>
            <w:vAlign w:val="bottom"/>
            <w:tcBorders>
              <w:bottom w:val="single" w:sz="8" w:color="DBDBDB"/>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4,323</w:t>
            </w:r>
          </w:p>
        </w:tc>
        <w:tc>
          <w:tcPr>
            <w:tcW w:w="80" w:type="dxa"/>
            <w:vAlign w:val="bottom"/>
            <w:tcBorders>
              <w:bottom w:val="single" w:sz="8" w:color="DBDBDB"/>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(7,783)</w:t>
            </w:r>
          </w:p>
        </w:tc>
        <w:tc>
          <w:tcPr>
            <w:tcW w:w="0" w:type="dxa"/>
            <w:vAlign w:val="bottom"/>
          </w:tcPr>
          <w:p>
            <w:pPr>
              <w:spacing w:after="0"/>
              <w:rPr>
                <w:sz w:val="1"/>
                <w:szCs w:val="1"/>
                <w:color w:val="auto"/>
              </w:rPr>
            </w:pPr>
          </w:p>
        </w:tc>
      </w:tr>
      <w:tr>
        <w:trPr>
          <w:trHeight w:val="151"/>
        </w:trPr>
        <w:tc>
          <w:tcPr>
            <w:tcW w:w="4560" w:type="dxa"/>
            <w:vAlign w:val="bottom"/>
            <w:shd w:val="clear" w:color="auto" w:fill="DBDBDB"/>
          </w:tcPr>
          <w:p>
            <w:pPr>
              <w:ind w:left="20"/>
              <w:spacing w:after="0"/>
              <w:rPr>
                <w:sz w:val="20"/>
                <w:szCs w:val="20"/>
                <w:color w:val="auto"/>
              </w:rPr>
            </w:pPr>
            <w:r>
              <w:rPr>
                <w:rFonts w:ascii="Arial" w:cs="Arial" w:eastAsia="Arial" w:hAnsi="Arial"/>
                <w:sz w:val="12"/>
                <w:szCs w:val="12"/>
                <w:color w:val="auto"/>
              </w:rPr>
              <w:t>Total other comprehensive income (loss)</w:t>
            </w:r>
          </w:p>
        </w:tc>
        <w:tc>
          <w:tcPr>
            <w:tcW w:w="980" w:type="dxa"/>
            <w:vAlign w:val="bottom"/>
            <w:tcBorders>
              <w:bottom w:val="single" w:sz="8" w:color="auto"/>
            </w:tcBorders>
            <w:shd w:val="clear" w:color="auto" w:fill="DBDBDB"/>
          </w:tcPr>
          <w:p>
            <w:pPr>
              <w:spacing w:after="0"/>
              <w:rPr>
                <w:sz w:val="13"/>
                <w:szCs w:val="13"/>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5,239</w:t>
            </w:r>
          </w:p>
        </w:tc>
        <w:tc>
          <w:tcPr>
            <w:tcW w:w="80" w:type="dxa"/>
            <w:vAlign w:val="bottom"/>
            <w:shd w:val="clear" w:color="auto" w:fill="DBDBDB"/>
          </w:tcPr>
          <w:p>
            <w:pPr>
              <w:spacing w:after="0"/>
              <w:rPr>
                <w:sz w:val="13"/>
                <w:szCs w:val="13"/>
                <w:color w:val="auto"/>
              </w:rPr>
            </w:pPr>
          </w:p>
        </w:tc>
        <w:tc>
          <w:tcPr>
            <w:tcW w:w="640" w:type="dxa"/>
            <w:vAlign w:val="bottom"/>
            <w:tcBorders>
              <w:bottom w:val="single" w:sz="8" w:color="auto"/>
            </w:tcBorders>
            <w:shd w:val="clear" w:color="auto" w:fill="DBDBDB"/>
          </w:tcPr>
          <w:p>
            <w:pPr>
              <w:spacing w:after="0"/>
              <w:rPr>
                <w:sz w:val="13"/>
                <w:szCs w:val="13"/>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8,957</w:t>
            </w:r>
          </w:p>
        </w:tc>
        <w:tc>
          <w:tcPr>
            <w:tcW w:w="80" w:type="dxa"/>
            <w:vAlign w:val="bottom"/>
            <w:shd w:val="clear" w:color="auto" w:fill="DBDBDB"/>
          </w:tcPr>
          <w:p>
            <w:pPr>
              <w:spacing w:after="0"/>
              <w:rPr>
                <w:sz w:val="13"/>
                <w:szCs w:val="13"/>
                <w:color w:val="auto"/>
              </w:rPr>
            </w:pPr>
          </w:p>
        </w:tc>
        <w:tc>
          <w:tcPr>
            <w:tcW w:w="380" w:type="dxa"/>
            <w:vAlign w:val="bottom"/>
            <w:tcBorders>
              <w:bottom w:val="single" w:sz="8" w:color="auto"/>
            </w:tcBorders>
            <w:shd w:val="clear" w:color="auto" w:fill="DBDBDB"/>
          </w:tcPr>
          <w:p>
            <w:pPr>
              <w:spacing w:after="0"/>
              <w:rPr>
                <w:sz w:val="13"/>
                <w:szCs w:val="13"/>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12,450</w:t>
            </w:r>
          </w:p>
        </w:tc>
        <w:tc>
          <w:tcPr>
            <w:tcW w:w="80" w:type="dxa"/>
            <w:vAlign w:val="bottom"/>
            <w:shd w:val="clear" w:color="auto" w:fill="DBDBDB"/>
          </w:tcPr>
          <w:p>
            <w:pPr>
              <w:spacing w:after="0"/>
              <w:rPr>
                <w:sz w:val="13"/>
                <w:szCs w:val="13"/>
                <w:color w:val="auto"/>
              </w:rPr>
            </w:pPr>
          </w:p>
        </w:tc>
        <w:tc>
          <w:tcPr>
            <w:tcW w:w="580" w:type="dxa"/>
            <w:vAlign w:val="bottom"/>
            <w:tcBorders>
              <w:bottom w:val="single" w:sz="8" w:color="auto"/>
            </w:tcBorders>
            <w:shd w:val="clear" w:color="auto" w:fill="DBDBDB"/>
          </w:tcPr>
          <w:p>
            <w:pPr>
              <w:spacing w:after="0"/>
              <w:rPr>
                <w:sz w:val="13"/>
                <w:szCs w:val="13"/>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(20,945)</w:t>
            </w:r>
          </w:p>
        </w:tc>
        <w:tc>
          <w:tcPr>
            <w:tcW w:w="0" w:type="dxa"/>
            <w:vAlign w:val="bottom"/>
          </w:tcPr>
          <w:p>
            <w:pPr>
              <w:spacing w:after="0"/>
              <w:rPr>
                <w:sz w:val="1"/>
                <w:szCs w:val="1"/>
                <w:color w:val="auto"/>
              </w:rPr>
            </w:pPr>
          </w:p>
        </w:tc>
      </w:tr>
      <w:tr>
        <w:trPr>
          <w:trHeight w:val="151"/>
        </w:trPr>
        <w:tc>
          <w:tcPr>
            <w:tcW w:w="4560" w:type="dxa"/>
            <w:vAlign w:val="bottom"/>
          </w:tcPr>
          <w:p>
            <w:pPr>
              <w:ind w:left="20"/>
              <w:spacing w:after="0"/>
              <w:rPr>
                <w:sz w:val="20"/>
                <w:szCs w:val="20"/>
                <w:color w:val="auto"/>
              </w:rPr>
            </w:pPr>
            <w:r>
              <w:rPr>
                <w:rFonts w:ascii="Arial" w:cs="Arial" w:eastAsia="Arial" w:hAnsi="Arial"/>
                <w:sz w:val="12"/>
                <w:szCs w:val="12"/>
                <w:color w:val="auto"/>
              </w:rPr>
              <w:t>Comprehensive income (loss)</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25,610</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(5,173)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37,268</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56,580</w:t>
            </w:r>
          </w:p>
        </w:tc>
        <w:tc>
          <w:tcPr>
            <w:tcW w:w="0" w:type="dxa"/>
            <w:vAlign w:val="bottom"/>
          </w:tcPr>
          <w:p>
            <w:pPr>
              <w:spacing w:after="0"/>
              <w:rPr>
                <w:sz w:val="1"/>
                <w:szCs w:val="1"/>
                <w:color w:val="auto"/>
              </w:rPr>
            </w:pPr>
          </w:p>
        </w:tc>
      </w:tr>
      <w:tr>
        <w:trPr>
          <w:trHeight w:val="161"/>
        </w:trPr>
        <w:tc>
          <w:tcPr>
            <w:tcW w:w="45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Comprehensive income (loss) attributable to non-controlling interest</w:t>
            </w:r>
          </w:p>
        </w:tc>
        <w:tc>
          <w:tcPr>
            <w:tcW w:w="980" w:type="dxa"/>
            <w:vAlign w:val="bottom"/>
            <w:shd w:val="clear" w:color="auto" w:fill="DBDBDB"/>
          </w:tcPr>
          <w:p>
            <w:pPr>
              <w:spacing w:after="0"/>
              <w:rPr>
                <w:sz w:val="14"/>
                <w:szCs w:val="14"/>
                <w:color w:val="auto"/>
              </w:rPr>
            </w:pPr>
          </w:p>
        </w:tc>
        <w:tc>
          <w:tcPr>
            <w:tcW w:w="68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shd w:val="clear" w:color="auto" w:fill="DBDBDB"/>
          </w:tcPr>
          <w:p>
            <w:pPr>
              <w:spacing w:after="0"/>
              <w:rPr>
                <w:sz w:val="14"/>
                <w:szCs w:val="1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2,161</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34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(672)</w:t>
            </w:r>
          </w:p>
        </w:tc>
        <w:tc>
          <w:tcPr>
            <w:tcW w:w="0" w:type="dxa"/>
            <w:vAlign w:val="bottom"/>
          </w:tcPr>
          <w:p>
            <w:pPr>
              <w:spacing w:after="0"/>
              <w:rPr>
                <w:sz w:val="1"/>
                <w:szCs w:val="1"/>
                <w:color w:val="auto"/>
              </w:rPr>
            </w:pPr>
          </w:p>
        </w:tc>
      </w:tr>
      <w:tr>
        <w:trPr>
          <w:trHeight w:val="154"/>
        </w:trPr>
        <w:tc>
          <w:tcPr>
            <w:tcW w:w="4560" w:type="dxa"/>
            <w:vAlign w:val="bottom"/>
          </w:tcPr>
          <w:p>
            <w:pPr>
              <w:ind w:left="20"/>
              <w:spacing w:after="0"/>
              <w:rPr>
                <w:sz w:val="20"/>
                <w:szCs w:val="20"/>
                <w:color w:val="auto"/>
              </w:rPr>
            </w:pPr>
            <w:r>
              <w:rPr>
                <w:rFonts w:ascii="Arial" w:cs="Arial" w:eastAsia="Arial" w:hAnsi="Arial"/>
                <w:sz w:val="12"/>
                <w:szCs w:val="12"/>
                <w:color w:val="auto"/>
              </w:rPr>
              <w:t>Total comprehensive income (loss) attributable to WillScot Mobile Mini</w:t>
            </w:r>
          </w:p>
        </w:tc>
        <w:tc>
          <w:tcPr>
            <w:tcW w:w="98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25,610</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(7,334)</w:t>
            </w: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37,268</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57,252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jc w:val="center"/>
        <w:spacing w:after="0"/>
        <w:rPr>
          <w:sz w:val="20"/>
          <w:szCs w:val="20"/>
          <w:color w:val="auto"/>
        </w:rPr>
      </w:pPr>
      <w:r>
        <w:rPr>
          <w:rFonts w:ascii="Arial" w:cs="Arial" w:eastAsia="Arial" w:hAnsi="Arial"/>
          <w:sz w:val="9"/>
          <w:szCs w:val="9"/>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33020</wp:posOffset>
            </wp:positionV>
            <wp:extent cx="719264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9"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color w:val="1D2758"/>
        </w:rPr>
        <w:t>WillScot Mobile Mini Holdings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1D2758"/>
        </w:rPr>
        <w:t>Condensed Consolidated Statements of Changes in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1D2758"/>
        </w:rPr>
        <w:t>(Unaudited)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FFFFFF"/>
        </w:rPr>
        <w:t>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167245" cy="102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245" cy="10223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360" w:type="dxa"/>
            <w:vAlign w:val="bottom"/>
            <w:shd w:val="clear" w:color="auto" w:fill="1D2758"/>
          </w:tcPr>
          <w:p>
            <w:pPr>
              <w:spacing w:after="0"/>
              <w:rPr>
                <w:sz w:val="19"/>
                <w:szCs w:val="19"/>
                <w:color w:val="auto"/>
              </w:rPr>
            </w:pPr>
          </w:p>
        </w:tc>
        <w:tc>
          <w:tcPr>
            <w:tcW w:w="1720" w:type="dxa"/>
            <w:vAlign w:val="bottom"/>
            <w:gridSpan w:val="2"/>
            <w:shd w:val="clear" w:color="auto" w:fill="1D2758"/>
          </w:tcPr>
          <w:p>
            <w:pPr>
              <w:jc w:val="right"/>
              <w:ind w:right="323"/>
              <w:spacing w:after="0"/>
              <w:rPr>
                <w:sz w:val="20"/>
                <w:szCs w:val="20"/>
                <w:color w:val="auto"/>
              </w:rPr>
            </w:pPr>
            <w:r>
              <w:rPr>
                <w:rFonts w:ascii="Arial" w:cs="Arial" w:eastAsia="Arial" w:hAnsi="Arial"/>
                <w:sz w:val="9"/>
                <w:szCs w:val="9"/>
                <w:b w:val="1"/>
                <w:bCs w:val="1"/>
                <w:color w:val="FFFFFF"/>
              </w:rPr>
              <w:t>Common Stock</w:t>
            </w:r>
          </w:p>
        </w:tc>
        <w:tc>
          <w:tcPr>
            <w:tcW w:w="260" w:type="dxa"/>
            <w:vAlign w:val="bottom"/>
            <w:shd w:val="clear" w:color="auto" w:fill="1D2758"/>
          </w:tcPr>
          <w:p>
            <w:pPr>
              <w:spacing w:after="0"/>
              <w:rPr>
                <w:sz w:val="19"/>
                <w:szCs w:val="19"/>
                <w:color w:val="auto"/>
              </w:rPr>
            </w:pPr>
          </w:p>
        </w:tc>
        <w:tc>
          <w:tcPr>
            <w:tcW w:w="80" w:type="dxa"/>
            <w:vAlign w:val="bottom"/>
            <w:shd w:val="clear" w:color="auto" w:fill="1D2758"/>
          </w:tcPr>
          <w:p>
            <w:pPr>
              <w:spacing w:after="0"/>
              <w:rPr>
                <w:sz w:val="19"/>
                <w:szCs w:val="19"/>
                <w:color w:val="auto"/>
              </w:rPr>
            </w:pPr>
          </w:p>
        </w:tc>
        <w:tc>
          <w:tcPr>
            <w:tcW w:w="900" w:type="dxa"/>
            <w:vAlign w:val="bottom"/>
            <w:shd w:val="clear" w:color="auto" w:fill="1D2758"/>
          </w:tcPr>
          <w:p>
            <w:pPr>
              <w:spacing w:after="0"/>
              <w:rPr>
                <w:sz w:val="19"/>
                <w:szCs w:val="19"/>
                <w:color w:val="auto"/>
              </w:rPr>
            </w:pPr>
          </w:p>
        </w:tc>
        <w:tc>
          <w:tcPr>
            <w:tcW w:w="980" w:type="dxa"/>
            <w:vAlign w:val="bottom"/>
            <w:gridSpan w:val="2"/>
            <w:shd w:val="clear" w:color="auto" w:fill="1D2758"/>
          </w:tcPr>
          <w:p>
            <w:pPr>
              <w:jc w:val="center"/>
              <w:spacing w:after="0"/>
              <w:rPr>
                <w:sz w:val="20"/>
                <w:szCs w:val="20"/>
                <w:color w:val="auto"/>
              </w:rPr>
            </w:pPr>
            <w:r>
              <w:rPr>
                <w:rFonts w:ascii="Arial" w:cs="Arial" w:eastAsia="Arial" w:hAnsi="Arial"/>
                <w:sz w:val="9"/>
                <w:szCs w:val="9"/>
                <w:b w:val="1"/>
                <w:bCs w:val="1"/>
                <w:color w:val="FFFFFF"/>
              </w:rPr>
              <w:t>Accumulated Other</w:t>
            </w:r>
          </w:p>
        </w:tc>
        <w:tc>
          <w:tcPr>
            <w:tcW w:w="220" w:type="dxa"/>
            <w:vAlign w:val="bottom"/>
            <w:shd w:val="clear" w:color="auto" w:fill="1D2758"/>
          </w:tcPr>
          <w:p>
            <w:pPr>
              <w:spacing w:after="0"/>
              <w:rPr>
                <w:sz w:val="19"/>
                <w:szCs w:val="19"/>
                <w:color w:val="auto"/>
              </w:rPr>
            </w:pPr>
          </w:p>
        </w:tc>
        <w:tc>
          <w:tcPr>
            <w:tcW w:w="780" w:type="dxa"/>
            <w:vAlign w:val="bottom"/>
            <w:shd w:val="clear" w:color="auto" w:fill="1D2758"/>
          </w:tcPr>
          <w:p>
            <w:pPr>
              <w:spacing w:after="0"/>
              <w:rPr>
                <w:sz w:val="19"/>
                <w:szCs w:val="19"/>
                <w:color w:val="auto"/>
              </w:rPr>
            </w:pPr>
          </w:p>
        </w:tc>
        <w:tc>
          <w:tcPr>
            <w:tcW w:w="220" w:type="dxa"/>
            <w:vAlign w:val="bottom"/>
            <w:shd w:val="clear" w:color="auto" w:fill="1D2758"/>
          </w:tcPr>
          <w:p>
            <w:pPr>
              <w:spacing w:after="0"/>
              <w:rPr>
                <w:sz w:val="19"/>
                <w:szCs w:val="19"/>
                <w:color w:val="auto"/>
              </w:rPr>
            </w:pPr>
          </w:p>
        </w:tc>
        <w:tc>
          <w:tcPr>
            <w:tcW w:w="760" w:type="dxa"/>
            <w:vAlign w:val="bottom"/>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5360" w:type="dxa"/>
            <w:vAlign w:val="bottom"/>
            <w:vMerge w:val="restart"/>
            <w:shd w:val="clear" w:color="auto" w:fill="1D2758"/>
          </w:tcPr>
          <w:p>
            <w:pPr>
              <w:ind w:left="20"/>
              <w:spacing w:after="0"/>
              <w:rPr>
                <w:sz w:val="20"/>
                <w:szCs w:val="20"/>
                <w:color w:val="auto"/>
              </w:rPr>
            </w:pPr>
            <w:r>
              <w:rPr>
                <w:rFonts w:ascii="Arial" w:cs="Arial" w:eastAsia="Arial" w:hAnsi="Arial"/>
                <w:sz w:val="9"/>
                <w:szCs w:val="9"/>
                <w:b w:val="1"/>
                <w:bCs w:val="1"/>
                <w:i w:val="1"/>
                <w:iCs w:val="1"/>
                <w:color w:val="FFFFFF"/>
              </w:rPr>
              <w:t>(in thousands)</w:t>
            </w:r>
          </w:p>
        </w:tc>
        <w:tc>
          <w:tcPr>
            <w:tcW w:w="980" w:type="dxa"/>
            <w:vAlign w:val="bottom"/>
            <w:vMerge w:val="restart"/>
            <w:shd w:val="clear" w:color="auto" w:fill="1D2758"/>
          </w:tcPr>
          <w:p>
            <w:pPr>
              <w:jc w:val="right"/>
              <w:ind w:right="281"/>
              <w:spacing w:after="0"/>
              <w:rPr>
                <w:sz w:val="20"/>
                <w:szCs w:val="20"/>
                <w:color w:val="auto"/>
              </w:rPr>
            </w:pPr>
            <w:r>
              <w:rPr>
                <w:rFonts w:ascii="Arial" w:cs="Arial" w:eastAsia="Arial" w:hAnsi="Arial"/>
                <w:sz w:val="9"/>
                <w:szCs w:val="9"/>
                <w:b w:val="1"/>
                <w:bCs w:val="1"/>
                <w:color w:val="FFFFFF"/>
              </w:rPr>
              <w:t>Shares</w:t>
            </w:r>
          </w:p>
        </w:tc>
        <w:tc>
          <w:tcPr>
            <w:tcW w:w="740" w:type="dxa"/>
            <w:vAlign w:val="bottom"/>
            <w:vMerge w:val="restart"/>
            <w:shd w:val="clear" w:color="auto" w:fill="1D2758"/>
          </w:tcPr>
          <w:p>
            <w:pPr>
              <w:jc w:val="right"/>
              <w:ind w:right="3"/>
              <w:spacing w:after="0"/>
              <w:rPr>
                <w:sz w:val="20"/>
                <w:szCs w:val="20"/>
                <w:color w:val="auto"/>
              </w:rPr>
            </w:pPr>
            <w:r>
              <w:rPr>
                <w:rFonts w:ascii="Arial" w:cs="Arial" w:eastAsia="Arial" w:hAnsi="Arial"/>
                <w:sz w:val="9"/>
                <w:szCs w:val="9"/>
                <w:b w:val="1"/>
                <w:bCs w:val="1"/>
                <w:color w:val="FFFFFF"/>
              </w:rPr>
              <w:t>Amount</w:t>
            </w:r>
          </w:p>
        </w:tc>
        <w:tc>
          <w:tcPr>
            <w:tcW w:w="260" w:type="dxa"/>
            <w:vAlign w:val="bottom"/>
            <w:shd w:val="clear" w:color="auto" w:fill="1D2758"/>
          </w:tcPr>
          <w:p>
            <w:pPr>
              <w:spacing w:after="0"/>
              <w:rPr>
                <w:sz w:val="6"/>
                <w:szCs w:val="6"/>
                <w:color w:val="auto"/>
              </w:rPr>
            </w:pPr>
          </w:p>
        </w:tc>
        <w:tc>
          <w:tcPr>
            <w:tcW w:w="80" w:type="dxa"/>
            <w:vAlign w:val="bottom"/>
            <w:shd w:val="clear" w:color="auto" w:fill="1D2758"/>
          </w:tcPr>
          <w:p>
            <w:pPr>
              <w:spacing w:after="0"/>
              <w:rPr>
                <w:sz w:val="6"/>
                <w:szCs w:val="6"/>
                <w:color w:val="auto"/>
              </w:rPr>
            </w:pPr>
          </w:p>
        </w:tc>
        <w:tc>
          <w:tcPr>
            <w:tcW w:w="900" w:type="dxa"/>
            <w:vAlign w:val="bottom"/>
            <w:shd w:val="clear" w:color="auto" w:fill="1D2758"/>
          </w:tcPr>
          <w:p>
            <w:pPr>
              <w:jc w:val="right"/>
              <w:ind w:right="22"/>
              <w:spacing w:after="0" w:line="71" w:lineRule="exact"/>
              <w:rPr>
                <w:sz w:val="20"/>
                <w:szCs w:val="20"/>
                <w:color w:val="auto"/>
              </w:rPr>
            </w:pPr>
            <w:r>
              <w:rPr>
                <w:rFonts w:ascii="Arial" w:cs="Arial" w:eastAsia="Arial" w:hAnsi="Arial"/>
                <w:sz w:val="8"/>
                <w:szCs w:val="8"/>
                <w:b w:val="1"/>
                <w:bCs w:val="1"/>
                <w:color w:val="FFFFFF"/>
              </w:rPr>
              <w:t>Additional Paid-in-</w:t>
            </w:r>
          </w:p>
        </w:tc>
        <w:tc>
          <w:tcPr>
            <w:tcW w:w="120" w:type="dxa"/>
            <w:vAlign w:val="bottom"/>
            <w:shd w:val="clear" w:color="auto" w:fill="1D2758"/>
          </w:tcPr>
          <w:p>
            <w:pPr>
              <w:spacing w:after="0"/>
              <w:rPr>
                <w:sz w:val="6"/>
                <w:szCs w:val="6"/>
                <w:color w:val="auto"/>
              </w:rPr>
            </w:pPr>
          </w:p>
        </w:tc>
        <w:tc>
          <w:tcPr>
            <w:tcW w:w="860" w:type="dxa"/>
            <w:vAlign w:val="bottom"/>
            <w:shd w:val="clear" w:color="auto" w:fill="1D2758"/>
          </w:tcPr>
          <w:p>
            <w:pPr>
              <w:jc w:val="center"/>
              <w:ind w:right="62"/>
              <w:spacing w:after="0" w:line="71" w:lineRule="exact"/>
              <w:rPr>
                <w:sz w:val="20"/>
                <w:szCs w:val="20"/>
                <w:color w:val="auto"/>
              </w:rPr>
            </w:pPr>
            <w:r>
              <w:rPr>
                <w:rFonts w:ascii="Arial" w:cs="Arial" w:eastAsia="Arial" w:hAnsi="Arial"/>
                <w:sz w:val="8"/>
                <w:szCs w:val="8"/>
                <w:b w:val="1"/>
                <w:bCs w:val="1"/>
                <w:color w:val="FFFFFF"/>
              </w:rPr>
              <w:t>Comprehensive</w:t>
            </w:r>
          </w:p>
        </w:tc>
        <w:tc>
          <w:tcPr>
            <w:tcW w:w="1000" w:type="dxa"/>
            <w:vAlign w:val="bottom"/>
            <w:gridSpan w:val="2"/>
            <w:vMerge w:val="restart"/>
            <w:shd w:val="clear" w:color="auto" w:fill="1D2758"/>
          </w:tcPr>
          <w:p>
            <w:pPr>
              <w:jc w:val="right"/>
              <w:spacing w:after="0"/>
              <w:rPr>
                <w:sz w:val="20"/>
                <w:szCs w:val="20"/>
                <w:color w:val="auto"/>
              </w:rPr>
            </w:pPr>
            <w:r>
              <w:rPr>
                <w:rFonts w:ascii="Arial" w:cs="Arial" w:eastAsia="Arial" w:hAnsi="Arial"/>
                <w:sz w:val="9"/>
                <w:szCs w:val="9"/>
                <w:b w:val="1"/>
                <w:bCs w:val="1"/>
                <w:color w:val="FFFFFF"/>
              </w:rPr>
              <w:t>Accumulated Deficit</w:t>
            </w:r>
          </w:p>
        </w:tc>
        <w:tc>
          <w:tcPr>
            <w:tcW w:w="980" w:type="dxa"/>
            <w:vAlign w:val="bottom"/>
            <w:gridSpan w:val="2"/>
            <w:shd w:val="clear" w:color="auto" w:fill="1D2758"/>
          </w:tcPr>
          <w:p>
            <w:pPr>
              <w:jc w:val="right"/>
              <w:spacing w:after="0" w:line="71" w:lineRule="exact"/>
              <w:rPr>
                <w:sz w:val="20"/>
                <w:szCs w:val="20"/>
                <w:color w:val="auto"/>
              </w:rPr>
            </w:pPr>
            <w:r>
              <w:rPr>
                <w:rFonts w:ascii="Arial" w:cs="Arial" w:eastAsia="Arial" w:hAnsi="Arial"/>
                <w:sz w:val="8"/>
                <w:szCs w:val="8"/>
                <w:b w:val="1"/>
                <w:bCs w:val="1"/>
                <w:color w:val="FFFFFF"/>
              </w:rPr>
              <w:t>Total Shareholders'</w:t>
            </w:r>
          </w:p>
        </w:tc>
        <w:tc>
          <w:tcPr>
            <w:tcW w:w="0" w:type="dxa"/>
            <w:vAlign w:val="bottom"/>
          </w:tcPr>
          <w:p>
            <w:pPr>
              <w:spacing w:after="0"/>
              <w:rPr>
                <w:sz w:val="1"/>
                <w:szCs w:val="1"/>
                <w:color w:val="auto"/>
              </w:rPr>
            </w:pPr>
          </w:p>
        </w:tc>
      </w:tr>
      <w:tr>
        <w:trPr>
          <w:trHeight w:val="131"/>
        </w:trPr>
        <w:tc>
          <w:tcPr>
            <w:tcW w:w="5360" w:type="dxa"/>
            <w:vAlign w:val="bottom"/>
            <w:vMerge w:val="continue"/>
            <w:shd w:val="clear" w:color="auto" w:fill="1D2758"/>
          </w:tcPr>
          <w:p>
            <w:pPr>
              <w:spacing w:after="0"/>
              <w:rPr>
                <w:sz w:val="11"/>
                <w:szCs w:val="11"/>
                <w:color w:val="auto"/>
              </w:rPr>
            </w:pPr>
          </w:p>
        </w:tc>
        <w:tc>
          <w:tcPr>
            <w:tcW w:w="980" w:type="dxa"/>
            <w:vAlign w:val="bottom"/>
            <w:vMerge w:val="continue"/>
            <w:shd w:val="clear" w:color="auto" w:fill="1D2758"/>
          </w:tcPr>
          <w:p>
            <w:pPr>
              <w:spacing w:after="0"/>
              <w:rPr>
                <w:sz w:val="11"/>
                <w:szCs w:val="11"/>
                <w:color w:val="auto"/>
              </w:rPr>
            </w:pPr>
          </w:p>
        </w:tc>
        <w:tc>
          <w:tcPr>
            <w:tcW w:w="740" w:type="dxa"/>
            <w:vAlign w:val="bottom"/>
            <w:vMerge w:val="continue"/>
            <w:shd w:val="clear" w:color="auto" w:fill="1D2758"/>
          </w:tcPr>
          <w:p>
            <w:pPr>
              <w:spacing w:after="0"/>
              <w:rPr>
                <w:sz w:val="11"/>
                <w:szCs w:val="11"/>
                <w:color w:val="auto"/>
              </w:rPr>
            </w:pPr>
          </w:p>
        </w:tc>
        <w:tc>
          <w:tcPr>
            <w:tcW w:w="260" w:type="dxa"/>
            <w:vAlign w:val="bottom"/>
            <w:shd w:val="clear" w:color="auto" w:fill="1D2758"/>
          </w:tcPr>
          <w:p>
            <w:pPr>
              <w:spacing w:after="0"/>
              <w:rPr>
                <w:sz w:val="11"/>
                <w:szCs w:val="11"/>
                <w:color w:val="auto"/>
              </w:rPr>
            </w:pPr>
          </w:p>
        </w:tc>
        <w:tc>
          <w:tcPr>
            <w:tcW w:w="80" w:type="dxa"/>
            <w:vAlign w:val="bottom"/>
            <w:shd w:val="clear" w:color="auto" w:fill="1D2758"/>
          </w:tcPr>
          <w:p>
            <w:pPr>
              <w:spacing w:after="0"/>
              <w:rPr>
                <w:sz w:val="11"/>
                <w:szCs w:val="11"/>
                <w:color w:val="auto"/>
              </w:rPr>
            </w:pPr>
          </w:p>
        </w:tc>
        <w:tc>
          <w:tcPr>
            <w:tcW w:w="900" w:type="dxa"/>
            <w:vAlign w:val="bottom"/>
            <w:shd w:val="clear" w:color="auto" w:fill="1D2758"/>
          </w:tcPr>
          <w:p>
            <w:pPr>
              <w:jc w:val="right"/>
              <w:ind w:right="282"/>
              <w:spacing w:after="0"/>
              <w:rPr>
                <w:sz w:val="20"/>
                <w:szCs w:val="20"/>
                <w:color w:val="auto"/>
              </w:rPr>
            </w:pPr>
            <w:r>
              <w:rPr>
                <w:rFonts w:ascii="Arial" w:cs="Arial" w:eastAsia="Arial" w:hAnsi="Arial"/>
                <w:sz w:val="9"/>
                <w:szCs w:val="9"/>
                <w:b w:val="1"/>
                <w:bCs w:val="1"/>
                <w:color w:val="FFFFFF"/>
              </w:rPr>
              <w:t>Capital</w:t>
            </w:r>
          </w:p>
        </w:tc>
        <w:tc>
          <w:tcPr>
            <w:tcW w:w="120" w:type="dxa"/>
            <w:vAlign w:val="bottom"/>
            <w:shd w:val="clear" w:color="auto" w:fill="1D2758"/>
          </w:tcPr>
          <w:p>
            <w:pPr>
              <w:spacing w:after="0"/>
              <w:rPr>
                <w:sz w:val="11"/>
                <w:szCs w:val="11"/>
                <w:color w:val="auto"/>
              </w:rPr>
            </w:pPr>
          </w:p>
        </w:tc>
        <w:tc>
          <w:tcPr>
            <w:tcW w:w="860" w:type="dxa"/>
            <w:vAlign w:val="bottom"/>
            <w:shd w:val="clear" w:color="auto" w:fill="1D2758"/>
          </w:tcPr>
          <w:p>
            <w:pPr>
              <w:jc w:val="center"/>
              <w:ind w:right="42"/>
              <w:spacing w:after="0"/>
              <w:rPr>
                <w:sz w:val="20"/>
                <w:szCs w:val="20"/>
                <w:color w:val="auto"/>
              </w:rPr>
            </w:pPr>
            <w:r>
              <w:rPr>
                <w:rFonts w:ascii="Arial" w:cs="Arial" w:eastAsia="Arial" w:hAnsi="Arial"/>
                <w:sz w:val="9"/>
                <w:szCs w:val="9"/>
                <w:b w:val="1"/>
                <w:bCs w:val="1"/>
                <w:color w:val="FFFFFF"/>
              </w:rPr>
              <w:t>Income (Loss)</w:t>
            </w:r>
          </w:p>
        </w:tc>
        <w:tc>
          <w:tcPr>
            <w:tcW w:w="1000" w:type="dxa"/>
            <w:vAlign w:val="bottom"/>
            <w:gridSpan w:val="2"/>
            <w:vMerge w:val="continue"/>
            <w:shd w:val="clear" w:color="auto" w:fill="1D2758"/>
          </w:tcPr>
          <w:p>
            <w:pPr>
              <w:spacing w:after="0"/>
              <w:rPr>
                <w:sz w:val="11"/>
                <w:szCs w:val="11"/>
                <w:color w:val="auto"/>
              </w:rPr>
            </w:pPr>
          </w:p>
        </w:tc>
        <w:tc>
          <w:tcPr>
            <w:tcW w:w="220" w:type="dxa"/>
            <w:vAlign w:val="bottom"/>
            <w:shd w:val="clear" w:color="auto" w:fill="1D2758"/>
          </w:tcPr>
          <w:p>
            <w:pPr>
              <w:spacing w:after="0"/>
              <w:rPr>
                <w:sz w:val="11"/>
                <w:szCs w:val="11"/>
                <w:color w:val="auto"/>
              </w:rPr>
            </w:pPr>
          </w:p>
        </w:tc>
        <w:tc>
          <w:tcPr>
            <w:tcW w:w="760" w:type="dxa"/>
            <w:vAlign w:val="bottom"/>
            <w:shd w:val="clear" w:color="auto" w:fill="1D2758"/>
          </w:tcPr>
          <w:p>
            <w:pPr>
              <w:jc w:val="right"/>
              <w:ind w:right="280"/>
              <w:spacing w:after="0"/>
              <w:rPr>
                <w:sz w:val="20"/>
                <w:szCs w:val="20"/>
                <w:color w:val="auto"/>
              </w:rPr>
            </w:pPr>
            <w:r>
              <w:rPr>
                <w:rFonts w:ascii="Arial" w:cs="Arial" w:eastAsia="Arial" w:hAnsi="Arial"/>
                <w:sz w:val="9"/>
                <w:szCs w:val="9"/>
                <w:b w:val="1"/>
                <w:bCs w:val="1"/>
                <w:color w:val="FFFFFF"/>
              </w:rPr>
              <w:t>Equity</w:t>
            </w:r>
          </w:p>
        </w:tc>
        <w:tc>
          <w:tcPr>
            <w:tcW w:w="0" w:type="dxa"/>
            <w:vAlign w:val="bottom"/>
          </w:tcPr>
          <w:p>
            <w:pPr>
              <w:spacing w:after="0"/>
              <w:rPr>
                <w:sz w:val="1"/>
                <w:szCs w:val="1"/>
                <w:color w:val="auto"/>
              </w:rPr>
            </w:pPr>
          </w:p>
        </w:tc>
      </w:tr>
      <w:tr>
        <w:trPr>
          <w:trHeight w:val="161"/>
        </w:trPr>
        <w:tc>
          <w:tcPr>
            <w:tcW w:w="5360" w:type="dxa"/>
            <w:vAlign w:val="bottom"/>
            <w:shd w:val="clear" w:color="auto" w:fill="DBDBDB"/>
          </w:tcPr>
          <w:p>
            <w:pPr>
              <w:ind w:left="20"/>
              <w:spacing w:after="0"/>
              <w:rPr>
                <w:sz w:val="20"/>
                <w:szCs w:val="20"/>
                <w:color w:val="auto"/>
              </w:rPr>
            </w:pPr>
            <w:r>
              <w:rPr>
                <w:rFonts w:ascii="Arial" w:cs="Arial" w:eastAsia="Arial" w:hAnsi="Arial"/>
                <w:sz w:val="12"/>
                <w:szCs w:val="12"/>
                <w:color w:val="auto"/>
              </w:rPr>
              <w:t>Balance at December 31, 2020</w:t>
            </w: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229,038</w:t>
            </w:r>
          </w:p>
        </w:tc>
        <w:tc>
          <w:tcPr>
            <w:tcW w:w="740" w:type="dxa"/>
            <w:vAlign w:val="bottom"/>
            <w:shd w:val="clear" w:color="auto" w:fill="DBDBDB"/>
          </w:tcPr>
          <w:p>
            <w:pPr>
              <w:jc w:val="right"/>
              <w:ind w:right="603"/>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3,852,291</w:t>
            </w: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(37,207)</w:t>
            </w:r>
          </w:p>
        </w:tc>
        <w:tc>
          <w:tcPr>
            <w:tcW w:w="220" w:type="dxa"/>
            <w:vAlign w:val="bottom"/>
            <w:shd w:val="clear" w:color="auto" w:fill="DBDBDB"/>
          </w:tcPr>
          <w:p>
            <w:pPr>
              <w:jc w:val="right"/>
              <w:ind w:right="63"/>
              <w:spacing w:after="0"/>
              <w:rPr>
                <w:sz w:val="20"/>
                <w:szCs w:val="20"/>
                <w:color w:val="auto"/>
              </w:rPr>
            </w:pPr>
            <w:r>
              <w:rPr>
                <w:rFonts w:ascii="Arial" w:cs="Arial" w:eastAsia="Arial" w:hAnsi="Arial"/>
                <w:sz w:val="12"/>
                <w:szCs w:val="12"/>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(1,751,234)</w:t>
            </w:r>
          </w:p>
        </w:tc>
        <w:tc>
          <w:tcPr>
            <w:tcW w:w="220" w:type="dxa"/>
            <w:vAlign w:val="bottom"/>
            <w:shd w:val="clear" w:color="auto" w:fill="DBDBDB"/>
          </w:tcPr>
          <w:p>
            <w:pPr>
              <w:jc w:val="right"/>
              <w:ind w:right="84"/>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2,063,873</w:t>
            </w:r>
          </w:p>
        </w:tc>
        <w:tc>
          <w:tcPr>
            <w:tcW w:w="0" w:type="dxa"/>
            <w:vAlign w:val="bottom"/>
          </w:tcPr>
          <w:p>
            <w:pPr>
              <w:spacing w:after="0"/>
              <w:rPr>
                <w:sz w:val="1"/>
                <w:szCs w:val="1"/>
                <w:color w:val="auto"/>
              </w:rPr>
            </w:pPr>
          </w:p>
        </w:tc>
      </w:tr>
      <w:tr>
        <w:trPr>
          <w:trHeight w:val="159"/>
        </w:trPr>
        <w:tc>
          <w:tcPr>
            <w:tcW w:w="5360" w:type="dxa"/>
            <w:vAlign w:val="bottom"/>
          </w:tcPr>
          <w:p>
            <w:pPr>
              <w:ind w:left="180"/>
              <w:spacing w:after="0"/>
              <w:rPr>
                <w:sz w:val="20"/>
                <w:szCs w:val="20"/>
                <w:color w:val="auto"/>
              </w:rPr>
            </w:pPr>
            <w:r>
              <w:rPr>
                <w:rFonts w:ascii="Arial" w:cs="Arial" w:eastAsia="Arial" w:hAnsi="Arial"/>
                <w:sz w:val="12"/>
                <w:szCs w:val="12"/>
                <w:color w:val="auto"/>
              </w:rPr>
              <w:t>Net income</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4,447</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4,447</w:t>
            </w:r>
          </w:p>
        </w:tc>
        <w:tc>
          <w:tcPr>
            <w:tcW w:w="0" w:type="dxa"/>
            <w:vAlign w:val="bottom"/>
          </w:tcPr>
          <w:p>
            <w:pPr>
              <w:spacing w:after="0"/>
              <w:rPr>
                <w:sz w:val="1"/>
                <w:szCs w:val="1"/>
                <w:color w:val="auto"/>
              </w:rPr>
            </w:pPr>
          </w:p>
        </w:tc>
      </w:tr>
      <w:tr>
        <w:trPr>
          <w:trHeight w:val="164"/>
        </w:trPr>
        <w:tc>
          <w:tcPr>
            <w:tcW w:w="53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Other comprehensive income</w:t>
            </w: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spacing w:after="0"/>
              <w:rPr>
                <w:sz w:val="14"/>
                <w:szCs w:val="14"/>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7,211</w:t>
            </w:r>
          </w:p>
        </w:tc>
        <w:tc>
          <w:tcPr>
            <w:tcW w:w="22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7,211</w:t>
            </w:r>
          </w:p>
        </w:tc>
        <w:tc>
          <w:tcPr>
            <w:tcW w:w="0" w:type="dxa"/>
            <w:vAlign w:val="bottom"/>
          </w:tcPr>
          <w:p>
            <w:pPr>
              <w:spacing w:after="0"/>
              <w:rPr>
                <w:sz w:val="1"/>
                <w:szCs w:val="1"/>
                <w:color w:val="auto"/>
              </w:rPr>
            </w:pPr>
          </w:p>
        </w:tc>
      </w:tr>
      <w:tr>
        <w:trPr>
          <w:trHeight w:val="159"/>
        </w:trPr>
        <w:tc>
          <w:tcPr>
            <w:tcW w:w="5360" w:type="dxa"/>
            <w:vAlign w:val="bottom"/>
          </w:tcPr>
          <w:p>
            <w:pPr>
              <w:ind w:left="180"/>
              <w:spacing w:after="0"/>
              <w:rPr>
                <w:sz w:val="20"/>
                <w:szCs w:val="20"/>
                <w:color w:val="auto"/>
              </w:rPr>
            </w:pPr>
            <w:r>
              <w:rPr>
                <w:rFonts w:ascii="Arial" w:cs="Arial" w:eastAsia="Arial" w:hAnsi="Arial"/>
                <w:sz w:val="12"/>
                <w:szCs w:val="12"/>
                <w:color w:val="auto"/>
              </w:rPr>
              <w:t>Stock-based compensation and issuance of Common Stock from vesting</w:t>
            </w:r>
          </w:p>
        </w:tc>
        <w:tc>
          <w:tcPr>
            <w:tcW w:w="980" w:type="dxa"/>
            <w:vAlign w:val="bottom"/>
          </w:tcPr>
          <w:p>
            <w:pPr>
              <w:jc w:val="right"/>
              <w:spacing w:after="0"/>
              <w:rPr>
                <w:sz w:val="20"/>
                <w:szCs w:val="20"/>
                <w:color w:val="auto"/>
              </w:rPr>
            </w:pPr>
            <w:r>
              <w:rPr>
                <w:rFonts w:ascii="Arial" w:cs="Arial" w:eastAsia="Arial" w:hAnsi="Arial"/>
                <w:sz w:val="12"/>
                <w:szCs w:val="12"/>
                <w:color w:val="auto"/>
              </w:rPr>
              <w:t>229</w:t>
            </w:r>
          </w:p>
        </w:tc>
        <w:tc>
          <w:tcPr>
            <w:tcW w:w="7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4,951</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4,951</w:t>
            </w:r>
          </w:p>
        </w:tc>
        <w:tc>
          <w:tcPr>
            <w:tcW w:w="0" w:type="dxa"/>
            <w:vAlign w:val="bottom"/>
          </w:tcPr>
          <w:p>
            <w:pPr>
              <w:spacing w:after="0"/>
              <w:rPr>
                <w:sz w:val="1"/>
                <w:szCs w:val="1"/>
                <w:color w:val="auto"/>
              </w:rPr>
            </w:pPr>
          </w:p>
        </w:tc>
      </w:tr>
      <w:tr>
        <w:trPr>
          <w:trHeight w:val="164"/>
        </w:trPr>
        <w:tc>
          <w:tcPr>
            <w:tcW w:w="53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Repurchase and cancellation of Common Stock and warrants</w:t>
            </w: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(2,793)</w:t>
            </w:r>
          </w:p>
        </w:tc>
        <w:tc>
          <w:tcPr>
            <w:tcW w:w="740" w:type="dxa"/>
            <w:vAlign w:val="bottom"/>
            <w:shd w:val="clear" w:color="auto" w:fill="DBDBDB"/>
          </w:tcPr>
          <w:p>
            <w:pPr>
              <w:spacing w:after="0"/>
              <w:rPr>
                <w:sz w:val="14"/>
                <w:szCs w:val="14"/>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(76,788)</w:t>
            </w:r>
          </w:p>
        </w:tc>
        <w:tc>
          <w:tcPr>
            <w:tcW w:w="12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(76,788)</w:t>
            </w:r>
          </w:p>
        </w:tc>
        <w:tc>
          <w:tcPr>
            <w:tcW w:w="0" w:type="dxa"/>
            <w:vAlign w:val="bottom"/>
          </w:tcPr>
          <w:p>
            <w:pPr>
              <w:spacing w:after="0"/>
              <w:rPr>
                <w:sz w:val="1"/>
                <w:szCs w:val="1"/>
                <w:color w:val="auto"/>
              </w:rPr>
            </w:pPr>
          </w:p>
        </w:tc>
      </w:tr>
      <w:tr>
        <w:trPr>
          <w:trHeight w:val="159"/>
        </w:trPr>
        <w:tc>
          <w:tcPr>
            <w:tcW w:w="5360" w:type="dxa"/>
            <w:vAlign w:val="bottom"/>
          </w:tcPr>
          <w:p>
            <w:pPr>
              <w:ind w:left="180"/>
              <w:spacing w:after="0"/>
              <w:rPr>
                <w:sz w:val="20"/>
                <w:szCs w:val="20"/>
                <w:color w:val="auto"/>
              </w:rPr>
            </w:pPr>
            <w:r>
              <w:rPr>
                <w:rFonts w:ascii="Arial" w:cs="Arial" w:eastAsia="Arial" w:hAnsi="Arial"/>
                <w:sz w:val="12"/>
                <w:szCs w:val="12"/>
                <w:color w:val="auto"/>
              </w:rPr>
              <w:t>Issuance of Common Stock from the exercise of options and warrants</w:t>
            </w:r>
          </w:p>
        </w:tc>
        <w:tc>
          <w:tcPr>
            <w:tcW w:w="980" w:type="dxa"/>
            <w:vAlign w:val="bottom"/>
          </w:tcPr>
          <w:p>
            <w:pPr>
              <w:jc w:val="right"/>
              <w:spacing w:after="0"/>
              <w:rPr>
                <w:sz w:val="20"/>
                <w:szCs w:val="20"/>
                <w:color w:val="auto"/>
              </w:rPr>
            </w:pPr>
            <w:r>
              <w:rPr>
                <w:rFonts w:ascii="Arial" w:cs="Arial" w:eastAsia="Arial" w:hAnsi="Arial"/>
                <w:sz w:val="12"/>
                <w:szCs w:val="12"/>
                <w:color w:val="auto"/>
              </w:rPr>
              <w:t>341</w:t>
            </w:r>
          </w:p>
        </w:tc>
        <w:tc>
          <w:tcPr>
            <w:tcW w:w="7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5,414</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5,414</w:t>
            </w:r>
          </w:p>
        </w:tc>
        <w:tc>
          <w:tcPr>
            <w:tcW w:w="0" w:type="dxa"/>
            <w:vAlign w:val="bottom"/>
          </w:tcPr>
          <w:p>
            <w:pPr>
              <w:spacing w:after="0"/>
              <w:rPr>
                <w:sz w:val="1"/>
                <w:szCs w:val="1"/>
                <w:color w:val="auto"/>
              </w:rPr>
            </w:pPr>
          </w:p>
        </w:tc>
      </w:tr>
      <w:tr>
        <w:trPr>
          <w:trHeight w:val="164"/>
        </w:trPr>
        <w:tc>
          <w:tcPr>
            <w:tcW w:w="53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Withholding taxes on net share settlement of stock-based compensation</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DBDBDB"/>
          </w:tcPr>
          <w:p>
            <w:pPr>
              <w:spacing w:after="0"/>
              <w:rPr>
                <w:sz w:val="14"/>
                <w:szCs w:val="14"/>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(3,219)</w:t>
            </w:r>
          </w:p>
        </w:tc>
        <w:tc>
          <w:tcPr>
            <w:tcW w:w="120" w:type="dxa"/>
            <w:vAlign w:val="bottom"/>
            <w:tcBorders>
              <w:bottom w:val="single" w:sz="8" w:color="auto"/>
            </w:tcBorders>
            <w:shd w:val="clear" w:color="auto" w:fill="DBDBDB"/>
          </w:tcPr>
          <w:p>
            <w:pPr>
              <w:spacing w:after="0"/>
              <w:rPr>
                <w:sz w:val="14"/>
                <w:szCs w:val="14"/>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DBDBDB"/>
          </w:tcPr>
          <w:p>
            <w:pPr>
              <w:spacing w:after="0"/>
              <w:rPr>
                <w:sz w:val="14"/>
                <w:szCs w:val="14"/>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DBDBDB"/>
          </w:tcPr>
          <w:p>
            <w:pPr>
              <w:spacing w:after="0"/>
              <w:rPr>
                <w:sz w:val="14"/>
                <w:szCs w:val="14"/>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(3,219)</w:t>
            </w:r>
          </w:p>
        </w:tc>
        <w:tc>
          <w:tcPr>
            <w:tcW w:w="0" w:type="dxa"/>
            <w:vAlign w:val="bottom"/>
          </w:tcPr>
          <w:p>
            <w:pPr>
              <w:spacing w:after="0"/>
              <w:rPr>
                <w:sz w:val="1"/>
                <w:szCs w:val="1"/>
                <w:color w:val="auto"/>
              </w:rPr>
            </w:pPr>
          </w:p>
        </w:tc>
      </w:tr>
      <w:tr>
        <w:trPr>
          <w:trHeight w:val="149"/>
        </w:trPr>
        <w:tc>
          <w:tcPr>
            <w:tcW w:w="5360" w:type="dxa"/>
            <w:vAlign w:val="bottom"/>
          </w:tcPr>
          <w:p>
            <w:pPr>
              <w:ind w:left="20"/>
              <w:spacing w:after="0"/>
              <w:rPr>
                <w:sz w:val="20"/>
                <w:szCs w:val="20"/>
                <w:color w:val="auto"/>
              </w:rPr>
            </w:pPr>
            <w:r>
              <w:rPr>
                <w:rFonts w:ascii="Arial" w:cs="Arial" w:eastAsia="Arial" w:hAnsi="Arial"/>
                <w:sz w:val="12"/>
                <w:szCs w:val="12"/>
                <w:color w:val="auto"/>
              </w:rPr>
              <w:t>Balance at March 31, 2021</w:t>
            </w:r>
          </w:p>
        </w:tc>
        <w:tc>
          <w:tcPr>
            <w:tcW w:w="980" w:type="dxa"/>
            <w:vAlign w:val="bottom"/>
          </w:tcPr>
          <w:p>
            <w:pPr>
              <w:jc w:val="right"/>
              <w:spacing w:after="0"/>
              <w:rPr>
                <w:sz w:val="20"/>
                <w:szCs w:val="20"/>
                <w:color w:val="auto"/>
              </w:rPr>
            </w:pPr>
            <w:r>
              <w:rPr>
                <w:rFonts w:ascii="Arial" w:cs="Arial" w:eastAsia="Arial" w:hAnsi="Arial"/>
                <w:sz w:val="12"/>
                <w:szCs w:val="12"/>
                <w:color w:val="auto"/>
              </w:rPr>
              <w:t>226,815</w:t>
            </w:r>
          </w:p>
        </w:tc>
        <w:tc>
          <w:tcPr>
            <w:tcW w:w="740" w:type="dxa"/>
            <w:vAlign w:val="bottom"/>
          </w:tcPr>
          <w:p>
            <w:pPr>
              <w:jc w:val="right"/>
              <w:ind w:right="603"/>
              <w:spacing w:after="0"/>
              <w:rPr>
                <w:sz w:val="20"/>
                <w:szCs w:val="20"/>
                <w:color w:val="auto"/>
              </w:rPr>
            </w:pPr>
            <w:r>
              <w:rPr>
                <w:rFonts w:ascii="Arial" w:cs="Arial" w:eastAsia="Arial" w:hAnsi="Arial"/>
                <w:sz w:val="12"/>
                <w:szCs w:val="12"/>
                <w:color w:val="auto"/>
                <w:w w:val="89"/>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23</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3,782,649</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(29,996)</w:t>
            </w:r>
          </w:p>
        </w:tc>
        <w:tc>
          <w:tcPr>
            <w:tcW w:w="22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(1,746,787)</w:t>
            </w:r>
          </w:p>
        </w:tc>
        <w:tc>
          <w:tcPr>
            <w:tcW w:w="220" w:type="dxa"/>
            <w:vAlign w:val="bottom"/>
          </w:tcPr>
          <w:p>
            <w:pPr>
              <w:jc w:val="right"/>
              <w:ind w:right="84"/>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2,005,889</w:t>
            </w:r>
          </w:p>
        </w:tc>
        <w:tc>
          <w:tcPr>
            <w:tcW w:w="0" w:type="dxa"/>
            <w:vAlign w:val="bottom"/>
          </w:tcPr>
          <w:p>
            <w:pPr>
              <w:spacing w:after="0"/>
              <w:rPr>
                <w:sz w:val="1"/>
                <w:szCs w:val="1"/>
                <w:color w:val="auto"/>
              </w:rPr>
            </w:pPr>
          </w:p>
        </w:tc>
      </w:tr>
      <w:tr>
        <w:trPr>
          <w:trHeight w:val="164"/>
        </w:trPr>
        <w:tc>
          <w:tcPr>
            <w:tcW w:w="53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Net income</w:t>
            </w: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spacing w:after="0"/>
              <w:rPr>
                <w:sz w:val="14"/>
                <w:szCs w:val="14"/>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20,371</w:t>
            </w:r>
          </w:p>
        </w:tc>
        <w:tc>
          <w:tcPr>
            <w:tcW w:w="22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20,371</w:t>
            </w:r>
          </w:p>
        </w:tc>
        <w:tc>
          <w:tcPr>
            <w:tcW w:w="0" w:type="dxa"/>
            <w:vAlign w:val="bottom"/>
          </w:tcPr>
          <w:p>
            <w:pPr>
              <w:spacing w:after="0"/>
              <w:rPr>
                <w:sz w:val="1"/>
                <w:szCs w:val="1"/>
                <w:color w:val="auto"/>
              </w:rPr>
            </w:pPr>
          </w:p>
        </w:tc>
      </w:tr>
      <w:tr>
        <w:trPr>
          <w:trHeight w:val="159"/>
        </w:trPr>
        <w:tc>
          <w:tcPr>
            <w:tcW w:w="5360" w:type="dxa"/>
            <w:vAlign w:val="bottom"/>
          </w:tcPr>
          <w:p>
            <w:pPr>
              <w:ind w:left="180"/>
              <w:spacing w:after="0"/>
              <w:rPr>
                <w:sz w:val="20"/>
                <w:szCs w:val="20"/>
                <w:color w:val="auto"/>
              </w:rPr>
            </w:pPr>
            <w:r>
              <w:rPr>
                <w:rFonts w:ascii="Arial" w:cs="Arial" w:eastAsia="Arial" w:hAnsi="Arial"/>
                <w:sz w:val="12"/>
                <w:szCs w:val="12"/>
                <w:color w:val="auto"/>
              </w:rPr>
              <w:t>Other comprehensive income</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5,239</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5,239</w:t>
            </w:r>
          </w:p>
        </w:tc>
        <w:tc>
          <w:tcPr>
            <w:tcW w:w="0" w:type="dxa"/>
            <w:vAlign w:val="bottom"/>
          </w:tcPr>
          <w:p>
            <w:pPr>
              <w:spacing w:after="0"/>
              <w:rPr>
                <w:sz w:val="1"/>
                <w:szCs w:val="1"/>
                <w:color w:val="auto"/>
              </w:rPr>
            </w:pPr>
          </w:p>
        </w:tc>
      </w:tr>
      <w:tr>
        <w:trPr>
          <w:trHeight w:val="164"/>
        </w:trPr>
        <w:tc>
          <w:tcPr>
            <w:tcW w:w="53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Stock-based compensation and issuance of Common Stock from vesting</w:t>
            </w: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60</w:t>
            </w:r>
          </w:p>
        </w:tc>
        <w:tc>
          <w:tcPr>
            <w:tcW w:w="740" w:type="dxa"/>
            <w:vAlign w:val="bottom"/>
            <w:shd w:val="clear" w:color="auto" w:fill="DBDBDB"/>
          </w:tcPr>
          <w:p>
            <w:pPr>
              <w:spacing w:after="0"/>
              <w:rPr>
                <w:sz w:val="14"/>
                <w:szCs w:val="14"/>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9,038</w:t>
            </w:r>
          </w:p>
        </w:tc>
        <w:tc>
          <w:tcPr>
            <w:tcW w:w="12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9,038</w:t>
            </w:r>
          </w:p>
        </w:tc>
        <w:tc>
          <w:tcPr>
            <w:tcW w:w="0" w:type="dxa"/>
            <w:vAlign w:val="bottom"/>
          </w:tcPr>
          <w:p>
            <w:pPr>
              <w:spacing w:after="0"/>
              <w:rPr>
                <w:sz w:val="1"/>
                <w:szCs w:val="1"/>
                <w:color w:val="auto"/>
              </w:rPr>
            </w:pPr>
          </w:p>
        </w:tc>
      </w:tr>
      <w:tr>
        <w:trPr>
          <w:trHeight w:val="159"/>
        </w:trPr>
        <w:tc>
          <w:tcPr>
            <w:tcW w:w="5360" w:type="dxa"/>
            <w:vAlign w:val="bottom"/>
          </w:tcPr>
          <w:p>
            <w:pPr>
              <w:ind w:left="180"/>
              <w:spacing w:after="0"/>
              <w:rPr>
                <w:sz w:val="20"/>
                <w:szCs w:val="20"/>
                <w:color w:val="auto"/>
              </w:rPr>
            </w:pPr>
            <w:r>
              <w:rPr>
                <w:rFonts w:ascii="Arial" w:cs="Arial" w:eastAsia="Arial" w:hAnsi="Arial"/>
                <w:sz w:val="12"/>
                <w:szCs w:val="12"/>
                <w:color w:val="auto"/>
              </w:rPr>
              <w:t>Repurchase and cancellation of Common Stock and warrants</w:t>
            </w:r>
          </w:p>
        </w:tc>
        <w:tc>
          <w:tcPr>
            <w:tcW w:w="980" w:type="dxa"/>
            <w:vAlign w:val="bottom"/>
          </w:tcPr>
          <w:p>
            <w:pPr>
              <w:jc w:val="right"/>
              <w:spacing w:after="0"/>
              <w:rPr>
                <w:sz w:val="20"/>
                <w:szCs w:val="20"/>
                <w:color w:val="auto"/>
              </w:rPr>
            </w:pPr>
            <w:r>
              <w:rPr>
                <w:rFonts w:ascii="Arial" w:cs="Arial" w:eastAsia="Arial" w:hAnsi="Arial"/>
                <w:sz w:val="12"/>
                <w:szCs w:val="12"/>
                <w:color w:val="auto"/>
              </w:rPr>
              <w:t>(4,100)</w:t>
            </w:r>
          </w:p>
        </w:tc>
        <w:tc>
          <w:tcPr>
            <w:tcW w:w="7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(35,508)</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(35,508)</w:t>
            </w:r>
          </w:p>
        </w:tc>
        <w:tc>
          <w:tcPr>
            <w:tcW w:w="0" w:type="dxa"/>
            <w:vAlign w:val="bottom"/>
          </w:tcPr>
          <w:p>
            <w:pPr>
              <w:spacing w:after="0"/>
              <w:rPr>
                <w:sz w:val="1"/>
                <w:szCs w:val="1"/>
                <w:color w:val="auto"/>
              </w:rPr>
            </w:pPr>
          </w:p>
        </w:tc>
      </w:tr>
      <w:tr>
        <w:trPr>
          <w:trHeight w:val="164"/>
        </w:trPr>
        <w:tc>
          <w:tcPr>
            <w:tcW w:w="53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Issuance of Common Stock from the exercise of options and warrants</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4,058</w:t>
            </w:r>
          </w:p>
        </w:tc>
        <w:tc>
          <w:tcPr>
            <w:tcW w:w="740" w:type="dxa"/>
            <w:vAlign w:val="bottom"/>
            <w:tcBorders>
              <w:bottom w:val="single" w:sz="8" w:color="auto"/>
            </w:tcBorders>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DBDBDB"/>
          </w:tcPr>
          <w:p>
            <w:pPr>
              <w:spacing w:after="0"/>
              <w:rPr>
                <w:sz w:val="14"/>
                <w:szCs w:val="14"/>
                <w:color w:val="auto"/>
              </w:rPr>
            </w:pPr>
          </w:p>
        </w:tc>
        <w:tc>
          <w:tcPr>
            <w:tcW w:w="9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2"/>
                <w:szCs w:val="12"/>
                <w:color w:val="auto"/>
              </w:rPr>
              <w:t>384</w:t>
            </w:r>
          </w:p>
        </w:tc>
        <w:tc>
          <w:tcPr>
            <w:tcW w:w="120" w:type="dxa"/>
            <w:vAlign w:val="bottom"/>
            <w:tcBorders>
              <w:bottom w:val="single" w:sz="8" w:color="auto"/>
            </w:tcBorders>
            <w:shd w:val="clear" w:color="auto" w:fill="DBDBDB"/>
          </w:tcPr>
          <w:p>
            <w:pPr>
              <w:spacing w:after="0"/>
              <w:rPr>
                <w:sz w:val="14"/>
                <w:szCs w:val="14"/>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DBDBDB"/>
          </w:tcPr>
          <w:p>
            <w:pPr>
              <w:spacing w:after="0"/>
              <w:rPr>
                <w:sz w:val="14"/>
                <w:szCs w:val="14"/>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DBDBDB"/>
          </w:tcPr>
          <w:p>
            <w:pPr>
              <w:spacing w:after="0"/>
              <w:rPr>
                <w:sz w:val="14"/>
                <w:szCs w:val="14"/>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384</w:t>
            </w:r>
          </w:p>
        </w:tc>
        <w:tc>
          <w:tcPr>
            <w:tcW w:w="0" w:type="dxa"/>
            <w:vAlign w:val="bottom"/>
          </w:tcPr>
          <w:p>
            <w:pPr>
              <w:spacing w:after="0"/>
              <w:rPr>
                <w:sz w:val="1"/>
                <w:szCs w:val="1"/>
                <w:color w:val="auto"/>
              </w:rPr>
            </w:pPr>
          </w:p>
        </w:tc>
      </w:tr>
      <w:tr>
        <w:trPr>
          <w:trHeight w:val="149"/>
        </w:trPr>
        <w:tc>
          <w:tcPr>
            <w:tcW w:w="5360" w:type="dxa"/>
            <w:vAlign w:val="bottom"/>
          </w:tcPr>
          <w:p>
            <w:pPr>
              <w:ind w:left="20"/>
              <w:spacing w:after="0"/>
              <w:rPr>
                <w:sz w:val="20"/>
                <w:szCs w:val="20"/>
                <w:color w:val="auto"/>
              </w:rPr>
            </w:pPr>
            <w:r>
              <w:rPr>
                <w:rFonts w:ascii="Arial" w:cs="Arial" w:eastAsia="Arial" w:hAnsi="Arial"/>
                <w:sz w:val="12"/>
                <w:szCs w:val="12"/>
                <w:color w:val="auto"/>
              </w:rPr>
              <w:t>Balance at June 30, 2021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226,833</w:t>
            </w:r>
          </w:p>
        </w:tc>
        <w:tc>
          <w:tcPr>
            <w:tcW w:w="740" w:type="dxa"/>
            <w:vAlign w:val="bottom"/>
            <w:tcBorders>
              <w:bottom w:val="single" w:sz="8" w:color="auto"/>
            </w:tcBorders>
          </w:tcPr>
          <w:p>
            <w:pPr>
              <w:jc w:val="right"/>
              <w:ind w:right="603"/>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3,756,563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(24,757)</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(1,726,416)</w:t>
            </w: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2,005,413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9"/>
          <w:szCs w:val="9"/>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33020</wp:posOffset>
            </wp:positionV>
            <wp:extent cx="719264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506"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color w:val="1D2758"/>
        </w:rPr>
        <w:t>WillScot Mobile Mini Holdings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1D2758"/>
        </w:rPr>
        <w:t>Condensed Consolidated Statements of Changes in Equity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1D2758"/>
        </w:rPr>
        <w:t>(Unaudited)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FFFFFF"/>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3910" cy="102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910" cy="102235"/>
                    </a:xfrm>
                    <a:prstGeom prst="rect">
                      <a:avLst/>
                    </a:prstGeom>
                    <a:noFill/>
                  </pic:spPr>
                </pic:pic>
              </a:graphicData>
            </a:graphic>
          </wp:anchor>
        </w:drawing>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2300" w:type="dxa"/>
            <w:vAlign w:val="bottom"/>
            <w:shd w:val="clear" w:color="auto" w:fill="1D2758"/>
          </w:tcPr>
          <w:p>
            <w:pPr>
              <w:spacing w:after="0"/>
              <w:rPr>
                <w:sz w:val="19"/>
                <w:szCs w:val="19"/>
                <w:color w:val="auto"/>
              </w:rPr>
            </w:pPr>
          </w:p>
        </w:tc>
        <w:tc>
          <w:tcPr>
            <w:tcW w:w="1860" w:type="dxa"/>
            <w:vAlign w:val="bottom"/>
            <w:gridSpan w:val="3"/>
            <w:shd w:val="clear" w:color="auto" w:fill="1D2758"/>
          </w:tcPr>
          <w:p>
            <w:pPr>
              <w:jc w:val="right"/>
              <w:ind w:right="366"/>
              <w:spacing w:after="0"/>
              <w:rPr>
                <w:sz w:val="20"/>
                <w:szCs w:val="20"/>
                <w:color w:val="auto"/>
              </w:rPr>
            </w:pPr>
            <w:r>
              <w:rPr>
                <w:rFonts w:ascii="Arial" w:cs="Arial" w:eastAsia="Arial" w:hAnsi="Arial"/>
                <w:sz w:val="9"/>
                <w:szCs w:val="9"/>
                <w:b w:val="1"/>
                <w:bCs w:val="1"/>
                <w:color w:val="FFFFFF"/>
              </w:rPr>
              <w:t>Class A Common Stock</w:t>
            </w:r>
            <w:r>
              <w:rPr>
                <w:rFonts w:ascii="Arial" w:cs="Arial" w:eastAsia="Arial" w:hAnsi="Arial"/>
                <w:sz w:val="12"/>
                <w:szCs w:val="12"/>
                <w:b w:val="1"/>
                <w:bCs w:val="1"/>
                <w:color w:val="FFFFFF"/>
                <w:vertAlign w:val="superscript"/>
              </w:rPr>
              <w:t>(1)</w:t>
            </w:r>
          </w:p>
        </w:tc>
        <w:tc>
          <w:tcPr>
            <w:tcW w:w="1460" w:type="dxa"/>
            <w:vAlign w:val="bottom"/>
            <w:gridSpan w:val="2"/>
            <w:shd w:val="clear" w:color="auto" w:fill="1D2758"/>
          </w:tcPr>
          <w:p>
            <w:pPr>
              <w:jc w:val="right"/>
              <w:ind w:right="106"/>
              <w:spacing w:after="0"/>
              <w:rPr>
                <w:sz w:val="20"/>
                <w:szCs w:val="20"/>
                <w:color w:val="auto"/>
              </w:rPr>
            </w:pPr>
            <w:r>
              <w:rPr>
                <w:rFonts w:ascii="Arial" w:cs="Arial" w:eastAsia="Arial" w:hAnsi="Arial"/>
                <w:sz w:val="9"/>
                <w:szCs w:val="9"/>
                <w:b w:val="1"/>
                <w:bCs w:val="1"/>
                <w:color w:val="FFFFFF"/>
              </w:rPr>
              <w:t>Class B Common Stock</w:t>
            </w:r>
          </w:p>
        </w:tc>
        <w:tc>
          <w:tcPr>
            <w:tcW w:w="200" w:type="dxa"/>
            <w:vAlign w:val="bottom"/>
            <w:shd w:val="clear" w:color="auto" w:fill="1D2758"/>
          </w:tcPr>
          <w:p>
            <w:pPr>
              <w:spacing w:after="0"/>
              <w:rPr>
                <w:sz w:val="19"/>
                <w:szCs w:val="19"/>
                <w:color w:val="auto"/>
              </w:rPr>
            </w:pPr>
          </w:p>
        </w:tc>
        <w:tc>
          <w:tcPr>
            <w:tcW w:w="200" w:type="dxa"/>
            <w:vAlign w:val="bottom"/>
            <w:shd w:val="clear" w:color="auto" w:fill="1D2758"/>
          </w:tcPr>
          <w:p>
            <w:pPr>
              <w:spacing w:after="0"/>
              <w:rPr>
                <w:sz w:val="19"/>
                <w:szCs w:val="19"/>
                <w:color w:val="auto"/>
              </w:rPr>
            </w:pPr>
          </w:p>
        </w:tc>
        <w:tc>
          <w:tcPr>
            <w:tcW w:w="740" w:type="dxa"/>
            <w:vAlign w:val="bottom"/>
            <w:shd w:val="clear" w:color="auto" w:fill="1D2758"/>
          </w:tcPr>
          <w:p>
            <w:pPr>
              <w:spacing w:after="0"/>
              <w:rPr>
                <w:sz w:val="19"/>
                <w:szCs w:val="19"/>
                <w:color w:val="auto"/>
              </w:rPr>
            </w:pPr>
          </w:p>
        </w:tc>
        <w:tc>
          <w:tcPr>
            <w:tcW w:w="1020" w:type="dxa"/>
            <w:vAlign w:val="bottom"/>
            <w:gridSpan w:val="2"/>
            <w:shd w:val="clear" w:color="auto" w:fill="1D2758"/>
          </w:tcPr>
          <w:p>
            <w:pPr>
              <w:jc w:val="center"/>
              <w:spacing w:after="0"/>
              <w:rPr>
                <w:sz w:val="20"/>
                <w:szCs w:val="20"/>
                <w:color w:val="auto"/>
              </w:rPr>
            </w:pPr>
            <w:r>
              <w:rPr>
                <w:rFonts w:ascii="Arial" w:cs="Arial" w:eastAsia="Arial" w:hAnsi="Arial"/>
                <w:sz w:val="9"/>
                <w:szCs w:val="9"/>
                <w:b w:val="1"/>
                <w:bCs w:val="1"/>
                <w:color w:val="FFFFFF"/>
              </w:rPr>
              <w:t>Accumulated Other</w:t>
            </w:r>
          </w:p>
        </w:tc>
        <w:tc>
          <w:tcPr>
            <w:tcW w:w="220" w:type="dxa"/>
            <w:vAlign w:val="bottom"/>
            <w:shd w:val="clear" w:color="auto" w:fill="1D2758"/>
          </w:tcPr>
          <w:p>
            <w:pPr>
              <w:spacing w:after="0"/>
              <w:rPr>
                <w:sz w:val="19"/>
                <w:szCs w:val="19"/>
                <w:color w:val="auto"/>
              </w:rPr>
            </w:pPr>
          </w:p>
        </w:tc>
        <w:tc>
          <w:tcPr>
            <w:tcW w:w="76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720" w:type="dxa"/>
            <w:vAlign w:val="bottom"/>
            <w:shd w:val="clear" w:color="auto" w:fill="1D2758"/>
          </w:tcPr>
          <w:p>
            <w:pPr>
              <w:jc w:val="center"/>
              <w:ind w:right="31"/>
              <w:spacing w:after="0"/>
              <w:rPr>
                <w:sz w:val="20"/>
                <w:szCs w:val="20"/>
                <w:color w:val="auto"/>
              </w:rPr>
            </w:pPr>
            <w:r>
              <w:rPr>
                <w:rFonts w:ascii="Arial" w:cs="Arial" w:eastAsia="Arial" w:hAnsi="Arial"/>
                <w:sz w:val="9"/>
                <w:szCs w:val="9"/>
                <w:b w:val="1"/>
                <w:bCs w:val="1"/>
                <w:color w:val="FFFFFF"/>
                <w:w w:val="92"/>
              </w:rPr>
              <w:t>Total</w:t>
            </w:r>
          </w:p>
        </w:tc>
        <w:tc>
          <w:tcPr>
            <w:tcW w:w="180" w:type="dxa"/>
            <w:vAlign w:val="bottom"/>
            <w:shd w:val="clear" w:color="auto" w:fill="1D2758"/>
          </w:tcPr>
          <w:p>
            <w:pPr>
              <w:spacing w:after="0"/>
              <w:rPr>
                <w:sz w:val="19"/>
                <w:szCs w:val="19"/>
                <w:color w:val="auto"/>
              </w:rPr>
            </w:pPr>
          </w:p>
        </w:tc>
        <w:tc>
          <w:tcPr>
            <w:tcW w:w="640" w:type="dxa"/>
            <w:vAlign w:val="bottom"/>
            <w:shd w:val="clear" w:color="auto" w:fill="1D2758"/>
          </w:tcPr>
          <w:p>
            <w:pPr>
              <w:spacing w:after="0"/>
              <w:rPr>
                <w:sz w:val="19"/>
                <w:szCs w:val="19"/>
                <w:color w:val="auto"/>
              </w:rPr>
            </w:pPr>
          </w:p>
        </w:tc>
        <w:tc>
          <w:tcPr>
            <w:tcW w:w="140" w:type="dxa"/>
            <w:vAlign w:val="bottom"/>
            <w:shd w:val="clear" w:color="auto" w:fill="1D2758"/>
          </w:tcPr>
          <w:p>
            <w:pPr>
              <w:spacing w:after="0"/>
              <w:rPr>
                <w:sz w:val="19"/>
                <w:szCs w:val="19"/>
                <w:color w:val="auto"/>
              </w:rPr>
            </w:pPr>
          </w:p>
        </w:tc>
        <w:tc>
          <w:tcPr>
            <w:tcW w:w="720" w:type="dxa"/>
            <w:vAlign w:val="bottom"/>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2300" w:type="dxa"/>
            <w:vAlign w:val="bottom"/>
            <w:vMerge w:val="restart"/>
            <w:shd w:val="clear" w:color="auto" w:fill="1D2758"/>
          </w:tcPr>
          <w:p>
            <w:pPr>
              <w:spacing w:after="0"/>
              <w:rPr>
                <w:sz w:val="20"/>
                <w:szCs w:val="20"/>
                <w:color w:val="auto"/>
              </w:rPr>
            </w:pPr>
            <w:r>
              <w:rPr>
                <w:rFonts w:ascii="Arial" w:cs="Arial" w:eastAsia="Arial" w:hAnsi="Arial"/>
                <w:sz w:val="9"/>
                <w:szCs w:val="9"/>
                <w:b w:val="1"/>
                <w:bCs w:val="1"/>
                <w:i w:val="1"/>
                <w:iCs w:val="1"/>
                <w:color w:val="FFFFFF"/>
              </w:rPr>
              <w:t>(in thousands)</w:t>
            </w:r>
          </w:p>
        </w:tc>
        <w:tc>
          <w:tcPr>
            <w:tcW w:w="860" w:type="dxa"/>
            <w:vAlign w:val="bottom"/>
            <w:vMerge w:val="restart"/>
            <w:shd w:val="clear" w:color="auto" w:fill="1D2758"/>
          </w:tcPr>
          <w:p>
            <w:pPr>
              <w:jc w:val="right"/>
              <w:ind w:right="208"/>
              <w:spacing w:after="0"/>
              <w:rPr>
                <w:sz w:val="20"/>
                <w:szCs w:val="20"/>
                <w:color w:val="auto"/>
              </w:rPr>
            </w:pPr>
            <w:r>
              <w:rPr>
                <w:rFonts w:ascii="Arial" w:cs="Arial" w:eastAsia="Arial" w:hAnsi="Arial"/>
                <w:sz w:val="9"/>
                <w:szCs w:val="9"/>
                <w:b w:val="1"/>
                <w:bCs w:val="1"/>
                <w:color w:val="FFFFFF"/>
              </w:rPr>
              <w:t>Shares</w:t>
            </w:r>
          </w:p>
        </w:tc>
        <w:tc>
          <w:tcPr>
            <w:tcW w:w="180" w:type="dxa"/>
            <w:vAlign w:val="bottom"/>
            <w:shd w:val="clear" w:color="auto" w:fill="1D2758"/>
          </w:tcPr>
          <w:p>
            <w:pPr>
              <w:spacing w:after="0"/>
              <w:rPr>
                <w:sz w:val="6"/>
                <w:szCs w:val="6"/>
                <w:color w:val="auto"/>
              </w:rPr>
            </w:pPr>
          </w:p>
        </w:tc>
        <w:tc>
          <w:tcPr>
            <w:tcW w:w="820" w:type="dxa"/>
            <w:vAlign w:val="bottom"/>
            <w:vMerge w:val="restart"/>
            <w:shd w:val="clear" w:color="auto" w:fill="1D2758"/>
          </w:tcPr>
          <w:p>
            <w:pPr>
              <w:jc w:val="right"/>
              <w:ind w:right="306"/>
              <w:spacing w:after="0"/>
              <w:rPr>
                <w:sz w:val="20"/>
                <w:szCs w:val="20"/>
                <w:color w:val="auto"/>
              </w:rPr>
            </w:pPr>
            <w:r>
              <w:rPr>
                <w:rFonts w:ascii="Arial" w:cs="Arial" w:eastAsia="Arial" w:hAnsi="Arial"/>
                <w:sz w:val="9"/>
                <w:szCs w:val="9"/>
                <w:b w:val="1"/>
                <w:bCs w:val="1"/>
                <w:color w:val="FFFFFF"/>
              </w:rPr>
              <w:t>Amount</w:t>
            </w:r>
          </w:p>
        </w:tc>
        <w:tc>
          <w:tcPr>
            <w:tcW w:w="760" w:type="dxa"/>
            <w:vAlign w:val="bottom"/>
            <w:vMerge w:val="restart"/>
            <w:shd w:val="clear" w:color="auto" w:fill="1D2758"/>
          </w:tcPr>
          <w:p>
            <w:pPr>
              <w:jc w:val="right"/>
              <w:ind w:right="208"/>
              <w:spacing w:after="0"/>
              <w:rPr>
                <w:sz w:val="20"/>
                <w:szCs w:val="20"/>
                <w:color w:val="auto"/>
              </w:rPr>
            </w:pPr>
            <w:r>
              <w:rPr>
                <w:rFonts w:ascii="Arial" w:cs="Arial" w:eastAsia="Arial" w:hAnsi="Arial"/>
                <w:sz w:val="9"/>
                <w:szCs w:val="9"/>
                <w:b w:val="1"/>
                <w:bCs w:val="1"/>
                <w:color w:val="FFFFFF"/>
              </w:rPr>
              <w:t>Shares</w:t>
            </w:r>
          </w:p>
        </w:tc>
        <w:tc>
          <w:tcPr>
            <w:tcW w:w="700" w:type="dxa"/>
            <w:vAlign w:val="bottom"/>
            <w:vMerge w:val="restart"/>
            <w:shd w:val="clear" w:color="auto" w:fill="1D2758"/>
          </w:tcPr>
          <w:p>
            <w:pPr>
              <w:jc w:val="right"/>
              <w:ind w:right="26"/>
              <w:spacing w:after="0"/>
              <w:rPr>
                <w:sz w:val="20"/>
                <w:szCs w:val="20"/>
                <w:color w:val="auto"/>
              </w:rPr>
            </w:pPr>
            <w:r>
              <w:rPr>
                <w:rFonts w:ascii="Arial" w:cs="Arial" w:eastAsia="Arial" w:hAnsi="Arial"/>
                <w:sz w:val="9"/>
                <w:szCs w:val="9"/>
                <w:b w:val="1"/>
                <w:bCs w:val="1"/>
                <w:color w:val="FFFFFF"/>
              </w:rPr>
              <w:t>Amount</w:t>
            </w:r>
          </w:p>
        </w:tc>
        <w:tc>
          <w:tcPr>
            <w:tcW w:w="200" w:type="dxa"/>
            <w:vAlign w:val="bottom"/>
            <w:shd w:val="clear" w:color="auto" w:fill="1D2758"/>
          </w:tcPr>
          <w:p>
            <w:pPr>
              <w:spacing w:after="0"/>
              <w:rPr>
                <w:sz w:val="6"/>
                <w:szCs w:val="6"/>
                <w:color w:val="auto"/>
              </w:rPr>
            </w:pPr>
          </w:p>
        </w:tc>
        <w:tc>
          <w:tcPr>
            <w:tcW w:w="940" w:type="dxa"/>
            <w:vAlign w:val="bottom"/>
            <w:gridSpan w:val="2"/>
            <w:shd w:val="clear" w:color="auto" w:fill="1D2758"/>
          </w:tcPr>
          <w:p>
            <w:pPr>
              <w:jc w:val="center"/>
              <w:spacing w:after="0" w:line="71" w:lineRule="exact"/>
              <w:rPr>
                <w:sz w:val="20"/>
                <w:szCs w:val="20"/>
                <w:color w:val="auto"/>
              </w:rPr>
            </w:pPr>
            <w:r>
              <w:rPr>
                <w:rFonts w:ascii="Arial" w:cs="Arial" w:eastAsia="Arial" w:hAnsi="Arial"/>
                <w:sz w:val="8"/>
                <w:szCs w:val="8"/>
                <w:b w:val="1"/>
                <w:bCs w:val="1"/>
                <w:color w:val="FFFFFF"/>
              </w:rPr>
              <w:t>Additional Paid-in-</w:t>
            </w:r>
          </w:p>
        </w:tc>
        <w:tc>
          <w:tcPr>
            <w:tcW w:w="140" w:type="dxa"/>
            <w:vAlign w:val="bottom"/>
            <w:shd w:val="clear" w:color="auto" w:fill="1D2758"/>
          </w:tcPr>
          <w:p>
            <w:pPr>
              <w:spacing w:after="0"/>
              <w:rPr>
                <w:sz w:val="6"/>
                <w:szCs w:val="6"/>
                <w:color w:val="auto"/>
              </w:rPr>
            </w:pPr>
          </w:p>
        </w:tc>
        <w:tc>
          <w:tcPr>
            <w:tcW w:w="880" w:type="dxa"/>
            <w:vAlign w:val="bottom"/>
            <w:shd w:val="clear" w:color="auto" w:fill="1D2758"/>
          </w:tcPr>
          <w:p>
            <w:pPr>
              <w:jc w:val="center"/>
              <w:ind w:right="50"/>
              <w:spacing w:after="0" w:line="71" w:lineRule="exact"/>
              <w:rPr>
                <w:sz w:val="20"/>
                <w:szCs w:val="20"/>
                <w:color w:val="auto"/>
              </w:rPr>
            </w:pPr>
            <w:r>
              <w:rPr>
                <w:rFonts w:ascii="Arial" w:cs="Arial" w:eastAsia="Arial" w:hAnsi="Arial"/>
                <w:sz w:val="8"/>
                <w:szCs w:val="8"/>
                <w:b w:val="1"/>
                <w:bCs w:val="1"/>
                <w:color w:val="FFFFFF"/>
              </w:rPr>
              <w:t>Comprehensive</w:t>
            </w:r>
          </w:p>
        </w:tc>
        <w:tc>
          <w:tcPr>
            <w:tcW w:w="980" w:type="dxa"/>
            <w:vAlign w:val="bottom"/>
            <w:gridSpan w:val="2"/>
            <w:vMerge w:val="restart"/>
            <w:shd w:val="clear" w:color="auto" w:fill="1D2758"/>
          </w:tcPr>
          <w:p>
            <w:pPr>
              <w:jc w:val="right"/>
              <w:spacing w:after="0"/>
              <w:rPr>
                <w:sz w:val="20"/>
                <w:szCs w:val="20"/>
                <w:color w:val="auto"/>
              </w:rPr>
            </w:pPr>
            <w:r>
              <w:rPr>
                <w:rFonts w:ascii="Arial" w:cs="Arial" w:eastAsia="Arial" w:hAnsi="Arial"/>
                <w:sz w:val="9"/>
                <w:szCs w:val="9"/>
                <w:b w:val="1"/>
                <w:bCs w:val="1"/>
                <w:color w:val="FFFFFF"/>
              </w:rPr>
              <w:t>Accumulated Deficit</w:t>
            </w:r>
          </w:p>
        </w:tc>
        <w:tc>
          <w:tcPr>
            <w:tcW w:w="100" w:type="dxa"/>
            <w:vAlign w:val="bottom"/>
            <w:shd w:val="clear" w:color="auto" w:fill="1D2758"/>
          </w:tcPr>
          <w:p>
            <w:pPr>
              <w:spacing w:after="0"/>
              <w:rPr>
                <w:sz w:val="6"/>
                <w:szCs w:val="6"/>
                <w:color w:val="auto"/>
              </w:rPr>
            </w:pPr>
          </w:p>
        </w:tc>
        <w:tc>
          <w:tcPr>
            <w:tcW w:w="720" w:type="dxa"/>
            <w:vAlign w:val="bottom"/>
            <w:shd w:val="clear" w:color="auto" w:fill="1D2758"/>
          </w:tcPr>
          <w:p>
            <w:pPr>
              <w:jc w:val="center"/>
              <w:ind w:right="31"/>
              <w:spacing w:after="0" w:line="71" w:lineRule="exact"/>
              <w:rPr>
                <w:sz w:val="20"/>
                <w:szCs w:val="20"/>
                <w:color w:val="auto"/>
              </w:rPr>
            </w:pPr>
            <w:r>
              <w:rPr>
                <w:rFonts w:ascii="Arial" w:cs="Arial" w:eastAsia="Arial" w:hAnsi="Arial"/>
                <w:sz w:val="8"/>
                <w:szCs w:val="8"/>
                <w:b w:val="1"/>
                <w:bCs w:val="1"/>
                <w:color w:val="FFFFFF"/>
              </w:rPr>
              <w:t>Shareholders'</w:t>
            </w:r>
          </w:p>
        </w:tc>
        <w:tc>
          <w:tcPr>
            <w:tcW w:w="820" w:type="dxa"/>
            <w:vAlign w:val="bottom"/>
            <w:gridSpan w:val="2"/>
            <w:shd w:val="clear" w:color="auto" w:fill="1D2758"/>
          </w:tcPr>
          <w:p>
            <w:pPr>
              <w:jc w:val="right"/>
              <w:spacing w:after="0" w:line="71" w:lineRule="exact"/>
              <w:rPr>
                <w:sz w:val="20"/>
                <w:szCs w:val="20"/>
                <w:color w:val="auto"/>
              </w:rPr>
            </w:pPr>
            <w:r>
              <w:rPr>
                <w:rFonts w:ascii="Arial" w:cs="Arial" w:eastAsia="Arial" w:hAnsi="Arial"/>
                <w:sz w:val="8"/>
                <w:szCs w:val="8"/>
                <w:b w:val="1"/>
                <w:bCs w:val="1"/>
                <w:color w:val="FFFFFF"/>
              </w:rPr>
              <w:t>Non-Controlling</w:t>
            </w:r>
          </w:p>
        </w:tc>
        <w:tc>
          <w:tcPr>
            <w:tcW w:w="140" w:type="dxa"/>
            <w:vAlign w:val="bottom"/>
            <w:shd w:val="clear" w:color="auto" w:fill="1D2758"/>
          </w:tcPr>
          <w:p>
            <w:pPr>
              <w:spacing w:after="0"/>
              <w:rPr>
                <w:sz w:val="6"/>
                <w:szCs w:val="6"/>
                <w:color w:val="auto"/>
              </w:rPr>
            </w:pPr>
          </w:p>
        </w:tc>
        <w:tc>
          <w:tcPr>
            <w:tcW w:w="720" w:type="dxa"/>
            <w:vAlign w:val="bottom"/>
            <w:vMerge w:val="restart"/>
            <w:shd w:val="clear" w:color="auto" w:fill="1D2758"/>
          </w:tcPr>
          <w:p>
            <w:pPr>
              <w:jc w:val="right"/>
              <w:ind w:right="106"/>
              <w:spacing w:after="0"/>
              <w:rPr>
                <w:sz w:val="20"/>
                <w:szCs w:val="20"/>
                <w:color w:val="auto"/>
              </w:rPr>
            </w:pPr>
            <w:r>
              <w:rPr>
                <w:rFonts w:ascii="Arial" w:cs="Arial" w:eastAsia="Arial" w:hAnsi="Arial"/>
                <w:sz w:val="9"/>
                <w:szCs w:val="9"/>
                <w:b w:val="1"/>
                <w:bCs w:val="1"/>
                <w:color w:val="FFFFFF"/>
              </w:rPr>
              <w:t>Total Equity</w:t>
            </w:r>
          </w:p>
        </w:tc>
        <w:tc>
          <w:tcPr>
            <w:tcW w:w="0" w:type="dxa"/>
            <w:vAlign w:val="bottom"/>
          </w:tcPr>
          <w:p>
            <w:pPr>
              <w:spacing w:after="0"/>
              <w:rPr>
                <w:sz w:val="1"/>
                <w:szCs w:val="1"/>
                <w:color w:val="auto"/>
              </w:rPr>
            </w:pPr>
          </w:p>
        </w:tc>
      </w:tr>
      <w:tr>
        <w:trPr>
          <w:trHeight w:val="131"/>
        </w:trPr>
        <w:tc>
          <w:tcPr>
            <w:tcW w:w="2300" w:type="dxa"/>
            <w:vAlign w:val="bottom"/>
            <w:vMerge w:val="continue"/>
            <w:shd w:val="clear" w:color="auto" w:fill="1D2758"/>
          </w:tcPr>
          <w:p>
            <w:pPr>
              <w:spacing w:after="0"/>
              <w:rPr>
                <w:sz w:val="11"/>
                <w:szCs w:val="11"/>
                <w:color w:val="auto"/>
              </w:rPr>
            </w:pPr>
          </w:p>
        </w:tc>
        <w:tc>
          <w:tcPr>
            <w:tcW w:w="860" w:type="dxa"/>
            <w:vAlign w:val="bottom"/>
            <w:vMerge w:val="continue"/>
            <w:shd w:val="clear" w:color="auto" w:fill="1D2758"/>
          </w:tcPr>
          <w:p>
            <w:pPr>
              <w:spacing w:after="0"/>
              <w:rPr>
                <w:sz w:val="11"/>
                <w:szCs w:val="11"/>
                <w:color w:val="auto"/>
              </w:rPr>
            </w:pPr>
          </w:p>
        </w:tc>
        <w:tc>
          <w:tcPr>
            <w:tcW w:w="180" w:type="dxa"/>
            <w:vAlign w:val="bottom"/>
            <w:shd w:val="clear" w:color="auto" w:fill="1D2758"/>
          </w:tcPr>
          <w:p>
            <w:pPr>
              <w:spacing w:after="0"/>
              <w:rPr>
                <w:sz w:val="11"/>
                <w:szCs w:val="11"/>
                <w:color w:val="auto"/>
              </w:rPr>
            </w:pPr>
          </w:p>
        </w:tc>
        <w:tc>
          <w:tcPr>
            <w:tcW w:w="820" w:type="dxa"/>
            <w:vAlign w:val="bottom"/>
            <w:vMerge w:val="continue"/>
            <w:shd w:val="clear" w:color="auto" w:fill="1D2758"/>
          </w:tcPr>
          <w:p>
            <w:pPr>
              <w:spacing w:after="0"/>
              <w:rPr>
                <w:sz w:val="11"/>
                <w:szCs w:val="11"/>
                <w:color w:val="auto"/>
              </w:rPr>
            </w:pPr>
          </w:p>
        </w:tc>
        <w:tc>
          <w:tcPr>
            <w:tcW w:w="760" w:type="dxa"/>
            <w:vAlign w:val="bottom"/>
            <w:vMerge w:val="continue"/>
            <w:shd w:val="clear" w:color="auto" w:fill="1D2758"/>
          </w:tcPr>
          <w:p>
            <w:pPr>
              <w:spacing w:after="0"/>
              <w:rPr>
                <w:sz w:val="11"/>
                <w:szCs w:val="11"/>
                <w:color w:val="auto"/>
              </w:rPr>
            </w:pPr>
          </w:p>
        </w:tc>
        <w:tc>
          <w:tcPr>
            <w:tcW w:w="700" w:type="dxa"/>
            <w:vAlign w:val="bottom"/>
            <w:vMerge w:val="continue"/>
            <w:shd w:val="clear" w:color="auto" w:fill="1D2758"/>
          </w:tcPr>
          <w:p>
            <w:pPr>
              <w:spacing w:after="0"/>
              <w:rPr>
                <w:sz w:val="11"/>
                <w:szCs w:val="11"/>
                <w:color w:val="auto"/>
              </w:rPr>
            </w:pPr>
          </w:p>
        </w:tc>
        <w:tc>
          <w:tcPr>
            <w:tcW w:w="200" w:type="dxa"/>
            <w:vAlign w:val="bottom"/>
            <w:shd w:val="clear" w:color="auto" w:fill="1D2758"/>
          </w:tcPr>
          <w:p>
            <w:pPr>
              <w:spacing w:after="0"/>
              <w:rPr>
                <w:sz w:val="11"/>
                <w:szCs w:val="11"/>
                <w:color w:val="auto"/>
              </w:rPr>
            </w:pPr>
          </w:p>
        </w:tc>
        <w:tc>
          <w:tcPr>
            <w:tcW w:w="200" w:type="dxa"/>
            <w:vAlign w:val="bottom"/>
            <w:shd w:val="clear" w:color="auto" w:fill="1D2758"/>
          </w:tcPr>
          <w:p>
            <w:pPr>
              <w:spacing w:after="0"/>
              <w:rPr>
                <w:sz w:val="11"/>
                <w:szCs w:val="11"/>
                <w:color w:val="auto"/>
              </w:rPr>
            </w:pPr>
          </w:p>
        </w:tc>
        <w:tc>
          <w:tcPr>
            <w:tcW w:w="740" w:type="dxa"/>
            <w:vAlign w:val="bottom"/>
            <w:shd w:val="clear" w:color="auto" w:fill="1D2758"/>
          </w:tcPr>
          <w:p>
            <w:pPr>
              <w:jc w:val="center"/>
              <w:ind w:right="126"/>
              <w:spacing w:after="0"/>
              <w:rPr>
                <w:sz w:val="20"/>
                <w:szCs w:val="20"/>
                <w:color w:val="auto"/>
              </w:rPr>
            </w:pPr>
            <w:r>
              <w:rPr>
                <w:rFonts w:ascii="Arial" w:cs="Arial" w:eastAsia="Arial" w:hAnsi="Arial"/>
                <w:sz w:val="9"/>
                <w:szCs w:val="9"/>
                <w:b w:val="1"/>
                <w:bCs w:val="1"/>
                <w:color w:val="FFFFFF"/>
              </w:rPr>
              <w:t>Capital</w:t>
            </w:r>
          </w:p>
        </w:tc>
        <w:tc>
          <w:tcPr>
            <w:tcW w:w="140" w:type="dxa"/>
            <w:vAlign w:val="bottom"/>
            <w:shd w:val="clear" w:color="auto" w:fill="1D2758"/>
          </w:tcPr>
          <w:p>
            <w:pPr>
              <w:spacing w:after="0"/>
              <w:rPr>
                <w:sz w:val="11"/>
                <w:szCs w:val="11"/>
                <w:color w:val="auto"/>
              </w:rPr>
            </w:pPr>
          </w:p>
        </w:tc>
        <w:tc>
          <w:tcPr>
            <w:tcW w:w="880" w:type="dxa"/>
            <w:vAlign w:val="bottom"/>
            <w:shd w:val="clear" w:color="auto" w:fill="1D2758"/>
          </w:tcPr>
          <w:p>
            <w:pPr>
              <w:jc w:val="center"/>
              <w:ind w:right="70"/>
              <w:spacing w:after="0"/>
              <w:rPr>
                <w:sz w:val="20"/>
                <w:szCs w:val="20"/>
                <w:color w:val="auto"/>
              </w:rPr>
            </w:pPr>
            <w:r>
              <w:rPr>
                <w:rFonts w:ascii="Arial" w:cs="Arial" w:eastAsia="Arial" w:hAnsi="Arial"/>
                <w:sz w:val="9"/>
                <w:szCs w:val="9"/>
                <w:b w:val="1"/>
                <w:bCs w:val="1"/>
                <w:color w:val="FFFFFF"/>
              </w:rPr>
              <w:t>Income (Loss)</w:t>
            </w:r>
          </w:p>
        </w:tc>
        <w:tc>
          <w:tcPr>
            <w:tcW w:w="980" w:type="dxa"/>
            <w:vAlign w:val="bottom"/>
            <w:gridSpan w:val="2"/>
            <w:vMerge w:val="continue"/>
            <w:shd w:val="clear" w:color="auto" w:fill="1D2758"/>
          </w:tcPr>
          <w:p>
            <w:pPr>
              <w:spacing w:after="0"/>
              <w:rPr>
                <w:sz w:val="11"/>
                <w:szCs w:val="11"/>
                <w:color w:val="auto"/>
              </w:rPr>
            </w:pPr>
          </w:p>
        </w:tc>
        <w:tc>
          <w:tcPr>
            <w:tcW w:w="100" w:type="dxa"/>
            <w:vAlign w:val="bottom"/>
            <w:shd w:val="clear" w:color="auto" w:fill="1D2758"/>
          </w:tcPr>
          <w:p>
            <w:pPr>
              <w:spacing w:after="0"/>
              <w:rPr>
                <w:sz w:val="11"/>
                <w:szCs w:val="11"/>
                <w:color w:val="auto"/>
              </w:rPr>
            </w:pPr>
          </w:p>
        </w:tc>
        <w:tc>
          <w:tcPr>
            <w:tcW w:w="720" w:type="dxa"/>
            <w:vAlign w:val="bottom"/>
            <w:shd w:val="clear" w:color="auto" w:fill="1D2758"/>
          </w:tcPr>
          <w:p>
            <w:pPr>
              <w:jc w:val="center"/>
              <w:ind w:right="31"/>
              <w:spacing w:after="0"/>
              <w:rPr>
                <w:sz w:val="20"/>
                <w:szCs w:val="20"/>
                <w:color w:val="auto"/>
              </w:rPr>
            </w:pPr>
            <w:r>
              <w:rPr>
                <w:rFonts w:ascii="Arial" w:cs="Arial" w:eastAsia="Arial" w:hAnsi="Arial"/>
                <w:sz w:val="9"/>
                <w:szCs w:val="9"/>
                <w:b w:val="1"/>
                <w:bCs w:val="1"/>
                <w:color w:val="FFFFFF"/>
              </w:rPr>
              <w:t>Equity</w:t>
            </w:r>
          </w:p>
        </w:tc>
        <w:tc>
          <w:tcPr>
            <w:tcW w:w="180" w:type="dxa"/>
            <w:vAlign w:val="bottom"/>
            <w:shd w:val="clear" w:color="auto" w:fill="1D2758"/>
          </w:tcPr>
          <w:p>
            <w:pPr>
              <w:spacing w:after="0"/>
              <w:rPr>
                <w:sz w:val="11"/>
                <w:szCs w:val="11"/>
                <w:color w:val="auto"/>
              </w:rPr>
            </w:pPr>
          </w:p>
        </w:tc>
        <w:tc>
          <w:tcPr>
            <w:tcW w:w="640" w:type="dxa"/>
            <w:vAlign w:val="bottom"/>
            <w:shd w:val="clear" w:color="auto" w:fill="1D2758"/>
          </w:tcPr>
          <w:p>
            <w:pPr>
              <w:jc w:val="right"/>
              <w:ind w:right="166"/>
              <w:spacing w:after="0"/>
              <w:rPr>
                <w:sz w:val="20"/>
                <w:szCs w:val="20"/>
                <w:color w:val="auto"/>
              </w:rPr>
            </w:pPr>
            <w:r>
              <w:rPr>
                <w:rFonts w:ascii="Arial" w:cs="Arial" w:eastAsia="Arial" w:hAnsi="Arial"/>
                <w:sz w:val="9"/>
                <w:szCs w:val="9"/>
                <w:b w:val="1"/>
                <w:bCs w:val="1"/>
                <w:color w:val="FFFFFF"/>
              </w:rPr>
              <w:t>Interest</w:t>
            </w:r>
          </w:p>
        </w:tc>
        <w:tc>
          <w:tcPr>
            <w:tcW w:w="140" w:type="dxa"/>
            <w:vAlign w:val="bottom"/>
            <w:shd w:val="clear" w:color="auto" w:fill="1D2758"/>
          </w:tcPr>
          <w:p>
            <w:pPr>
              <w:spacing w:after="0"/>
              <w:rPr>
                <w:sz w:val="11"/>
                <w:szCs w:val="11"/>
                <w:color w:val="auto"/>
              </w:rPr>
            </w:pPr>
          </w:p>
        </w:tc>
        <w:tc>
          <w:tcPr>
            <w:tcW w:w="720" w:type="dxa"/>
            <w:vAlign w:val="bottom"/>
            <w:vMerge w:val="continue"/>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00" w:type="dxa"/>
            <w:vAlign w:val="bottom"/>
            <w:shd w:val="clear" w:color="auto" w:fill="DBDBDB"/>
          </w:tcPr>
          <w:p>
            <w:pPr>
              <w:spacing w:after="0"/>
              <w:rPr>
                <w:sz w:val="20"/>
                <w:szCs w:val="20"/>
                <w:color w:val="auto"/>
              </w:rPr>
            </w:pPr>
            <w:r>
              <w:rPr>
                <w:rFonts w:ascii="Arial" w:cs="Arial" w:eastAsia="Arial" w:hAnsi="Arial"/>
                <w:sz w:val="12"/>
                <w:szCs w:val="12"/>
                <w:color w:val="auto"/>
              </w:rPr>
              <w:t>Balance at December 31, 2019</w:t>
            </w: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108,819</w:t>
            </w:r>
          </w:p>
        </w:tc>
        <w:tc>
          <w:tcPr>
            <w:tcW w:w="18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rPr>
              <w:t>$</w:t>
            </w:r>
          </w:p>
        </w:tc>
        <w:tc>
          <w:tcPr>
            <w:tcW w:w="820" w:type="dxa"/>
            <w:vAlign w:val="bottom"/>
            <w:shd w:val="clear" w:color="auto" w:fill="DBDBDB"/>
          </w:tcPr>
          <w:p>
            <w:pPr>
              <w:jc w:val="right"/>
              <w:ind w:right="106"/>
              <w:spacing w:after="0"/>
              <w:rPr>
                <w:sz w:val="20"/>
                <w:szCs w:val="20"/>
                <w:color w:val="auto"/>
              </w:rPr>
            </w:pPr>
            <w:r>
              <w:rPr>
                <w:rFonts w:ascii="Arial" w:cs="Arial" w:eastAsia="Arial" w:hAnsi="Arial"/>
                <w:sz w:val="12"/>
                <w:szCs w:val="12"/>
                <w:color w:val="auto"/>
              </w:rPr>
              <w:t>11</w:t>
            </w: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8,024</w:t>
            </w:r>
          </w:p>
        </w:tc>
        <w:tc>
          <w:tcPr>
            <w:tcW w:w="700" w:type="dxa"/>
            <w:vAlign w:val="bottom"/>
            <w:shd w:val="clear" w:color="auto" w:fill="DBDBDB"/>
          </w:tcPr>
          <w:p>
            <w:pPr>
              <w:jc w:val="right"/>
              <w:ind w:right="546"/>
              <w:spacing w:after="0"/>
              <w:rPr>
                <w:sz w:val="20"/>
                <w:szCs w:val="20"/>
                <w:color w:val="auto"/>
              </w:rPr>
            </w:pPr>
            <w:r>
              <w:rPr>
                <w:rFonts w:ascii="Arial" w:cs="Arial" w:eastAsia="Arial" w:hAnsi="Arial"/>
                <w:sz w:val="12"/>
                <w:szCs w:val="12"/>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w:t>
            </w:r>
          </w:p>
        </w:tc>
        <w:tc>
          <w:tcPr>
            <w:tcW w:w="200" w:type="dxa"/>
            <w:vAlign w:val="bottom"/>
            <w:shd w:val="clear" w:color="auto" w:fill="DBDBDB"/>
          </w:tcPr>
          <w:p>
            <w:pPr>
              <w:jc w:val="right"/>
              <w:ind w:right="69"/>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2,378,733</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(62,775)</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(1,825,361)</w:t>
            </w:r>
          </w:p>
        </w:tc>
        <w:tc>
          <w:tcPr>
            <w:tcW w:w="10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490,609</w:t>
            </w:r>
          </w:p>
        </w:tc>
        <w:tc>
          <w:tcPr>
            <w:tcW w:w="180" w:type="dxa"/>
            <w:vAlign w:val="bottom"/>
            <w:shd w:val="clear" w:color="auto" w:fill="DBDBDB"/>
          </w:tcPr>
          <w:p>
            <w:pPr>
              <w:jc w:val="right"/>
              <w:ind w:right="29"/>
              <w:spacing w:after="0"/>
              <w:rPr>
                <w:sz w:val="20"/>
                <w:szCs w:val="20"/>
                <w:color w:val="auto"/>
              </w:rPr>
            </w:pPr>
            <w:r>
              <w:rPr>
                <w:rFonts w:ascii="Arial" w:cs="Arial" w:eastAsia="Arial" w:hAnsi="Arial"/>
                <w:sz w:val="12"/>
                <w:szCs w:val="12"/>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64,590</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2"/>
                <w:szCs w:val="12"/>
                <w:color w:val="auto"/>
              </w:rPr>
              <w:t>555,199</w:t>
            </w: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1280"/>
          </w:cols>
          <w:pgMar w:left="300" w:top="506" w:right="319" w:bottom="1440" w:gutter="0" w:footer="0" w:header="0"/>
        </w:sectPr>
      </w:pPr>
    </w:p>
    <w:p>
      <w:pPr>
        <w:ind w:left="180"/>
        <w:spacing w:after="0"/>
        <w:rPr>
          <w:sz w:val="20"/>
          <w:szCs w:val="20"/>
          <w:color w:val="auto"/>
        </w:rPr>
      </w:pPr>
      <w:r>
        <w:rPr>
          <w:rFonts w:ascii="Arial" w:cs="Arial" w:eastAsia="Arial" w:hAnsi="Arial"/>
          <w:sz w:val="12"/>
          <w:szCs w:val="12"/>
          <w:color w:val="auto"/>
        </w:rPr>
        <w:t>Net income (loss)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2"/>
          <w:szCs w:val="12"/>
          <w:color w:val="auto"/>
        </w:rPr>
        <w:t>Other comprehensive loss</w:t>
      </w:r>
    </w:p>
    <w:p>
      <w:pPr>
        <w:spacing w:after="0" w:line="23" w:lineRule="exact"/>
        <w:rPr>
          <w:sz w:val="20"/>
          <w:szCs w:val="20"/>
          <w:color w:val="auto"/>
        </w:rPr>
      </w:pPr>
    </w:p>
    <w:p>
      <w:pPr>
        <w:jc w:val="both"/>
        <w:ind w:left="180" w:right="360"/>
        <w:spacing w:after="0" w:line="224" w:lineRule="auto"/>
        <w:rPr>
          <w:sz w:val="20"/>
          <w:szCs w:val="20"/>
          <w:color w:val="auto"/>
        </w:rPr>
      </w:pPr>
      <w:r>
        <w:rPr>
          <w:rFonts w:ascii="Arial" w:cs="Arial" w:eastAsia="Arial" w:hAnsi="Arial"/>
          <w:sz w:val="12"/>
          <w:szCs w:val="12"/>
          <w:color w:val="auto"/>
        </w:rPr>
        <w:t>Stock-based compensation and issuance of Common Stock from vesting</w:t>
      </w:r>
    </w:p>
    <w:p>
      <w:pPr>
        <w:spacing w:after="0" w:line="17" w:lineRule="exact"/>
        <w:rPr>
          <w:sz w:val="20"/>
          <w:szCs w:val="20"/>
          <w:color w:val="auto"/>
        </w:rPr>
      </w:pPr>
    </w:p>
    <w:p>
      <w:pPr>
        <w:ind w:left="180" w:right="160"/>
        <w:spacing w:after="0" w:line="231" w:lineRule="auto"/>
        <w:rPr>
          <w:sz w:val="20"/>
          <w:szCs w:val="20"/>
          <w:color w:val="auto"/>
        </w:rPr>
      </w:pPr>
      <w:r>
        <w:rPr>
          <w:rFonts w:ascii="Arial" w:cs="Arial" w:eastAsia="Arial" w:hAnsi="Arial"/>
          <w:sz w:val="12"/>
          <w:szCs w:val="12"/>
          <w:color w:val="auto"/>
        </w:rPr>
        <w:t>Issuance of Common Stock from the exercise of warrants</w:t>
      </w:r>
    </w:p>
    <w:p>
      <w:pPr>
        <w:spacing w:after="0" w:line="17" w:lineRule="exact"/>
        <w:rPr>
          <w:sz w:val="20"/>
          <w:szCs w:val="20"/>
          <w:color w:val="auto"/>
        </w:rPr>
      </w:pPr>
    </w:p>
    <w:p>
      <w:pPr>
        <w:ind w:left="180" w:right="460"/>
        <w:spacing w:after="0" w:line="224" w:lineRule="auto"/>
        <w:rPr>
          <w:sz w:val="20"/>
          <w:szCs w:val="20"/>
          <w:color w:val="auto"/>
        </w:rPr>
      </w:pPr>
      <w:r>
        <w:rPr>
          <w:rFonts w:ascii="Arial" w:cs="Arial" w:eastAsia="Arial" w:hAnsi="Arial"/>
          <w:sz w:val="12"/>
          <w:szCs w:val="12"/>
          <w:color w:val="auto"/>
        </w:rPr>
        <w:t>Withholding taxes on net share settlement of stock-based compensation</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at March 31, 2020</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(loss) income</w:t>
      </w:r>
    </w:p>
    <w:p>
      <w:pPr>
        <w:spacing w:after="0" w:line="23" w:lineRule="exact"/>
        <w:rPr>
          <w:sz w:val="20"/>
          <w:szCs w:val="20"/>
          <w:color w:val="auto"/>
        </w:rPr>
      </w:pPr>
    </w:p>
    <w:p>
      <w:pPr>
        <w:ind w:left="180"/>
        <w:spacing w:after="0" w:line="280" w:lineRule="auto"/>
        <w:rPr>
          <w:sz w:val="20"/>
          <w:szCs w:val="20"/>
          <w:color w:val="auto"/>
        </w:rPr>
      </w:pPr>
      <w:r>
        <w:rPr>
          <w:rFonts w:ascii="Arial" w:cs="Arial" w:eastAsia="Arial" w:hAnsi="Arial"/>
          <w:sz w:val="12"/>
          <w:szCs w:val="12"/>
          <w:color w:val="auto"/>
        </w:rPr>
        <w:t>Other comprehensive income Reclassification of ModSpace Warrants</w:t>
      </w:r>
    </w:p>
    <w:p>
      <w:pPr>
        <w:spacing w:after="0" w:line="1" w:lineRule="exact"/>
        <w:rPr>
          <w:sz w:val="20"/>
          <w:szCs w:val="20"/>
          <w:color w:val="auto"/>
        </w:rPr>
      </w:pPr>
    </w:p>
    <w:p>
      <w:pPr>
        <w:jc w:val="both"/>
        <w:ind w:left="180" w:right="360"/>
        <w:spacing w:after="0" w:line="224" w:lineRule="auto"/>
        <w:rPr>
          <w:sz w:val="20"/>
          <w:szCs w:val="20"/>
          <w:color w:val="auto"/>
        </w:rPr>
      </w:pPr>
      <w:r>
        <w:rPr>
          <w:rFonts w:ascii="Arial" w:cs="Arial" w:eastAsia="Arial" w:hAnsi="Arial"/>
          <w:sz w:val="12"/>
          <w:szCs w:val="12"/>
          <w:color w:val="auto"/>
        </w:rPr>
        <w:t>Stock-based compensation and issuance of Common Stock from vesting</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Sapphire Exchange - see Note 10</w:t>
      </w:r>
    </w:p>
    <w:p>
      <w:pPr>
        <w:spacing w:after="0" w:line="23" w:lineRule="exact"/>
        <w:rPr>
          <w:sz w:val="20"/>
          <w:szCs w:val="20"/>
          <w:color w:val="auto"/>
        </w:rPr>
      </w:pPr>
    </w:p>
    <w:p>
      <w:pPr>
        <w:ind w:left="180" w:right="160"/>
        <w:spacing w:after="0" w:line="231" w:lineRule="auto"/>
        <w:rPr>
          <w:sz w:val="20"/>
          <w:szCs w:val="20"/>
          <w:color w:val="auto"/>
        </w:rPr>
      </w:pPr>
      <w:r>
        <w:rPr>
          <w:rFonts w:ascii="Arial" w:cs="Arial" w:eastAsia="Arial" w:hAnsi="Arial"/>
          <w:sz w:val="12"/>
          <w:szCs w:val="12"/>
          <w:color w:val="auto"/>
        </w:rPr>
        <w:t>Issuance of Common Stock from the exercise of warrants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at June 30,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70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480" w:type="dxa"/>
            <w:vAlign w:val="bottom"/>
          </w:tcPr>
          <w:p>
            <w:pPr>
              <w:ind w:left="3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91,785</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91,785</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(130)</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91,655</w:t>
            </w:r>
          </w:p>
        </w:tc>
      </w:tr>
      <w:tr>
        <w:trPr>
          <w:trHeight w:val="161"/>
        </w:trPr>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0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480" w:type="dxa"/>
            <w:vAlign w:val="bottom"/>
          </w:tcPr>
          <w:p>
            <w:pPr>
              <w:ind w:left="3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(27,199)</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(27,199)</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(2,703)</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(29,902)</w:t>
            </w:r>
          </w:p>
        </w:tc>
      </w:tr>
      <w:tr>
        <w:trPr>
          <w:trHeight w:val="403"/>
        </w:trPr>
        <w:tc>
          <w:tcPr>
            <w:tcW w:w="860" w:type="dxa"/>
            <w:vAlign w:val="bottom"/>
          </w:tcPr>
          <w:p>
            <w:pPr>
              <w:jc w:val="right"/>
              <w:spacing w:after="0"/>
              <w:rPr>
                <w:sz w:val="20"/>
                <w:szCs w:val="20"/>
                <w:color w:val="auto"/>
              </w:rPr>
            </w:pPr>
            <w:r>
              <w:rPr>
                <w:rFonts w:ascii="Arial" w:cs="Arial" w:eastAsia="Arial" w:hAnsi="Arial"/>
                <w:sz w:val="12"/>
                <w:szCs w:val="12"/>
                <w:color w:val="auto"/>
              </w:rPr>
              <w:t>239</w:t>
            </w:r>
          </w:p>
        </w:tc>
        <w:tc>
          <w:tcPr>
            <w:tcW w:w="400" w:type="dxa"/>
            <w:vAlign w:val="bottom"/>
          </w:tcPr>
          <w:p>
            <w:pPr>
              <w:spacing w:after="0"/>
              <w:rPr>
                <w:sz w:val="24"/>
                <w:szCs w:val="24"/>
                <w:color w:val="auto"/>
              </w:rPr>
            </w:pPr>
          </w:p>
        </w:tc>
        <w:tc>
          <w:tcPr>
            <w:tcW w:w="70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4"/>
                <w:szCs w:val="24"/>
                <w:color w:val="auto"/>
              </w:rPr>
            </w:pPr>
          </w:p>
        </w:tc>
        <w:tc>
          <w:tcPr>
            <w:tcW w:w="480" w:type="dxa"/>
            <w:vAlign w:val="bottom"/>
          </w:tcPr>
          <w:p>
            <w:pPr>
              <w:ind w:left="3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1,787</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1,787</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1,787</w:t>
            </w:r>
          </w:p>
        </w:tc>
      </w:tr>
      <w:tr>
        <w:trPr>
          <w:trHeight w:val="282"/>
        </w:trPr>
        <w:tc>
          <w:tcPr>
            <w:tcW w:w="860" w:type="dxa"/>
            <w:vAlign w:val="bottom"/>
          </w:tcPr>
          <w:p>
            <w:pPr>
              <w:jc w:val="right"/>
              <w:spacing w:after="0"/>
              <w:rPr>
                <w:sz w:val="20"/>
                <w:szCs w:val="20"/>
                <w:color w:val="auto"/>
              </w:rPr>
            </w:pPr>
            <w:r>
              <w:rPr>
                <w:rFonts w:ascii="Arial" w:cs="Arial" w:eastAsia="Arial" w:hAnsi="Arial"/>
                <w:sz w:val="12"/>
                <w:szCs w:val="12"/>
                <w:color w:val="auto"/>
              </w:rPr>
              <w:t>1,497</w:t>
            </w:r>
          </w:p>
        </w:tc>
        <w:tc>
          <w:tcPr>
            <w:tcW w:w="400" w:type="dxa"/>
            <w:vAlign w:val="bottom"/>
          </w:tcPr>
          <w:p>
            <w:pPr>
              <w:spacing w:after="0"/>
              <w:rPr>
                <w:sz w:val="24"/>
                <w:szCs w:val="24"/>
                <w:color w:val="auto"/>
              </w:rPr>
            </w:pPr>
          </w:p>
        </w:tc>
        <w:tc>
          <w:tcPr>
            <w:tcW w:w="70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4"/>
                <w:szCs w:val="24"/>
                <w:color w:val="auto"/>
              </w:rPr>
            </w:pPr>
          </w:p>
        </w:tc>
        <w:tc>
          <w:tcPr>
            <w:tcW w:w="480" w:type="dxa"/>
            <w:vAlign w:val="bottom"/>
          </w:tcPr>
          <w:p>
            <w:pPr>
              <w:ind w:left="3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28,958</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28,958</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28,958</w:t>
            </w:r>
          </w:p>
        </w:tc>
      </w:tr>
      <w:tr>
        <w:trPr>
          <w:trHeight w:val="406"/>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(673)</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(673)</w:t>
            </w: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(673)</w:t>
            </w:r>
          </w:p>
        </w:tc>
      </w:tr>
      <w:tr>
        <w:trPr>
          <w:trHeight w:val="149"/>
        </w:trPr>
        <w:tc>
          <w:tcPr>
            <w:tcW w:w="860" w:type="dxa"/>
            <w:vAlign w:val="bottom"/>
          </w:tcPr>
          <w:p>
            <w:pPr>
              <w:jc w:val="right"/>
              <w:spacing w:after="0"/>
              <w:rPr>
                <w:sz w:val="20"/>
                <w:szCs w:val="20"/>
                <w:color w:val="auto"/>
              </w:rPr>
            </w:pPr>
            <w:r>
              <w:rPr>
                <w:rFonts w:ascii="Arial" w:cs="Arial" w:eastAsia="Arial" w:hAnsi="Arial"/>
                <w:sz w:val="12"/>
                <w:szCs w:val="12"/>
                <w:color w:val="auto"/>
              </w:rPr>
              <w:t>110,555</w:t>
            </w:r>
          </w:p>
        </w:tc>
        <w:tc>
          <w:tcPr>
            <w:tcW w:w="40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99"/>
              <w:spacing w:after="0"/>
              <w:rPr>
                <w:sz w:val="20"/>
                <w:szCs w:val="20"/>
                <w:color w:val="auto"/>
              </w:rPr>
            </w:pPr>
            <w:r>
              <w:rPr>
                <w:rFonts w:ascii="Arial" w:cs="Arial" w:eastAsia="Arial" w:hAnsi="Arial"/>
                <w:sz w:val="12"/>
                <w:szCs w:val="12"/>
                <w:color w:val="auto"/>
              </w:rPr>
              <w:t>11</w:t>
            </w:r>
          </w:p>
        </w:tc>
        <w:tc>
          <w:tcPr>
            <w:tcW w:w="660" w:type="dxa"/>
            <w:vAlign w:val="bottom"/>
          </w:tcPr>
          <w:p>
            <w:pPr>
              <w:jc w:val="right"/>
              <w:spacing w:after="0"/>
              <w:rPr>
                <w:sz w:val="20"/>
                <w:szCs w:val="20"/>
                <w:color w:val="auto"/>
              </w:rPr>
            </w:pPr>
            <w:r>
              <w:rPr>
                <w:rFonts w:ascii="Arial" w:cs="Arial" w:eastAsia="Arial" w:hAnsi="Arial"/>
                <w:sz w:val="12"/>
                <w:szCs w:val="12"/>
                <w:color w:val="auto"/>
              </w:rPr>
              <w:t>8,024</w:t>
            </w:r>
          </w:p>
        </w:tc>
        <w:tc>
          <w:tcPr>
            <w:tcW w:w="40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480" w:type="dxa"/>
            <w:vAlign w:val="bottom"/>
          </w:tcPr>
          <w:p>
            <w:pPr>
              <w:ind w:left="360"/>
              <w:spacing w:after="0"/>
              <w:rPr>
                <w:sz w:val="20"/>
                <w:szCs w:val="20"/>
                <w:color w:val="auto"/>
              </w:rPr>
            </w:pPr>
            <w:r>
              <w:rPr>
                <w:rFonts w:ascii="Arial" w:cs="Arial" w:eastAsia="Arial" w:hAnsi="Arial"/>
                <w:sz w:val="12"/>
                <w:szCs w:val="12"/>
                <w:color w:val="auto"/>
              </w:rPr>
              <w:t>1</w:t>
            </w: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2,408,805</w:t>
            </w:r>
          </w:p>
        </w:tc>
        <w:tc>
          <w:tcPr>
            <w:tcW w:w="300" w:type="dxa"/>
            <w:vAlign w:val="bottom"/>
          </w:tcPr>
          <w:p>
            <w:pPr>
              <w:jc w:val="right"/>
              <w:ind w:right="15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(89,974)</w:t>
            </w: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(1,733,576)</w:t>
            </w: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585,267</w:t>
            </w: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61,757</w:t>
            </w: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647,024</w:t>
            </w:r>
          </w:p>
        </w:tc>
      </w:tr>
      <w:tr>
        <w:trPr>
          <w:trHeight w:val="161"/>
        </w:trPr>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0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480" w:type="dxa"/>
            <w:vAlign w:val="bottom"/>
          </w:tcPr>
          <w:p>
            <w:pPr>
              <w:ind w:left="3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(15,473)</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(15,473)</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1,343</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(14,130)</w:t>
            </w:r>
          </w:p>
        </w:tc>
      </w:tr>
      <w:tr>
        <w:trPr>
          <w:trHeight w:val="161"/>
        </w:trPr>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0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480" w:type="dxa"/>
            <w:vAlign w:val="bottom"/>
          </w:tcPr>
          <w:p>
            <w:pPr>
              <w:ind w:left="3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8,139</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8,139</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818</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8,957</w:t>
            </w:r>
          </w:p>
        </w:tc>
      </w:tr>
      <w:tr>
        <w:trPr>
          <w:trHeight w:val="161"/>
        </w:trPr>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70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480" w:type="dxa"/>
            <w:vAlign w:val="bottom"/>
          </w:tcPr>
          <w:p>
            <w:pPr>
              <w:ind w:left="3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26,216</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26,216</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26,216</w:t>
            </w:r>
          </w:p>
        </w:tc>
      </w:tr>
      <w:tr>
        <w:trPr>
          <w:trHeight w:val="403"/>
        </w:trPr>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4"/>
                <w:szCs w:val="24"/>
                <w:color w:val="auto"/>
              </w:rPr>
            </w:pPr>
          </w:p>
        </w:tc>
        <w:tc>
          <w:tcPr>
            <w:tcW w:w="70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4"/>
                <w:szCs w:val="24"/>
                <w:color w:val="auto"/>
              </w:rPr>
            </w:pPr>
          </w:p>
        </w:tc>
        <w:tc>
          <w:tcPr>
            <w:tcW w:w="480" w:type="dxa"/>
            <w:vAlign w:val="bottom"/>
          </w:tcPr>
          <w:p>
            <w:pPr>
              <w:ind w:left="3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2,227</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2,227</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2,227</w:t>
            </w:r>
          </w:p>
        </w:tc>
      </w:tr>
      <w:tr>
        <w:trPr>
          <w:trHeight w:val="161"/>
        </w:trPr>
        <w:tc>
          <w:tcPr>
            <w:tcW w:w="860" w:type="dxa"/>
            <w:vAlign w:val="bottom"/>
          </w:tcPr>
          <w:p>
            <w:pPr>
              <w:jc w:val="right"/>
              <w:spacing w:after="0"/>
              <w:rPr>
                <w:sz w:val="20"/>
                <w:szCs w:val="20"/>
                <w:color w:val="auto"/>
              </w:rPr>
            </w:pPr>
            <w:r>
              <w:rPr>
                <w:rFonts w:ascii="Arial" w:cs="Arial" w:eastAsia="Arial" w:hAnsi="Arial"/>
                <w:sz w:val="12"/>
                <w:szCs w:val="12"/>
                <w:color w:val="auto"/>
              </w:rPr>
              <w:t>10,641</w:t>
            </w:r>
          </w:p>
        </w:tc>
        <w:tc>
          <w:tcPr>
            <w:tcW w:w="400" w:type="dxa"/>
            <w:vAlign w:val="bottom"/>
          </w:tcPr>
          <w:p>
            <w:pPr>
              <w:spacing w:after="0"/>
              <w:rPr>
                <w:sz w:val="14"/>
                <w:szCs w:val="14"/>
                <w:color w:val="auto"/>
              </w:rPr>
            </w:pPr>
          </w:p>
        </w:tc>
        <w:tc>
          <w:tcPr>
            <w:tcW w:w="700" w:type="dxa"/>
            <w:vAlign w:val="bottom"/>
          </w:tcPr>
          <w:p>
            <w:pPr>
              <w:jc w:val="right"/>
              <w:ind w:right="199"/>
              <w:spacing w:after="0"/>
              <w:rPr>
                <w:sz w:val="20"/>
                <w:szCs w:val="20"/>
                <w:color w:val="auto"/>
              </w:rPr>
            </w:pPr>
            <w:r>
              <w:rPr>
                <w:rFonts w:ascii="Arial" w:cs="Arial" w:eastAsia="Arial" w:hAnsi="Arial"/>
                <w:sz w:val="12"/>
                <w:szCs w:val="12"/>
                <w:color w:val="auto"/>
              </w:rPr>
              <w:t>1</w:t>
            </w:r>
          </w:p>
        </w:tc>
        <w:tc>
          <w:tcPr>
            <w:tcW w:w="660" w:type="dxa"/>
            <w:vAlign w:val="bottom"/>
          </w:tcPr>
          <w:p>
            <w:pPr>
              <w:jc w:val="right"/>
              <w:spacing w:after="0"/>
              <w:rPr>
                <w:sz w:val="20"/>
                <w:szCs w:val="20"/>
                <w:color w:val="auto"/>
              </w:rPr>
            </w:pPr>
            <w:r>
              <w:rPr>
                <w:rFonts w:ascii="Arial" w:cs="Arial" w:eastAsia="Arial" w:hAnsi="Arial"/>
                <w:sz w:val="12"/>
                <w:szCs w:val="12"/>
                <w:color w:val="auto"/>
              </w:rPr>
              <w:t>(8,024)</w:t>
            </w:r>
          </w:p>
        </w:tc>
        <w:tc>
          <w:tcPr>
            <w:tcW w:w="400" w:type="dxa"/>
            <w:vAlign w:val="bottom"/>
          </w:tcPr>
          <w:p>
            <w:pPr>
              <w:spacing w:after="0"/>
              <w:rPr>
                <w:sz w:val="14"/>
                <w:szCs w:val="14"/>
                <w:color w:val="auto"/>
              </w:rPr>
            </w:pPr>
          </w:p>
        </w:tc>
        <w:tc>
          <w:tcPr>
            <w:tcW w:w="480" w:type="dxa"/>
            <w:vAlign w:val="bottom"/>
          </w:tcPr>
          <w:p>
            <w:pPr>
              <w:ind w:left="320"/>
              <w:spacing w:after="0"/>
              <w:rPr>
                <w:sz w:val="20"/>
                <w:szCs w:val="20"/>
                <w:color w:val="auto"/>
              </w:rPr>
            </w:pPr>
            <w:r>
              <w:rPr>
                <w:rFonts w:ascii="Arial" w:cs="Arial" w:eastAsia="Arial" w:hAnsi="Arial"/>
                <w:sz w:val="12"/>
                <w:szCs w:val="12"/>
                <w:color w:val="auto"/>
                <w:w w:val="95"/>
              </w:rPr>
              <w:t>(1)</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66,890</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(2,972)</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63,918</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(63,918)</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285"/>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374</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374</w:t>
            </w: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374</w:t>
            </w:r>
          </w:p>
        </w:tc>
      </w:tr>
      <w:tr>
        <w:trPr>
          <w:trHeight w:val="151"/>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121,233</w:t>
            </w:r>
          </w:p>
        </w:tc>
        <w:tc>
          <w:tcPr>
            <w:tcW w:w="40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12</w:t>
            </w:r>
          </w:p>
        </w:tc>
        <w:tc>
          <w:tcPr>
            <w:tcW w:w="106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2"/>
                <w:szCs w:val="12"/>
                <w:color w:val="auto"/>
              </w:rPr>
              <w:t>— $</w:t>
            </w:r>
          </w:p>
        </w:tc>
        <w:tc>
          <w:tcPr>
            <w:tcW w:w="720" w:type="dxa"/>
            <w:vAlign w:val="bottom"/>
            <w:tcBorders>
              <w:bottom w:val="single" w:sz="8" w:color="auto"/>
            </w:tcBorders>
            <w:gridSpan w:val="2"/>
          </w:tcPr>
          <w:p>
            <w:pPr>
              <w:ind w:left="320"/>
              <w:spacing w:after="0"/>
              <w:rPr>
                <w:sz w:val="20"/>
                <w:szCs w:val="20"/>
                <w:color w:val="auto"/>
              </w:rPr>
            </w:pPr>
            <w:r>
              <w:rPr>
                <w:rFonts w:ascii="Arial" w:cs="Arial" w:eastAsia="Arial" w:hAnsi="Arial"/>
                <w:sz w:val="12"/>
                <w:szCs w:val="12"/>
                <w:color w:val="auto"/>
              </w:rPr>
              <w:t>— $</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2,504,512</w:t>
            </w:r>
          </w:p>
        </w:tc>
        <w:tc>
          <w:tcPr>
            <w:tcW w:w="3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(84,807)</w:t>
            </w:r>
          </w:p>
        </w:tc>
        <w:tc>
          <w:tcPr>
            <w:tcW w:w="2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(1,749,049)</w:t>
            </w:r>
          </w:p>
        </w:tc>
        <w:tc>
          <w:tcPr>
            <w:tcW w:w="2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670,668</w:t>
            </w:r>
          </w:p>
        </w:tc>
        <w:tc>
          <w:tcPr>
            <w:tcW w:w="24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2"/>
                <w:szCs w:val="12"/>
                <w:color w:val="auto"/>
              </w:rPr>
              <w:t>— $</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670,668</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-1465580</wp:posOffset>
            </wp:positionH>
            <wp:positionV relativeFrom="paragraph">
              <wp:posOffset>-1882140</wp:posOffset>
            </wp:positionV>
            <wp:extent cx="7153910" cy="102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910" cy="102235"/>
                    </a:xfrm>
                    <a:prstGeom prst="rect">
                      <a:avLst/>
                    </a:prstGeom>
                    <a:noFill/>
                  </pic:spPr>
                </pic:pic>
              </a:graphicData>
            </a:graphic>
          </wp:anchor>
        </w:drawing>
        <w:drawing>
          <wp:anchor simplePos="0" relativeHeight="251657728" behindDoc="1" locked="0" layoutInCell="0" allowOverlap="1">
            <wp:simplePos x="0" y="0"/>
            <wp:positionH relativeFrom="column">
              <wp:posOffset>-1465580</wp:posOffset>
            </wp:positionH>
            <wp:positionV relativeFrom="paragraph">
              <wp:posOffset>-1524000</wp:posOffset>
            </wp:positionV>
            <wp:extent cx="7153910" cy="1790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910" cy="179070"/>
                    </a:xfrm>
                    <a:prstGeom prst="rect">
                      <a:avLst/>
                    </a:prstGeom>
                    <a:noFill/>
                  </pic:spPr>
                </pic:pic>
              </a:graphicData>
            </a:graphic>
          </wp:anchor>
        </w:drawing>
        <w:drawing>
          <wp:anchor simplePos="0" relativeHeight="251657728" behindDoc="1" locked="0" layoutInCell="0" allowOverlap="1">
            <wp:simplePos x="0" y="0"/>
            <wp:positionH relativeFrom="column">
              <wp:posOffset>-1465580</wp:posOffset>
            </wp:positionH>
            <wp:positionV relativeFrom="paragraph">
              <wp:posOffset>-1088390</wp:posOffset>
            </wp:positionV>
            <wp:extent cx="7153910" cy="108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910" cy="108585"/>
                    </a:xfrm>
                    <a:prstGeom prst="rect">
                      <a:avLst/>
                    </a:prstGeom>
                    <a:noFill/>
                  </pic:spPr>
                </pic:pic>
              </a:graphicData>
            </a:graphic>
          </wp:anchor>
        </w:drawing>
        <w:drawing>
          <wp:anchor simplePos="0" relativeHeight="251657728" behindDoc="1" locked="0" layoutInCell="0" allowOverlap="1">
            <wp:simplePos x="0" y="0"/>
            <wp:positionH relativeFrom="column">
              <wp:posOffset>-1465580</wp:posOffset>
            </wp:positionH>
            <wp:positionV relativeFrom="paragraph">
              <wp:posOffset>-876935</wp:posOffset>
            </wp:positionV>
            <wp:extent cx="7153910" cy="102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910" cy="102235"/>
                    </a:xfrm>
                    <a:prstGeom prst="rect">
                      <a:avLst/>
                    </a:prstGeom>
                    <a:noFill/>
                  </pic:spPr>
                </pic:pic>
              </a:graphicData>
            </a:graphic>
          </wp:anchor>
        </w:drawing>
        <w:drawing>
          <wp:anchor simplePos="0" relativeHeight="251657728" behindDoc="1" locked="0" layoutInCell="0" allowOverlap="1">
            <wp:simplePos x="0" y="0"/>
            <wp:positionH relativeFrom="column">
              <wp:posOffset>-1465580</wp:posOffset>
            </wp:positionH>
            <wp:positionV relativeFrom="paragraph">
              <wp:posOffset>-671830</wp:posOffset>
            </wp:positionV>
            <wp:extent cx="7153910" cy="255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910" cy="255905"/>
                    </a:xfrm>
                    <a:prstGeom prst="rect">
                      <a:avLst/>
                    </a:prstGeom>
                    <a:noFill/>
                  </pic:spPr>
                </pic:pic>
              </a:graphicData>
            </a:graphic>
          </wp:anchor>
        </w:drawing>
        <w:drawing>
          <wp:anchor simplePos="0" relativeHeight="251657728" behindDoc="1" locked="0" layoutInCell="0" allowOverlap="1">
            <wp:simplePos x="0" y="0"/>
            <wp:positionH relativeFrom="column">
              <wp:posOffset>-1465580</wp:posOffset>
            </wp:positionH>
            <wp:positionV relativeFrom="paragraph">
              <wp:posOffset>-313055</wp:posOffset>
            </wp:positionV>
            <wp:extent cx="7153910" cy="1790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910" cy="1790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20"/>
            <w:col w:w="8960"/>
          </w:cols>
          <w:pgMar w:left="300" w:top="506" w:right="31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(1) See Note 1 for information regarding the Company's conversion of Class A Common Stock to Common Stock on July 1, 2020 concurrent with the Merger.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9"/>
          <w:szCs w:val="9"/>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33020</wp:posOffset>
            </wp:positionV>
            <wp:extent cx="719264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506" w:right="31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color w:val="1D2758"/>
        </w:rPr>
        <w:t>WillScot Mobile Mini Holdings Corp.</w:t>
      </w:r>
    </w:p>
    <w:p>
      <w:pPr>
        <w:jc w:val="center"/>
        <w:spacing w:after="0"/>
        <w:rPr>
          <w:sz w:val="20"/>
          <w:szCs w:val="20"/>
          <w:color w:val="auto"/>
        </w:rPr>
      </w:pPr>
      <w:r>
        <w:rPr>
          <w:rFonts w:ascii="Arial" w:cs="Arial" w:eastAsia="Arial" w:hAnsi="Arial"/>
          <w:sz w:val="17"/>
          <w:szCs w:val="17"/>
          <w:color w:val="1D2758"/>
        </w:rPr>
        <w:t>Condensed Consolidated Statements of Cash Flows (Unaudited)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7580" w:type="dxa"/>
            <w:vAlign w:val="bottom"/>
            <w:shd w:val="clear" w:color="auto" w:fill="1D2758"/>
          </w:tcPr>
          <w:p>
            <w:pPr>
              <w:spacing w:after="0"/>
              <w:rPr>
                <w:sz w:val="12"/>
                <w:szCs w:val="12"/>
                <w:color w:val="auto"/>
              </w:rPr>
            </w:pPr>
          </w:p>
        </w:tc>
        <w:tc>
          <w:tcPr>
            <w:tcW w:w="1060" w:type="dxa"/>
            <w:vAlign w:val="bottom"/>
            <w:shd w:val="clear" w:color="auto" w:fill="1D2758"/>
          </w:tcPr>
          <w:p>
            <w:pPr>
              <w:spacing w:after="0"/>
              <w:rPr>
                <w:sz w:val="12"/>
                <w:szCs w:val="12"/>
                <w:color w:val="auto"/>
              </w:rPr>
            </w:pPr>
          </w:p>
        </w:tc>
        <w:tc>
          <w:tcPr>
            <w:tcW w:w="1600" w:type="dxa"/>
            <w:vAlign w:val="bottom"/>
            <w:gridSpan w:val="3"/>
            <w:shd w:val="clear" w:color="auto" w:fill="1D2758"/>
          </w:tcPr>
          <w:p>
            <w:pPr>
              <w:jc w:val="right"/>
              <w:spacing w:after="0"/>
              <w:rPr>
                <w:sz w:val="20"/>
                <w:szCs w:val="20"/>
                <w:color w:val="auto"/>
              </w:rPr>
            </w:pPr>
            <w:r>
              <w:rPr>
                <w:rFonts w:ascii="Arial" w:cs="Arial" w:eastAsia="Arial" w:hAnsi="Arial"/>
                <w:sz w:val="12"/>
                <w:szCs w:val="12"/>
                <w:b w:val="1"/>
                <w:bCs w:val="1"/>
                <w:color w:val="FFFFFF"/>
              </w:rPr>
              <w:t>Six Months Ended June 30,</w:t>
            </w:r>
          </w:p>
        </w:tc>
        <w:tc>
          <w:tcPr>
            <w:tcW w:w="1040" w:type="dxa"/>
            <w:vAlign w:val="bottom"/>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5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060" w:type="dxa"/>
            <w:vAlign w:val="bottom"/>
            <w:vMerge w:val="restart"/>
            <w:shd w:val="clear" w:color="auto" w:fill="1D2758"/>
          </w:tcPr>
          <w:p>
            <w:pPr>
              <w:jc w:val="right"/>
              <w:spacing w:after="0"/>
              <w:rPr>
                <w:sz w:val="20"/>
                <w:szCs w:val="20"/>
                <w:color w:val="auto"/>
              </w:rPr>
            </w:pPr>
            <w:r>
              <w:rPr>
                <w:rFonts w:ascii="Arial" w:cs="Arial" w:eastAsia="Arial" w:hAnsi="Arial"/>
                <w:sz w:val="12"/>
                <w:szCs w:val="12"/>
                <w:b w:val="1"/>
                <w:bCs w:val="1"/>
                <w:color w:val="FFFFFF"/>
              </w:rPr>
              <w:t>2021</w:t>
            </w:r>
          </w:p>
        </w:tc>
        <w:tc>
          <w:tcPr>
            <w:tcW w:w="76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76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699"/>
              <w:spacing w:after="0"/>
              <w:rPr>
                <w:sz w:val="20"/>
                <w:szCs w:val="20"/>
                <w:color w:val="auto"/>
              </w:rPr>
            </w:pPr>
            <w:r>
              <w:rPr>
                <w:rFonts w:ascii="Arial" w:cs="Arial" w:eastAsia="Arial" w:hAnsi="Arial"/>
                <w:sz w:val="12"/>
                <w:szCs w:val="12"/>
                <w:b w:val="1"/>
                <w:bCs w:val="1"/>
                <w:color w:val="FFFFFF"/>
                <w:w w:val="97"/>
              </w:rPr>
              <w:t>2020</w:t>
            </w:r>
          </w:p>
        </w:tc>
        <w:tc>
          <w:tcPr>
            <w:tcW w:w="0" w:type="dxa"/>
            <w:vAlign w:val="bottom"/>
          </w:tcPr>
          <w:p>
            <w:pPr>
              <w:spacing w:after="0"/>
              <w:rPr>
                <w:sz w:val="1"/>
                <w:szCs w:val="1"/>
                <w:color w:val="auto"/>
              </w:rPr>
            </w:pPr>
          </w:p>
        </w:tc>
      </w:tr>
      <w:tr>
        <w:trPr>
          <w:trHeight w:val="133"/>
        </w:trPr>
        <w:tc>
          <w:tcPr>
            <w:tcW w:w="7580" w:type="dxa"/>
            <w:vAlign w:val="bottom"/>
            <w:shd w:val="clear" w:color="auto" w:fill="1D2758"/>
          </w:tcPr>
          <w:p>
            <w:pPr>
              <w:spacing w:after="0"/>
              <w:rPr>
                <w:sz w:val="11"/>
                <w:szCs w:val="11"/>
                <w:color w:val="auto"/>
              </w:rPr>
            </w:pPr>
          </w:p>
        </w:tc>
        <w:tc>
          <w:tcPr>
            <w:tcW w:w="1060" w:type="dxa"/>
            <w:vAlign w:val="bottom"/>
            <w:vMerge w:val="continue"/>
            <w:shd w:val="clear" w:color="auto" w:fill="1D2758"/>
          </w:tcPr>
          <w:p>
            <w:pPr>
              <w:spacing w:after="0"/>
              <w:rPr>
                <w:sz w:val="11"/>
                <w:szCs w:val="11"/>
                <w:color w:val="auto"/>
              </w:rPr>
            </w:pPr>
          </w:p>
        </w:tc>
        <w:tc>
          <w:tcPr>
            <w:tcW w:w="760" w:type="dxa"/>
            <w:vAlign w:val="bottom"/>
            <w:shd w:val="clear" w:color="auto" w:fill="1D2758"/>
          </w:tcPr>
          <w:p>
            <w:pPr>
              <w:spacing w:after="0"/>
              <w:rPr>
                <w:sz w:val="11"/>
                <w:szCs w:val="11"/>
                <w:color w:val="auto"/>
              </w:rPr>
            </w:pPr>
          </w:p>
        </w:tc>
        <w:tc>
          <w:tcPr>
            <w:tcW w:w="80" w:type="dxa"/>
            <w:vAlign w:val="bottom"/>
            <w:shd w:val="clear" w:color="auto" w:fill="1D2758"/>
          </w:tcPr>
          <w:p>
            <w:pPr>
              <w:spacing w:after="0"/>
              <w:rPr>
                <w:sz w:val="11"/>
                <w:szCs w:val="11"/>
                <w:color w:val="auto"/>
              </w:rPr>
            </w:pPr>
          </w:p>
        </w:tc>
        <w:tc>
          <w:tcPr>
            <w:tcW w:w="760" w:type="dxa"/>
            <w:vAlign w:val="bottom"/>
            <w:shd w:val="clear" w:color="auto" w:fill="1D2758"/>
          </w:tcPr>
          <w:p>
            <w:pPr>
              <w:spacing w:after="0"/>
              <w:rPr>
                <w:sz w:val="11"/>
                <w:szCs w:val="11"/>
                <w:color w:val="auto"/>
              </w:rPr>
            </w:pPr>
          </w:p>
        </w:tc>
        <w:tc>
          <w:tcPr>
            <w:tcW w:w="1040" w:type="dxa"/>
            <w:vAlign w:val="bottom"/>
            <w:vMerge w:val="continue"/>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580" w:type="dxa"/>
            <w:vAlign w:val="bottom"/>
            <w:shd w:val="clear" w:color="auto" w:fill="DBDBDB"/>
          </w:tcPr>
          <w:p>
            <w:pPr>
              <w:ind w:left="20"/>
              <w:spacing w:after="0"/>
              <w:rPr>
                <w:sz w:val="20"/>
                <w:szCs w:val="20"/>
                <w:color w:val="auto"/>
              </w:rPr>
            </w:pPr>
            <w:r>
              <w:rPr>
                <w:rFonts w:ascii="Arial" w:cs="Arial" w:eastAsia="Arial" w:hAnsi="Arial"/>
                <w:sz w:val="12"/>
                <w:szCs w:val="12"/>
                <w:color w:val="auto"/>
              </w:rPr>
              <w:t>Operating activities:</w:t>
            </w:r>
          </w:p>
        </w:tc>
        <w:tc>
          <w:tcPr>
            <w:tcW w:w="106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0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58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060" w:type="dxa"/>
            <w:vAlign w:val="bottom"/>
          </w:tcPr>
          <w:p>
            <w:pPr>
              <w:jc w:val="right"/>
              <w:ind w:right="919"/>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24,818</w:t>
            </w:r>
          </w:p>
        </w:tc>
        <w:tc>
          <w:tcPr>
            <w:tcW w:w="80" w:type="dxa"/>
            <w:vAlign w:val="bottom"/>
          </w:tcPr>
          <w:p>
            <w:pPr>
              <w:spacing w:after="0"/>
              <w:rPr>
                <w:sz w:val="13"/>
                <w:szCs w:val="13"/>
                <w:color w:val="auto"/>
              </w:rPr>
            </w:pPr>
          </w:p>
        </w:tc>
        <w:tc>
          <w:tcPr>
            <w:tcW w:w="760" w:type="dxa"/>
            <w:vAlign w:val="bottom"/>
          </w:tcPr>
          <w:p>
            <w:pPr>
              <w:jc w:val="right"/>
              <w:ind w:right="619"/>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77,525</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106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0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580" w:type="dxa"/>
            <w:vAlign w:val="bottom"/>
          </w:tcPr>
          <w:p>
            <w:pPr>
              <w:ind w:left="340"/>
              <w:spacing w:after="0"/>
              <w:rPr>
                <w:sz w:val="20"/>
                <w:szCs w:val="20"/>
                <w:color w:val="auto"/>
              </w:rPr>
            </w:pPr>
            <w:r>
              <w:rPr>
                <w:rFonts w:ascii="Arial" w:cs="Arial" w:eastAsia="Arial" w:hAnsi="Arial"/>
                <w:sz w:val="12"/>
                <w:szCs w:val="12"/>
                <w:color w:val="auto"/>
              </w:rPr>
              <w:t>Depreciation and amortization</w:t>
            </w:r>
          </w:p>
        </w:tc>
        <w:tc>
          <w:tcPr>
            <w:tcW w:w="10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160,480</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98,917</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Provision for credit losses</w:t>
            </w:r>
          </w:p>
        </w:tc>
        <w:tc>
          <w:tcPr>
            <w:tcW w:w="106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16,910</w:t>
            </w:r>
          </w:p>
        </w:tc>
        <w:tc>
          <w:tcPr>
            <w:tcW w:w="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9,122</w:t>
            </w:r>
          </w:p>
        </w:tc>
        <w:tc>
          <w:tcPr>
            <w:tcW w:w="0" w:type="dxa"/>
            <w:vAlign w:val="bottom"/>
          </w:tcPr>
          <w:p>
            <w:pPr>
              <w:spacing w:after="0"/>
              <w:rPr>
                <w:sz w:val="1"/>
                <w:szCs w:val="1"/>
                <w:color w:val="auto"/>
              </w:rPr>
            </w:pPr>
          </w:p>
        </w:tc>
      </w:tr>
      <w:tr>
        <w:trPr>
          <w:trHeight w:val="159"/>
        </w:trPr>
        <w:tc>
          <w:tcPr>
            <w:tcW w:w="7580" w:type="dxa"/>
            <w:vAlign w:val="bottom"/>
          </w:tcPr>
          <w:p>
            <w:pPr>
              <w:ind w:left="340"/>
              <w:spacing w:after="0"/>
              <w:rPr>
                <w:sz w:val="20"/>
                <w:szCs w:val="20"/>
                <w:color w:val="auto"/>
              </w:rPr>
            </w:pPr>
            <w:r>
              <w:rPr>
                <w:rFonts w:ascii="Arial" w:cs="Arial" w:eastAsia="Arial" w:hAnsi="Arial"/>
                <w:sz w:val="12"/>
                <w:szCs w:val="12"/>
                <w:color w:val="auto"/>
              </w:rPr>
              <w:t>Impairment losses on right of use assets</w:t>
            </w:r>
          </w:p>
        </w:tc>
        <w:tc>
          <w:tcPr>
            <w:tcW w:w="10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Gain on sale of rental equipment and other property, plant and equipment</w:t>
            </w:r>
          </w:p>
        </w:tc>
        <w:tc>
          <w:tcPr>
            <w:tcW w:w="106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(14,793)</w:t>
            </w:r>
          </w:p>
        </w:tc>
        <w:tc>
          <w:tcPr>
            <w:tcW w:w="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(4,366)</w:t>
            </w:r>
          </w:p>
        </w:tc>
        <w:tc>
          <w:tcPr>
            <w:tcW w:w="0" w:type="dxa"/>
            <w:vAlign w:val="bottom"/>
          </w:tcPr>
          <w:p>
            <w:pPr>
              <w:spacing w:after="0"/>
              <w:rPr>
                <w:sz w:val="1"/>
                <w:szCs w:val="1"/>
                <w:color w:val="auto"/>
              </w:rPr>
            </w:pPr>
          </w:p>
        </w:tc>
      </w:tr>
      <w:tr>
        <w:trPr>
          <w:trHeight w:val="159"/>
        </w:trPr>
        <w:tc>
          <w:tcPr>
            <w:tcW w:w="7580" w:type="dxa"/>
            <w:vAlign w:val="bottom"/>
          </w:tcPr>
          <w:p>
            <w:pPr>
              <w:ind w:left="340"/>
              <w:spacing w:after="0"/>
              <w:rPr>
                <w:sz w:val="20"/>
                <w:szCs w:val="20"/>
                <w:color w:val="auto"/>
              </w:rPr>
            </w:pPr>
            <w:r>
              <w:rPr>
                <w:rFonts w:ascii="Arial" w:cs="Arial" w:eastAsia="Arial" w:hAnsi="Arial"/>
                <w:sz w:val="12"/>
                <w:szCs w:val="12"/>
                <w:color w:val="auto"/>
              </w:rPr>
              <w:t>Amortization of debt discounts and debt issuance costs</w:t>
            </w:r>
          </w:p>
        </w:tc>
        <w:tc>
          <w:tcPr>
            <w:tcW w:w="10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7,082</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5,899</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Fair value loss (gain) on common stock warrant liabilities</w:t>
            </w:r>
          </w:p>
        </w:tc>
        <w:tc>
          <w:tcPr>
            <w:tcW w:w="106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26,597</w:t>
            </w:r>
          </w:p>
        </w:tc>
        <w:tc>
          <w:tcPr>
            <w:tcW w:w="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(68,366)</w:t>
            </w:r>
          </w:p>
        </w:tc>
        <w:tc>
          <w:tcPr>
            <w:tcW w:w="0" w:type="dxa"/>
            <w:vAlign w:val="bottom"/>
          </w:tcPr>
          <w:p>
            <w:pPr>
              <w:spacing w:after="0"/>
              <w:rPr>
                <w:sz w:val="1"/>
                <w:szCs w:val="1"/>
                <w:color w:val="auto"/>
              </w:rPr>
            </w:pPr>
          </w:p>
        </w:tc>
      </w:tr>
      <w:tr>
        <w:trPr>
          <w:trHeight w:val="159"/>
        </w:trPr>
        <w:tc>
          <w:tcPr>
            <w:tcW w:w="7580" w:type="dxa"/>
            <w:vAlign w:val="bottom"/>
          </w:tcPr>
          <w:p>
            <w:pPr>
              <w:ind w:left="340"/>
              <w:spacing w:after="0"/>
              <w:rPr>
                <w:sz w:val="20"/>
                <w:szCs w:val="20"/>
                <w:color w:val="auto"/>
              </w:rPr>
            </w:pPr>
            <w:r>
              <w:rPr>
                <w:rFonts w:ascii="Arial" w:cs="Arial" w:eastAsia="Arial" w:hAnsi="Arial"/>
                <w:sz w:val="12"/>
                <w:szCs w:val="12"/>
                <w:color w:val="auto"/>
              </w:rPr>
              <w:t>Loss on extinguishment of debt</w:t>
            </w:r>
          </w:p>
        </w:tc>
        <w:tc>
          <w:tcPr>
            <w:tcW w:w="10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5,999</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Stock-based compensation expense</w:t>
            </w:r>
          </w:p>
        </w:tc>
        <w:tc>
          <w:tcPr>
            <w:tcW w:w="106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13,989</w:t>
            </w:r>
          </w:p>
        </w:tc>
        <w:tc>
          <w:tcPr>
            <w:tcW w:w="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4,014</w:t>
            </w:r>
          </w:p>
        </w:tc>
        <w:tc>
          <w:tcPr>
            <w:tcW w:w="0" w:type="dxa"/>
            <w:vAlign w:val="bottom"/>
          </w:tcPr>
          <w:p>
            <w:pPr>
              <w:spacing w:after="0"/>
              <w:rPr>
                <w:sz w:val="1"/>
                <w:szCs w:val="1"/>
                <w:color w:val="auto"/>
              </w:rPr>
            </w:pPr>
          </w:p>
        </w:tc>
      </w:tr>
      <w:tr>
        <w:trPr>
          <w:trHeight w:val="159"/>
        </w:trPr>
        <w:tc>
          <w:tcPr>
            <w:tcW w:w="7580" w:type="dxa"/>
            <w:vAlign w:val="bottom"/>
          </w:tcPr>
          <w:p>
            <w:pPr>
              <w:ind w:left="340"/>
              <w:spacing w:after="0"/>
              <w:rPr>
                <w:sz w:val="20"/>
                <w:szCs w:val="20"/>
                <w:color w:val="auto"/>
              </w:rPr>
            </w:pPr>
            <w:r>
              <w:rPr>
                <w:rFonts w:ascii="Arial" w:cs="Arial" w:eastAsia="Arial" w:hAnsi="Arial"/>
                <w:sz w:val="12"/>
                <w:szCs w:val="12"/>
                <w:color w:val="auto"/>
              </w:rPr>
              <w:t>Deferred income tax expense</w:t>
            </w:r>
          </w:p>
        </w:tc>
        <w:tc>
          <w:tcPr>
            <w:tcW w:w="10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24,389</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608</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Unrealized currency (gains) losses, net</w:t>
            </w:r>
          </w:p>
        </w:tc>
        <w:tc>
          <w:tcPr>
            <w:tcW w:w="106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(184)</w:t>
            </w:r>
          </w:p>
        </w:tc>
        <w:tc>
          <w:tcPr>
            <w:tcW w:w="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1,095</w:t>
            </w:r>
          </w:p>
        </w:tc>
        <w:tc>
          <w:tcPr>
            <w:tcW w:w="0" w:type="dxa"/>
            <w:vAlign w:val="bottom"/>
          </w:tcPr>
          <w:p>
            <w:pPr>
              <w:spacing w:after="0"/>
              <w:rPr>
                <w:sz w:val="1"/>
                <w:szCs w:val="1"/>
                <w:color w:val="auto"/>
              </w:rPr>
            </w:pPr>
          </w:p>
        </w:tc>
      </w:tr>
      <w:tr>
        <w:trPr>
          <w:trHeight w:val="159"/>
        </w:trPr>
        <w:tc>
          <w:tcPr>
            <w:tcW w:w="7580" w:type="dxa"/>
            <w:vAlign w:val="bottom"/>
          </w:tcPr>
          <w:p>
            <w:pPr>
              <w:ind w:left="180"/>
              <w:spacing w:after="0"/>
              <w:rPr>
                <w:sz w:val="20"/>
                <w:szCs w:val="20"/>
                <w:color w:val="auto"/>
              </w:rPr>
            </w:pPr>
            <w:r>
              <w:rPr>
                <w:rFonts w:ascii="Arial" w:cs="Arial" w:eastAsia="Arial" w:hAnsi="Arial"/>
                <w:sz w:val="12"/>
                <w:szCs w:val="12"/>
                <w:color w:val="auto"/>
              </w:rPr>
              <w:t>Changes in operating assets and liabilities:</w:t>
            </w: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Trade receivables</w:t>
            </w:r>
          </w:p>
        </w:tc>
        <w:tc>
          <w:tcPr>
            <w:tcW w:w="106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(50,324)</w:t>
            </w:r>
          </w:p>
        </w:tc>
        <w:tc>
          <w:tcPr>
            <w:tcW w:w="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5,709</w:t>
            </w:r>
          </w:p>
        </w:tc>
        <w:tc>
          <w:tcPr>
            <w:tcW w:w="0" w:type="dxa"/>
            <w:vAlign w:val="bottom"/>
          </w:tcPr>
          <w:p>
            <w:pPr>
              <w:spacing w:after="0"/>
              <w:rPr>
                <w:sz w:val="1"/>
                <w:szCs w:val="1"/>
                <w:color w:val="auto"/>
              </w:rPr>
            </w:pPr>
          </w:p>
        </w:tc>
      </w:tr>
      <w:tr>
        <w:trPr>
          <w:trHeight w:val="159"/>
        </w:trPr>
        <w:tc>
          <w:tcPr>
            <w:tcW w:w="7580" w:type="dxa"/>
            <w:vAlign w:val="bottom"/>
          </w:tcPr>
          <w:p>
            <w:pPr>
              <w:ind w:left="340"/>
              <w:spacing w:after="0"/>
              <w:rPr>
                <w:sz w:val="20"/>
                <w:szCs w:val="20"/>
                <w:color w:val="auto"/>
              </w:rPr>
            </w:pPr>
            <w:r>
              <w:rPr>
                <w:rFonts w:ascii="Arial" w:cs="Arial" w:eastAsia="Arial" w:hAnsi="Arial"/>
                <w:sz w:val="12"/>
                <w:szCs w:val="12"/>
                <w:color w:val="auto"/>
              </w:rPr>
              <w:t>Inventories</w:t>
            </w:r>
          </w:p>
        </w:tc>
        <w:tc>
          <w:tcPr>
            <w:tcW w:w="10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(8,535)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520</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Prepaid and other assets</w:t>
            </w:r>
          </w:p>
        </w:tc>
        <w:tc>
          <w:tcPr>
            <w:tcW w:w="106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10,004</w:t>
            </w:r>
          </w:p>
        </w:tc>
        <w:tc>
          <w:tcPr>
            <w:tcW w:w="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(6,620)</w:t>
            </w:r>
          </w:p>
        </w:tc>
        <w:tc>
          <w:tcPr>
            <w:tcW w:w="0" w:type="dxa"/>
            <w:vAlign w:val="bottom"/>
          </w:tcPr>
          <w:p>
            <w:pPr>
              <w:spacing w:after="0"/>
              <w:rPr>
                <w:sz w:val="1"/>
                <w:szCs w:val="1"/>
                <w:color w:val="auto"/>
              </w:rPr>
            </w:pPr>
          </w:p>
        </w:tc>
      </w:tr>
      <w:tr>
        <w:trPr>
          <w:trHeight w:val="159"/>
        </w:trPr>
        <w:tc>
          <w:tcPr>
            <w:tcW w:w="7580" w:type="dxa"/>
            <w:vAlign w:val="bottom"/>
          </w:tcPr>
          <w:p>
            <w:pPr>
              <w:ind w:left="340"/>
              <w:spacing w:after="0"/>
              <w:rPr>
                <w:sz w:val="20"/>
                <w:szCs w:val="20"/>
                <w:color w:val="auto"/>
              </w:rPr>
            </w:pPr>
            <w:r>
              <w:rPr>
                <w:rFonts w:ascii="Arial" w:cs="Arial" w:eastAsia="Arial" w:hAnsi="Arial"/>
                <w:sz w:val="12"/>
                <w:szCs w:val="12"/>
                <w:color w:val="auto"/>
              </w:rPr>
              <w:t>Operating lease assets and liabilities</w:t>
            </w:r>
          </w:p>
        </w:tc>
        <w:tc>
          <w:tcPr>
            <w:tcW w:w="10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(537)</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Accrued interest</w:t>
            </w:r>
          </w:p>
        </w:tc>
        <w:tc>
          <w:tcPr>
            <w:tcW w:w="106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116</w:t>
            </w:r>
          </w:p>
        </w:tc>
        <w:tc>
          <w:tcPr>
            <w:tcW w:w="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753</w:t>
            </w:r>
          </w:p>
        </w:tc>
        <w:tc>
          <w:tcPr>
            <w:tcW w:w="0" w:type="dxa"/>
            <w:vAlign w:val="bottom"/>
          </w:tcPr>
          <w:p>
            <w:pPr>
              <w:spacing w:after="0"/>
              <w:rPr>
                <w:sz w:val="1"/>
                <w:szCs w:val="1"/>
                <w:color w:val="auto"/>
              </w:rPr>
            </w:pPr>
          </w:p>
        </w:tc>
      </w:tr>
      <w:tr>
        <w:trPr>
          <w:trHeight w:val="159"/>
        </w:trPr>
        <w:tc>
          <w:tcPr>
            <w:tcW w:w="7580" w:type="dxa"/>
            <w:vAlign w:val="bottom"/>
          </w:tcPr>
          <w:p>
            <w:pPr>
              <w:ind w:left="340"/>
              <w:spacing w:after="0"/>
              <w:rPr>
                <w:sz w:val="20"/>
                <w:szCs w:val="20"/>
                <w:color w:val="auto"/>
              </w:rPr>
            </w:pPr>
            <w:r>
              <w:rPr>
                <w:rFonts w:ascii="Arial" w:cs="Arial" w:eastAsia="Arial" w:hAnsi="Arial"/>
                <w:sz w:val="12"/>
                <w:szCs w:val="12"/>
                <w:color w:val="auto"/>
              </w:rPr>
              <w:t>Accounts payable and other accrued expenses</w:t>
            </w:r>
          </w:p>
        </w:tc>
        <w:tc>
          <w:tcPr>
            <w:tcW w:w="10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30,573</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(17,767)</w:t>
            </w:r>
          </w:p>
        </w:tc>
        <w:tc>
          <w:tcPr>
            <w:tcW w:w="0" w:type="dxa"/>
            <w:vAlign w:val="bottom"/>
          </w:tcPr>
          <w:p>
            <w:pPr>
              <w:spacing w:after="0"/>
              <w:rPr>
                <w:sz w:val="1"/>
                <w:szCs w:val="1"/>
                <w:color w:val="auto"/>
              </w:rPr>
            </w:pPr>
          </w:p>
        </w:tc>
      </w:tr>
      <w:tr>
        <w:trPr>
          <w:trHeight w:val="161"/>
        </w:trPr>
        <w:tc>
          <w:tcPr>
            <w:tcW w:w="75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Deferred revenue and customer deposits</w:t>
            </w:r>
          </w:p>
        </w:tc>
        <w:tc>
          <w:tcPr>
            <w:tcW w:w="1060" w:type="dxa"/>
            <w:vAlign w:val="bottom"/>
            <w:tcBorders>
              <w:bottom w:val="single" w:sz="8" w:color="auto"/>
            </w:tcBorders>
            <w:shd w:val="clear" w:color="auto" w:fill="DBDBDB"/>
          </w:tcPr>
          <w:p>
            <w:pPr>
              <w:spacing w:after="0"/>
              <w:rPr>
                <w:sz w:val="14"/>
                <w:szCs w:val="14"/>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15,024</w:t>
            </w:r>
          </w:p>
        </w:tc>
        <w:tc>
          <w:tcPr>
            <w:tcW w:w="80" w:type="dxa"/>
            <w:vAlign w:val="bottom"/>
            <w:shd w:val="clear" w:color="auto" w:fill="DBDBDB"/>
          </w:tcPr>
          <w:p>
            <w:pPr>
              <w:spacing w:after="0"/>
              <w:rPr>
                <w:sz w:val="14"/>
                <w:szCs w:val="14"/>
                <w:color w:val="auto"/>
              </w:rPr>
            </w:pPr>
          </w:p>
        </w:tc>
        <w:tc>
          <w:tcPr>
            <w:tcW w:w="760" w:type="dxa"/>
            <w:vAlign w:val="bottom"/>
            <w:tcBorders>
              <w:bottom w:val="single" w:sz="8" w:color="auto"/>
            </w:tcBorders>
            <w:shd w:val="clear" w:color="auto" w:fill="DBDBDB"/>
          </w:tcPr>
          <w:p>
            <w:pPr>
              <w:spacing w:after="0"/>
              <w:rPr>
                <w:sz w:val="14"/>
                <w:szCs w:val="14"/>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6,691</w:t>
            </w:r>
          </w:p>
        </w:tc>
        <w:tc>
          <w:tcPr>
            <w:tcW w:w="0" w:type="dxa"/>
            <w:vAlign w:val="bottom"/>
          </w:tcPr>
          <w:p>
            <w:pPr>
              <w:spacing w:after="0"/>
              <w:rPr>
                <w:sz w:val="1"/>
                <w:szCs w:val="1"/>
                <w:color w:val="auto"/>
              </w:rPr>
            </w:pPr>
          </w:p>
        </w:tc>
      </w:tr>
      <w:tr>
        <w:trPr>
          <w:trHeight w:val="151"/>
        </w:trPr>
        <w:tc>
          <w:tcPr>
            <w:tcW w:w="7580" w:type="dxa"/>
            <w:vAlign w:val="bottom"/>
          </w:tcPr>
          <w:p>
            <w:pPr>
              <w:ind w:left="500"/>
              <w:spacing w:after="0"/>
              <w:rPr>
                <w:sz w:val="20"/>
                <w:szCs w:val="20"/>
                <w:color w:val="auto"/>
              </w:rPr>
            </w:pPr>
            <w:r>
              <w:rPr>
                <w:rFonts w:ascii="Arial" w:cs="Arial" w:eastAsia="Arial" w:hAnsi="Arial"/>
                <w:sz w:val="12"/>
                <w:szCs w:val="12"/>
                <w:color w:val="auto"/>
              </w:rPr>
              <w:t>Net cash provided by operating activities</w:t>
            </w:r>
          </w:p>
        </w:tc>
        <w:tc>
          <w:tcPr>
            <w:tcW w:w="10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261,608</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113,727</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20"/>
              <w:spacing w:after="0"/>
              <w:rPr>
                <w:sz w:val="20"/>
                <w:szCs w:val="20"/>
                <w:color w:val="auto"/>
              </w:rPr>
            </w:pPr>
            <w:r>
              <w:rPr>
                <w:rFonts w:ascii="Arial" w:cs="Arial" w:eastAsia="Arial" w:hAnsi="Arial"/>
                <w:sz w:val="12"/>
                <w:szCs w:val="12"/>
                <w:color w:val="auto"/>
              </w:rPr>
              <w:t>Investing activities:</w:t>
            </w:r>
          </w:p>
        </w:tc>
        <w:tc>
          <w:tcPr>
            <w:tcW w:w="106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0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580" w:type="dxa"/>
            <w:vAlign w:val="bottom"/>
          </w:tcPr>
          <w:p>
            <w:pPr>
              <w:ind w:left="340"/>
              <w:spacing w:after="0"/>
              <w:rPr>
                <w:sz w:val="20"/>
                <w:szCs w:val="20"/>
                <w:color w:val="auto"/>
              </w:rPr>
            </w:pPr>
            <w:r>
              <w:rPr>
                <w:rFonts w:ascii="Arial" w:cs="Arial" w:eastAsia="Arial" w:hAnsi="Arial"/>
                <w:sz w:val="12"/>
                <w:szCs w:val="12"/>
                <w:color w:val="auto"/>
              </w:rPr>
              <w:t>Proceeds from sale of rental equipment</w:t>
            </w:r>
          </w:p>
        </w:tc>
        <w:tc>
          <w:tcPr>
            <w:tcW w:w="10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30,437</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12,102</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Purchase of rental equipment and refurbishments</w:t>
            </w:r>
          </w:p>
        </w:tc>
        <w:tc>
          <w:tcPr>
            <w:tcW w:w="106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(117,817)</w:t>
            </w:r>
          </w:p>
        </w:tc>
        <w:tc>
          <w:tcPr>
            <w:tcW w:w="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(79,682)</w:t>
            </w:r>
          </w:p>
        </w:tc>
        <w:tc>
          <w:tcPr>
            <w:tcW w:w="0" w:type="dxa"/>
            <w:vAlign w:val="bottom"/>
          </w:tcPr>
          <w:p>
            <w:pPr>
              <w:spacing w:after="0"/>
              <w:rPr>
                <w:sz w:val="1"/>
                <w:szCs w:val="1"/>
                <w:color w:val="auto"/>
              </w:rPr>
            </w:pPr>
          </w:p>
        </w:tc>
      </w:tr>
      <w:tr>
        <w:trPr>
          <w:trHeight w:val="159"/>
        </w:trPr>
        <w:tc>
          <w:tcPr>
            <w:tcW w:w="7580" w:type="dxa"/>
            <w:vAlign w:val="bottom"/>
          </w:tcPr>
          <w:p>
            <w:pPr>
              <w:ind w:left="340"/>
              <w:spacing w:after="0"/>
              <w:rPr>
                <w:sz w:val="20"/>
                <w:szCs w:val="20"/>
                <w:color w:val="auto"/>
              </w:rPr>
            </w:pPr>
            <w:r>
              <w:rPr>
                <w:rFonts w:ascii="Arial" w:cs="Arial" w:eastAsia="Arial" w:hAnsi="Arial"/>
                <w:sz w:val="12"/>
                <w:szCs w:val="12"/>
                <w:color w:val="auto"/>
              </w:rPr>
              <w:t>Proceeds from the sale of property, plant and equipment</w:t>
            </w:r>
          </w:p>
        </w:tc>
        <w:tc>
          <w:tcPr>
            <w:tcW w:w="10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16,438</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3,843</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Purchase of property, plant and equipment</w:t>
            </w:r>
          </w:p>
        </w:tc>
        <w:tc>
          <w:tcPr>
            <w:tcW w:w="1060" w:type="dxa"/>
            <w:vAlign w:val="bottom"/>
            <w:tcBorders>
              <w:bottom w:val="single" w:sz="8" w:color="auto"/>
            </w:tcBorders>
            <w:shd w:val="clear" w:color="auto" w:fill="DBDBDB"/>
          </w:tcPr>
          <w:p>
            <w:pPr>
              <w:spacing w:after="0"/>
              <w:rPr>
                <w:sz w:val="14"/>
                <w:szCs w:val="14"/>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(17,450)</w:t>
            </w:r>
          </w:p>
        </w:tc>
        <w:tc>
          <w:tcPr>
            <w:tcW w:w="80" w:type="dxa"/>
            <w:vAlign w:val="bottom"/>
            <w:shd w:val="clear" w:color="auto" w:fill="DBDBDB"/>
          </w:tcPr>
          <w:p>
            <w:pPr>
              <w:spacing w:after="0"/>
              <w:rPr>
                <w:sz w:val="14"/>
                <w:szCs w:val="14"/>
                <w:color w:val="auto"/>
              </w:rPr>
            </w:pPr>
          </w:p>
        </w:tc>
        <w:tc>
          <w:tcPr>
            <w:tcW w:w="760" w:type="dxa"/>
            <w:vAlign w:val="bottom"/>
            <w:tcBorders>
              <w:bottom w:val="single" w:sz="8" w:color="auto"/>
            </w:tcBorders>
            <w:shd w:val="clear" w:color="auto" w:fill="DBDBDB"/>
          </w:tcPr>
          <w:p>
            <w:pPr>
              <w:spacing w:after="0"/>
              <w:rPr>
                <w:sz w:val="14"/>
                <w:szCs w:val="14"/>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(3,186)</w:t>
            </w:r>
          </w:p>
        </w:tc>
        <w:tc>
          <w:tcPr>
            <w:tcW w:w="0" w:type="dxa"/>
            <w:vAlign w:val="bottom"/>
          </w:tcPr>
          <w:p>
            <w:pPr>
              <w:spacing w:after="0"/>
              <w:rPr>
                <w:sz w:val="1"/>
                <w:szCs w:val="1"/>
                <w:color w:val="auto"/>
              </w:rPr>
            </w:pPr>
          </w:p>
        </w:tc>
      </w:tr>
      <w:tr>
        <w:trPr>
          <w:trHeight w:val="149"/>
        </w:trPr>
        <w:tc>
          <w:tcPr>
            <w:tcW w:w="7580" w:type="dxa"/>
            <w:vAlign w:val="bottom"/>
          </w:tcPr>
          <w:p>
            <w:pPr>
              <w:ind w:left="420"/>
              <w:spacing w:after="0"/>
              <w:rPr>
                <w:sz w:val="20"/>
                <w:szCs w:val="20"/>
                <w:color w:val="auto"/>
              </w:rPr>
            </w:pPr>
            <w:r>
              <w:rPr>
                <w:rFonts w:ascii="Arial" w:cs="Arial" w:eastAsia="Arial" w:hAnsi="Arial"/>
                <w:sz w:val="12"/>
                <w:szCs w:val="12"/>
                <w:color w:val="auto"/>
              </w:rPr>
              <w:t>Net cash used in investing activities</w:t>
            </w:r>
          </w:p>
        </w:tc>
        <w:tc>
          <w:tcPr>
            <w:tcW w:w="10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(88,392)</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(66,923)</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20"/>
              <w:spacing w:after="0"/>
              <w:rPr>
                <w:sz w:val="20"/>
                <w:szCs w:val="20"/>
                <w:color w:val="auto"/>
              </w:rPr>
            </w:pPr>
            <w:r>
              <w:rPr>
                <w:rFonts w:ascii="Arial" w:cs="Arial" w:eastAsia="Arial" w:hAnsi="Arial"/>
                <w:sz w:val="12"/>
                <w:szCs w:val="12"/>
                <w:color w:val="auto"/>
              </w:rPr>
              <w:t>Financing activities:</w:t>
            </w:r>
          </w:p>
        </w:tc>
        <w:tc>
          <w:tcPr>
            <w:tcW w:w="106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0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580" w:type="dxa"/>
            <w:vAlign w:val="bottom"/>
          </w:tcPr>
          <w:p>
            <w:pPr>
              <w:ind w:left="340"/>
              <w:spacing w:after="0"/>
              <w:rPr>
                <w:sz w:val="20"/>
                <w:szCs w:val="20"/>
                <w:color w:val="auto"/>
              </w:rPr>
            </w:pPr>
            <w:r>
              <w:rPr>
                <w:rFonts w:ascii="Arial" w:cs="Arial" w:eastAsia="Arial" w:hAnsi="Arial"/>
                <w:sz w:val="12"/>
                <w:szCs w:val="12"/>
                <w:color w:val="auto"/>
              </w:rPr>
              <w:t>Receipts from issuance of Common Stock from the exercise of options</w:t>
            </w:r>
          </w:p>
        </w:tc>
        <w:tc>
          <w:tcPr>
            <w:tcW w:w="10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5,798</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4,580</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Repurchase and cancellation of Common Stock and warrants</w:t>
            </w:r>
          </w:p>
        </w:tc>
        <w:tc>
          <w:tcPr>
            <w:tcW w:w="106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(214,299)</w:t>
            </w:r>
          </w:p>
        </w:tc>
        <w:tc>
          <w:tcPr>
            <w:tcW w:w="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7580" w:type="dxa"/>
            <w:vAlign w:val="bottom"/>
          </w:tcPr>
          <w:p>
            <w:pPr>
              <w:ind w:left="340"/>
              <w:spacing w:after="0"/>
              <w:rPr>
                <w:sz w:val="20"/>
                <w:szCs w:val="20"/>
                <w:color w:val="auto"/>
              </w:rPr>
            </w:pPr>
            <w:r>
              <w:rPr>
                <w:rFonts w:ascii="Arial" w:cs="Arial" w:eastAsia="Arial" w:hAnsi="Arial"/>
                <w:sz w:val="12"/>
                <w:szCs w:val="12"/>
                <w:color w:val="auto"/>
              </w:rPr>
              <w:t>Receipts from borrowings</w:t>
            </w:r>
          </w:p>
        </w:tc>
        <w:tc>
          <w:tcPr>
            <w:tcW w:w="10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387,658</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704,293</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Payment of financing costs</w:t>
            </w:r>
          </w:p>
        </w:tc>
        <w:tc>
          <w:tcPr>
            <w:tcW w:w="1060" w:type="dxa"/>
            <w:vAlign w:val="bottom"/>
            <w:shd w:val="clear" w:color="auto" w:fill="DBDBDB"/>
          </w:tcPr>
          <w:p>
            <w:pPr>
              <w:spacing w:after="0"/>
              <w:rPr>
                <w:sz w:val="14"/>
                <w:szCs w:val="14"/>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(1,225)</w:t>
            </w:r>
          </w:p>
        </w:tc>
        <w:tc>
          <w:tcPr>
            <w:tcW w:w="0" w:type="dxa"/>
            <w:vAlign w:val="bottom"/>
          </w:tcPr>
          <w:p>
            <w:pPr>
              <w:spacing w:after="0"/>
              <w:rPr>
                <w:sz w:val="1"/>
                <w:szCs w:val="1"/>
                <w:color w:val="auto"/>
              </w:rPr>
            </w:pPr>
          </w:p>
        </w:tc>
      </w:tr>
      <w:tr>
        <w:trPr>
          <w:trHeight w:val="159"/>
        </w:trPr>
        <w:tc>
          <w:tcPr>
            <w:tcW w:w="7580" w:type="dxa"/>
            <w:vAlign w:val="bottom"/>
          </w:tcPr>
          <w:p>
            <w:pPr>
              <w:ind w:left="340"/>
              <w:spacing w:after="0"/>
              <w:rPr>
                <w:sz w:val="20"/>
                <w:szCs w:val="20"/>
                <w:color w:val="auto"/>
              </w:rPr>
            </w:pPr>
            <w:r>
              <w:rPr>
                <w:rFonts w:ascii="Arial" w:cs="Arial" w:eastAsia="Arial" w:hAnsi="Arial"/>
                <w:sz w:val="12"/>
                <w:szCs w:val="12"/>
                <w:color w:val="auto"/>
              </w:rPr>
              <w:t>Repayment of borrowings</w:t>
            </w:r>
          </w:p>
        </w:tc>
        <w:tc>
          <w:tcPr>
            <w:tcW w:w="10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(347,225)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(92,282)</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Payment of debt extinguishment premium costs</w:t>
            </w:r>
          </w:p>
        </w:tc>
        <w:tc>
          <w:tcPr>
            <w:tcW w:w="106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(3,705)</w:t>
            </w:r>
          </w:p>
        </w:tc>
        <w:tc>
          <w:tcPr>
            <w:tcW w:w="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7580" w:type="dxa"/>
            <w:vAlign w:val="bottom"/>
          </w:tcPr>
          <w:p>
            <w:pPr>
              <w:ind w:left="340"/>
              <w:spacing w:after="0"/>
              <w:rPr>
                <w:sz w:val="20"/>
                <w:szCs w:val="20"/>
                <w:color w:val="auto"/>
              </w:rPr>
            </w:pPr>
            <w:r>
              <w:rPr>
                <w:rFonts w:ascii="Arial" w:cs="Arial" w:eastAsia="Arial" w:hAnsi="Arial"/>
                <w:sz w:val="12"/>
                <w:szCs w:val="12"/>
                <w:color w:val="auto"/>
              </w:rPr>
              <w:t>Principal payments on finance lease obligations</w:t>
            </w:r>
          </w:p>
        </w:tc>
        <w:tc>
          <w:tcPr>
            <w:tcW w:w="10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(7,921)</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Taxes paid on employee stock awards</w:t>
            </w:r>
          </w:p>
        </w:tc>
        <w:tc>
          <w:tcPr>
            <w:tcW w:w="1060" w:type="dxa"/>
            <w:vAlign w:val="bottom"/>
            <w:tcBorders>
              <w:bottom w:val="single" w:sz="8" w:color="auto"/>
            </w:tcBorders>
            <w:shd w:val="clear" w:color="auto" w:fill="DBDBDB"/>
          </w:tcPr>
          <w:p>
            <w:pPr>
              <w:spacing w:after="0"/>
              <w:rPr>
                <w:sz w:val="14"/>
                <w:szCs w:val="14"/>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(3,219)</w:t>
            </w:r>
          </w:p>
        </w:tc>
        <w:tc>
          <w:tcPr>
            <w:tcW w:w="80" w:type="dxa"/>
            <w:vAlign w:val="bottom"/>
            <w:shd w:val="clear" w:color="auto" w:fill="DBDBDB"/>
          </w:tcPr>
          <w:p>
            <w:pPr>
              <w:spacing w:after="0"/>
              <w:rPr>
                <w:sz w:val="14"/>
                <w:szCs w:val="14"/>
                <w:color w:val="auto"/>
              </w:rPr>
            </w:pPr>
          </w:p>
        </w:tc>
        <w:tc>
          <w:tcPr>
            <w:tcW w:w="760" w:type="dxa"/>
            <w:vAlign w:val="bottom"/>
            <w:tcBorders>
              <w:bottom w:val="single" w:sz="8" w:color="auto"/>
            </w:tcBorders>
            <w:shd w:val="clear" w:color="auto" w:fill="DBDBDB"/>
          </w:tcPr>
          <w:p>
            <w:pPr>
              <w:spacing w:after="0"/>
              <w:rPr>
                <w:sz w:val="14"/>
                <w:szCs w:val="14"/>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(673)</w:t>
            </w:r>
          </w:p>
        </w:tc>
        <w:tc>
          <w:tcPr>
            <w:tcW w:w="0" w:type="dxa"/>
            <w:vAlign w:val="bottom"/>
          </w:tcPr>
          <w:p>
            <w:pPr>
              <w:spacing w:after="0"/>
              <w:rPr>
                <w:sz w:val="1"/>
                <w:szCs w:val="1"/>
                <w:color w:val="auto"/>
              </w:rPr>
            </w:pPr>
          </w:p>
        </w:tc>
      </w:tr>
      <w:tr>
        <w:trPr>
          <w:trHeight w:val="149"/>
        </w:trPr>
        <w:tc>
          <w:tcPr>
            <w:tcW w:w="7580" w:type="dxa"/>
            <w:vAlign w:val="bottom"/>
          </w:tcPr>
          <w:p>
            <w:pPr>
              <w:ind w:left="420"/>
              <w:spacing w:after="0"/>
              <w:rPr>
                <w:sz w:val="20"/>
                <w:szCs w:val="20"/>
                <w:color w:val="auto"/>
              </w:rPr>
            </w:pPr>
            <w:r>
              <w:rPr>
                <w:rFonts w:ascii="Arial" w:cs="Arial" w:eastAsia="Arial" w:hAnsi="Arial"/>
                <w:sz w:val="12"/>
                <w:szCs w:val="12"/>
                <w:color w:val="auto"/>
              </w:rPr>
              <w:t>Net cash (used in) provided by financing activities</w:t>
            </w:r>
          </w:p>
        </w:tc>
        <w:tc>
          <w:tcPr>
            <w:tcW w:w="10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(182,913)</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614,693</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Effect of exchange rate changes on cash and cash equivalents</w:t>
            </w:r>
          </w:p>
        </w:tc>
        <w:tc>
          <w:tcPr>
            <w:tcW w:w="1060" w:type="dxa"/>
            <w:vAlign w:val="bottom"/>
            <w:tcBorders>
              <w:bottom w:val="single" w:sz="8" w:color="auto"/>
            </w:tcBorders>
            <w:shd w:val="clear" w:color="auto" w:fill="DBDBDB"/>
          </w:tcPr>
          <w:p>
            <w:pPr>
              <w:spacing w:after="0"/>
              <w:rPr>
                <w:sz w:val="14"/>
                <w:szCs w:val="14"/>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162</w:t>
            </w:r>
          </w:p>
        </w:tc>
        <w:tc>
          <w:tcPr>
            <w:tcW w:w="80" w:type="dxa"/>
            <w:vAlign w:val="bottom"/>
            <w:shd w:val="clear" w:color="auto" w:fill="DBDBDB"/>
          </w:tcPr>
          <w:p>
            <w:pPr>
              <w:spacing w:after="0"/>
              <w:rPr>
                <w:sz w:val="14"/>
                <w:szCs w:val="14"/>
                <w:color w:val="auto"/>
              </w:rPr>
            </w:pPr>
          </w:p>
        </w:tc>
        <w:tc>
          <w:tcPr>
            <w:tcW w:w="760" w:type="dxa"/>
            <w:vAlign w:val="bottom"/>
            <w:tcBorders>
              <w:bottom w:val="single" w:sz="8" w:color="auto"/>
            </w:tcBorders>
            <w:shd w:val="clear" w:color="auto" w:fill="DBDBDB"/>
          </w:tcPr>
          <w:p>
            <w:pPr>
              <w:spacing w:after="0"/>
              <w:rPr>
                <w:sz w:val="14"/>
                <w:szCs w:val="14"/>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(394)</w:t>
            </w:r>
          </w:p>
        </w:tc>
        <w:tc>
          <w:tcPr>
            <w:tcW w:w="0" w:type="dxa"/>
            <w:vAlign w:val="bottom"/>
          </w:tcPr>
          <w:p>
            <w:pPr>
              <w:spacing w:after="0"/>
              <w:rPr>
                <w:sz w:val="1"/>
                <w:szCs w:val="1"/>
                <w:color w:val="auto"/>
              </w:rPr>
            </w:pPr>
          </w:p>
        </w:tc>
      </w:tr>
      <w:tr>
        <w:trPr>
          <w:trHeight w:val="149"/>
        </w:trPr>
        <w:tc>
          <w:tcPr>
            <w:tcW w:w="7580" w:type="dxa"/>
            <w:vAlign w:val="bottom"/>
          </w:tcPr>
          <w:p>
            <w:pPr>
              <w:ind w:left="180"/>
              <w:spacing w:after="0"/>
              <w:rPr>
                <w:sz w:val="20"/>
                <w:szCs w:val="20"/>
                <w:color w:val="auto"/>
              </w:rPr>
            </w:pPr>
            <w:r>
              <w:rPr>
                <w:rFonts w:ascii="Arial" w:cs="Arial" w:eastAsia="Arial" w:hAnsi="Arial"/>
                <w:sz w:val="12"/>
                <w:szCs w:val="12"/>
                <w:color w:val="auto"/>
              </w:rPr>
              <w:t>Net change in cash and cash equivalents</w:t>
            </w:r>
          </w:p>
        </w:tc>
        <w:tc>
          <w:tcPr>
            <w:tcW w:w="10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(9,535)</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661,103</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Cash and cash equivalents at the beginning of the period</w:t>
            </w:r>
          </w:p>
        </w:tc>
        <w:tc>
          <w:tcPr>
            <w:tcW w:w="1060" w:type="dxa"/>
            <w:vAlign w:val="bottom"/>
            <w:tcBorders>
              <w:bottom w:val="single" w:sz="8" w:color="auto"/>
            </w:tcBorders>
            <w:shd w:val="clear" w:color="auto" w:fill="DBDBDB"/>
          </w:tcPr>
          <w:p>
            <w:pPr>
              <w:spacing w:after="0"/>
              <w:rPr>
                <w:sz w:val="14"/>
                <w:szCs w:val="14"/>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24,937</w:t>
            </w:r>
          </w:p>
        </w:tc>
        <w:tc>
          <w:tcPr>
            <w:tcW w:w="80" w:type="dxa"/>
            <w:vAlign w:val="bottom"/>
            <w:shd w:val="clear" w:color="auto" w:fill="DBDBDB"/>
          </w:tcPr>
          <w:p>
            <w:pPr>
              <w:spacing w:after="0"/>
              <w:rPr>
                <w:sz w:val="14"/>
                <w:szCs w:val="14"/>
                <w:color w:val="auto"/>
              </w:rPr>
            </w:pPr>
          </w:p>
        </w:tc>
        <w:tc>
          <w:tcPr>
            <w:tcW w:w="760" w:type="dxa"/>
            <w:vAlign w:val="bottom"/>
            <w:tcBorders>
              <w:bottom w:val="single" w:sz="8" w:color="auto"/>
            </w:tcBorders>
            <w:shd w:val="clear" w:color="auto" w:fill="DBDBDB"/>
          </w:tcPr>
          <w:p>
            <w:pPr>
              <w:spacing w:after="0"/>
              <w:rPr>
                <w:sz w:val="14"/>
                <w:szCs w:val="14"/>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3,045</w:t>
            </w:r>
          </w:p>
        </w:tc>
        <w:tc>
          <w:tcPr>
            <w:tcW w:w="0" w:type="dxa"/>
            <w:vAlign w:val="bottom"/>
          </w:tcPr>
          <w:p>
            <w:pPr>
              <w:spacing w:after="0"/>
              <w:rPr>
                <w:sz w:val="1"/>
                <w:szCs w:val="1"/>
                <w:color w:val="auto"/>
              </w:rPr>
            </w:pPr>
          </w:p>
        </w:tc>
      </w:tr>
      <w:tr>
        <w:trPr>
          <w:trHeight w:val="149"/>
        </w:trPr>
        <w:tc>
          <w:tcPr>
            <w:tcW w:w="7580" w:type="dxa"/>
            <w:vAlign w:val="bottom"/>
          </w:tcPr>
          <w:p>
            <w:pPr>
              <w:ind w:left="180"/>
              <w:spacing w:after="0"/>
              <w:rPr>
                <w:sz w:val="20"/>
                <w:szCs w:val="20"/>
                <w:color w:val="auto"/>
              </w:rPr>
            </w:pPr>
            <w:r>
              <w:rPr>
                <w:rFonts w:ascii="Arial" w:cs="Arial" w:eastAsia="Arial" w:hAnsi="Arial"/>
                <w:sz w:val="12"/>
                <w:szCs w:val="12"/>
                <w:color w:val="auto"/>
              </w:rPr>
              <w:t>Cash and cash equivalents at the end of the period</w:t>
            </w:r>
          </w:p>
        </w:tc>
        <w:tc>
          <w:tcPr>
            <w:tcW w:w="1060" w:type="dxa"/>
            <w:vAlign w:val="bottom"/>
            <w:tcBorders>
              <w:bottom w:val="single" w:sz="8" w:color="auto"/>
            </w:tcBorders>
          </w:tcPr>
          <w:p>
            <w:pPr>
              <w:jc w:val="right"/>
              <w:ind w:right="919"/>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15,402</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ind w:right="619"/>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664,148</w:t>
            </w:r>
          </w:p>
        </w:tc>
        <w:tc>
          <w:tcPr>
            <w:tcW w:w="0" w:type="dxa"/>
            <w:vAlign w:val="bottom"/>
          </w:tcPr>
          <w:p>
            <w:pPr>
              <w:spacing w:after="0"/>
              <w:rPr>
                <w:sz w:val="1"/>
                <w:szCs w:val="1"/>
                <w:color w:val="auto"/>
              </w:rPr>
            </w:pPr>
          </w:p>
        </w:tc>
      </w:tr>
      <w:tr>
        <w:trPr>
          <w:trHeight w:val="20"/>
        </w:trPr>
        <w:tc>
          <w:tcPr>
            <w:tcW w:w="7580" w:type="dxa"/>
            <w:vAlign w:val="bottom"/>
            <w:tcBorders>
              <w:bottom w:val="single" w:sz="8" w:color="DBDBDB"/>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58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580" w:type="dxa"/>
            <w:vAlign w:val="bottom"/>
          </w:tcPr>
          <w:p>
            <w:pPr>
              <w:ind w:left="20"/>
              <w:spacing w:after="0"/>
              <w:rPr>
                <w:sz w:val="20"/>
                <w:szCs w:val="20"/>
                <w:color w:val="auto"/>
              </w:rPr>
            </w:pPr>
            <w:r>
              <w:rPr>
                <w:rFonts w:ascii="Arial" w:cs="Arial" w:eastAsia="Arial" w:hAnsi="Arial"/>
                <w:sz w:val="12"/>
                <w:szCs w:val="12"/>
                <w:color w:val="auto"/>
              </w:rPr>
              <w:t>Supplemental cash flow information:</w:t>
            </w: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Interest paid</w:t>
            </w:r>
          </w:p>
        </w:tc>
        <w:tc>
          <w:tcPr>
            <w:tcW w:w="1060" w:type="dxa"/>
            <w:vAlign w:val="bottom"/>
            <w:shd w:val="clear" w:color="auto" w:fill="DBDBDB"/>
          </w:tcPr>
          <w:p>
            <w:pPr>
              <w:jc w:val="right"/>
              <w:ind w:right="919"/>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46,105</w:t>
            </w:r>
          </w:p>
        </w:tc>
        <w:tc>
          <w:tcPr>
            <w:tcW w:w="80" w:type="dxa"/>
            <w:vAlign w:val="bottom"/>
            <w:shd w:val="clear" w:color="auto" w:fill="DBDBDB"/>
          </w:tcPr>
          <w:p>
            <w:pPr>
              <w:spacing w:after="0"/>
              <w:rPr>
                <w:sz w:val="14"/>
                <w:szCs w:val="14"/>
                <w:color w:val="auto"/>
              </w:rPr>
            </w:pPr>
          </w:p>
        </w:tc>
        <w:tc>
          <w:tcPr>
            <w:tcW w:w="760" w:type="dxa"/>
            <w:vAlign w:val="bottom"/>
            <w:shd w:val="clear" w:color="auto" w:fill="DBDBDB"/>
          </w:tcPr>
          <w:p>
            <w:pPr>
              <w:jc w:val="right"/>
              <w:ind w:right="619"/>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46,058</w:t>
            </w:r>
          </w:p>
        </w:tc>
        <w:tc>
          <w:tcPr>
            <w:tcW w:w="0" w:type="dxa"/>
            <w:vAlign w:val="bottom"/>
          </w:tcPr>
          <w:p>
            <w:pPr>
              <w:spacing w:after="0"/>
              <w:rPr>
                <w:sz w:val="1"/>
                <w:szCs w:val="1"/>
                <w:color w:val="auto"/>
              </w:rPr>
            </w:pPr>
          </w:p>
        </w:tc>
      </w:tr>
      <w:tr>
        <w:trPr>
          <w:trHeight w:val="159"/>
        </w:trPr>
        <w:tc>
          <w:tcPr>
            <w:tcW w:w="7580" w:type="dxa"/>
            <w:vAlign w:val="bottom"/>
          </w:tcPr>
          <w:p>
            <w:pPr>
              <w:ind w:left="180"/>
              <w:spacing w:after="0"/>
              <w:rPr>
                <w:sz w:val="20"/>
                <w:szCs w:val="20"/>
                <w:color w:val="auto"/>
              </w:rPr>
            </w:pPr>
            <w:r>
              <w:rPr>
                <w:rFonts w:ascii="Arial" w:cs="Arial" w:eastAsia="Arial" w:hAnsi="Arial"/>
                <w:sz w:val="12"/>
                <w:szCs w:val="12"/>
                <w:color w:val="auto"/>
              </w:rPr>
              <w:t>Income taxes paid, net</w:t>
            </w:r>
          </w:p>
        </w:tc>
        <w:tc>
          <w:tcPr>
            <w:tcW w:w="1060" w:type="dxa"/>
            <w:vAlign w:val="bottom"/>
          </w:tcPr>
          <w:p>
            <w:pPr>
              <w:jc w:val="right"/>
              <w:ind w:right="919"/>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4,383</w:t>
            </w:r>
          </w:p>
        </w:tc>
        <w:tc>
          <w:tcPr>
            <w:tcW w:w="80" w:type="dxa"/>
            <w:vAlign w:val="bottom"/>
          </w:tcPr>
          <w:p>
            <w:pPr>
              <w:spacing w:after="0"/>
              <w:rPr>
                <w:sz w:val="13"/>
                <w:szCs w:val="13"/>
                <w:color w:val="auto"/>
              </w:rPr>
            </w:pPr>
          </w:p>
        </w:tc>
        <w:tc>
          <w:tcPr>
            <w:tcW w:w="760" w:type="dxa"/>
            <w:vAlign w:val="bottom"/>
          </w:tcPr>
          <w:p>
            <w:pPr>
              <w:jc w:val="right"/>
              <w:ind w:right="619"/>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64"/>
        </w:trPr>
        <w:tc>
          <w:tcPr>
            <w:tcW w:w="75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Capital expenditures accrued or payable</w:t>
            </w:r>
          </w:p>
        </w:tc>
        <w:tc>
          <w:tcPr>
            <w:tcW w:w="1060" w:type="dxa"/>
            <w:vAlign w:val="bottom"/>
            <w:shd w:val="clear" w:color="auto" w:fill="DBDBDB"/>
          </w:tcPr>
          <w:p>
            <w:pPr>
              <w:jc w:val="right"/>
              <w:ind w:right="919"/>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19,099</w:t>
            </w:r>
          </w:p>
        </w:tc>
        <w:tc>
          <w:tcPr>
            <w:tcW w:w="80" w:type="dxa"/>
            <w:vAlign w:val="bottom"/>
            <w:shd w:val="clear" w:color="auto" w:fill="DBDBDB"/>
          </w:tcPr>
          <w:p>
            <w:pPr>
              <w:spacing w:after="0"/>
              <w:rPr>
                <w:sz w:val="14"/>
                <w:szCs w:val="14"/>
                <w:color w:val="auto"/>
              </w:rPr>
            </w:pPr>
          </w:p>
        </w:tc>
        <w:tc>
          <w:tcPr>
            <w:tcW w:w="760" w:type="dxa"/>
            <w:vAlign w:val="bottom"/>
            <w:shd w:val="clear" w:color="auto" w:fill="DBDBDB"/>
          </w:tcPr>
          <w:p>
            <w:pPr>
              <w:jc w:val="right"/>
              <w:ind w:right="619"/>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18,742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9"/>
          <w:szCs w:val="9"/>
          <w:i w:val="1"/>
          <w:iCs w:val="1"/>
          <w:color w:val="auto"/>
        </w:rPr>
        <w:t>See the accompanying notes which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135890</wp:posOffset>
            </wp:positionV>
            <wp:extent cx="719264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280"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1D2758"/>
        </w:rPr>
        <w:t>WillScot Mobile Mini Holdings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1D2758"/>
        </w:rPr>
        <w:t>Notes to the Condensed Consolidated Financial Statements (Unaudited)</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1D2758"/>
        </w:rPr>
        <w:t>NOTE 1 - Summary of Significant Accounting Policies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Organization and Nature of Operations</w:t>
      </w:r>
    </w:p>
    <w:p>
      <w:pPr>
        <w:spacing w:after="0" w:line="70"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WillScot Mobile Mini Holdings Corp. (“WillScot Mobile Mini” and, together with its subsidiaries, the “Company”) is a leading provider of modular space and portable storage solutions in the United States (“US”), Canada, Mexico and the United Kingdom ("UK"). The Company also maintains a fleet of specialty containment products, including liquid and solid containment solutions. The Company leases, sells, delivers and installs mobile solutions and storage products through an integrated network of branch locations that spans North America and the UK.</w:t>
      </w:r>
    </w:p>
    <w:p>
      <w:pPr>
        <w:spacing w:after="0" w:line="29" w:lineRule="exact"/>
        <w:rPr>
          <w:sz w:val="20"/>
          <w:szCs w:val="20"/>
          <w:color w:val="auto"/>
        </w:rPr>
      </w:pPr>
    </w:p>
    <w:p>
      <w:pPr>
        <w:jc w:val="both"/>
        <w:ind w:firstLine="484"/>
        <w:spacing w:after="0" w:line="248" w:lineRule="auto"/>
        <w:rPr>
          <w:sz w:val="20"/>
          <w:szCs w:val="20"/>
          <w:color w:val="auto"/>
        </w:rPr>
      </w:pPr>
      <w:r>
        <w:rPr>
          <w:rFonts w:ascii="Arial" w:cs="Arial" w:eastAsia="Arial" w:hAnsi="Arial"/>
          <w:sz w:val="12"/>
          <w:szCs w:val="12"/>
          <w:color w:val="auto"/>
        </w:rPr>
        <w:t>On July 1, 2020, WillScot Corporation, a Delaware corporation (“WillScot”), and Mobile Mini, Inc. (“Mobile Mini”) merged (the “Merger”). Immediately following the Merger, WillScot changed its name to “WillScot Mobile Mini Holdings Corp.” and filed an amended and restated certificate of incorporation (the "A&amp;R Charter"), which reclassified all outstanding shares of WillScot Class A Common Stock and converted such shares into shares of Common Stock, par value $0.0001 per share, of WillScot Mobile Mini ("WillScot Mobile Mini Common Stock"). The WillScot Class A Common Stock was listed on the Nasdaq Capital Market (Nasdaq: WSC) up until the Merger, and the WillScot Mobile Mini Common Stock has been listed on the Nasdaq Capital Market (Nasdaq: WSC) since the Merger. As used herein, the term “Common Stock” or “the Company’s Common Stock” refers to WillScot Class A Common Stock prior to filing of the A&amp;R Charter on July 1, 2020 and to WillScot Mobile Mini Common Stock as of and following the filing of the A&amp;R Charter July 1, 2020.</w:t>
      </w:r>
    </w:p>
    <w:p>
      <w:pPr>
        <w:spacing w:after="0" w:line="32"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The preparation of financial statements in accordance with US Generally Accepted Accounting Principles (“GAAP”) requires that our condensed consolidated financial statements and most of the disclosures in these notes be presented on a historical basis. Unless the context otherwise requires, the terms “Company” and “WillScot Mobile Mini” as used in these financial statements mean WillScot and its subsidiaries when referring to periods prior to July 1, 2020 (prior to the Merger) and to WillScot Mobile Mini, when referring to periods on or after July 1, 2020 (after the Merger).</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Presentation and Principles of Consolidation</w:t>
      </w:r>
    </w:p>
    <w:p>
      <w:pPr>
        <w:spacing w:after="0" w:line="70"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The accompanying unaudited condensed consolidated financial statements have been prepared in accordance with the instructions to Quarterly Report on Form 10-Q and do not include all the information and notes required by GAAP for complete financial statements. The accompanying unaudited condensed consolidated financial statements comprise the financial statements of WillScot Mobile Mini and its subsidiaries that it controls due to ownership of a majority voting interest and contain all adjustments, which are of a normal and recurring nature, necessary to present fairly the financial position, results of operations and cash flows for the interim periods presented.</w:t>
      </w:r>
    </w:p>
    <w:p>
      <w:pPr>
        <w:spacing w:after="0" w:line="33"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w:t>
      </w:r>
    </w:p>
    <w:p>
      <w:pPr>
        <w:spacing w:after="0" w:line="26"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results of operations for the six months ended June 30, 2021 are not necessarily indicative of the results to be expected for the full year. For further information, refer to the consolidated financial statements and notes included in the Company's Annual Report on Form 10-K/A for the year ended December 31, 2020.</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Reclassifications</w:t>
      </w:r>
    </w:p>
    <w:p>
      <w:pPr>
        <w:spacing w:after="0" w:line="5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Certain reclassifications have been made to prior year financial statements to conform to the current year presentation.</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Issued and Adopted Accounting Standards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Recently Issued Accounting Standards</w:t>
      </w:r>
    </w:p>
    <w:p>
      <w:pPr>
        <w:spacing w:after="0" w:line="46" w:lineRule="exact"/>
        <w:rPr>
          <w:sz w:val="20"/>
          <w:szCs w:val="20"/>
          <w:color w:val="auto"/>
        </w:rPr>
      </w:pPr>
    </w:p>
    <w:p>
      <w:pPr>
        <w:jc w:val="both"/>
        <w:ind w:firstLine="484"/>
        <w:spacing w:after="0" w:line="262" w:lineRule="auto"/>
        <w:rPr>
          <w:sz w:val="20"/>
          <w:szCs w:val="20"/>
          <w:color w:val="auto"/>
        </w:rPr>
      </w:pPr>
      <w:r>
        <w:rPr>
          <w:rFonts w:ascii="Arial" w:cs="Arial" w:eastAsia="Arial" w:hAnsi="Arial"/>
          <w:sz w:val="12"/>
          <w:szCs w:val="12"/>
          <w:color w:val="auto"/>
        </w:rPr>
        <w:t xml:space="preserve">In March 2020, the Financial Accounting Standards Board (“FASB”) issued Accounting Standards Update ("ASU") 2020-04, </w:t>
      </w:r>
      <w:r>
        <w:rPr>
          <w:rFonts w:ascii="Arial" w:cs="Arial" w:eastAsia="Arial" w:hAnsi="Arial"/>
          <w:sz w:val="12"/>
          <w:szCs w:val="12"/>
          <w:i w:val="1"/>
          <w:iCs w:val="1"/>
          <w:color w:val="auto"/>
        </w:rPr>
        <w:t>Reference Rate Reform (Topic 848)</w:t>
      </w:r>
      <w:r>
        <w:rPr>
          <w:rFonts w:ascii="Arial" w:cs="Arial" w:eastAsia="Arial" w:hAnsi="Arial"/>
          <w:sz w:val="12"/>
          <w:szCs w:val="12"/>
          <w:color w:val="auto"/>
        </w:rPr>
        <w:t>, which is elective, and provides for optional expedients and exceptions for applying GAAP to contracts, hedging relationships, and other transactions affected by reference rate reform if certain criteria are met. The Company is currently evaluating the impact of reference rate reform and the potential impact of adoption of these elective practical expedients on its condensed consolidated financial statements and does not expect the impact to be material.</w:t>
      </w:r>
    </w:p>
    <w:p>
      <w:pPr>
        <w:spacing w:after="0" w:line="12"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2"/>
          <w:szCs w:val="12"/>
          <w:color w:val="auto"/>
        </w:rPr>
        <w:t xml:space="preserve">In August 2020, the FASB issued ASU 2020-06, </w:t>
      </w:r>
      <w:r>
        <w:rPr>
          <w:rFonts w:ascii="Arial" w:cs="Arial" w:eastAsia="Arial" w:hAnsi="Arial"/>
          <w:sz w:val="12"/>
          <w:szCs w:val="12"/>
          <w:i w:val="1"/>
          <w:iCs w:val="1"/>
          <w:color w:val="auto"/>
        </w:rPr>
        <w:t>Debt - Debt with Conversion and Other Options (Subtopic 470-20) and Derivatives and Hedging – Contracts in Entity’s Own Equity (Subtopic 815-40)</w:t>
      </w:r>
      <w:r>
        <w:rPr>
          <w:rFonts w:ascii="Arial" w:cs="Arial" w:eastAsia="Arial" w:hAnsi="Arial"/>
          <w:sz w:val="12"/>
          <w:szCs w:val="12"/>
          <w:color w:val="auto"/>
        </w:rPr>
        <w:t>. The new ASU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EPS computation. The amendments in the ASU are effective for public entities for fiscal years beginning after December 15, 2021, including interim periods within those fiscal years. The Company is currently evaluating the potential impact of the adoption of the pronouncement on its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542290</wp:posOffset>
            </wp:positionV>
            <wp:extent cx="719264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9" w:right="31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i w:val="1"/>
          <w:iCs w:val="1"/>
          <w:color w:val="1D2758"/>
        </w:rPr>
        <w:t>Recently Adopted Accounting Standards</w:t>
      </w:r>
    </w:p>
    <w:p>
      <w:pPr>
        <w:spacing w:after="0" w:line="46"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2"/>
          <w:szCs w:val="12"/>
          <w:color w:val="auto"/>
        </w:rPr>
        <w:t xml:space="preserve">In December 2019, the FASB issued ASU 2019-12, </w:t>
      </w:r>
      <w:r>
        <w:rPr>
          <w:rFonts w:ascii="Arial" w:cs="Arial" w:eastAsia="Arial" w:hAnsi="Arial"/>
          <w:sz w:val="12"/>
          <w:szCs w:val="12"/>
          <w:i w:val="1"/>
          <w:iCs w:val="1"/>
          <w:color w:val="auto"/>
        </w:rPr>
        <w:t>Income Taxes (Topic 740): Simplifying the Accounting for Income Taxes</w:t>
      </w:r>
      <w:r>
        <w:rPr>
          <w:rFonts w:ascii="Arial" w:cs="Arial" w:eastAsia="Arial" w:hAnsi="Arial"/>
          <w:sz w:val="12"/>
          <w:szCs w:val="12"/>
          <w:color w:val="auto"/>
        </w:rPr>
        <w:t>, which removes certain exceptions to the general principles for income taxes and also improves consistent application of accounting by clarifying or amending existing guidance. On January 1, 2021, the Company adopted ASU 2019-12 and the impact of adoption was not material to the Company's consolidated financial statements. The Company will apply the standard prospectively for intraperiod tax allocation, year-to-date losses that exceed anticipated annual losses and enacted changes in tax laws.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1D2758"/>
        </w:rPr>
        <w:t>NOTE 2 - Acquisitions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Mobile Mini Merger</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Purchase Price</w:t>
      </w:r>
    </w:p>
    <w:p>
      <w:pPr>
        <w:spacing w:after="0" w:line="58"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Upon completion of the Merger on July 1, 2020, each issued and outstanding share of Mobile Mini Common Stock, par value $0.01 per share, converted to 2.405 shares of WillScot Class A Common Stock, par value $0.0001 per share, and cash in lieu of any fractional shares. The Company issued 106,426,721 shares of Class A Common Stock to Mobile Mini stockholders as consideration for the Merger. The trading price of the Class A Common Stock was $12.53 per share on the closing date. In addition, Mobile Mini stock options converted into WillScot Mobile Mini stock options. The purchase price was determined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share and per share data)</w:t>
            </w:r>
          </w:p>
        </w:tc>
        <w:tc>
          <w:tcPr>
            <w:tcW w:w="480" w:type="dxa"/>
            <w:vAlign w:val="bottom"/>
            <w:shd w:val="clear" w:color="auto" w:fill="1D2758"/>
          </w:tcPr>
          <w:p>
            <w:pPr>
              <w:spacing w:after="0"/>
              <w:rPr>
                <w:sz w:val="14"/>
                <w:szCs w:val="14"/>
                <w:color w:val="auto"/>
              </w:rPr>
            </w:pPr>
          </w:p>
        </w:tc>
        <w:tc>
          <w:tcPr>
            <w:tcW w:w="1980" w:type="dxa"/>
            <w:vAlign w:val="bottom"/>
            <w:shd w:val="clear" w:color="auto" w:fill="1D2758"/>
          </w:tcPr>
          <w:p>
            <w:pPr>
              <w:jc w:val="right"/>
              <w:ind w:right="819"/>
              <w:spacing w:after="0"/>
              <w:rPr>
                <w:sz w:val="20"/>
                <w:szCs w:val="20"/>
                <w:color w:val="auto"/>
              </w:rPr>
            </w:pPr>
            <w:r>
              <w:rPr>
                <w:rFonts w:ascii="Arial" w:cs="Arial" w:eastAsia="Arial" w:hAnsi="Arial"/>
                <w:sz w:val="12"/>
                <w:szCs w:val="12"/>
                <w:b w:val="1"/>
                <w:bCs w:val="1"/>
                <w:color w:val="FFFFFF"/>
              </w:rPr>
              <w:t>July 1, 2020</w:t>
            </w:r>
          </w:p>
        </w:tc>
      </w:tr>
      <w:tr>
        <w:trPr>
          <w:trHeight w:val="161"/>
        </w:trPr>
        <w:tc>
          <w:tcPr>
            <w:tcW w:w="8820" w:type="dxa"/>
            <w:vAlign w:val="bottom"/>
            <w:shd w:val="clear" w:color="auto" w:fill="DBDBDB"/>
          </w:tcPr>
          <w:p>
            <w:pPr>
              <w:ind w:left="20"/>
              <w:spacing w:after="0"/>
              <w:rPr>
                <w:sz w:val="20"/>
                <w:szCs w:val="20"/>
                <w:color w:val="auto"/>
              </w:rPr>
            </w:pPr>
            <w:r>
              <w:rPr>
                <w:rFonts w:ascii="Arial" w:cs="Arial" w:eastAsia="Arial" w:hAnsi="Arial"/>
                <w:sz w:val="12"/>
                <w:szCs w:val="12"/>
                <w:color w:val="auto"/>
              </w:rPr>
              <w:t>Mobile Mini Common Stock outstanding</w:t>
            </w:r>
          </w:p>
        </w:tc>
        <w:tc>
          <w:tcPr>
            <w:tcW w:w="480" w:type="dxa"/>
            <w:vAlign w:val="bottom"/>
            <w:shd w:val="clear" w:color="auto" w:fill="DBDBDB"/>
          </w:tcPr>
          <w:p>
            <w:pPr>
              <w:spacing w:after="0"/>
              <w:rPr>
                <w:sz w:val="14"/>
                <w:szCs w:val="14"/>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44,252,275</w:t>
            </w:r>
          </w:p>
        </w:tc>
      </w:tr>
      <w:tr>
        <w:trPr>
          <w:trHeight w:val="159"/>
        </w:trPr>
        <w:tc>
          <w:tcPr>
            <w:tcW w:w="8820" w:type="dxa"/>
            <w:vAlign w:val="bottom"/>
          </w:tcPr>
          <w:p>
            <w:pPr>
              <w:ind w:left="20"/>
              <w:spacing w:after="0"/>
              <w:rPr>
                <w:sz w:val="20"/>
                <w:szCs w:val="20"/>
                <w:color w:val="auto"/>
              </w:rPr>
            </w:pPr>
            <w:r>
              <w:rPr>
                <w:rFonts w:ascii="Arial" w:cs="Arial" w:eastAsia="Arial" w:hAnsi="Arial"/>
                <w:sz w:val="12"/>
                <w:szCs w:val="12"/>
                <w:color w:val="auto"/>
              </w:rPr>
              <w:t>Share conversion ratio</w:t>
            </w:r>
          </w:p>
        </w:tc>
        <w:tc>
          <w:tcPr>
            <w:tcW w:w="48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2.405</w:t>
            </w:r>
          </w:p>
        </w:tc>
      </w:tr>
      <w:tr>
        <w:trPr>
          <w:trHeight w:val="164"/>
        </w:trPr>
        <w:tc>
          <w:tcPr>
            <w:tcW w:w="8820" w:type="dxa"/>
            <w:vAlign w:val="bottom"/>
            <w:shd w:val="clear" w:color="auto" w:fill="DBDBDB"/>
          </w:tcPr>
          <w:p>
            <w:pPr>
              <w:ind w:left="20"/>
              <w:spacing w:after="0"/>
              <w:rPr>
                <w:sz w:val="20"/>
                <w:szCs w:val="20"/>
                <w:color w:val="auto"/>
              </w:rPr>
            </w:pPr>
            <w:r>
              <w:rPr>
                <w:rFonts w:ascii="Arial" w:cs="Arial" w:eastAsia="Arial" w:hAnsi="Arial"/>
                <w:sz w:val="12"/>
                <w:szCs w:val="12"/>
                <w:color w:val="auto"/>
              </w:rPr>
              <w:t>Common Stock issued</w:t>
            </w:r>
          </w:p>
        </w:tc>
        <w:tc>
          <w:tcPr>
            <w:tcW w:w="480" w:type="dxa"/>
            <w:vAlign w:val="bottom"/>
            <w:shd w:val="clear" w:color="auto" w:fill="DBDBDB"/>
          </w:tcPr>
          <w:p>
            <w:pPr>
              <w:spacing w:after="0"/>
              <w:rPr>
                <w:sz w:val="14"/>
                <w:szCs w:val="14"/>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106,426,721</w:t>
            </w:r>
          </w:p>
        </w:tc>
      </w:tr>
      <w:tr>
        <w:trPr>
          <w:trHeight w:val="159"/>
        </w:trPr>
        <w:tc>
          <w:tcPr>
            <w:tcW w:w="882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Common Stock per share price as of July 1, 2020</w:t>
            </w:r>
          </w:p>
        </w:tc>
        <w:tc>
          <w:tcPr>
            <w:tcW w:w="48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12.53</w:t>
            </w:r>
          </w:p>
        </w:tc>
      </w:tr>
      <w:tr>
        <w:trPr>
          <w:trHeight w:val="154"/>
        </w:trPr>
        <w:tc>
          <w:tcPr>
            <w:tcW w:w="8820" w:type="dxa"/>
            <w:vAlign w:val="bottom"/>
            <w:shd w:val="clear" w:color="auto" w:fill="DBDBDB"/>
          </w:tcPr>
          <w:p>
            <w:pPr>
              <w:ind w:left="180"/>
              <w:spacing w:after="0"/>
              <w:rPr>
                <w:sz w:val="20"/>
                <w:szCs w:val="20"/>
                <w:color w:val="auto"/>
              </w:rPr>
            </w:pPr>
            <w:r>
              <w:rPr>
                <w:rFonts w:ascii="Arial" w:cs="Arial" w:eastAsia="Arial" w:hAnsi="Arial"/>
                <w:sz w:val="12"/>
                <w:szCs w:val="12"/>
                <w:color w:val="auto"/>
              </w:rPr>
              <w:t>Fair value of shares of WillScot Class A Common Stock issued</w:t>
            </w:r>
          </w:p>
        </w:tc>
        <w:tc>
          <w:tcPr>
            <w:tcW w:w="48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w w:val="89"/>
              </w:rPr>
              <w:t>$</w:t>
            </w:r>
          </w:p>
        </w:tc>
        <w:tc>
          <w:tcPr>
            <w:tcW w:w="1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1,333,527</w:t>
            </w:r>
          </w:p>
        </w:tc>
      </w:tr>
      <w:tr>
        <w:trPr>
          <w:trHeight w:val="159"/>
        </w:trPr>
        <w:tc>
          <w:tcPr>
            <w:tcW w:w="8820" w:type="dxa"/>
            <w:vAlign w:val="bottom"/>
          </w:tcPr>
          <w:p>
            <w:pPr>
              <w:ind w:left="180"/>
              <w:spacing w:after="0"/>
              <w:rPr>
                <w:sz w:val="20"/>
                <w:szCs w:val="20"/>
                <w:color w:val="auto"/>
              </w:rPr>
            </w:pPr>
            <w:r>
              <w:rPr>
                <w:rFonts w:ascii="Arial" w:cs="Arial" w:eastAsia="Arial" w:hAnsi="Arial"/>
                <w:sz w:val="12"/>
                <w:szCs w:val="12"/>
                <w:color w:val="auto"/>
              </w:rPr>
              <w:t>Cash paid for fractional shares</w:t>
            </w:r>
          </w:p>
        </w:tc>
        <w:tc>
          <w:tcPr>
            <w:tcW w:w="48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64"/>
        </w:trPr>
        <w:tc>
          <w:tcPr>
            <w:tcW w:w="8820" w:type="dxa"/>
            <w:vAlign w:val="bottom"/>
            <w:shd w:val="clear" w:color="auto" w:fill="DBDBDB"/>
          </w:tcPr>
          <w:p>
            <w:pPr>
              <w:ind w:left="180"/>
              <w:spacing w:after="0"/>
              <w:rPr>
                <w:sz w:val="20"/>
                <w:szCs w:val="20"/>
                <w:color w:val="auto"/>
              </w:rPr>
            </w:pPr>
            <w:r>
              <w:rPr>
                <w:rFonts w:ascii="Arial" w:cs="Arial" w:eastAsia="Arial" w:hAnsi="Arial"/>
                <w:sz w:val="12"/>
                <w:szCs w:val="12"/>
                <w:color w:val="auto"/>
              </w:rPr>
              <w:t>Fair value of Mobile Mini Options converted to WillScot Mobile Mini Options</w:t>
            </w:r>
          </w:p>
        </w:tc>
        <w:tc>
          <w:tcPr>
            <w:tcW w:w="480" w:type="dxa"/>
            <w:vAlign w:val="bottom"/>
            <w:tcBorders>
              <w:bottom w:val="single" w:sz="8" w:color="auto"/>
            </w:tcBorders>
            <w:shd w:val="clear" w:color="auto" w:fill="DBDBDB"/>
          </w:tcPr>
          <w:p>
            <w:pPr>
              <w:spacing w:after="0"/>
              <w:rPr>
                <w:sz w:val="14"/>
                <w:szCs w:val="14"/>
                <w:color w:val="auto"/>
              </w:rPr>
            </w:pPr>
          </w:p>
        </w:tc>
        <w:tc>
          <w:tcPr>
            <w:tcW w:w="1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19,279</w:t>
            </w:r>
          </w:p>
        </w:tc>
      </w:tr>
      <w:tr>
        <w:trPr>
          <w:trHeight w:val="149"/>
        </w:trPr>
        <w:tc>
          <w:tcPr>
            <w:tcW w:w="8820" w:type="dxa"/>
            <w:vAlign w:val="bottom"/>
          </w:tcPr>
          <w:p>
            <w:pPr>
              <w:ind w:left="340"/>
              <w:spacing w:after="0"/>
              <w:rPr>
                <w:sz w:val="20"/>
                <w:szCs w:val="20"/>
                <w:color w:val="auto"/>
              </w:rPr>
            </w:pPr>
            <w:r>
              <w:rPr>
                <w:rFonts w:ascii="Arial" w:cs="Arial" w:eastAsia="Arial" w:hAnsi="Arial"/>
                <w:sz w:val="12"/>
                <w:szCs w:val="12"/>
                <w:color w:val="auto"/>
              </w:rPr>
              <w:t>Total purchase price</w:t>
            </w:r>
          </w:p>
        </w:tc>
        <w:tc>
          <w:tcPr>
            <w:tcW w:w="48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1,352,836</w:t>
            </w:r>
          </w:p>
        </w:tc>
      </w:tr>
      <w:tr>
        <w:trPr>
          <w:trHeight w:val="20"/>
        </w:trPr>
        <w:tc>
          <w:tcPr>
            <w:tcW w:w="8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The Merger was accounted for using the acquisition method of accounting, and WillScot was considered the accounting acquirer. Under the acquisition method of accounting, the Company assigned the purchase price to tangible and identifiable intangible assets acquired and liabilities assumed based on their fair values at the closing date. The excess of the purchase price over those fair values was recorded as goodwill.</w:t>
      </w:r>
    </w:p>
    <w:p>
      <w:pPr>
        <w:spacing w:after="0" w:line="29"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The purchase price for the Merger was assigned to the underlying assets acquired and liabilities assumed based upon their fair values at the date of acquisition, July 1, 2020. The Company recorded the fair values based on independent valuations, discounted cash flow analyses, quoted market prices, contributory asset charges, and estimates made by management. The following table summarizes the July 1, 2020 fair values of the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517525</wp:posOffset>
            </wp:positionV>
            <wp:extent cx="719264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0"/>
        </w:trPr>
        <w:tc>
          <w:tcPr>
            <w:tcW w:w="8460" w:type="dxa"/>
            <w:vAlign w:val="bottom"/>
          </w:tcPr>
          <w:p>
            <w:pPr>
              <w:spacing w:after="0"/>
              <w:rPr>
                <w:sz w:val="20"/>
                <w:szCs w:val="20"/>
                <w:color w:val="auto"/>
              </w:rPr>
            </w:pPr>
            <w:r>
              <w:rPr>
                <w:rFonts w:ascii="Arial" w:cs="Arial" w:eastAsia="Arial" w:hAnsi="Arial"/>
                <w:sz w:val="12"/>
                <w:szCs w:val="12"/>
                <w:b w:val="1"/>
                <w:bCs w:val="1"/>
                <w:i w:val="1"/>
                <w:iCs w:val="1"/>
                <w:color w:val="auto"/>
              </w:rPr>
              <w:t>Opening Balance Sheet</w:t>
            </w:r>
          </w:p>
        </w:tc>
        <w:tc>
          <w:tcPr>
            <w:tcW w:w="5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55"/>
        </w:trPr>
        <w:tc>
          <w:tcPr>
            <w:tcW w:w="8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161"/>
        </w:trPr>
        <w:tc>
          <w:tcPr>
            <w:tcW w:w="846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500" w:type="dxa"/>
            <w:vAlign w:val="bottom"/>
            <w:shd w:val="clear" w:color="auto" w:fill="1D2758"/>
          </w:tcPr>
          <w:p>
            <w:pPr>
              <w:spacing w:after="0"/>
              <w:rPr>
                <w:sz w:val="14"/>
                <w:szCs w:val="14"/>
                <w:color w:val="auto"/>
              </w:rPr>
            </w:pPr>
          </w:p>
        </w:tc>
        <w:tc>
          <w:tcPr>
            <w:tcW w:w="1980" w:type="dxa"/>
            <w:vAlign w:val="bottom"/>
            <w:shd w:val="clear" w:color="auto" w:fill="1D2758"/>
          </w:tcPr>
          <w:p>
            <w:pPr>
              <w:jc w:val="right"/>
              <w:ind w:right="839"/>
              <w:spacing w:after="0"/>
              <w:rPr>
                <w:sz w:val="20"/>
                <w:szCs w:val="20"/>
                <w:color w:val="auto"/>
              </w:rPr>
            </w:pPr>
            <w:r>
              <w:rPr>
                <w:rFonts w:ascii="Arial" w:cs="Arial" w:eastAsia="Arial" w:hAnsi="Arial"/>
                <w:sz w:val="12"/>
                <w:szCs w:val="12"/>
                <w:b w:val="1"/>
                <w:bCs w:val="1"/>
                <w:color w:val="FFFFFF"/>
              </w:rPr>
              <w:t>July 1, 2020</w:t>
            </w:r>
          </w:p>
        </w:tc>
        <w:tc>
          <w:tcPr>
            <w:tcW w:w="340" w:type="dxa"/>
            <w:vAlign w:val="bottom"/>
            <w:shd w:val="clear" w:color="auto" w:fill="1D2758"/>
          </w:tcPr>
          <w:p>
            <w:pPr>
              <w:spacing w:after="0"/>
              <w:rPr>
                <w:sz w:val="14"/>
                <w:szCs w:val="14"/>
                <w:color w:val="auto"/>
              </w:rPr>
            </w:pPr>
          </w:p>
        </w:tc>
      </w:tr>
      <w:tr>
        <w:trPr>
          <w:trHeight w:val="161"/>
        </w:trPr>
        <w:tc>
          <w:tcPr>
            <w:tcW w:w="8460" w:type="dxa"/>
            <w:vAlign w:val="bottom"/>
            <w:shd w:val="clear" w:color="auto" w:fill="DBDBDB"/>
          </w:tcPr>
          <w:p>
            <w:pPr>
              <w:ind w:left="20"/>
              <w:spacing w:after="0"/>
              <w:rPr>
                <w:sz w:val="20"/>
                <w:szCs w:val="20"/>
                <w:color w:val="auto"/>
              </w:rPr>
            </w:pPr>
            <w:r>
              <w:rPr>
                <w:rFonts w:ascii="Arial" w:cs="Arial" w:eastAsia="Arial" w:hAnsi="Arial"/>
                <w:sz w:val="12"/>
                <w:szCs w:val="12"/>
                <w:color w:val="auto"/>
              </w:rPr>
              <w:t>Cash and cash equivalents</w:t>
            </w:r>
          </w:p>
        </w:tc>
        <w:tc>
          <w:tcPr>
            <w:tcW w:w="500" w:type="dxa"/>
            <w:vAlign w:val="bottom"/>
            <w:shd w:val="clear" w:color="auto" w:fill="DBDBDB"/>
          </w:tcPr>
          <w:p>
            <w:pPr>
              <w:jc w:val="right"/>
              <w:ind w:right="359"/>
              <w:spacing w:after="0"/>
              <w:rPr>
                <w:sz w:val="20"/>
                <w:szCs w:val="20"/>
                <w:color w:val="auto"/>
              </w:rPr>
            </w:pPr>
            <w:r>
              <w:rPr>
                <w:rFonts w:ascii="Arial" w:cs="Arial" w:eastAsia="Arial" w:hAnsi="Arial"/>
                <w:sz w:val="12"/>
                <w:szCs w:val="12"/>
                <w:color w:val="auto"/>
                <w:w w:val="89"/>
              </w:rPr>
              <w:t>$</w:t>
            </w:r>
          </w:p>
        </w:tc>
        <w:tc>
          <w:tcPr>
            <w:tcW w:w="1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17,203</w:t>
            </w:r>
          </w:p>
        </w:tc>
        <w:tc>
          <w:tcPr>
            <w:tcW w:w="340" w:type="dxa"/>
            <w:vAlign w:val="bottom"/>
            <w:shd w:val="clear" w:color="auto" w:fill="DBDBDB"/>
          </w:tcPr>
          <w:p>
            <w:pPr>
              <w:spacing w:after="0"/>
              <w:rPr>
                <w:sz w:val="14"/>
                <w:szCs w:val="14"/>
                <w:color w:val="auto"/>
              </w:rPr>
            </w:pPr>
          </w:p>
        </w:tc>
      </w:tr>
      <w:tr>
        <w:trPr>
          <w:trHeight w:val="159"/>
        </w:trPr>
        <w:tc>
          <w:tcPr>
            <w:tcW w:w="8460" w:type="dxa"/>
            <w:vAlign w:val="bottom"/>
          </w:tcPr>
          <w:p>
            <w:pPr>
              <w:ind w:left="20"/>
              <w:spacing w:after="0"/>
              <w:rPr>
                <w:sz w:val="20"/>
                <w:szCs w:val="20"/>
                <w:color w:val="auto"/>
              </w:rPr>
            </w:pPr>
            <w:r>
              <w:rPr>
                <w:rFonts w:ascii="Arial" w:cs="Arial" w:eastAsia="Arial" w:hAnsi="Arial"/>
                <w:sz w:val="12"/>
                <w:szCs w:val="12"/>
                <w:color w:val="auto"/>
              </w:rPr>
              <w:t>Trade receivables</w:t>
            </w:r>
          </w:p>
        </w:tc>
        <w:tc>
          <w:tcPr>
            <w:tcW w:w="5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87,492</w:t>
            </w:r>
          </w:p>
        </w:tc>
        <w:tc>
          <w:tcPr>
            <w:tcW w:w="340" w:type="dxa"/>
            <w:vAlign w:val="bottom"/>
          </w:tcPr>
          <w:p>
            <w:pPr>
              <w:spacing w:after="0"/>
              <w:rPr>
                <w:sz w:val="13"/>
                <w:szCs w:val="13"/>
                <w:color w:val="auto"/>
              </w:rPr>
            </w:pPr>
          </w:p>
        </w:tc>
      </w:tr>
      <w:tr>
        <w:trPr>
          <w:trHeight w:val="164"/>
        </w:trPr>
        <w:tc>
          <w:tcPr>
            <w:tcW w:w="8460" w:type="dxa"/>
            <w:vAlign w:val="bottom"/>
            <w:shd w:val="clear" w:color="auto" w:fill="DBDBDB"/>
          </w:tcPr>
          <w:p>
            <w:pPr>
              <w:ind w:left="20"/>
              <w:spacing w:after="0"/>
              <w:rPr>
                <w:sz w:val="20"/>
                <w:szCs w:val="20"/>
                <w:color w:val="auto"/>
              </w:rPr>
            </w:pPr>
            <w:r>
              <w:rPr>
                <w:rFonts w:ascii="Arial" w:cs="Arial" w:eastAsia="Arial" w:hAnsi="Arial"/>
                <w:sz w:val="12"/>
                <w:szCs w:val="12"/>
                <w:color w:val="auto"/>
              </w:rPr>
              <w:t>Inventories</w:t>
            </w:r>
          </w:p>
        </w:tc>
        <w:tc>
          <w:tcPr>
            <w:tcW w:w="500" w:type="dxa"/>
            <w:vAlign w:val="bottom"/>
            <w:shd w:val="clear" w:color="auto" w:fill="DBDBDB"/>
          </w:tcPr>
          <w:p>
            <w:pPr>
              <w:spacing w:after="0"/>
              <w:rPr>
                <w:sz w:val="14"/>
                <w:szCs w:val="14"/>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8,987</w:t>
            </w:r>
          </w:p>
        </w:tc>
        <w:tc>
          <w:tcPr>
            <w:tcW w:w="340" w:type="dxa"/>
            <w:vAlign w:val="bottom"/>
            <w:shd w:val="clear" w:color="auto" w:fill="DBDBDB"/>
          </w:tcPr>
          <w:p>
            <w:pPr>
              <w:spacing w:after="0"/>
              <w:rPr>
                <w:sz w:val="14"/>
                <w:szCs w:val="14"/>
                <w:color w:val="auto"/>
              </w:rPr>
            </w:pPr>
          </w:p>
        </w:tc>
      </w:tr>
      <w:tr>
        <w:trPr>
          <w:trHeight w:val="159"/>
        </w:trPr>
        <w:tc>
          <w:tcPr>
            <w:tcW w:w="8460" w:type="dxa"/>
            <w:vAlign w:val="bottom"/>
          </w:tcPr>
          <w:p>
            <w:pPr>
              <w:ind w:left="20"/>
              <w:spacing w:after="0"/>
              <w:rPr>
                <w:sz w:val="20"/>
                <w:szCs w:val="20"/>
                <w:color w:val="auto"/>
              </w:rPr>
            </w:pPr>
            <w:r>
              <w:rPr>
                <w:rFonts w:ascii="Arial" w:cs="Arial" w:eastAsia="Arial" w:hAnsi="Arial"/>
                <w:sz w:val="12"/>
                <w:szCs w:val="12"/>
                <w:color w:val="auto"/>
              </w:rPr>
              <w:t>Prepaid expenses and other current assets</w:t>
            </w:r>
          </w:p>
        </w:tc>
        <w:tc>
          <w:tcPr>
            <w:tcW w:w="5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13,717</w:t>
            </w:r>
          </w:p>
        </w:tc>
        <w:tc>
          <w:tcPr>
            <w:tcW w:w="340" w:type="dxa"/>
            <w:vAlign w:val="bottom"/>
          </w:tcPr>
          <w:p>
            <w:pPr>
              <w:spacing w:after="0"/>
              <w:rPr>
                <w:sz w:val="13"/>
                <w:szCs w:val="13"/>
                <w:color w:val="auto"/>
              </w:rPr>
            </w:pPr>
          </w:p>
        </w:tc>
      </w:tr>
      <w:tr>
        <w:trPr>
          <w:trHeight w:val="164"/>
        </w:trPr>
        <w:tc>
          <w:tcPr>
            <w:tcW w:w="846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Rental equipment</w:t>
            </w:r>
          </w:p>
        </w:tc>
        <w:tc>
          <w:tcPr>
            <w:tcW w:w="500" w:type="dxa"/>
            <w:vAlign w:val="bottom"/>
            <w:shd w:val="clear" w:color="auto" w:fill="DBDBDB"/>
          </w:tcPr>
          <w:p>
            <w:pPr>
              <w:spacing w:after="0"/>
              <w:rPr>
                <w:sz w:val="14"/>
                <w:szCs w:val="14"/>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1,032,672</w:t>
            </w:r>
          </w:p>
        </w:tc>
        <w:tc>
          <w:tcPr>
            <w:tcW w:w="340" w:type="dxa"/>
            <w:vAlign w:val="bottom"/>
            <w:shd w:val="clear" w:color="auto" w:fill="DBDBDB"/>
          </w:tcPr>
          <w:p>
            <w:pPr>
              <w:spacing w:after="0"/>
              <w:rPr>
                <w:sz w:val="14"/>
                <w:szCs w:val="14"/>
                <w:color w:val="auto"/>
              </w:rPr>
            </w:pPr>
          </w:p>
        </w:tc>
      </w:tr>
      <w:tr>
        <w:trPr>
          <w:trHeight w:val="159"/>
        </w:trPr>
        <w:tc>
          <w:tcPr>
            <w:tcW w:w="8460" w:type="dxa"/>
            <w:vAlign w:val="bottom"/>
          </w:tcPr>
          <w:p>
            <w:pPr>
              <w:ind w:left="20"/>
              <w:spacing w:after="0"/>
              <w:rPr>
                <w:sz w:val="20"/>
                <w:szCs w:val="20"/>
                <w:color w:val="auto"/>
              </w:rPr>
            </w:pPr>
            <w:r>
              <w:rPr>
                <w:rFonts w:ascii="Arial" w:cs="Arial" w:eastAsia="Arial" w:hAnsi="Arial"/>
                <w:sz w:val="12"/>
                <w:szCs w:val="12"/>
                <w:color w:val="auto"/>
              </w:rPr>
              <w:t>Property, plant and equipment</w:t>
            </w:r>
          </w:p>
        </w:tc>
        <w:tc>
          <w:tcPr>
            <w:tcW w:w="5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160,729</w:t>
            </w:r>
          </w:p>
        </w:tc>
        <w:tc>
          <w:tcPr>
            <w:tcW w:w="340" w:type="dxa"/>
            <w:vAlign w:val="bottom"/>
          </w:tcPr>
          <w:p>
            <w:pPr>
              <w:spacing w:after="0"/>
              <w:rPr>
                <w:sz w:val="13"/>
                <w:szCs w:val="13"/>
                <w:color w:val="auto"/>
              </w:rPr>
            </w:pPr>
          </w:p>
        </w:tc>
      </w:tr>
      <w:tr>
        <w:trPr>
          <w:trHeight w:val="164"/>
        </w:trPr>
        <w:tc>
          <w:tcPr>
            <w:tcW w:w="8460" w:type="dxa"/>
            <w:vAlign w:val="bottom"/>
            <w:shd w:val="clear" w:color="auto" w:fill="DBDBDB"/>
          </w:tcPr>
          <w:p>
            <w:pPr>
              <w:ind w:left="20"/>
              <w:spacing w:after="0"/>
              <w:rPr>
                <w:sz w:val="20"/>
                <w:szCs w:val="20"/>
                <w:color w:val="auto"/>
              </w:rPr>
            </w:pPr>
            <w:r>
              <w:rPr>
                <w:rFonts w:ascii="Arial" w:cs="Arial" w:eastAsia="Arial" w:hAnsi="Arial"/>
                <w:sz w:val="12"/>
                <w:szCs w:val="12"/>
                <w:color w:val="auto"/>
              </w:rPr>
              <w:t>Operating lease assets</w:t>
            </w:r>
          </w:p>
        </w:tc>
        <w:tc>
          <w:tcPr>
            <w:tcW w:w="500" w:type="dxa"/>
            <w:vAlign w:val="bottom"/>
            <w:shd w:val="clear" w:color="auto" w:fill="DBDBDB"/>
          </w:tcPr>
          <w:p>
            <w:pPr>
              <w:spacing w:after="0"/>
              <w:rPr>
                <w:sz w:val="14"/>
                <w:szCs w:val="14"/>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92,054</w:t>
            </w:r>
          </w:p>
        </w:tc>
        <w:tc>
          <w:tcPr>
            <w:tcW w:w="340" w:type="dxa"/>
            <w:vAlign w:val="bottom"/>
            <w:shd w:val="clear" w:color="auto" w:fill="DBDBDB"/>
          </w:tcPr>
          <w:p>
            <w:pPr>
              <w:spacing w:after="0"/>
              <w:rPr>
                <w:sz w:val="14"/>
                <w:szCs w:val="14"/>
                <w:color w:val="auto"/>
              </w:rPr>
            </w:pPr>
          </w:p>
        </w:tc>
      </w:tr>
      <w:tr>
        <w:trPr>
          <w:trHeight w:val="159"/>
        </w:trPr>
        <w:tc>
          <w:tcPr>
            <w:tcW w:w="8460" w:type="dxa"/>
            <w:vAlign w:val="bottom"/>
          </w:tcPr>
          <w:p>
            <w:pPr>
              <w:ind w:left="20"/>
              <w:spacing w:after="0"/>
              <w:rPr>
                <w:sz w:val="20"/>
                <w:szCs w:val="20"/>
                <w:color w:val="auto"/>
              </w:rPr>
            </w:pPr>
            <w:r>
              <w:rPr>
                <w:rFonts w:ascii="Arial" w:cs="Arial" w:eastAsia="Arial" w:hAnsi="Arial"/>
                <w:sz w:val="12"/>
                <w:szCs w:val="12"/>
                <w:color w:val="auto"/>
              </w:rPr>
              <w:t>Intangible assets</w:t>
            </w:r>
          </w:p>
        </w:tc>
        <w:tc>
          <w:tcPr>
            <w:tcW w:w="5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374,500</w:t>
            </w:r>
          </w:p>
        </w:tc>
        <w:tc>
          <w:tcPr>
            <w:tcW w:w="340" w:type="dxa"/>
            <w:vAlign w:val="bottom"/>
          </w:tcPr>
          <w:p>
            <w:pPr>
              <w:ind w:left="180"/>
              <w:spacing w:after="0"/>
              <w:rPr>
                <w:sz w:val="20"/>
                <w:szCs w:val="20"/>
                <w:color w:val="auto"/>
              </w:rPr>
            </w:pPr>
            <w:r>
              <w:rPr>
                <w:rFonts w:ascii="Arial" w:cs="Arial" w:eastAsia="Arial" w:hAnsi="Arial"/>
                <w:sz w:val="12"/>
                <w:szCs w:val="12"/>
                <w:color w:val="auto"/>
                <w:w w:val="95"/>
              </w:rPr>
              <w:t>(a)</w:t>
            </w:r>
          </w:p>
        </w:tc>
      </w:tr>
      <w:tr>
        <w:trPr>
          <w:trHeight w:val="164"/>
        </w:trPr>
        <w:tc>
          <w:tcPr>
            <w:tcW w:w="8460" w:type="dxa"/>
            <w:vAlign w:val="bottom"/>
            <w:shd w:val="clear" w:color="auto" w:fill="DBDBDB"/>
          </w:tcPr>
          <w:p>
            <w:pPr>
              <w:ind w:left="20"/>
              <w:spacing w:after="0"/>
              <w:rPr>
                <w:sz w:val="20"/>
                <w:szCs w:val="20"/>
                <w:color w:val="auto"/>
              </w:rPr>
            </w:pPr>
            <w:r>
              <w:rPr>
                <w:rFonts w:ascii="Arial" w:cs="Arial" w:eastAsia="Arial" w:hAnsi="Arial"/>
                <w:sz w:val="12"/>
                <w:szCs w:val="12"/>
                <w:color w:val="auto"/>
              </w:rPr>
              <w:t>Goodwill identified</w:t>
            </w:r>
          </w:p>
        </w:tc>
        <w:tc>
          <w:tcPr>
            <w:tcW w:w="500" w:type="dxa"/>
            <w:vAlign w:val="bottom"/>
            <w:shd w:val="clear" w:color="auto" w:fill="DBDBDB"/>
          </w:tcPr>
          <w:p>
            <w:pPr>
              <w:spacing w:after="0"/>
              <w:rPr>
                <w:sz w:val="14"/>
                <w:szCs w:val="14"/>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937,135</w:t>
            </w:r>
          </w:p>
        </w:tc>
        <w:tc>
          <w:tcPr>
            <w:tcW w:w="340" w:type="dxa"/>
            <w:vAlign w:val="bottom"/>
            <w:shd w:val="clear" w:color="auto" w:fill="DBDBDB"/>
          </w:tcPr>
          <w:p>
            <w:pPr>
              <w:spacing w:after="0"/>
              <w:rPr>
                <w:sz w:val="14"/>
                <w:szCs w:val="14"/>
                <w:color w:val="auto"/>
              </w:rPr>
            </w:pPr>
          </w:p>
        </w:tc>
      </w:tr>
      <w:tr>
        <w:trPr>
          <w:trHeight w:val="159"/>
        </w:trPr>
        <w:tc>
          <w:tcPr>
            <w:tcW w:w="846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Other non-current assets</w:t>
            </w:r>
          </w:p>
        </w:tc>
        <w:tc>
          <w:tcPr>
            <w:tcW w:w="5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2,520</w:t>
            </w:r>
          </w:p>
        </w:tc>
        <w:tc>
          <w:tcPr>
            <w:tcW w:w="340" w:type="dxa"/>
            <w:vAlign w:val="bottom"/>
            <w:tcBorders>
              <w:bottom w:val="single" w:sz="8" w:color="DBDBDB"/>
            </w:tcBorders>
          </w:tcPr>
          <w:p>
            <w:pPr>
              <w:spacing w:after="0"/>
              <w:rPr>
                <w:sz w:val="13"/>
                <w:szCs w:val="13"/>
                <w:color w:val="auto"/>
              </w:rPr>
            </w:pPr>
          </w:p>
        </w:tc>
      </w:tr>
      <w:tr>
        <w:trPr>
          <w:trHeight w:val="154"/>
        </w:trPr>
        <w:tc>
          <w:tcPr>
            <w:tcW w:w="84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Total identifiable assets acquired</w:t>
            </w:r>
          </w:p>
        </w:tc>
        <w:tc>
          <w:tcPr>
            <w:tcW w:w="500" w:type="dxa"/>
            <w:vAlign w:val="bottom"/>
            <w:tcBorders>
              <w:bottom w:val="single" w:sz="8" w:color="auto"/>
            </w:tcBorders>
            <w:shd w:val="clear" w:color="auto" w:fill="DBDBDB"/>
          </w:tcPr>
          <w:p>
            <w:pPr>
              <w:spacing w:after="0"/>
              <w:rPr>
                <w:sz w:val="13"/>
                <w:szCs w:val="13"/>
                <w:color w:val="auto"/>
              </w:rPr>
            </w:pPr>
          </w:p>
        </w:tc>
        <w:tc>
          <w:tcPr>
            <w:tcW w:w="1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2,727,009</w:t>
            </w:r>
          </w:p>
        </w:tc>
        <w:tc>
          <w:tcPr>
            <w:tcW w:w="340" w:type="dxa"/>
            <w:vAlign w:val="bottom"/>
            <w:shd w:val="clear" w:color="auto" w:fill="DBDBDB"/>
          </w:tcPr>
          <w:p>
            <w:pPr>
              <w:spacing w:after="0"/>
              <w:rPr>
                <w:sz w:val="13"/>
                <w:szCs w:val="13"/>
                <w:color w:val="auto"/>
              </w:rPr>
            </w:pPr>
          </w:p>
        </w:tc>
      </w:tr>
      <w:tr>
        <w:trPr>
          <w:trHeight w:val="149"/>
        </w:trPr>
        <w:tc>
          <w:tcPr>
            <w:tcW w:w="8460" w:type="dxa"/>
            <w:vAlign w:val="bottom"/>
          </w:tcPr>
          <w:p>
            <w:pPr>
              <w:ind w:left="20"/>
              <w:spacing w:after="0"/>
              <w:rPr>
                <w:sz w:val="20"/>
                <w:szCs w:val="20"/>
                <w:color w:val="auto"/>
              </w:rPr>
            </w:pPr>
            <w:r>
              <w:rPr>
                <w:rFonts w:ascii="Arial" w:cs="Arial" w:eastAsia="Arial" w:hAnsi="Arial"/>
                <w:sz w:val="12"/>
                <w:szCs w:val="12"/>
                <w:color w:val="auto"/>
              </w:rPr>
              <w:t>Accounts payable</w:t>
            </w:r>
          </w:p>
        </w:tc>
        <w:tc>
          <w:tcPr>
            <w:tcW w:w="50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(29,797)</w:t>
            </w:r>
          </w:p>
        </w:tc>
        <w:tc>
          <w:tcPr>
            <w:tcW w:w="340" w:type="dxa"/>
            <w:vAlign w:val="bottom"/>
          </w:tcPr>
          <w:p>
            <w:pPr>
              <w:spacing w:after="0"/>
              <w:rPr>
                <w:sz w:val="12"/>
                <w:szCs w:val="12"/>
                <w:color w:val="auto"/>
              </w:rPr>
            </w:pPr>
          </w:p>
        </w:tc>
      </w:tr>
      <w:tr>
        <w:trPr>
          <w:trHeight w:val="164"/>
        </w:trPr>
        <w:tc>
          <w:tcPr>
            <w:tcW w:w="84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Accrued expenses</w:t>
            </w:r>
          </w:p>
        </w:tc>
        <w:tc>
          <w:tcPr>
            <w:tcW w:w="500" w:type="dxa"/>
            <w:vAlign w:val="bottom"/>
            <w:shd w:val="clear" w:color="auto" w:fill="DBDBDB"/>
          </w:tcPr>
          <w:p>
            <w:pPr>
              <w:spacing w:after="0"/>
              <w:rPr>
                <w:sz w:val="14"/>
                <w:szCs w:val="14"/>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(40,335)</w:t>
            </w:r>
          </w:p>
        </w:tc>
        <w:tc>
          <w:tcPr>
            <w:tcW w:w="340" w:type="dxa"/>
            <w:vAlign w:val="bottom"/>
            <w:shd w:val="clear" w:color="auto" w:fill="DBDBDB"/>
          </w:tcPr>
          <w:p>
            <w:pPr>
              <w:spacing w:after="0"/>
              <w:rPr>
                <w:sz w:val="14"/>
                <w:szCs w:val="14"/>
                <w:color w:val="auto"/>
              </w:rPr>
            </w:pPr>
          </w:p>
        </w:tc>
      </w:tr>
      <w:tr>
        <w:trPr>
          <w:trHeight w:val="159"/>
        </w:trPr>
        <w:tc>
          <w:tcPr>
            <w:tcW w:w="8460" w:type="dxa"/>
            <w:vAlign w:val="bottom"/>
          </w:tcPr>
          <w:p>
            <w:pPr>
              <w:ind w:left="20"/>
              <w:spacing w:after="0"/>
              <w:rPr>
                <w:sz w:val="20"/>
                <w:szCs w:val="20"/>
                <w:color w:val="auto"/>
              </w:rPr>
            </w:pPr>
            <w:r>
              <w:rPr>
                <w:rFonts w:ascii="Arial" w:cs="Arial" w:eastAsia="Arial" w:hAnsi="Arial"/>
                <w:sz w:val="12"/>
                <w:szCs w:val="12"/>
                <w:color w:val="auto"/>
              </w:rPr>
              <w:t>Deferred revenue and customer deposits</w:t>
            </w:r>
          </w:p>
        </w:tc>
        <w:tc>
          <w:tcPr>
            <w:tcW w:w="5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(38,846)</w:t>
            </w:r>
          </w:p>
        </w:tc>
        <w:tc>
          <w:tcPr>
            <w:tcW w:w="340" w:type="dxa"/>
            <w:vAlign w:val="bottom"/>
          </w:tcPr>
          <w:p>
            <w:pPr>
              <w:spacing w:after="0"/>
              <w:rPr>
                <w:sz w:val="13"/>
                <w:szCs w:val="13"/>
                <w:color w:val="auto"/>
              </w:rPr>
            </w:pPr>
          </w:p>
        </w:tc>
      </w:tr>
      <w:tr>
        <w:trPr>
          <w:trHeight w:val="164"/>
        </w:trPr>
        <w:tc>
          <w:tcPr>
            <w:tcW w:w="8460" w:type="dxa"/>
            <w:vAlign w:val="bottom"/>
            <w:shd w:val="clear" w:color="auto" w:fill="DBDBDB"/>
          </w:tcPr>
          <w:p>
            <w:pPr>
              <w:ind w:left="20"/>
              <w:spacing w:after="0"/>
              <w:rPr>
                <w:sz w:val="20"/>
                <w:szCs w:val="20"/>
                <w:color w:val="auto"/>
              </w:rPr>
            </w:pPr>
            <w:r>
              <w:rPr>
                <w:rFonts w:ascii="Arial" w:cs="Arial" w:eastAsia="Arial" w:hAnsi="Arial"/>
                <w:sz w:val="12"/>
                <w:szCs w:val="12"/>
                <w:color w:val="auto"/>
              </w:rPr>
              <w:t>Operating lease liabilities</w:t>
            </w:r>
          </w:p>
        </w:tc>
        <w:tc>
          <w:tcPr>
            <w:tcW w:w="500" w:type="dxa"/>
            <w:vAlign w:val="bottom"/>
            <w:shd w:val="clear" w:color="auto" w:fill="DBDBDB"/>
          </w:tcPr>
          <w:p>
            <w:pPr>
              <w:spacing w:after="0"/>
              <w:rPr>
                <w:sz w:val="14"/>
                <w:szCs w:val="14"/>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(89,968)</w:t>
            </w:r>
          </w:p>
        </w:tc>
        <w:tc>
          <w:tcPr>
            <w:tcW w:w="340" w:type="dxa"/>
            <w:vAlign w:val="bottom"/>
            <w:shd w:val="clear" w:color="auto" w:fill="DBDBDB"/>
          </w:tcPr>
          <w:p>
            <w:pPr>
              <w:spacing w:after="0"/>
              <w:rPr>
                <w:sz w:val="14"/>
                <w:szCs w:val="14"/>
                <w:color w:val="auto"/>
              </w:rPr>
            </w:pPr>
          </w:p>
        </w:tc>
      </w:tr>
      <w:tr>
        <w:trPr>
          <w:trHeight w:val="159"/>
        </w:trPr>
        <w:tc>
          <w:tcPr>
            <w:tcW w:w="8460" w:type="dxa"/>
            <w:vAlign w:val="bottom"/>
          </w:tcPr>
          <w:p>
            <w:pPr>
              <w:ind w:left="20"/>
              <w:spacing w:after="0"/>
              <w:rPr>
                <w:sz w:val="20"/>
                <w:szCs w:val="20"/>
                <w:color w:val="auto"/>
              </w:rPr>
            </w:pPr>
            <w:r>
              <w:rPr>
                <w:rFonts w:ascii="Arial" w:cs="Arial" w:eastAsia="Arial" w:hAnsi="Arial"/>
                <w:sz w:val="12"/>
                <w:szCs w:val="12"/>
                <w:color w:val="auto"/>
              </w:rPr>
              <w:t>Debt and finance lease liabilities</w:t>
            </w:r>
          </w:p>
        </w:tc>
        <w:tc>
          <w:tcPr>
            <w:tcW w:w="5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(897,244)</w:t>
            </w:r>
          </w:p>
        </w:tc>
        <w:tc>
          <w:tcPr>
            <w:tcW w:w="340" w:type="dxa"/>
            <w:vAlign w:val="bottom"/>
          </w:tcPr>
          <w:p>
            <w:pPr>
              <w:spacing w:after="0"/>
              <w:rPr>
                <w:sz w:val="13"/>
                <w:szCs w:val="13"/>
                <w:color w:val="auto"/>
              </w:rPr>
            </w:pPr>
          </w:p>
        </w:tc>
      </w:tr>
      <w:tr>
        <w:trPr>
          <w:trHeight w:val="164"/>
        </w:trPr>
        <w:tc>
          <w:tcPr>
            <w:tcW w:w="8460" w:type="dxa"/>
            <w:vAlign w:val="bottom"/>
            <w:shd w:val="clear" w:color="auto" w:fill="DBDBDB"/>
          </w:tcPr>
          <w:p>
            <w:pPr>
              <w:ind w:left="20"/>
              <w:spacing w:after="0"/>
              <w:rPr>
                <w:sz w:val="20"/>
                <w:szCs w:val="20"/>
                <w:color w:val="auto"/>
              </w:rPr>
            </w:pPr>
            <w:r>
              <w:rPr>
                <w:rFonts w:ascii="Arial" w:cs="Arial" w:eastAsia="Arial" w:hAnsi="Arial"/>
                <w:sz w:val="12"/>
                <w:szCs w:val="12"/>
                <w:color w:val="auto"/>
              </w:rPr>
              <w:t>Deferred tax liabilities</w:t>
            </w:r>
          </w:p>
        </w:tc>
        <w:tc>
          <w:tcPr>
            <w:tcW w:w="500" w:type="dxa"/>
            <w:vAlign w:val="bottom"/>
            <w:shd w:val="clear" w:color="auto" w:fill="DBDBDB"/>
          </w:tcPr>
          <w:p>
            <w:pPr>
              <w:spacing w:after="0"/>
              <w:rPr>
                <w:sz w:val="14"/>
                <w:szCs w:val="14"/>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(276,555)</w:t>
            </w:r>
          </w:p>
        </w:tc>
        <w:tc>
          <w:tcPr>
            <w:tcW w:w="340" w:type="dxa"/>
            <w:vAlign w:val="bottom"/>
            <w:shd w:val="clear" w:color="auto" w:fill="DBDBDB"/>
          </w:tcPr>
          <w:p>
            <w:pPr>
              <w:spacing w:after="0"/>
              <w:rPr>
                <w:sz w:val="14"/>
                <w:szCs w:val="14"/>
                <w:color w:val="auto"/>
              </w:rPr>
            </w:pPr>
          </w:p>
        </w:tc>
      </w:tr>
      <w:tr>
        <w:trPr>
          <w:trHeight w:val="159"/>
        </w:trPr>
        <w:tc>
          <w:tcPr>
            <w:tcW w:w="846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Other long-term liabilities</w:t>
            </w:r>
          </w:p>
        </w:tc>
        <w:tc>
          <w:tcPr>
            <w:tcW w:w="5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(1,428)</w:t>
            </w:r>
          </w:p>
        </w:tc>
        <w:tc>
          <w:tcPr>
            <w:tcW w:w="340" w:type="dxa"/>
            <w:vAlign w:val="bottom"/>
            <w:tcBorders>
              <w:bottom w:val="single" w:sz="8" w:color="DBDBDB"/>
            </w:tcBorders>
          </w:tcPr>
          <w:p>
            <w:pPr>
              <w:spacing w:after="0"/>
              <w:rPr>
                <w:sz w:val="13"/>
                <w:szCs w:val="13"/>
                <w:color w:val="auto"/>
              </w:rPr>
            </w:pPr>
          </w:p>
        </w:tc>
      </w:tr>
      <w:tr>
        <w:trPr>
          <w:trHeight w:val="154"/>
        </w:trPr>
        <w:tc>
          <w:tcPr>
            <w:tcW w:w="8460" w:type="dxa"/>
            <w:vAlign w:val="bottom"/>
            <w:shd w:val="clear" w:color="auto" w:fill="DBDBDB"/>
          </w:tcPr>
          <w:p>
            <w:pPr>
              <w:ind w:left="20"/>
              <w:spacing w:after="0"/>
              <w:rPr>
                <w:sz w:val="20"/>
                <w:szCs w:val="20"/>
                <w:color w:val="auto"/>
              </w:rPr>
            </w:pPr>
            <w:r>
              <w:rPr>
                <w:rFonts w:ascii="Arial" w:cs="Arial" w:eastAsia="Arial" w:hAnsi="Arial"/>
                <w:sz w:val="12"/>
                <w:szCs w:val="12"/>
                <w:color w:val="auto"/>
              </w:rPr>
              <w:t>Total liabilities assumed</w:t>
            </w:r>
          </w:p>
        </w:tc>
        <w:tc>
          <w:tcPr>
            <w:tcW w:w="500" w:type="dxa"/>
            <w:vAlign w:val="bottom"/>
            <w:tcBorders>
              <w:bottom w:val="single" w:sz="8" w:color="auto"/>
            </w:tcBorders>
            <w:shd w:val="clear" w:color="auto" w:fill="DBDBDB"/>
          </w:tcPr>
          <w:p>
            <w:pPr>
              <w:spacing w:after="0"/>
              <w:rPr>
                <w:sz w:val="13"/>
                <w:szCs w:val="13"/>
                <w:color w:val="auto"/>
              </w:rPr>
            </w:pPr>
          </w:p>
        </w:tc>
        <w:tc>
          <w:tcPr>
            <w:tcW w:w="1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(1,374,173)</w:t>
            </w:r>
          </w:p>
        </w:tc>
        <w:tc>
          <w:tcPr>
            <w:tcW w:w="340" w:type="dxa"/>
            <w:vAlign w:val="bottom"/>
            <w:shd w:val="clear" w:color="auto" w:fill="DBDBDB"/>
          </w:tcPr>
          <w:p>
            <w:pPr>
              <w:spacing w:after="0"/>
              <w:rPr>
                <w:sz w:val="13"/>
                <w:szCs w:val="13"/>
                <w:color w:val="auto"/>
              </w:rPr>
            </w:pPr>
          </w:p>
        </w:tc>
      </w:tr>
      <w:tr>
        <w:trPr>
          <w:trHeight w:val="149"/>
        </w:trPr>
        <w:tc>
          <w:tcPr>
            <w:tcW w:w="8460" w:type="dxa"/>
            <w:vAlign w:val="bottom"/>
          </w:tcPr>
          <w:p>
            <w:pPr>
              <w:ind w:left="20"/>
              <w:spacing w:after="0"/>
              <w:rPr>
                <w:sz w:val="20"/>
                <w:szCs w:val="20"/>
                <w:color w:val="auto"/>
              </w:rPr>
            </w:pPr>
            <w:r>
              <w:rPr>
                <w:rFonts w:ascii="Arial" w:cs="Arial" w:eastAsia="Arial" w:hAnsi="Arial"/>
                <w:sz w:val="12"/>
                <w:szCs w:val="12"/>
                <w:color w:val="auto"/>
              </w:rPr>
              <w:t>Purchase Price</w:t>
            </w:r>
          </w:p>
        </w:tc>
        <w:tc>
          <w:tcPr>
            <w:tcW w:w="50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1,352,836</w:t>
            </w:r>
          </w:p>
        </w:tc>
        <w:tc>
          <w:tcPr>
            <w:tcW w:w="340" w:type="dxa"/>
            <w:vAlign w:val="bottom"/>
          </w:tcPr>
          <w:p>
            <w:pPr>
              <w:spacing w:after="0"/>
              <w:rPr>
                <w:sz w:val="12"/>
                <w:szCs w:val="12"/>
                <w:color w:val="auto"/>
              </w:rPr>
            </w:pPr>
          </w:p>
        </w:tc>
      </w:tr>
      <w:tr>
        <w:trPr>
          <w:trHeight w:val="20"/>
        </w:trPr>
        <w:tc>
          <w:tcPr>
            <w:tcW w:w="8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15" w:lineRule="exact"/>
        <w:rPr>
          <w:sz w:val="20"/>
          <w:szCs w:val="20"/>
          <w:color w:val="auto"/>
        </w:rPr>
      </w:pPr>
    </w:p>
    <w:p>
      <w:pPr>
        <w:ind w:firstLine="1"/>
        <w:spacing w:after="0" w:line="237" w:lineRule="auto"/>
        <w:tabs>
          <w:tab w:leader="none" w:pos="175"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initial fair value estimates were calculated using preliminary estimates and assumptions which have been updated in the current reporting period as additional information was obtained during the measurement period. The underlying assets have been adjusted from those previously recorded accordingly. Intangible assets were reduced by approximately $8.0 million from amounts reported at December 31, 2020.</w:t>
      </w:r>
    </w:p>
    <w:p>
      <w:pPr>
        <w:spacing w:after="0" w:line="111" w:lineRule="exact"/>
        <w:rPr>
          <w:sz w:val="20"/>
          <w:szCs w:val="20"/>
          <w:color w:val="auto"/>
        </w:rPr>
      </w:pPr>
    </w:p>
    <w:p>
      <w:pPr>
        <w:ind w:firstLine="484"/>
        <w:spacing w:after="0" w:line="258" w:lineRule="auto"/>
        <w:rPr>
          <w:sz w:val="20"/>
          <w:szCs w:val="20"/>
          <w:color w:val="auto"/>
        </w:rPr>
      </w:pPr>
      <w:r>
        <w:rPr>
          <w:rFonts w:ascii="Arial" w:cs="Arial" w:eastAsia="Arial" w:hAnsi="Arial"/>
          <w:sz w:val="12"/>
          <w:szCs w:val="12"/>
          <w:color w:val="auto"/>
        </w:rPr>
        <w:t>Mobile Mini generated $330.8 million of revenue and $51.9 million of pre-tax income in the six months ended June 30, 2021, which is included in the condensed consolidated financial statements of operations.</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pro forma results presented below give effect to the following as if they occurred on January 1, 2019:</w:t>
      </w:r>
    </w:p>
    <w:p>
      <w:pPr>
        <w:spacing w:after="0" w:line="74" w:lineRule="exact"/>
        <w:rPr>
          <w:sz w:val="20"/>
          <w:szCs w:val="20"/>
          <w:color w:val="auto"/>
        </w:rPr>
      </w:pPr>
    </w:p>
    <w:p>
      <w:pPr>
        <w:ind w:left="460" w:hanging="446"/>
        <w:spacing w:after="0"/>
        <w:tabs>
          <w:tab w:leader="none" w:pos="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Merger;</w:t>
      </w:r>
    </w:p>
    <w:p>
      <w:pPr>
        <w:spacing w:after="0" w:line="23" w:lineRule="exact"/>
        <w:rPr>
          <w:rFonts w:ascii="Arial" w:cs="Arial" w:eastAsia="Arial" w:hAnsi="Arial"/>
          <w:sz w:val="12"/>
          <w:szCs w:val="12"/>
          <w:color w:val="auto"/>
        </w:rPr>
      </w:pPr>
    </w:p>
    <w:p>
      <w:pPr>
        <w:ind w:left="460" w:hanging="446"/>
        <w:spacing w:after="0"/>
        <w:tabs>
          <w:tab w:leader="none" w:pos="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Borrowings under the Company's 2025 Secured Notes and 2020 ABL Facility (both as defined in Note 9) used to repay certain debt in connection with the Merger;</w:t>
      </w:r>
    </w:p>
    <w:p>
      <w:pPr>
        <w:spacing w:after="0" w:line="23" w:lineRule="exact"/>
        <w:rPr>
          <w:rFonts w:ascii="Arial" w:cs="Arial" w:eastAsia="Arial" w:hAnsi="Arial"/>
          <w:sz w:val="12"/>
          <w:szCs w:val="12"/>
          <w:color w:val="auto"/>
        </w:rPr>
      </w:pPr>
    </w:p>
    <w:p>
      <w:pPr>
        <w:ind w:left="460" w:hanging="446"/>
        <w:spacing w:after="0"/>
        <w:tabs>
          <w:tab w:leader="none" w:pos="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Extinguishment of the Mobile Mini revolving credit facility and senior notes assumed in the Merger and immediately repaid;</w:t>
      </w:r>
    </w:p>
    <w:p>
      <w:pPr>
        <w:spacing w:after="0" w:line="23" w:lineRule="exact"/>
        <w:rPr>
          <w:rFonts w:ascii="Arial" w:cs="Arial" w:eastAsia="Arial" w:hAnsi="Arial"/>
          <w:sz w:val="12"/>
          <w:szCs w:val="12"/>
          <w:color w:val="auto"/>
        </w:rPr>
      </w:pPr>
    </w:p>
    <w:p>
      <w:pPr>
        <w:ind w:left="460" w:hanging="446"/>
        <w:spacing w:after="0"/>
        <w:tabs>
          <w:tab w:leader="none" w:pos="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Extinguishment of WillScot's 2017 ABL Facility and WillScot's 2022 Secured Notes (both as defined in Note 9) repaid in connection with the Merger;</w:t>
      </w:r>
    </w:p>
    <w:p>
      <w:pPr>
        <w:spacing w:after="0" w:line="23" w:lineRule="exact"/>
        <w:rPr>
          <w:rFonts w:ascii="Arial" w:cs="Arial" w:eastAsia="Arial" w:hAnsi="Arial"/>
          <w:sz w:val="12"/>
          <w:szCs w:val="12"/>
          <w:color w:val="auto"/>
        </w:rPr>
      </w:pPr>
    </w:p>
    <w:p>
      <w:pPr>
        <w:ind w:left="460" w:hanging="446"/>
        <w:spacing w:after="0"/>
        <w:tabs>
          <w:tab w:leader="none" w:pos="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Transaction costs incurred in connection with the Merger; and</w:t>
      </w:r>
    </w:p>
    <w:p>
      <w:pPr>
        <w:spacing w:after="0" w:line="23" w:lineRule="exact"/>
        <w:rPr>
          <w:rFonts w:ascii="Arial" w:cs="Arial" w:eastAsia="Arial" w:hAnsi="Arial"/>
          <w:sz w:val="12"/>
          <w:szCs w:val="12"/>
          <w:color w:val="auto"/>
        </w:rPr>
      </w:pPr>
    </w:p>
    <w:p>
      <w:pPr>
        <w:ind w:left="460" w:hanging="446"/>
        <w:spacing w:after="0"/>
        <w:tabs>
          <w:tab w:leader="none" w:pos="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Elimination of WillScot's non-controlling interest and WillScot's Class B common stock in connection with the Merger. See Note 10 for further details.</w:t>
      </w:r>
    </w:p>
    <w:p>
      <w:pPr>
        <w:spacing w:after="0" w:line="114" w:lineRule="exact"/>
        <w:rPr>
          <w:sz w:val="20"/>
          <w:szCs w:val="20"/>
          <w:color w:val="auto"/>
        </w:rPr>
      </w:pPr>
    </w:p>
    <w:p>
      <w:pPr>
        <w:ind w:firstLine="484"/>
        <w:spacing w:after="0" w:line="258" w:lineRule="auto"/>
        <w:rPr>
          <w:sz w:val="20"/>
          <w:szCs w:val="20"/>
          <w:color w:val="auto"/>
        </w:rPr>
      </w:pPr>
      <w:r>
        <w:rPr>
          <w:rFonts w:ascii="Arial" w:cs="Arial" w:eastAsia="Arial" w:hAnsi="Arial"/>
          <w:sz w:val="12"/>
          <w:szCs w:val="12"/>
          <w:color w:val="auto"/>
        </w:rPr>
        <w:t>The pro forma information is not necessarily indicative of the Company’s results of operations had the Merger been completed on January 1, 2019, nor is it necessarily indicative of the Company’s future results. The pro forma information does not reflect any cost savings from operating efficiencies, synergies, or revenue opportunities that could result from the Merger.</w:t>
      </w:r>
    </w:p>
    <w:p>
      <w:pPr>
        <w:spacing w:after="0" w:line="26" w:lineRule="exact"/>
        <w:rPr>
          <w:sz w:val="20"/>
          <w:szCs w:val="20"/>
          <w:color w:val="auto"/>
        </w:rPr>
      </w:pPr>
    </w:p>
    <w:p>
      <w:pPr>
        <w:ind w:firstLine="484"/>
        <w:spacing w:after="0" w:line="258" w:lineRule="auto"/>
        <w:rPr>
          <w:sz w:val="20"/>
          <w:szCs w:val="20"/>
          <w:color w:val="auto"/>
        </w:rPr>
      </w:pPr>
      <w:r>
        <w:rPr>
          <w:rFonts w:ascii="Arial" w:cs="Arial" w:eastAsia="Arial" w:hAnsi="Arial"/>
          <w:sz w:val="12"/>
          <w:szCs w:val="12"/>
          <w:color w:val="auto"/>
        </w:rPr>
        <w:t>The Company's results of operations for the three and six months ended June 30, 2021 represent the activities of the Company after the Merger. As a result, there were no differences between pro forma results and actual results on a reported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655955</wp:posOffset>
            </wp:positionV>
            <wp:extent cx="719264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11" w:name="page12"/>
    <w:bookmarkEnd w:id="11"/>
    <w:p>
      <w:pPr>
        <w:ind w:left="480"/>
        <w:spacing w:after="0"/>
        <w:rPr>
          <w:sz w:val="20"/>
          <w:szCs w:val="20"/>
          <w:color w:val="auto"/>
        </w:rPr>
      </w:pPr>
      <w:r>
        <w:rPr>
          <w:rFonts w:ascii="Arial" w:cs="Arial" w:eastAsia="Arial" w:hAnsi="Arial"/>
          <w:sz w:val="12"/>
          <w:szCs w:val="12"/>
          <w:color w:val="auto"/>
        </w:rPr>
        <w:t>The tables below present unaudited pro forma condensed combined statements of operations information for the three and six months ended June 30, 2020: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20" w:type="dxa"/>
            <w:vAlign w:val="bottom"/>
            <w:vMerge w:val="restart"/>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20" w:type="dxa"/>
            <w:vAlign w:val="bottom"/>
            <w:shd w:val="clear" w:color="auto" w:fill="1D2758"/>
          </w:tcPr>
          <w:p>
            <w:pPr>
              <w:spacing w:after="0"/>
              <w:rPr>
                <w:sz w:val="12"/>
                <w:szCs w:val="12"/>
                <w:color w:val="auto"/>
              </w:rPr>
            </w:pPr>
          </w:p>
        </w:tc>
        <w:tc>
          <w:tcPr>
            <w:tcW w:w="1980" w:type="dxa"/>
            <w:vAlign w:val="bottom"/>
            <w:gridSpan w:val="2"/>
            <w:shd w:val="clear" w:color="auto" w:fill="1D2758"/>
          </w:tcPr>
          <w:p>
            <w:pPr>
              <w:ind w:left="40"/>
              <w:spacing w:after="0"/>
              <w:rPr>
                <w:sz w:val="20"/>
                <w:szCs w:val="20"/>
                <w:color w:val="auto"/>
              </w:rPr>
            </w:pPr>
            <w:r>
              <w:rPr>
                <w:rFonts w:ascii="Arial" w:cs="Arial" w:eastAsia="Arial" w:hAnsi="Arial"/>
                <w:sz w:val="12"/>
                <w:szCs w:val="12"/>
                <w:b w:val="1"/>
                <w:bCs w:val="1"/>
                <w:color w:val="FFFFFF"/>
              </w:rPr>
              <w:t>Three Months Ended June 30,</w:t>
            </w:r>
          </w:p>
        </w:tc>
        <w:tc>
          <w:tcPr>
            <w:tcW w:w="2020" w:type="dxa"/>
            <w:vAlign w:val="bottom"/>
            <w:gridSpan w:val="2"/>
            <w:vMerge w:val="restart"/>
            <w:shd w:val="clear" w:color="auto" w:fill="1D2758"/>
          </w:tcPr>
          <w:p>
            <w:pPr>
              <w:jc w:val="right"/>
              <w:ind w:right="19"/>
              <w:spacing w:after="0"/>
              <w:rPr>
                <w:sz w:val="20"/>
                <w:szCs w:val="20"/>
                <w:color w:val="auto"/>
              </w:rPr>
            </w:pPr>
            <w:r>
              <w:rPr>
                <w:rFonts w:ascii="Arial" w:cs="Arial" w:eastAsia="Arial" w:hAnsi="Arial"/>
                <w:sz w:val="12"/>
                <w:szCs w:val="12"/>
                <w:b w:val="1"/>
                <w:bCs w:val="1"/>
                <w:color w:val="FFFFFF"/>
              </w:rPr>
              <w:t>Six Months Ended June 30, 2020</w:t>
            </w:r>
          </w:p>
        </w:tc>
        <w:tc>
          <w:tcPr>
            <w:tcW w:w="340" w:type="dxa"/>
            <w:vAlign w:val="bottom"/>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20" w:type="dxa"/>
            <w:vAlign w:val="bottom"/>
            <w:vMerge w:val="continue"/>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1900" w:type="dxa"/>
            <w:vAlign w:val="bottom"/>
            <w:shd w:val="clear" w:color="auto" w:fill="1D2758"/>
          </w:tcPr>
          <w:p>
            <w:pPr>
              <w:jc w:val="right"/>
              <w:ind w:right="819"/>
              <w:spacing w:after="0"/>
              <w:rPr>
                <w:sz w:val="20"/>
                <w:szCs w:val="20"/>
                <w:color w:val="auto"/>
              </w:rPr>
            </w:pPr>
            <w:r>
              <w:rPr>
                <w:rFonts w:ascii="Arial" w:cs="Arial" w:eastAsia="Arial" w:hAnsi="Arial"/>
                <w:sz w:val="12"/>
                <w:szCs w:val="12"/>
                <w:b w:val="1"/>
                <w:bCs w:val="1"/>
                <w:color w:val="FFFFFF"/>
              </w:rPr>
              <w:t>2020</w:t>
            </w:r>
          </w:p>
        </w:tc>
        <w:tc>
          <w:tcPr>
            <w:tcW w:w="80" w:type="dxa"/>
            <w:vAlign w:val="bottom"/>
            <w:shd w:val="clear" w:color="auto" w:fill="1D2758"/>
          </w:tcPr>
          <w:p>
            <w:pPr>
              <w:spacing w:after="0"/>
              <w:rPr>
                <w:sz w:val="14"/>
                <w:szCs w:val="14"/>
                <w:color w:val="auto"/>
              </w:rPr>
            </w:pPr>
          </w:p>
        </w:tc>
        <w:tc>
          <w:tcPr>
            <w:tcW w:w="2020" w:type="dxa"/>
            <w:vAlign w:val="bottom"/>
            <w:gridSpan w:val="2"/>
            <w:vMerge w:val="continue"/>
            <w:shd w:val="clear" w:color="auto" w:fill="1D2758"/>
          </w:tcPr>
          <w:p>
            <w:pPr>
              <w:spacing w:after="0"/>
              <w:rPr>
                <w:sz w:val="14"/>
                <w:szCs w:val="14"/>
                <w:color w:val="auto"/>
              </w:rPr>
            </w:pPr>
          </w:p>
        </w:tc>
        <w:tc>
          <w:tcPr>
            <w:tcW w:w="34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20" w:type="dxa"/>
            <w:vAlign w:val="bottom"/>
            <w:shd w:val="clear" w:color="auto" w:fill="DBDBDB"/>
          </w:tcPr>
          <w:p>
            <w:pPr>
              <w:ind w:left="20"/>
              <w:spacing w:after="0"/>
              <w:rPr>
                <w:sz w:val="20"/>
                <w:szCs w:val="20"/>
                <w:color w:val="auto"/>
              </w:rPr>
            </w:pPr>
            <w:r>
              <w:rPr>
                <w:rFonts w:ascii="Arial" w:cs="Arial" w:eastAsia="Arial" w:hAnsi="Arial"/>
                <w:sz w:val="12"/>
                <w:szCs w:val="12"/>
                <w:color w:val="auto"/>
              </w:rPr>
              <w:t>WillScot revenues</w:t>
            </w: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256,862</w:t>
            </w:r>
          </w:p>
        </w:tc>
        <w:tc>
          <w:tcPr>
            <w:tcW w:w="80" w:type="dxa"/>
            <w:vAlign w:val="bottom"/>
            <w:shd w:val="clear" w:color="auto" w:fill="DBDBDB"/>
          </w:tcPr>
          <w:p>
            <w:pPr>
              <w:spacing w:after="0"/>
              <w:rPr>
                <w:sz w:val="14"/>
                <w:szCs w:val="14"/>
                <w:color w:val="auto"/>
              </w:rPr>
            </w:pPr>
          </w:p>
        </w:tc>
        <w:tc>
          <w:tcPr>
            <w:tcW w:w="800" w:type="dxa"/>
            <w:vAlign w:val="bottom"/>
            <w:shd w:val="clear" w:color="auto" w:fill="DBDBDB"/>
          </w:tcPr>
          <w:p>
            <w:pPr>
              <w:jc w:val="right"/>
              <w:ind w:right="659"/>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512,683</w:t>
            </w: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82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Mobile Mini revenues</w:t>
            </w:r>
          </w:p>
        </w:tc>
        <w:tc>
          <w:tcPr>
            <w:tcW w:w="1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133,663</w:t>
            </w:r>
          </w:p>
        </w:tc>
        <w:tc>
          <w:tcPr>
            <w:tcW w:w="80" w:type="dxa"/>
            <w:vAlign w:val="bottom"/>
            <w:tcBorders>
              <w:bottom w:val="single" w:sz="8" w:color="DBDBDB"/>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284,240</w:t>
            </w:r>
          </w:p>
        </w:tc>
        <w:tc>
          <w:tcPr>
            <w:tcW w:w="340" w:type="dxa"/>
            <w:vAlign w:val="bottom"/>
            <w:tcBorders>
              <w:bottom w:val="single" w:sz="8" w:color="DBDBDB"/>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Pro forma revenues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390,525</w:t>
            </w:r>
          </w:p>
        </w:tc>
        <w:tc>
          <w:tcPr>
            <w:tcW w:w="80" w:type="dxa"/>
            <w:vAlign w:val="bottom"/>
            <w:tcBorders>
              <w:bottom w:val="single" w:sz="8" w:color="DBDBDB"/>
            </w:tcBorders>
            <w:shd w:val="clear" w:color="auto" w:fill="DBDBDB"/>
          </w:tcPr>
          <w:p>
            <w:pPr>
              <w:spacing w:after="0"/>
              <w:rPr>
                <w:sz w:val="14"/>
                <w:szCs w:val="14"/>
                <w:color w:val="auto"/>
              </w:rPr>
            </w:pPr>
          </w:p>
        </w:tc>
        <w:tc>
          <w:tcPr>
            <w:tcW w:w="800" w:type="dxa"/>
            <w:vAlign w:val="bottom"/>
            <w:tcBorders>
              <w:bottom w:val="single" w:sz="8" w:color="auto"/>
            </w:tcBorders>
            <w:shd w:val="clear" w:color="auto" w:fill="DBDBDB"/>
          </w:tcPr>
          <w:p>
            <w:pPr>
              <w:jc w:val="right"/>
              <w:ind w:right="659"/>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796,923</w:t>
            </w:r>
          </w:p>
        </w:tc>
        <w:tc>
          <w:tcPr>
            <w:tcW w:w="34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9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20" w:type="dxa"/>
            <w:vAlign w:val="bottom"/>
            <w:shd w:val="clear" w:color="auto" w:fill="DBDBDB"/>
          </w:tcPr>
          <w:p>
            <w:pPr>
              <w:ind w:left="20"/>
              <w:spacing w:after="0"/>
              <w:rPr>
                <w:sz w:val="20"/>
                <w:szCs w:val="20"/>
                <w:color w:val="auto"/>
              </w:rPr>
            </w:pPr>
            <w:r>
              <w:rPr>
                <w:rFonts w:ascii="Arial" w:cs="Arial" w:eastAsia="Arial" w:hAnsi="Arial"/>
                <w:sz w:val="12"/>
                <w:szCs w:val="12"/>
                <w:color w:val="auto"/>
              </w:rPr>
              <w:t>WillScot Mobile Mini (loss) income before income tax</w:t>
            </w: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(14,415)</w:t>
            </w:r>
          </w:p>
        </w:tc>
        <w:tc>
          <w:tcPr>
            <w:tcW w:w="80" w:type="dxa"/>
            <w:vAlign w:val="bottom"/>
            <w:shd w:val="clear" w:color="auto" w:fill="DBDBDB"/>
          </w:tcPr>
          <w:p>
            <w:pPr>
              <w:spacing w:after="0"/>
              <w:rPr>
                <w:sz w:val="14"/>
                <w:szCs w:val="14"/>
                <w:color w:val="auto"/>
              </w:rPr>
            </w:pPr>
          </w:p>
        </w:tc>
        <w:tc>
          <w:tcPr>
            <w:tcW w:w="800" w:type="dxa"/>
            <w:vAlign w:val="bottom"/>
            <w:shd w:val="clear" w:color="auto" w:fill="DBDBDB"/>
          </w:tcPr>
          <w:p>
            <w:pPr>
              <w:jc w:val="right"/>
              <w:ind w:right="659"/>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78,030</w:t>
            </w:r>
          </w:p>
        </w:tc>
        <w:tc>
          <w:tcPr>
            <w:tcW w:w="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159"/>
        </w:trPr>
        <w:tc>
          <w:tcPr>
            <w:tcW w:w="682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Mobile Mini income before income tax</w:t>
            </w:r>
          </w:p>
        </w:tc>
        <w:tc>
          <w:tcPr>
            <w:tcW w:w="1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22,967</w:t>
            </w:r>
          </w:p>
        </w:tc>
        <w:tc>
          <w:tcPr>
            <w:tcW w:w="80" w:type="dxa"/>
            <w:vAlign w:val="bottom"/>
            <w:tcBorders>
              <w:bottom w:val="single" w:sz="8" w:color="DBDBDB"/>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37,874</w:t>
            </w:r>
          </w:p>
        </w:tc>
        <w:tc>
          <w:tcPr>
            <w:tcW w:w="340" w:type="dxa"/>
            <w:vAlign w:val="bottom"/>
            <w:tcBorders>
              <w:bottom w:val="single" w:sz="8" w:color="DBDBDB"/>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820" w:type="dxa"/>
            <w:vAlign w:val="bottom"/>
            <w:shd w:val="clear" w:color="auto" w:fill="DBDBDB"/>
          </w:tcPr>
          <w:p>
            <w:pPr>
              <w:ind w:left="20"/>
              <w:spacing w:after="0"/>
              <w:rPr>
                <w:sz w:val="20"/>
                <w:szCs w:val="20"/>
                <w:color w:val="auto"/>
              </w:rPr>
            </w:pPr>
            <w:r>
              <w:rPr>
                <w:rFonts w:ascii="Arial" w:cs="Arial" w:eastAsia="Arial" w:hAnsi="Arial"/>
                <w:sz w:val="12"/>
                <w:szCs w:val="12"/>
                <w:color w:val="auto"/>
              </w:rPr>
              <w:t>Pro forma income before income tax</w:t>
            </w:r>
          </w:p>
        </w:tc>
        <w:tc>
          <w:tcPr>
            <w:tcW w:w="120" w:type="dxa"/>
            <w:vAlign w:val="bottom"/>
            <w:shd w:val="clear" w:color="auto" w:fill="DBDBDB"/>
          </w:tcPr>
          <w:p>
            <w:pPr>
              <w:spacing w:after="0"/>
              <w:rPr>
                <w:sz w:val="13"/>
                <w:szCs w:val="13"/>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8,552</w:t>
            </w:r>
          </w:p>
        </w:tc>
        <w:tc>
          <w:tcPr>
            <w:tcW w:w="8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115,904</w:t>
            </w:r>
          </w:p>
        </w:tc>
        <w:tc>
          <w:tcPr>
            <w:tcW w:w="3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820" w:type="dxa"/>
            <w:vAlign w:val="bottom"/>
          </w:tcPr>
          <w:p>
            <w:pPr>
              <w:ind w:left="20"/>
              <w:spacing w:after="0"/>
              <w:rPr>
                <w:sz w:val="20"/>
                <w:szCs w:val="20"/>
                <w:color w:val="auto"/>
              </w:rPr>
            </w:pPr>
            <w:r>
              <w:rPr>
                <w:rFonts w:ascii="Arial" w:cs="Arial" w:eastAsia="Arial" w:hAnsi="Arial"/>
                <w:sz w:val="12"/>
                <w:szCs w:val="12"/>
                <w:color w:val="auto"/>
              </w:rPr>
              <w:t>Pro forma adjustments to combined income before income tax:</w:t>
            </w: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820" w:type="dxa"/>
            <w:vAlign w:val="bottom"/>
            <w:shd w:val="clear" w:color="auto" w:fill="DBDBDB"/>
          </w:tcPr>
          <w:p>
            <w:pPr>
              <w:ind w:left="20"/>
              <w:spacing w:after="0"/>
              <w:rPr>
                <w:sz w:val="20"/>
                <w:szCs w:val="20"/>
                <w:color w:val="auto"/>
              </w:rPr>
            </w:pPr>
            <w:r>
              <w:rPr>
                <w:rFonts w:ascii="Arial" w:cs="Arial" w:eastAsia="Arial" w:hAnsi="Arial"/>
                <w:sz w:val="12"/>
                <w:szCs w:val="12"/>
                <w:color w:val="auto"/>
              </w:rPr>
              <w:t>Elimination of Merger transaction costs</w:t>
            </w:r>
          </w:p>
        </w:tc>
        <w:tc>
          <w:tcPr>
            <w:tcW w:w="120" w:type="dxa"/>
            <w:vAlign w:val="bottom"/>
            <w:shd w:val="clear" w:color="auto" w:fill="DBDBDB"/>
          </w:tcPr>
          <w:p>
            <w:pPr>
              <w:spacing w:after="0"/>
              <w:rPr>
                <w:sz w:val="14"/>
                <w:szCs w:val="14"/>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3,198</w:t>
            </w:r>
          </w:p>
        </w:tc>
        <w:tc>
          <w:tcPr>
            <w:tcW w:w="8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27,849</w:t>
            </w:r>
          </w:p>
        </w:tc>
        <w:tc>
          <w:tcPr>
            <w:tcW w:w="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(b)</w:t>
            </w:r>
          </w:p>
        </w:tc>
        <w:tc>
          <w:tcPr>
            <w:tcW w:w="0" w:type="dxa"/>
            <w:vAlign w:val="bottom"/>
          </w:tcPr>
          <w:p>
            <w:pPr>
              <w:spacing w:after="0"/>
              <w:rPr>
                <w:sz w:val="1"/>
                <w:szCs w:val="1"/>
                <w:color w:val="auto"/>
              </w:rPr>
            </w:pPr>
          </w:p>
        </w:tc>
      </w:tr>
      <w:tr>
        <w:trPr>
          <w:trHeight w:val="159"/>
        </w:trPr>
        <w:tc>
          <w:tcPr>
            <w:tcW w:w="6820" w:type="dxa"/>
            <w:vAlign w:val="bottom"/>
          </w:tcPr>
          <w:p>
            <w:pPr>
              <w:ind w:left="20"/>
              <w:spacing w:after="0"/>
              <w:rPr>
                <w:sz w:val="20"/>
                <w:szCs w:val="20"/>
                <w:color w:val="auto"/>
              </w:rPr>
            </w:pPr>
            <w:r>
              <w:rPr>
                <w:rFonts w:ascii="Arial" w:cs="Arial" w:eastAsia="Arial" w:hAnsi="Arial"/>
                <w:sz w:val="12"/>
                <w:szCs w:val="12"/>
                <w:color w:val="auto"/>
              </w:rPr>
              <w:t>Impact of fair value mark-ups on rental fleet depreciation</w:t>
            </w:r>
          </w:p>
        </w:tc>
        <w:tc>
          <w:tcPr>
            <w:tcW w:w="12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(1,167)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(2,334)</w:t>
            </w:r>
          </w:p>
        </w:tc>
        <w:tc>
          <w:tcPr>
            <w:tcW w:w="340" w:type="dxa"/>
            <w:vAlign w:val="bottom"/>
          </w:tcPr>
          <w:p>
            <w:pPr>
              <w:jc w:val="right"/>
              <w:spacing w:after="0"/>
              <w:rPr>
                <w:sz w:val="20"/>
                <w:szCs w:val="20"/>
                <w:color w:val="auto"/>
              </w:rPr>
            </w:pPr>
            <w:r>
              <w:rPr>
                <w:rFonts w:ascii="Arial" w:cs="Arial" w:eastAsia="Arial" w:hAnsi="Arial"/>
                <w:sz w:val="12"/>
                <w:szCs w:val="12"/>
                <w:color w:val="auto"/>
              </w:rPr>
              <w:t>(c)</w:t>
            </w:r>
          </w:p>
        </w:tc>
        <w:tc>
          <w:tcPr>
            <w:tcW w:w="0" w:type="dxa"/>
            <w:vAlign w:val="bottom"/>
          </w:tcPr>
          <w:p>
            <w:pPr>
              <w:spacing w:after="0"/>
              <w:rPr>
                <w:sz w:val="1"/>
                <w:szCs w:val="1"/>
                <w:color w:val="auto"/>
              </w:rPr>
            </w:pPr>
          </w:p>
        </w:tc>
      </w:tr>
      <w:tr>
        <w:trPr>
          <w:trHeight w:val="164"/>
        </w:trPr>
        <w:tc>
          <w:tcPr>
            <w:tcW w:w="6820" w:type="dxa"/>
            <w:vAlign w:val="bottom"/>
            <w:shd w:val="clear" w:color="auto" w:fill="DBDBDB"/>
          </w:tcPr>
          <w:p>
            <w:pPr>
              <w:ind w:left="20"/>
              <w:spacing w:after="0"/>
              <w:rPr>
                <w:sz w:val="20"/>
                <w:szCs w:val="20"/>
                <w:color w:val="auto"/>
              </w:rPr>
            </w:pPr>
            <w:r>
              <w:rPr>
                <w:rFonts w:ascii="Arial" w:cs="Arial" w:eastAsia="Arial" w:hAnsi="Arial"/>
                <w:sz w:val="12"/>
                <w:szCs w:val="12"/>
                <w:color w:val="auto"/>
              </w:rPr>
              <w:t>Other depreciation expense and intangible asset amortization</w:t>
            </w:r>
          </w:p>
        </w:tc>
        <w:tc>
          <w:tcPr>
            <w:tcW w:w="120" w:type="dxa"/>
            <w:vAlign w:val="bottom"/>
            <w:shd w:val="clear" w:color="auto" w:fill="DBDBDB"/>
          </w:tcPr>
          <w:p>
            <w:pPr>
              <w:spacing w:after="0"/>
              <w:rPr>
                <w:sz w:val="14"/>
                <w:szCs w:val="14"/>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(5,669)</w:t>
            </w:r>
          </w:p>
        </w:tc>
        <w:tc>
          <w:tcPr>
            <w:tcW w:w="8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(11,338)</w:t>
            </w:r>
          </w:p>
        </w:tc>
        <w:tc>
          <w:tcPr>
            <w:tcW w:w="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(d)</w:t>
            </w:r>
          </w:p>
        </w:tc>
        <w:tc>
          <w:tcPr>
            <w:tcW w:w="0" w:type="dxa"/>
            <w:vAlign w:val="bottom"/>
          </w:tcPr>
          <w:p>
            <w:pPr>
              <w:spacing w:after="0"/>
              <w:rPr>
                <w:sz w:val="1"/>
                <w:szCs w:val="1"/>
                <w:color w:val="auto"/>
              </w:rPr>
            </w:pPr>
          </w:p>
        </w:tc>
      </w:tr>
      <w:tr>
        <w:trPr>
          <w:trHeight w:val="159"/>
        </w:trPr>
        <w:tc>
          <w:tcPr>
            <w:tcW w:w="6820" w:type="dxa"/>
            <w:vAlign w:val="bottom"/>
          </w:tcPr>
          <w:p>
            <w:pPr>
              <w:ind w:left="20"/>
              <w:spacing w:after="0"/>
              <w:rPr>
                <w:sz w:val="20"/>
                <w:szCs w:val="20"/>
                <w:color w:val="auto"/>
              </w:rPr>
            </w:pPr>
            <w:r>
              <w:rPr>
                <w:rFonts w:ascii="Arial" w:cs="Arial" w:eastAsia="Arial" w:hAnsi="Arial"/>
                <w:sz w:val="12"/>
                <w:szCs w:val="12"/>
                <w:color w:val="auto"/>
              </w:rPr>
              <w:t>Interest expense</w:t>
            </w:r>
          </w:p>
        </w:tc>
        <w:tc>
          <w:tcPr>
            <w:tcW w:w="12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(3,549)</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(6,113)</w:t>
            </w:r>
          </w:p>
        </w:tc>
        <w:tc>
          <w:tcPr>
            <w:tcW w:w="340" w:type="dxa"/>
            <w:vAlign w:val="bottom"/>
          </w:tcPr>
          <w:p>
            <w:pPr>
              <w:jc w:val="right"/>
              <w:spacing w:after="0"/>
              <w:rPr>
                <w:sz w:val="20"/>
                <w:szCs w:val="20"/>
                <w:color w:val="auto"/>
              </w:rPr>
            </w:pPr>
            <w:r>
              <w:rPr>
                <w:rFonts w:ascii="Arial" w:cs="Arial" w:eastAsia="Arial" w:hAnsi="Arial"/>
                <w:sz w:val="12"/>
                <w:szCs w:val="12"/>
                <w:color w:val="auto"/>
              </w:rPr>
              <w:t>(e)</w:t>
            </w:r>
          </w:p>
        </w:tc>
        <w:tc>
          <w:tcPr>
            <w:tcW w:w="0" w:type="dxa"/>
            <w:vAlign w:val="bottom"/>
          </w:tcPr>
          <w:p>
            <w:pPr>
              <w:spacing w:after="0"/>
              <w:rPr>
                <w:sz w:val="1"/>
                <w:szCs w:val="1"/>
                <w:color w:val="auto"/>
              </w:rPr>
            </w:pPr>
          </w:p>
        </w:tc>
      </w:tr>
      <w:tr>
        <w:trPr>
          <w:trHeight w:val="164"/>
        </w:trPr>
        <w:tc>
          <w:tcPr>
            <w:tcW w:w="6820" w:type="dxa"/>
            <w:vAlign w:val="bottom"/>
            <w:shd w:val="clear" w:color="auto" w:fill="DBDBDB"/>
          </w:tcPr>
          <w:p>
            <w:pPr>
              <w:ind w:left="20"/>
              <w:spacing w:after="0"/>
              <w:rPr>
                <w:sz w:val="20"/>
                <w:szCs w:val="20"/>
                <w:color w:val="auto"/>
              </w:rPr>
            </w:pPr>
            <w:r>
              <w:rPr>
                <w:rFonts w:ascii="Arial" w:cs="Arial" w:eastAsia="Arial" w:hAnsi="Arial"/>
                <w:sz w:val="12"/>
                <w:szCs w:val="12"/>
                <w:color w:val="auto"/>
              </w:rPr>
              <w:t>Elimination of Mobile Mini interest expense</w:t>
            </w:r>
          </w:p>
        </w:tc>
        <w:tc>
          <w:tcPr>
            <w:tcW w:w="120" w:type="dxa"/>
            <w:vAlign w:val="bottom"/>
            <w:tcBorders>
              <w:bottom w:val="single" w:sz="8" w:color="auto"/>
            </w:tcBorders>
            <w:shd w:val="clear" w:color="auto" w:fill="DBDBDB"/>
          </w:tcPr>
          <w:p>
            <w:pPr>
              <w:spacing w:after="0"/>
              <w:rPr>
                <w:sz w:val="14"/>
                <w:szCs w:val="14"/>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7,210</w:t>
            </w:r>
          </w:p>
        </w:tc>
        <w:tc>
          <w:tcPr>
            <w:tcW w:w="80" w:type="dxa"/>
            <w:vAlign w:val="bottom"/>
            <w:shd w:val="clear" w:color="auto" w:fill="DBDBDB"/>
          </w:tcPr>
          <w:p>
            <w:pPr>
              <w:spacing w:after="0"/>
              <w:rPr>
                <w:sz w:val="14"/>
                <w:szCs w:val="14"/>
                <w:color w:val="auto"/>
              </w:rPr>
            </w:pPr>
          </w:p>
        </w:tc>
        <w:tc>
          <w:tcPr>
            <w:tcW w:w="800" w:type="dxa"/>
            <w:vAlign w:val="bottom"/>
            <w:tcBorders>
              <w:bottom w:val="single" w:sz="8" w:color="auto"/>
            </w:tcBorders>
            <w:shd w:val="clear" w:color="auto" w:fill="DBDBDB"/>
          </w:tcPr>
          <w:p>
            <w:pPr>
              <w:spacing w:after="0"/>
              <w:rPr>
                <w:sz w:val="14"/>
                <w:szCs w:val="14"/>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15,922</w:t>
            </w:r>
          </w:p>
        </w:tc>
        <w:tc>
          <w:tcPr>
            <w:tcW w:w="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(f)</w:t>
            </w:r>
          </w:p>
        </w:tc>
        <w:tc>
          <w:tcPr>
            <w:tcW w:w="0" w:type="dxa"/>
            <w:vAlign w:val="bottom"/>
          </w:tcPr>
          <w:p>
            <w:pPr>
              <w:spacing w:after="0"/>
              <w:rPr>
                <w:sz w:val="1"/>
                <w:szCs w:val="1"/>
                <w:color w:val="auto"/>
              </w:rPr>
            </w:pPr>
          </w:p>
        </w:tc>
      </w:tr>
      <w:tr>
        <w:trPr>
          <w:trHeight w:val="149"/>
        </w:trPr>
        <w:tc>
          <w:tcPr>
            <w:tcW w:w="6820" w:type="dxa"/>
            <w:vAlign w:val="bottom"/>
          </w:tcPr>
          <w:p>
            <w:pPr>
              <w:ind w:left="20"/>
              <w:spacing w:after="0"/>
              <w:rPr>
                <w:sz w:val="20"/>
                <w:szCs w:val="20"/>
                <w:color w:val="auto"/>
              </w:rPr>
            </w:pPr>
            <w:r>
              <w:rPr>
                <w:rFonts w:ascii="Arial" w:cs="Arial" w:eastAsia="Arial" w:hAnsi="Arial"/>
                <w:sz w:val="12"/>
                <w:szCs w:val="12"/>
                <w:color w:val="auto"/>
              </w:rPr>
              <w:t>Pro forma income before income tax</w:t>
            </w:r>
          </w:p>
        </w:tc>
        <w:tc>
          <w:tcPr>
            <w:tcW w:w="120" w:type="dxa"/>
            <w:vAlign w:val="bottom"/>
          </w:tcPr>
          <w:p>
            <w:pPr>
              <w:spacing w:after="0"/>
              <w:rPr>
                <w:sz w:val="12"/>
                <w:szCs w:val="12"/>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8,575</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139,890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820" w:type="dxa"/>
            <w:vAlign w:val="bottom"/>
            <w:shd w:val="clear" w:color="auto" w:fill="DBDBDB"/>
          </w:tcPr>
          <w:p>
            <w:pPr>
              <w:ind w:left="20"/>
              <w:spacing w:after="0"/>
              <w:rPr>
                <w:sz w:val="20"/>
                <w:szCs w:val="20"/>
                <w:color w:val="auto"/>
              </w:rPr>
            </w:pPr>
            <w:r>
              <w:rPr>
                <w:rFonts w:ascii="Arial" w:cs="Arial" w:eastAsia="Arial" w:hAnsi="Arial"/>
                <w:sz w:val="12"/>
                <w:szCs w:val="12"/>
                <w:color w:val="auto"/>
              </w:rPr>
              <w:t>Income tax expense</w:t>
            </w:r>
          </w:p>
        </w:tc>
        <w:tc>
          <w:tcPr>
            <w:tcW w:w="120" w:type="dxa"/>
            <w:vAlign w:val="bottom"/>
            <w:tcBorders>
              <w:bottom w:val="single" w:sz="8" w:color="auto"/>
            </w:tcBorders>
            <w:shd w:val="clear" w:color="auto" w:fill="DBDBDB"/>
          </w:tcPr>
          <w:p>
            <w:pPr>
              <w:spacing w:after="0"/>
              <w:rPr>
                <w:sz w:val="14"/>
                <w:szCs w:val="14"/>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9,737</w:t>
            </w:r>
          </w:p>
        </w:tc>
        <w:tc>
          <w:tcPr>
            <w:tcW w:w="80" w:type="dxa"/>
            <w:vAlign w:val="bottom"/>
            <w:shd w:val="clear" w:color="auto" w:fill="DBDBDB"/>
          </w:tcPr>
          <w:p>
            <w:pPr>
              <w:spacing w:after="0"/>
              <w:rPr>
                <w:sz w:val="14"/>
                <w:szCs w:val="14"/>
                <w:color w:val="auto"/>
              </w:rPr>
            </w:pPr>
          </w:p>
        </w:tc>
        <w:tc>
          <w:tcPr>
            <w:tcW w:w="800" w:type="dxa"/>
            <w:vAlign w:val="bottom"/>
            <w:tcBorders>
              <w:bottom w:val="single" w:sz="8" w:color="auto"/>
            </w:tcBorders>
            <w:shd w:val="clear" w:color="auto" w:fill="DBDBDB"/>
          </w:tcPr>
          <w:p>
            <w:pPr>
              <w:spacing w:after="0"/>
              <w:rPr>
                <w:sz w:val="14"/>
                <w:szCs w:val="14"/>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23,244</w:t>
            </w:r>
          </w:p>
        </w:tc>
        <w:tc>
          <w:tcPr>
            <w:tcW w:w="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(g)</w:t>
            </w:r>
          </w:p>
        </w:tc>
        <w:tc>
          <w:tcPr>
            <w:tcW w:w="0" w:type="dxa"/>
            <w:vAlign w:val="bottom"/>
          </w:tcPr>
          <w:p>
            <w:pPr>
              <w:spacing w:after="0"/>
              <w:rPr>
                <w:sz w:val="1"/>
                <w:szCs w:val="1"/>
                <w:color w:val="auto"/>
              </w:rPr>
            </w:pPr>
          </w:p>
        </w:tc>
      </w:tr>
      <w:tr>
        <w:trPr>
          <w:trHeight w:val="149"/>
        </w:trPr>
        <w:tc>
          <w:tcPr>
            <w:tcW w:w="6820" w:type="dxa"/>
            <w:vAlign w:val="bottom"/>
          </w:tcPr>
          <w:p>
            <w:pPr>
              <w:ind w:left="20"/>
              <w:spacing w:after="0"/>
              <w:rPr>
                <w:sz w:val="20"/>
                <w:szCs w:val="20"/>
                <w:color w:val="auto"/>
              </w:rPr>
            </w:pPr>
            <w:r>
              <w:rPr>
                <w:rFonts w:ascii="Arial" w:cs="Arial" w:eastAsia="Arial" w:hAnsi="Arial"/>
                <w:sz w:val="12"/>
                <w:szCs w:val="12"/>
                <w:color w:val="auto"/>
              </w:rPr>
              <w:t>Pro forma net (loss)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(1,162)</w:t>
            </w:r>
          </w:p>
        </w:tc>
        <w:tc>
          <w:tcPr>
            <w:tcW w:w="80" w:type="dxa"/>
            <w:vAlign w:val="bottom"/>
          </w:tcPr>
          <w:p>
            <w:pPr>
              <w:spacing w:after="0"/>
              <w:rPr>
                <w:sz w:val="12"/>
                <w:szCs w:val="12"/>
                <w:color w:val="auto"/>
              </w:rPr>
            </w:pPr>
          </w:p>
        </w:tc>
        <w:tc>
          <w:tcPr>
            <w:tcW w:w="800" w:type="dxa"/>
            <w:vAlign w:val="bottom"/>
            <w:tcBorders>
              <w:bottom w:val="single" w:sz="8" w:color="auto"/>
            </w:tcBorders>
          </w:tcPr>
          <w:p>
            <w:pPr>
              <w:jc w:val="right"/>
              <w:ind w:right="659"/>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116,646</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460" w:hanging="446"/>
        <w:spacing w:after="0"/>
        <w:tabs>
          <w:tab w:leader="none" w:pos="460" w:val="left"/>
        </w:tabs>
        <w:numPr>
          <w:ilvl w:val="0"/>
          <w:numId w:val="6"/>
        </w:numPr>
        <w:rPr>
          <w:rFonts w:ascii="Arial" w:cs="Arial" w:eastAsia="Arial" w:hAnsi="Arial"/>
          <w:sz w:val="11"/>
          <w:szCs w:val="11"/>
          <w:color w:val="auto"/>
        </w:rPr>
      </w:pPr>
      <w:r>
        <w:rPr>
          <w:rFonts w:ascii="Arial" w:cs="Arial" w:eastAsia="Arial" w:hAnsi="Arial"/>
          <w:sz w:val="11"/>
          <w:szCs w:val="11"/>
          <w:color w:val="auto"/>
        </w:rPr>
        <w:t>Excludes impact of non-controlling interest which was eliminated as part of the Sapphire Exchange. See Note 10.</w:t>
      </w:r>
    </w:p>
    <w:p>
      <w:pPr>
        <w:spacing w:after="0" w:line="14" w:lineRule="exact"/>
        <w:rPr>
          <w:rFonts w:ascii="Arial" w:cs="Arial" w:eastAsia="Arial" w:hAnsi="Arial"/>
          <w:sz w:val="11"/>
          <w:szCs w:val="11"/>
          <w:color w:val="auto"/>
        </w:rPr>
      </w:pPr>
    </w:p>
    <w:p>
      <w:pPr>
        <w:ind w:left="460" w:hanging="446"/>
        <w:spacing w:after="0"/>
        <w:tabs>
          <w:tab w:leader="none" w:pos="460" w:val="left"/>
        </w:tabs>
        <w:numPr>
          <w:ilvl w:val="0"/>
          <w:numId w:val="6"/>
        </w:numPr>
        <w:rPr>
          <w:rFonts w:ascii="Arial" w:cs="Arial" w:eastAsia="Arial" w:hAnsi="Arial"/>
          <w:sz w:val="11"/>
          <w:szCs w:val="11"/>
          <w:color w:val="auto"/>
        </w:rPr>
      </w:pPr>
      <w:r>
        <w:rPr>
          <w:rFonts w:ascii="Arial" w:cs="Arial" w:eastAsia="Arial" w:hAnsi="Arial"/>
          <w:sz w:val="11"/>
          <w:szCs w:val="11"/>
          <w:color w:val="auto"/>
        </w:rPr>
        <w:t>Eliminates discrete transaction costs incurred as a result of the Mobile Mini Merger.</w:t>
      </w:r>
    </w:p>
    <w:p>
      <w:pPr>
        <w:spacing w:after="0" w:line="14" w:lineRule="exact"/>
        <w:rPr>
          <w:rFonts w:ascii="Arial" w:cs="Arial" w:eastAsia="Arial" w:hAnsi="Arial"/>
          <w:sz w:val="11"/>
          <w:szCs w:val="11"/>
          <w:color w:val="auto"/>
        </w:rPr>
      </w:pPr>
    </w:p>
    <w:p>
      <w:pPr>
        <w:ind w:left="460" w:hanging="446"/>
        <w:spacing w:after="0"/>
        <w:tabs>
          <w:tab w:leader="none" w:pos="460" w:val="left"/>
        </w:tabs>
        <w:numPr>
          <w:ilvl w:val="0"/>
          <w:numId w:val="6"/>
        </w:numPr>
        <w:rPr>
          <w:rFonts w:ascii="Arial" w:cs="Arial" w:eastAsia="Arial" w:hAnsi="Arial"/>
          <w:sz w:val="11"/>
          <w:szCs w:val="11"/>
          <w:color w:val="auto"/>
        </w:rPr>
      </w:pPr>
      <w:r>
        <w:rPr>
          <w:rFonts w:ascii="Arial" w:cs="Arial" w:eastAsia="Arial" w:hAnsi="Arial"/>
          <w:sz w:val="11"/>
          <w:szCs w:val="11"/>
          <w:color w:val="auto"/>
        </w:rPr>
        <w:t>Depreciation on rental equipment and property, plant and equipment were adjusted for the determination of the fair value of equipment acquired in the Mobile Mini Merger.</w:t>
      </w:r>
    </w:p>
    <w:p>
      <w:pPr>
        <w:spacing w:after="0" w:line="14" w:lineRule="exact"/>
        <w:rPr>
          <w:rFonts w:ascii="Arial" w:cs="Arial" w:eastAsia="Arial" w:hAnsi="Arial"/>
          <w:sz w:val="11"/>
          <w:szCs w:val="11"/>
          <w:color w:val="auto"/>
        </w:rPr>
      </w:pPr>
    </w:p>
    <w:p>
      <w:pPr>
        <w:ind w:left="460" w:right="20" w:hanging="446"/>
        <w:spacing w:after="0" w:line="218" w:lineRule="auto"/>
        <w:tabs>
          <w:tab w:leader="none" w:pos="460" w:val="left"/>
        </w:tabs>
        <w:numPr>
          <w:ilvl w:val="0"/>
          <w:numId w:val="6"/>
        </w:numPr>
        <w:rPr>
          <w:rFonts w:ascii="Arial" w:cs="Arial" w:eastAsia="Arial" w:hAnsi="Arial"/>
          <w:sz w:val="11"/>
          <w:szCs w:val="11"/>
          <w:color w:val="auto"/>
        </w:rPr>
      </w:pPr>
      <w:r>
        <w:rPr>
          <w:rFonts w:ascii="Arial" w:cs="Arial" w:eastAsia="Arial" w:hAnsi="Arial"/>
          <w:sz w:val="11"/>
          <w:szCs w:val="11"/>
          <w:color w:val="auto"/>
        </w:rPr>
        <w:t>Represents the differential in other depreciation and amortization expense related to the fair value purchase accounting adjustments as a result of the Merger, principally the amortization of the Mobile Mini customer relationship valued at $209,000 with a 13-year life.</w:t>
      </w:r>
    </w:p>
    <w:p>
      <w:pPr>
        <w:spacing w:after="0" w:line="12" w:lineRule="exact"/>
        <w:rPr>
          <w:rFonts w:ascii="Arial" w:cs="Arial" w:eastAsia="Arial" w:hAnsi="Arial"/>
          <w:sz w:val="11"/>
          <w:szCs w:val="11"/>
          <w:color w:val="auto"/>
        </w:rPr>
      </w:pPr>
    </w:p>
    <w:p>
      <w:pPr>
        <w:jc w:val="both"/>
        <w:ind w:left="460" w:right="20" w:hanging="446"/>
        <w:spacing w:after="0" w:line="209" w:lineRule="auto"/>
        <w:tabs>
          <w:tab w:leader="none" w:pos="46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connection with the Merger, the Company entered into a new ABL Facility and drew $1.47 billion at close with an estimated interest rate of 2.046%, issued the 2025 Secured Notes at 6.125%, repaid the 2022 Secured Notes and repaid the 2017 ABL Facility. Interest and amortization of deferred financing fees for the 2020 ABL Facility and the 2025 Secured Notes has been included offset by the removal of interest and amortization of deferred financing fees attributable to the 2022 Secured Notes and the 2017 ABL Facility. See Note 9 for definitions of terms.</w:t>
      </w:r>
    </w:p>
    <w:p>
      <w:pPr>
        <w:spacing w:after="0" w:line="12" w:lineRule="exact"/>
        <w:rPr>
          <w:rFonts w:ascii="Arial" w:cs="Arial" w:eastAsia="Arial" w:hAnsi="Arial"/>
          <w:sz w:val="11"/>
          <w:szCs w:val="11"/>
          <w:color w:val="auto"/>
        </w:rPr>
      </w:pPr>
    </w:p>
    <w:p>
      <w:pPr>
        <w:ind w:left="460" w:hanging="446"/>
        <w:spacing w:after="0" w:line="218" w:lineRule="auto"/>
        <w:tabs>
          <w:tab w:leader="none" w:pos="46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Interest and amortization of deferred financing fees on the senior notes and line of credit maintained by Mobile Mini which were assumed at acquisition and repaid immediately using proceeds from the 2020 ABL Facility and 2025 Secured Notes was eliminated. See Note 9 for definition of terms.</w:t>
      </w:r>
    </w:p>
    <w:p>
      <w:pPr>
        <w:spacing w:after="0" w:line="12" w:lineRule="exact"/>
        <w:rPr>
          <w:rFonts w:ascii="Arial" w:cs="Arial" w:eastAsia="Arial" w:hAnsi="Arial"/>
          <w:sz w:val="11"/>
          <w:szCs w:val="11"/>
          <w:color w:val="auto"/>
        </w:rPr>
      </w:pPr>
    </w:p>
    <w:p>
      <w:pPr>
        <w:jc w:val="both"/>
        <w:ind w:left="460" w:hanging="446"/>
        <w:spacing w:after="0" w:line="209" w:lineRule="auto"/>
        <w:tabs>
          <w:tab w:leader="none" w:pos="460" w:val="left"/>
        </w:tabs>
        <w:numPr>
          <w:ilvl w:val="0"/>
          <w:numId w:val="6"/>
        </w:numPr>
        <w:rPr>
          <w:rFonts w:ascii="Arial" w:cs="Arial" w:eastAsia="Arial" w:hAnsi="Arial"/>
          <w:sz w:val="11"/>
          <w:szCs w:val="11"/>
          <w:color w:val="auto"/>
        </w:rPr>
      </w:pPr>
      <w:r>
        <w:rPr>
          <w:rFonts w:ascii="Arial" w:cs="Arial" w:eastAsia="Arial" w:hAnsi="Arial"/>
          <w:sz w:val="11"/>
          <w:szCs w:val="11"/>
          <w:color w:val="auto"/>
        </w:rPr>
        <w:t>Reflects the recorded income tax provision plus the adjustment to recognize the income tax impacts of the unaudited pro forma adjustments for which a tax expense is recognized using a US federal and state statutory tax rate of 25.5%. This rate may vary from the effective tax rates of the historical and combined businesses. In addition, the three and six months ended June 30, 2020 included an adjustment of $2.7 million to eliminate the reversal of valuation allowance as a result of reassessment of the realizability of deferred tax assets as a result of the Merger.</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Transaction and Integration Costs</w:t>
      </w:r>
    </w:p>
    <w:p>
      <w:pPr>
        <w:spacing w:after="0" w:line="30"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The Company recorded $1.6 million in transaction costs related to the Merger during the three months ended June 30, 2020, and $0.8 million and $11.0 million in transaction costs related to the Merger in the six months ended June 30, 2021 and 2020, respectively. The Company also recorded $7.6 million and $15.0 million in integration costs related to the Merger within selling, general and administrative ("SG&amp;A") expense during the three and six months ended June 30,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542925</wp:posOffset>
            </wp:positionV>
            <wp:extent cx="719264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1D2758"/>
        </w:rPr>
        <w:t>NOTE 3 - Revenue</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Disaggregation</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Geographic Areas</w:t>
      </w:r>
    </w:p>
    <w:p>
      <w:pPr>
        <w:spacing w:after="0" w:line="5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Company had total revenue in the following geographic areas for the three and six months ended June 30, 2020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80" w:type="dxa"/>
            <w:vAlign w:val="bottom"/>
            <w:shd w:val="clear" w:color="auto" w:fill="1D2758"/>
          </w:tcPr>
          <w:p>
            <w:pPr>
              <w:spacing w:after="0"/>
              <w:rPr>
                <w:sz w:val="12"/>
                <w:szCs w:val="12"/>
                <w:color w:val="auto"/>
              </w:rPr>
            </w:pPr>
          </w:p>
        </w:tc>
        <w:tc>
          <w:tcPr>
            <w:tcW w:w="1120" w:type="dxa"/>
            <w:vAlign w:val="bottom"/>
            <w:shd w:val="clear" w:color="auto" w:fill="1D2758"/>
          </w:tcPr>
          <w:p>
            <w:pPr>
              <w:spacing w:after="0"/>
              <w:rPr>
                <w:sz w:val="12"/>
                <w:szCs w:val="12"/>
                <w:color w:val="auto"/>
              </w:rPr>
            </w:pPr>
          </w:p>
        </w:tc>
        <w:tc>
          <w:tcPr>
            <w:tcW w:w="1900" w:type="dxa"/>
            <w:vAlign w:val="bottom"/>
            <w:gridSpan w:val="3"/>
            <w:shd w:val="clear" w:color="auto" w:fill="1D2758"/>
          </w:tcPr>
          <w:p>
            <w:pPr>
              <w:jc w:val="right"/>
              <w:ind w:right="539"/>
              <w:spacing w:after="0"/>
              <w:rPr>
                <w:sz w:val="20"/>
                <w:szCs w:val="20"/>
                <w:color w:val="auto"/>
              </w:rPr>
            </w:pPr>
            <w:r>
              <w:rPr>
                <w:rFonts w:ascii="Arial" w:cs="Arial" w:eastAsia="Arial" w:hAnsi="Arial"/>
                <w:sz w:val="12"/>
                <w:szCs w:val="12"/>
                <w:b w:val="1"/>
                <w:bCs w:val="1"/>
                <w:color w:val="FFFFFF"/>
              </w:rPr>
              <w:t>Three Months Ended</w:t>
            </w:r>
          </w:p>
        </w:tc>
        <w:tc>
          <w:tcPr>
            <w:tcW w:w="640" w:type="dxa"/>
            <w:vAlign w:val="bottom"/>
            <w:shd w:val="clear" w:color="auto" w:fill="1D2758"/>
          </w:tcPr>
          <w:p>
            <w:pPr>
              <w:spacing w:after="0"/>
              <w:rPr>
                <w:sz w:val="12"/>
                <w:szCs w:val="12"/>
                <w:color w:val="auto"/>
              </w:rPr>
            </w:pPr>
          </w:p>
        </w:tc>
        <w:tc>
          <w:tcPr>
            <w:tcW w:w="80" w:type="dxa"/>
            <w:vAlign w:val="bottom"/>
            <w:shd w:val="clear" w:color="auto" w:fill="1D2758"/>
          </w:tcPr>
          <w:p>
            <w:pPr>
              <w:spacing w:after="0"/>
              <w:rPr>
                <w:sz w:val="12"/>
                <w:szCs w:val="12"/>
                <w:color w:val="auto"/>
              </w:rPr>
            </w:pPr>
          </w:p>
        </w:tc>
        <w:tc>
          <w:tcPr>
            <w:tcW w:w="420" w:type="dxa"/>
            <w:vAlign w:val="bottom"/>
            <w:shd w:val="clear" w:color="auto" w:fill="1D2758"/>
          </w:tcPr>
          <w:p>
            <w:pPr>
              <w:spacing w:after="0"/>
              <w:rPr>
                <w:sz w:val="12"/>
                <w:szCs w:val="12"/>
                <w:color w:val="auto"/>
              </w:rPr>
            </w:pPr>
          </w:p>
        </w:tc>
        <w:tc>
          <w:tcPr>
            <w:tcW w:w="2080" w:type="dxa"/>
            <w:vAlign w:val="bottom"/>
            <w:gridSpan w:val="3"/>
            <w:shd w:val="clear" w:color="auto" w:fill="1D2758"/>
          </w:tcPr>
          <w:p>
            <w:pPr>
              <w:jc w:val="right"/>
              <w:ind w:right="79"/>
              <w:spacing w:after="0"/>
              <w:rPr>
                <w:sz w:val="20"/>
                <w:szCs w:val="20"/>
                <w:color w:val="auto"/>
              </w:rPr>
            </w:pPr>
            <w:r>
              <w:rPr>
                <w:rFonts w:ascii="Arial" w:cs="Arial" w:eastAsia="Arial" w:hAnsi="Arial"/>
                <w:sz w:val="12"/>
                <w:szCs w:val="12"/>
                <w:b w:val="1"/>
                <w:bCs w:val="1"/>
                <w:color w:val="FFFFFF"/>
              </w:rPr>
              <w:t>Six Months Ended</w:t>
            </w:r>
          </w:p>
        </w:tc>
        <w:tc>
          <w:tcPr>
            <w:tcW w:w="1160" w:type="dxa"/>
            <w:vAlign w:val="bottom"/>
            <w:shd w:val="clear" w:color="auto" w:fill="1D2758"/>
          </w:tcPr>
          <w:p>
            <w:pPr>
              <w:spacing w:after="0"/>
              <w:rPr>
                <w:sz w:val="12"/>
                <w:szCs w:val="12"/>
                <w:color w:val="auto"/>
              </w:rPr>
            </w:pPr>
          </w:p>
        </w:tc>
      </w:tr>
      <w:tr>
        <w:trPr>
          <w:trHeight w:val="160"/>
        </w:trPr>
        <w:tc>
          <w:tcPr>
            <w:tcW w:w="3880" w:type="dxa"/>
            <w:vAlign w:val="bottom"/>
            <w:shd w:val="clear" w:color="auto" w:fill="1D2758"/>
          </w:tcPr>
          <w:p>
            <w:pPr>
              <w:spacing w:after="0"/>
              <w:rPr>
                <w:sz w:val="13"/>
                <w:szCs w:val="13"/>
                <w:color w:val="auto"/>
              </w:rPr>
            </w:pPr>
          </w:p>
        </w:tc>
        <w:tc>
          <w:tcPr>
            <w:tcW w:w="1120" w:type="dxa"/>
            <w:vAlign w:val="bottom"/>
            <w:shd w:val="clear" w:color="auto" w:fill="1D2758"/>
          </w:tcPr>
          <w:p>
            <w:pPr>
              <w:spacing w:after="0"/>
              <w:rPr>
                <w:sz w:val="13"/>
                <w:szCs w:val="13"/>
                <w:color w:val="auto"/>
              </w:rPr>
            </w:pPr>
          </w:p>
        </w:tc>
        <w:tc>
          <w:tcPr>
            <w:tcW w:w="1900" w:type="dxa"/>
            <w:vAlign w:val="bottom"/>
            <w:gridSpan w:val="3"/>
            <w:shd w:val="clear" w:color="auto" w:fill="1D2758"/>
          </w:tcPr>
          <w:p>
            <w:pPr>
              <w:jc w:val="right"/>
              <w:ind w:right="899"/>
              <w:spacing w:after="0"/>
              <w:rPr>
                <w:sz w:val="20"/>
                <w:szCs w:val="20"/>
                <w:color w:val="auto"/>
              </w:rPr>
            </w:pPr>
            <w:r>
              <w:rPr>
                <w:rFonts w:ascii="Arial" w:cs="Arial" w:eastAsia="Arial" w:hAnsi="Arial"/>
                <w:sz w:val="12"/>
                <w:szCs w:val="12"/>
                <w:b w:val="1"/>
                <w:bCs w:val="1"/>
                <w:color w:val="FFFFFF"/>
              </w:rPr>
              <w:t>June 30,</w:t>
            </w:r>
          </w:p>
        </w:tc>
        <w:tc>
          <w:tcPr>
            <w:tcW w:w="64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420" w:type="dxa"/>
            <w:vAlign w:val="bottom"/>
            <w:shd w:val="clear" w:color="auto" w:fill="1D2758"/>
          </w:tcPr>
          <w:p>
            <w:pPr>
              <w:spacing w:after="0"/>
              <w:rPr>
                <w:sz w:val="13"/>
                <w:szCs w:val="13"/>
                <w:color w:val="auto"/>
              </w:rPr>
            </w:pPr>
          </w:p>
        </w:tc>
        <w:tc>
          <w:tcPr>
            <w:tcW w:w="2080" w:type="dxa"/>
            <w:vAlign w:val="bottom"/>
            <w:gridSpan w:val="3"/>
            <w:shd w:val="clear" w:color="auto" w:fill="1D2758"/>
          </w:tcPr>
          <w:p>
            <w:pPr>
              <w:jc w:val="right"/>
              <w:ind w:right="359"/>
              <w:spacing w:after="0"/>
              <w:rPr>
                <w:sz w:val="20"/>
                <w:szCs w:val="20"/>
                <w:color w:val="auto"/>
              </w:rPr>
            </w:pPr>
            <w:r>
              <w:rPr>
                <w:rFonts w:ascii="Arial" w:cs="Arial" w:eastAsia="Arial" w:hAnsi="Arial"/>
                <w:sz w:val="12"/>
                <w:szCs w:val="12"/>
                <w:b w:val="1"/>
                <w:bCs w:val="1"/>
                <w:color w:val="FFFFFF"/>
              </w:rPr>
              <w:t>June 30,</w:t>
            </w:r>
          </w:p>
        </w:tc>
        <w:tc>
          <w:tcPr>
            <w:tcW w:w="1160" w:type="dxa"/>
            <w:vAlign w:val="bottom"/>
            <w:shd w:val="clear" w:color="auto" w:fill="1D2758"/>
          </w:tcPr>
          <w:p>
            <w:pPr>
              <w:spacing w:after="0"/>
              <w:rPr>
                <w:sz w:val="13"/>
                <w:szCs w:val="13"/>
                <w:color w:val="auto"/>
              </w:rPr>
            </w:pPr>
          </w:p>
        </w:tc>
      </w:tr>
      <w:tr>
        <w:trPr>
          <w:trHeight w:val="163"/>
        </w:trPr>
        <w:tc>
          <w:tcPr>
            <w:tcW w:w="38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120" w:type="dxa"/>
            <w:vAlign w:val="bottom"/>
            <w:shd w:val="clear" w:color="auto" w:fill="1D2758"/>
          </w:tcPr>
          <w:p>
            <w:pPr>
              <w:jc w:val="right"/>
              <w:ind w:right="39"/>
              <w:spacing w:after="0"/>
              <w:rPr>
                <w:sz w:val="20"/>
                <w:szCs w:val="20"/>
                <w:color w:val="auto"/>
              </w:rPr>
            </w:pPr>
            <w:r>
              <w:rPr>
                <w:rFonts w:ascii="Arial" w:cs="Arial" w:eastAsia="Arial" w:hAnsi="Arial"/>
                <w:sz w:val="12"/>
                <w:szCs w:val="12"/>
                <w:b w:val="1"/>
                <w:bCs w:val="1"/>
                <w:color w:val="FFFFFF"/>
              </w:rPr>
              <w:t>2021</w:t>
            </w:r>
          </w:p>
        </w:tc>
        <w:tc>
          <w:tcPr>
            <w:tcW w:w="6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160" w:type="dxa"/>
            <w:vAlign w:val="bottom"/>
            <w:shd w:val="clear" w:color="auto" w:fill="1D2758"/>
          </w:tcPr>
          <w:p>
            <w:pPr>
              <w:jc w:val="right"/>
              <w:ind w:right="59"/>
              <w:spacing w:after="0"/>
              <w:rPr>
                <w:sz w:val="20"/>
                <w:szCs w:val="20"/>
                <w:color w:val="auto"/>
              </w:rPr>
            </w:pPr>
            <w:r>
              <w:rPr>
                <w:rFonts w:ascii="Arial" w:cs="Arial" w:eastAsia="Arial" w:hAnsi="Arial"/>
                <w:sz w:val="12"/>
                <w:szCs w:val="12"/>
                <w:b w:val="1"/>
                <w:bCs w:val="1"/>
                <w:color w:val="FFFFFF"/>
              </w:rPr>
              <w:t>2020</w:t>
            </w:r>
          </w:p>
        </w:tc>
        <w:tc>
          <w:tcPr>
            <w:tcW w:w="64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1380" w:type="dxa"/>
            <w:vAlign w:val="bottom"/>
            <w:shd w:val="clear" w:color="auto" w:fill="1D2758"/>
          </w:tcPr>
          <w:p>
            <w:pPr>
              <w:jc w:val="right"/>
              <w:ind w:right="719"/>
              <w:spacing w:after="0"/>
              <w:rPr>
                <w:sz w:val="20"/>
                <w:szCs w:val="20"/>
                <w:color w:val="auto"/>
              </w:rPr>
            </w:pPr>
            <w:r>
              <w:rPr>
                <w:rFonts w:ascii="Arial" w:cs="Arial" w:eastAsia="Arial" w:hAnsi="Arial"/>
                <w:sz w:val="12"/>
                <w:szCs w:val="12"/>
                <w:b w:val="1"/>
                <w:bCs w:val="1"/>
                <w:color w:val="FFFFFF"/>
              </w:rPr>
              <w:t>2021</w:t>
            </w:r>
          </w:p>
        </w:tc>
        <w:tc>
          <w:tcPr>
            <w:tcW w:w="80" w:type="dxa"/>
            <w:vAlign w:val="bottom"/>
            <w:shd w:val="clear" w:color="auto" w:fill="1D2758"/>
          </w:tcPr>
          <w:p>
            <w:pPr>
              <w:spacing w:after="0"/>
              <w:rPr>
                <w:sz w:val="14"/>
                <w:szCs w:val="14"/>
                <w:color w:val="auto"/>
              </w:rPr>
            </w:pPr>
          </w:p>
        </w:tc>
        <w:tc>
          <w:tcPr>
            <w:tcW w:w="620" w:type="dxa"/>
            <w:vAlign w:val="bottom"/>
            <w:shd w:val="clear" w:color="auto" w:fill="1D2758"/>
          </w:tcPr>
          <w:p>
            <w:pPr>
              <w:spacing w:after="0"/>
              <w:rPr>
                <w:sz w:val="14"/>
                <w:szCs w:val="14"/>
                <w:color w:val="auto"/>
              </w:rPr>
            </w:pPr>
          </w:p>
        </w:tc>
        <w:tc>
          <w:tcPr>
            <w:tcW w:w="1160" w:type="dxa"/>
            <w:vAlign w:val="bottom"/>
            <w:shd w:val="clear" w:color="auto" w:fill="1D2758"/>
          </w:tcPr>
          <w:p>
            <w:pPr>
              <w:jc w:val="right"/>
              <w:ind w:right="699"/>
              <w:spacing w:after="0"/>
              <w:rPr>
                <w:sz w:val="20"/>
                <w:szCs w:val="20"/>
                <w:color w:val="auto"/>
              </w:rPr>
            </w:pPr>
            <w:r>
              <w:rPr>
                <w:rFonts w:ascii="Arial" w:cs="Arial" w:eastAsia="Arial" w:hAnsi="Arial"/>
                <w:sz w:val="12"/>
                <w:szCs w:val="12"/>
                <w:b w:val="1"/>
                <w:bCs w:val="1"/>
                <w:color w:val="FFFFFF"/>
              </w:rPr>
              <w:t>2020</w:t>
            </w:r>
          </w:p>
        </w:tc>
      </w:tr>
      <w:tr>
        <w:trPr>
          <w:trHeight w:val="161"/>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US</w:t>
            </w:r>
          </w:p>
        </w:tc>
        <w:tc>
          <w:tcPr>
            <w:tcW w:w="1120" w:type="dxa"/>
            <w:vAlign w:val="bottom"/>
            <w:shd w:val="clear" w:color="auto" w:fill="DBDBDB"/>
          </w:tcPr>
          <w:p>
            <w:pPr>
              <w:jc w:val="right"/>
              <w:ind w:right="979"/>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399,280</w:t>
            </w:r>
          </w:p>
        </w:tc>
        <w:tc>
          <w:tcPr>
            <w:tcW w:w="80" w:type="dxa"/>
            <w:vAlign w:val="bottom"/>
            <w:shd w:val="clear" w:color="auto" w:fill="DBDBDB"/>
          </w:tcPr>
          <w:p>
            <w:pPr>
              <w:spacing w:after="0"/>
              <w:rPr>
                <w:sz w:val="14"/>
                <w:szCs w:val="14"/>
                <w:color w:val="auto"/>
              </w:rPr>
            </w:pPr>
          </w:p>
        </w:tc>
        <w:tc>
          <w:tcPr>
            <w:tcW w:w="1160" w:type="dxa"/>
            <w:vAlign w:val="bottom"/>
            <w:shd w:val="clear" w:color="auto" w:fill="DBDBDB"/>
          </w:tcPr>
          <w:p>
            <w:pPr>
              <w:jc w:val="right"/>
              <w:ind w:right="1019"/>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237,613</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jc w:val="right"/>
              <w:ind w:right="279"/>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770,549</w:t>
            </w:r>
          </w:p>
        </w:tc>
        <w:tc>
          <w:tcPr>
            <w:tcW w:w="80" w:type="dxa"/>
            <w:vAlign w:val="bottom"/>
            <w:shd w:val="clear" w:color="auto" w:fill="DBDBDB"/>
          </w:tcPr>
          <w:p>
            <w:pPr>
              <w:spacing w:after="0"/>
              <w:rPr>
                <w:sz w:val="14"/>
                <w:szCs w:val="14"/>
                <w:color w:val="auto"/>
              </w:rPr>
            </w:pPr>
          </w:p>
        </w:tc>
        <w:tc>
          <w:tcPr>
            <w:tcW w:w="620" w:type="dxa"/>
            <w:vAlign w:val="bottom"/>
            <w:shd w:val="clear" w:color="auto" w:fill="DBDBDB"/>
          </w:tcPr>
          <w:p>
            <w:pPr>
              <w:jc w:val="right"/>
              <w:ind w:right="479"/>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472,941</w:t>
            </w: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Canada</w:t>
            </w:r>
          </w:p>
        </w:tc>
        <w:tc>
          <w:tcPr>
            <w:tcW w:w="1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29,543</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16,279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53,127</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32,985</w:t>
            </w: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Mexico</w:t>
            </w:r>
          </w:p>
        </w:tc>
        <w:tc>
          <w:tcPr>
            <w:tcW w:w="1120" w:type="dxa"/>
            <w:vAlign w:val="bottom"/>
            <w:shd w:val="clear" w:color="auto" w:fill="DBDBDB"/>
          </w:tcPr>
          <w:p>
            <w:pPr>
              <w:spacing w:after="0"/>
              <w:rPr>
                <w:sz w:val="14"/>
                <w:szCs w:val="14"/>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3,848</w:t>
            </w:r>
          </w:p>
        </w:tc>
        <w:tc>
          <w:tcPr>
            <w:tcW w:w="8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2,970</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7,311</w:t>
            </w:r>
          </w:p>
        </w:tc>
        <w:tc>
          <w:tcPr>
            <w:tcW w:w="8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6,757</w:t>
            </w: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UK</w:t>
            </w:r>
          </w:p>
        </w:tc>
        <w:tc>
          <w:tcPr>
            <w:tcW w:w="1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28,431</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55,438</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9"/>
        </w:trPr>
        <w:tc>
          <w:tcPr>
            <w:tcW w:w="3880" w:type="dxa"/>
            <w:vAlign w:val="bottom"/>
            <w:tcBorders>
              <w:top w:val="single" w:sz="8" w:color="DBDBDB"/>
              <w:bottom w:val="single" w:sz="8" w:color="DBDBDB"/>
            </w:tcBorders>
            <w:shd w:val="clear" w:color="auto" w:fill="DBDBDB"/>
          </w:tcPr>
          <w:p>
            <w:pPr>
              <w:ind w:left="100"/>
              <w:spacing w:after="0"/>
              <w:rPr>
                <w:sz w:val="20"/>
                <w:szCs w:val="20"/>
                <w:color w:val="auto"/>
              </w:rPr>
            </w:pPr>
            <w:r>
              <w:rPr>
                <w:rFonts w:ascii="Arial" w:cs="Arial" w:eastAsia="Arial" w:hAnsi="Arial"/>
                <w:sz w:val="12"/>
                <w:szCs w:val="12"/>
                <w:color w:val="auto"/>
              </w:rPr>
              <w:t>Total revenues</w:t>
            </w:r>
          </w:p>
        </w:tc>
        <w:tc>
          <w:tcPr>
            <w:tcW w:w="1120" w:type="dxa"/>
            <w:vAlign w:val="bottom"/>
            <w:tcBorders>
              <w:top w:val="single" w:sz="8" w:color="auto"/>
              <w:bottom w:val="single" w:sz="8" w:color="auto"/>
            </w:tcBorders>
            <w:shd w:val="clear" w:color="auto" w:fill="DBDBDB"/>
          </w:tcPr>
          <w:p>
            <w:pPr>
              <w:jc w:val="right"/>
              <w:ind w:right="979"/>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461,102</w:t>
            </w:r>
          </w:p>
        </w:tc>
        <w:tc>
          <w:tcPr>
            <w:tcW w:w="80" w:type="dxa"/>
            <w:vAlign w:val="bottom"/>
            <w:tcBorders>
              <w:top w:val="single" w:sz="8" w:color="DBDBDB"/>
              <w:bottom w:val="single" w:sz="8" w:color="DBDBDB"/>
            </w:tcBorders>
            <w:shd w:val="clear" w:color="auto" w:fill="DBDBDB"/>
          </w:tcPr>
          <w:p>
            <w:pPr>
              <w:spacing w:after="0"/>
              <w:rPr>
                <w:sz w:val="15"/>
                <w:szCs w:val="15"/>
                <w:color w:val="auto"/>
              </w:rPr>
            </w:pPr>
          </w:p>
        </w:tc>
        <w:tc>
          <w:tcPr>
            <w:tcW w:w="1160" w:type="dxa"/>
            <w:vAlign w:val="bottom"/>
            <w:tcBorders>
              <w:top w:val="single" w:sz="8" w:color="auto"/>
              <w:bottom w:val="single" w:sz="8" w:color="auto"/>
            </w:tcBorders>
            <w:shd w:val="clear" w:color="auto" w:fill="DBDBDB"/>
          </w:tcPr>
          <w:p>
            <w:pPr>
              <w:jc w:val="right"/>
              <w:ind w:right="1019"/>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256,862</w:t>
            </w:r>
          </w:p>
        </w:tc>
        <w:tc>
          <w:tcPr>
            <w:tcW w:w="80" w:type="dxa"/>
            <w:vAlign w:val="bottom"/>
            <w:tcBorders>
              <w:top w:val="single" w:sz="8" w:color="DBDBDB"/>
              <w:bottom w:val="single" w:sz="8" w:color="DBDBDB"/>
            </w:tcBorders>
            <w:shd w:val="clear" w:color="auto" w:fill="DBDBDB"/>
          </w:tcPr>
          <w:p>
            <w:pPr>
              <w:spacing w:after="0"/>
              <w:rPr>
                <w:sz w:val="15"/>
                <w:szCs w:val="15"/>
                <w:color w:val="auto"/>
              </w:rPr>
            </w:pPr>
          </w:p>
        </w:tc>
        <w:tc>
          <w:tcPr>
            <w:tcW w:w="420" w:type="dxa"/>
            <w:vAlign w:val="bottom"/>
            <w:tcBorders>
              <w:top w:val="single" w:sz="8" w:color="auto"/>
              <w:bottom w:val="single" w:sz="8" w:color="auto"/>
            </w:tcBorders>
            <w:shd w:val="clear" w:color="auto" w:fill="DBDBDB"/>
          </w:tcPr>
          <w:p>
            <w:pPr>
              <w:jc w:val="right"/>
              <w:ind w:right="279"/>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886,425</w:t>
            </w:r>
          </w:p>
        </w:tc>
        <w:tc>
          <w:tcPr>
            <w:tcW w:w="80" w:type="dxa"/>
            <w:vAlign w:val="bottom"/>
            <w:tcBorders>
              <w:top w:val="single" w:sz="8" w:color="DBDBDB"/>
              <w:bottom w:val="single" w:sz="8" w:color="DBDBDB"/>
            </w:tcBorders>
            <w:shd w:val="clear" w:color="auto" w:fill="DBDBDB"/>
          </w:tcPr>
          <w:p>
            <w:pPr>
              <w:spacing w:after="0"/>
              <w:rPr>
                <w:sz w:val="15"/>
                <w:szCs w:val="15"/>
                <w:color w:val="auto"/>
              </w:rPr>
            </w:pPr>
          </w:p>
        </w:tc>
        <w:tc>
          <w:tcPr>
            <w:tcW w:w="620" w:type="dxa"/>
            <w:vAlign w:val="bottom"/>
            <w:tcBorders>
              <w:top w:val="single" w:sz="8" w:color="auto"/>
              <w:bottom w:val="single" w:sz="8" w:color="auto"/>
            </w:tcBorders>
            <w:shd w:val="clear" w:color="auto" w:fill="DBDBDB"/>
          </w:tcPr>
          <w:p>
            <w:pPr>
              <w:jc w:val="right"/>
              <w:ind w:right="479"/>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512,683</w:t>
            </w:r>
          </w:p>
        </w:tc>
      </w:tr>
      <w:tr>
        <w:trPr>
          <w:trHeight w:val="20"/>
        </w:trPr>
        <w:tc>
          <w:tcPr>
            <w:tcW w:w="388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Major Product and Service Lines</w:t>
      </w:r>
    </w:p>
    <w:p>
      <w:pPr>
        <w:spacing w:after="0" w:line="58"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Equipment leasing is the Company's core business. This includes rental modular space, portable space and tank and pump units along with value added products and services ("VAPS"), which include furniture, steps, ramps, basic appliances, internet connectivity devices, and other items used by customers in connection with the Company's products. Leasing is complemented by new unit sales and sales of rental units. In connection with its leasing and sales activities, the Company provides services including delivery and installation, maintenance and ad hoc services and removal services at the end of lease transactions.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0" w:type="dxa"/>
            <w:vAlign w:val="bottom"/>
          </w:tcPr>
          <w:p>
            <w:pPr>
              <w:ind w:left="480"/>
              <w:spacing w:after="0"/>
              <w:rPr>
                <w:sz w:val="20"/>
                <w:szCs w:val="20"/>
                <w:color w:val="auto"/>
              </w:rPr>
            </w:pPr>
            <w:r>
              <w:rPr>
                <w:rFonts w:ascii="Arial" w:cs="Arial" w:eastAsia="Arial" w:hAnsi="Arial"/>
                <w:sz w:val="12"/>
                <w:szCs w:val="12"/>
                <w:color w:val="auto"/>
              </w:rPr>
              <w:t>The</w:t>
            </w:r>
          </w:p>
        </w:tc>
        <w:tc>
          <w:tcPr>
            <w:tcW w:w="1040" w:type="dxa"/>
            <w:vAlign w:val="bottom"/>
          </w:tcPr>
          <w:p>
            <w:pPr>
              <w:jc w:val="right"/>
              <w:ind w:right="179"/>
              <w:spacing w:after="0"/>
              <w:rPr>
                <w:sz w:val="20"/>
                <w:szCs w:val="20"/>
                <w:color w:val="auto"/>
              </w:rPr>
            </w:pPr>
            <w:r>
              <w:rPr>
                <w:rFonts w:ascii="Arial" w:cs="Arial" w:eastAsia="Arial" w:hAnsi="Arial"/>
                <w:sz w:val="12"/>
                <w:szCs w:val="12"/>
                <w:color w:val="auto"/>
              </w:rPr>
              <w:t>Company’s</w:t>
            </w:r>
          </w:p>
        </w:tc>
        <w:tc>
          <w:tcPr>
            <w:tcW w:w="580" w:type="dxa"/>
            <w:vAlign w:val="bottom"/>
          </w:tcPr>
          <w:p>
            <w:pPr>
              <w:spacing w:after="0"/>
              <w:rPr>
                <w:sz w:val="20"/>
                <w:szCs w:val="20"/>
                <w:color w:val="auto"/>
              </w:rPr>
            </w:pPr>
            <w:r>
              <w:rPr>
                <w:rFonts w:ascii="Arial" w:cs="Arial" w:eastAsia="Arial" w:hAnsi="Arial"/>
                <w:sz w:val="12"/>
                <w:szCs w:val="12"/>
                <w:color w:val="auto"/>
              </w:rPr>
              <w:t>revenue</w:t>
            </w:r>
          </w:p>
        </w:tc>
        <w:tc>
          <w:tcPr>
            <w:tcW w:w="380" w:type="dxa"/>
            <w:vAlign w:val="bottom"/>
          </w:tcPr>
          <w:p>
            <w:pPr>
              <w:ind w:left="80"/>
              <w:spacing w:after="0"/>
              <w:rPr>
                <w:sz w:val="20"/>
                <w:szCs w:val="20"/>
                <w:color w:val="auto"/>
              </w:rPr>
            </w:pPr>
            <w:r>
              <w:rPr>
                <w:rFonts w:ascii="Arial" w:cs="Arial" w:eastAsia="Arial" w:hAnsi="Arial"/>
                <w:sz w:val="12"/>
                <w:szCs w:val="12"/>
                <w:color w:val="auto"/>
              </w:rPr>
              <w:t>by</w:t>
            </w:r>
          </w:p>
        </w:tc>
        <w:tc>
          <w:tcPr>
            <w:tcW w:w="480" w:type="dxa"/>
            <w:vAlign w:val="bottom"/>
            <w:gridSpan w:val="2"/>
          </w:tcPr>
          <w:p>
            <w:pPr>
              <w:ind w:left="60"/>
              <w:spacing w:after="0"/>
              <w:rPr>
                <w:sz w:val="20"/>
                <w:szCs w:val="20"/>
                <w:color w:val="auto"/>
              </w:rPr>
            </w:pPr>
            <w:r>
              <w:rPr>
                <w:rFonts w:ascii="Arial" w:cs="Arial" w:eastAsia="Arial" w:hAnsi="Arial"/>
                <w:sz w:val="12"/>
                <w:szCs w:val="12"/>
                <w:color w:val="auto"/>
              </w:rPr>
              <w:t>major</w:t>
            </w:r>
          </w:p>
        </w:tc>
        <w:tc>
          <w:tcPr>
            <w:tcW w:w="640" w:type="dxa"/>
            <w:vAlign w:val="bottom"/>
          </w:tcPr>
          <w:p>
            <w:pPr>
              <w:jc w:val="right"/>
              <w:ind w:right="59"/>
              <w:spacing w:after="0"/>
              <w:rPr>
                <w:sz w:val="20"/>
                <w:szCs w:val="20"/>
                <w:color w:val="auto"/>
              </w:rPr>
            </w:pPr>
            <w:r>
              <w:rPr>
                <w:rFonts w:ascii="Arial" w:cs="Arial" w:eastAsia="Arial" w:hAnsi="Arial"/>
                <w:sz w:val="12"/>
                <w:szCs w:val="12"/>
                <w:color w:val="auto"/>
              </w:rPr>
              <w:t>product</w:t>
            </w:r>
          </w:p>
        </w:tc>
        <w:tc>
          <w:tcPr>
            <w:tcW w:w="520" w:type="dxa"/>
            <w:vAlign w:val="bottom"/>
          </w:tcPr>
          <w:p>
            <w:pPr>
              <w:jc w:val="right"/>
              <w:ind w:right="159"/>
              <w:spacing w:after="0"/>
              <w:rPr>
                <w:sz w:val="20"/>
                <w:szCs w:val="20"/>
                <w:color w:val="auto"/>
              </w:rPr>
            </w:pPr>
            <w:r>
              <w:rPr>
                <w:rFonts w:ascii="Arial" w:cs="Arial" w:eastAsia="Arial" w:hAnsi="Arial"/>
                <w:sz w:val="12"/>
                <w:szCs w:val="12"/>
                <w:color w:val="auto"/>
              </w:rPr>
              <w:t>and</w:t>
            </w:r>
          </w:p>
        </w:tc>
        <w:tc>
          <w:tcPr>
            <w:tcW w:w="600" w:type="dxa"/>
            <w:vAlign w:val="bottom"/>
          </w:tcPr>
          <w:p>
            <w:pPr>
              <w:jc w:val="right"/>
              <w:ind w:right="139"/>
              <w:spacing w:after="0"/>
              <w:rPr>
                <w:sz w:val="20"/>
                <w:szCs w:val="20"/>
                <w:color w:val="auto"/>
              </w:rPr>
            </w:pPr>
            <w:r>
              <w:rPr>
                <w:rFonts w:ascii="Arial" w:cs="Arial" w:eastAsia="Arial" w:hAnsi="Arial"/>
                <w:sz w:val="12"/>
                <w:szCs w:val="12"/>
                <w:color w:val="auto"/>
                <w:w w:val="99"/>
              </w:rPr>
              <w:t>service</w:t>
            </w:r>
          </w:p>
        </w:tc>
        <w:tc>
          <w:tcPr>
            <w:tcW w:w="360" w:type="dxa"/>
            <w:vAlign w:val="bottom"/>
            <w:gridSpan w:val="2"/>
          </w:tcPr>
          <w:p>
            <w:pPr>
              <w:ind w:left="40"/>
              <w:spacing w:after="0"/>
              <w:rPr>
                <w:sz w:val="20"/>
                <w:szCs w:val="20"/>
                <w:color w:val="auto"/>
              </w:rPr>
            </w:pPr>
            <w:r>
              <w:rPr>
                <w:rFonts w:ascii="Arial" w:cs="Arial" w:eastAsia="Arial" w:hAnsi="Arial"/>
                <w:sz w:val="12"/>
                <w:szCs w:val="12"/>
                <w:color w:val="auto"/>
              </w:rPr>
              <w:t>line</w:t>
            </w:r>
          </w:p>
        </w:tc>
        <w:tc>
          <w:tcPr>
            <w:tcW w:w="380" w:type="dxa"/>
            <w:vAlign w:val="bottom"/>
          </w:tcPr>
          <w:p>
            <w:pPr>
              <w:jc w:val="right"/>
              <w:ind w:right="99"/>
              <w:spacing w:after="0"/>
              <w:rPr>
                <w:sz w:val="20"/>
                <w:szCs w:val="20"/>
                <w:color w:val="auto"/>
              </w:rPr>
            </w:pPr>
            <w:r>
              <w:rPr>
                <w:rFonts w:ascii="Arial" w:cs="Arial" w:eastAsia="Arial" w:hAnsi="Arial"/>
                <w:sz w:val="12"/>
                <w:szCs w:val="12"/>
                <w:color w:val="auto"/>
              </w:rPr>
              <w:t>for</w:t>
            </w:r>
          </w:p>
        </w:tc>
        <w:tc>
          <w:tcPr>
            <w:tcW w:w="360" w:type="dxa"/>
            <w:vAlign w:val="bottom"/>
          </w:tcPr>
          <w:p>
            <w:pPr>
              <w:ind w:left="80"/>
              <w:spacing w:after="0"/>
              <w:rPr>
                <w:sz w:val="20"/>
                <w:szCs w:val="20"/>
                <w:color w:val="auto"/>
              </w:rPr>
            </w:pPr>
            <w:r>
              <w:rPr>
                <w:rFonts w:ascii="Arial" w:cs="Arial" w:eastAsia="Arial" w:hAnsi="Arial"/>
                <w:sz w:val="12"/>
                <w:szCs w:val="12"/>
                <w:color w:val="auto"/>
              </w:rPr>
              <w:t>the</w:t>
            </w:r>
          </w:p>
        </w:tc>
        <w:tc>
          <w:tcPr>
            <w:tcW w:w="460" w:type="dxa"/>
            <w:vAlign w:val="bottom"/>
          </w:tcPr>
          <w:p>
            <w:pPr>
              <w:ind w:left="120"/>
              <w:spacing w:after="0"/>
              <w:rPr>
                <w:sz w:val="20"/>
                <w:szCs w:val="20"/>
                <w:color w:val="auto"/>
              </w:rPr>
            </w:pPr>
            <w:r>
              <w:rPr>
                <w:rFonts w:ascii="Arial" w:cs="Arial" w:eastAsia="Arial" w:hAnsi="Arial"/>
                <w:sz w:val="12"/>
                <w:szCs w:val="12"/>
                <w:color w:val="auto"/>
              </w:rPr>
              <w:t>three</w:t>
            </w:r>
          </w:p>
        </w:tc>
        <w:tc>
          <w:tcPr>
            <w:tcW w:w="560" w:type="dxa"/>
            <w:vAlign w:val="bottom"/>
          </w:tcPr>
          <w:p>
            <w:pPr>
              <w:jc w:val="right"/>
              <w:ind w:right="139"/>
              <w:spacing w:after="0"/>
              <w:rPr>
                <w:sz w:val="20"/>
                <w:szCs w:val="20"/>
                <w:color w:val="auto"/>
              </w:rPr>
            </w:pPr>
            <w:r>
              <w:rPr>
                <w:rFonts w:ascii="Arial" w:cs="Arial" w:eastAsia="Arial" w:hAnsi="Arial"/>
                <w:sz w:val="12"/>
                <w:szCs w:val="12"/>
                <w:color w:val="auto"/>
              </w:rPr>
              <w:t>and</w:t>
            </w:r>
          </w:p>
        </w:tc>
        <w:tc>
          <w:tcPr>
            <w:tcW w:w="300" w:type="dxa"/>
            <w:vAlign w:val="bottom"/>
            <w:gridSpan w:val="2"/>
          </w:tcPr>
          <w:p>
            <w:pPr>
              <w:ind w:left="40"/>
              <w:spacing w:after="0"/>
              <w:rPr>
                <w:sz w:val="20"/>
                <w:szCs w:val="20"/>
                <w:color w:val="auto"/>
              </w:rPr>
            </w:pPr>
            <w:r>
              <w:rPr>
                <w:rFonts w:ascii="Arial" w:cs="Arial" w:eastAsia="Arial" w:hAnsi="Arial"/>
                <w:sz w:val="12"/>
                <w:szCs w:val="12"/>
                <w:color w:val="auto"/>
              </w:rPr>
              <w:t>six</w:t>
            </w:r>
          </w:p>
        </w:tc>
        <w:tc>
          <w:tcPr>
            <w:tcW w:w="620" w:type="dxa"/>
            <w:vAlign w:val="bottom"/>
          </w:tcPr>
          <w:p>
            <w:pPr>
              <w:jc w:val="center"/>
              <w:spacing w:after="0"/>
              <w:rPr>
                <w:sz w:val="20"/>
                <w:szCs w:val="20"/>
                <w:color w:val="auto"/>
              </w:rPr>
            </w:pPr>
            <w:r>
              <w:rPr>
                <w:rFonts w:ascii="Arial" w:cs="Arial" w:eastAsia="Arial" w:hAnsi="Arial"/>
                <w:sz w:val="12"/>
                <w:szCs w:val="12"/>
                <w:color w:val="auto"/>
                <w:w w:val="96"/>
              </w:rPr>
              <w:t>months</w:t>
            </w:r>
          </w:p>
        </w:tc>
        <w:tc>
          <w:tcPr>
            <w:tcW w:w="620" w:type="dxa"/>
            <w:vAlign w:val="bottom"/>
          </w:tcPr>
          <w:p>
            <w:pPr>
              <w:jc w:val="right"/>
              <w:ind w:right="99"/>
              <w:spacing w:after="0"/>
              <w:rPr>
                <w:sz w:val="20"/>
                <w:szCs w:val="20"/>
                <w:color w:val="auto"/>
              </w:rPr>
            </w:pPr>
            <w:r>
              <w:rPr>
                <w:rFonts w:ascii="Arial" w:cs="Arial" w:eastAsia="Arial" w:hAnsi="Arial"/>
                <w:sz w:val="12"/>
                <w:szCs w:val="12"/>
                <w:color w:val="auto"/>
              </w:rPr>
              <w:t>ended</w:t>
            </w:r>
          </w:p>
        </w:tc>
        <w:tc>
          <w:tcPr>
            <w:tcW w:w="540" w:type="dxa"/>
            <w:vAlign w:val="bottom"/>
          </w:tcPr>
          <w:p>
            <w:pPr>
              <w:jc w:val="right"/>
              <w:ind w:right="159"/>
              <w:spacing w:after="0"/>
              <w:rPr>
                <w:sz w:val="20"/>
                <w:szCs w:val="20"/>
                <w:color w:val="auto"/>
              </w:rPr>
            </w:pPr>
            <w:r>
              <w:rPr>
                <w:rFonts w:ascii="Arial" w:cs="Arial" w:eastAsia="Arial" w:hAnsi="Arial"/>
                <w:sz w:val="12"/>
                <w:szCs w:val="12"/>
                <w:color w:val="auto"/>
              </w:rPr>
              <w:t>June</w:t>
            </w:r>
          </w:p>
        </w:tc>
        <w:tc>
          <w:tcPr>
            <w:tcW w:w="360" w:type="dxa"/>
            <w:vAlign w:val="bottom"/>
            <w:gridSpan w:val="3"/>
          </w:tcPr>
          <w:p>
            <w:pPr>
              <w:jc w:val="right"/>
              <w:ind w:right="180"/>
              <w:spacing w:after="0"/>
              <w:rPr>
                <w:sz w:val="20"/>
                <w:szCs w:val="20"/>
                <w:color w:val="auto"/>
              </w:rPr>
            </w:pPr>
            <w:r>
              <w:rPr>
                <w:rFonts w:ascii="Arial" w:cs="Arial" w:eastAsia="Arial" w:hAnsi="Arial"/>
                <w:sz w:val="12"/>
                <w:szCs w:val="12"/>
                <w:color w:val="auto"/>
                <w:w w:val="95"/>
              </w:rPr>
              <w:t>30,</w:t>
            </w:r>
          </w:p>
        </w:tc>
        <w:tc>
          <w:tcPr>
            <w:tcW w:w="500" w:type="dxa"/>
            <w:vAlign w:val="bottom"/>
          </w:tcPr>
          <w:p>
            <w:pPr>
              <w:jc w:val="right"/>
              <w:ind w:right="119"/>
              <w:spacing w:after="0"/>
              <w:rPr>
                <w:sz w:val="20"/>
                <w:szCs w:val="20"/>
                <w:color w:val="auto"/>
              </w:rPr>
            </w:pPr>
            <w:r>
              <w:rPr>
                <w:rFonts w:ascii="Arial" w:cs="Arial" w:eastAsia="Arial" w:hAnsi="Arial"/>
                <w:sz w:val="12"/>
                <w:szCs w:val="12"/>
                <w:color w:val="auto"/>
              </w:rPr>
              <w:t>2021</w:t>
            </w:r>
          </w:p>
        </w:tc>
        <w:tc>
          <w:tcPr>
            <w:tcW w:w="320" w:type="dxa"/>
            <w:vAlign w:val="bottom"/>
          </w:tcPr>
          <w:p>
            <w:pPr>
              <w:ind w:left="60"/>
              <w:spacing w:after="0"/>
              <w:rPr>
                <w:sz w:val="20"/>
                <w:szCs w:val="20"/>
                <w:color w:val="auto"/>
              </w:rPr>
            </w:pPr>
            <w:r>
              <w:rPr>
                <w:rFonts w:ascii="Arial" w:cs="Arial" w:eastAsia="Arial" w:hAnsi="Arial"/>
                <w:sz w:val="12"/>
                <w:szCs w:val="12"/>
                <w:color w:val="auto"/>
              </w:rPr>
              <w:t>was</w:t>
            </w:r>
          </w:p>
        </w:tc>
        <w:tc>
          <w:tcPr>
            <w:tcW w:w="380" w:type="dxa"/>
            <w:vAlign w:val="bottom"/>
          </w:tcPr>
          <w:p>
            <w:pPr>
              <w:jc w:val="right"/>
              <w:ind w:right="19"/>
              <w:spacing w:after="0"/>
              <w:rPr>
                <w:sz w:val="20"/>
                <w:szCs w:val="20"/>
                <w:color w:val="auto"/>
              </w:rPr>
            </w:pPr>
            <w:r>
              <w:rPr>
                <w:rFonts w:ascii="Arial" w:cs="Arial" w:eastAsia="Arial" w:hAnsi="Arial"/>
                <w:sz w:val="12"/>
                <w:szCs w:val="12"/>
                <w:color w:val="auto"/>
              </w:rPr>
              <w:t>as</w:t>
            </w:r>
          </w:p>
        </w:tc>
        <w:tc>
          <w:tcPr>
            <w:tcW w:w="560" w:type="dxa"/>
            <w:vAlign w:val="bottom"/>
          </w:tcPr>
          <w:p>
            <w:pPr>
              <w:jc w:val="right"/>
              <w:spacing w:after="0"/>
              <w:rPr>
                <w:sz w:val="20"/>
                <w:szCs w:val="20"/>
                <w:color w:val="auto"/>
              </w:rPr>
            </w:pPr>
            <w:r>
              <w:rPr>
                <w:rFonts w:ascii="Arial" w:cs="Arial" w:eastAsia="Arial" w:hAnsi="Arial"/>
                <w:sz w:val="12"/>
                <w:szCs w:val="12"/>
                <w:color w:val="auto"/>
              </w:rPr>
              <w:t>follows:</w:t>
            </w:r>
          </w:p>
        </w:tc>
      </w:tr>
      <w:tr>
        <w:trPr>
          <w:trHeight w:val="128"/>
        </w:trPr>
        <w:tc>
          <w:tcPr>
            <w:tcW w:w="720" w:type="dxa"/>
            <w:vAlign w:val="bottom"/>
            <w:shd w:val="clear" w:color="auto" w:fill="1D2758"/>
          </w:tcPr>
          <w:p>
            <w:pPr>
              <w:spacing w:after="0"/>
              <w:rPr>
                <w:sz w:val="11"/>
                <w:szCs w:val="11"/>
                <w:color w:val="auto"/>
              </w:rPr>
            </w:pPr>
          </w:p>
        </w:tc>
        <w:tc>
          <w:tcPr>
            <w:tcW w:w="1040" w:type="dxa"/>
            <w:vAlign w:val="bottom"/>
            <w:shd w:val="clear" w:color="auto" w:fill="1D2758"/>
          </w:tcPr>
          <w:p>
            <w:pPr>
              <w:spacing w:after="0"/>
              <w:rPr>
                <w:sz w:val="11"/>
                <w:szCs w:val="11"/>
                <w:color w:val="auto"/>
              </w:rPr>
            </w:pPr>
          </w:p>
        </w:tc>
        <w:tc>
          <w:tcPr>
            <w:tcW w:w="580" w:type="dxa"/>
            <w:vAlign w:val="bottom"/>
            <w:shd w:val="clear" w:color="auto" w:fill="1D2758"/>
          </w:tcPr>
          <w:p>
            <w:pPr>
              <w:spacing w:after="0"/>
              <w:rPr>
                <w:sz w:val="11"/>
                <w:szCs w:val="11"/>
                <w:color w:val="auto"/>
              </w:rPr>
            </w:pPr>
          </w:p>
        </w:tc>
        <w:tc>
          <w:tcPr>
            <w:tcW w:w="380" w:type="dxa"/>
            <w:vAlign w:val="bottom"/>
            <w:shd w:val="clear" w:color="auto" w:fill="1D2758"/>
          </w:tcPr>
          <w:p>
            <w:pPr>
              <w:spacing w:after="0"/>
              <w:rPr>
                <w:sz w:val="11"/>
                <w:szCs w:val="11"/>
                <w:color w:val="auto"/>
              </w:rPr>
            </w:pPr>
          </w:p>
        </w:tc>
        <w:tc>
          <w:tcPr>
            <w:tcW w:w="220" w:type="dxa"/>
            <w:vAlign w:val="bottom"/>
            <w:shd w:val="clear" w:color="auto" w:fill="1D2758"/>
          </w:tcPr>
          <w:p>
            <w:pPr>
              <w:spacing w:after="0"/>
              <w:rPr>
                <w:sz w:val="11"/>
                <w:szCs w:val="11"/>
                <w:color w:val="auto"/>
              </w:rPr>
            </w:pPr>
          </w:p>
        </w:tc>
        <w:tc>
          <w:tcPr>
            <w:tcW w:w="260" w:type="dxa"/>
            <w:vAlign w:val="bottom"/>
            <w:shd w:val="clear" w:color="auto" w:fill="1D2758"/>
          </w:tcPr>
          <w:p>
            <w:pPr>
              <w:spacing w:after="0"/>
              <w:rPr>
                <w:sz w:val="11"/>
                <w:szCs w:val="11"/>
                <w:color w:val="auto"/>
              </w:rPr>
            </w:pPr>
          </w:p>
        </w:tc>
        <w:tc>
          <w:tcPr>
            <w:tcW w:w="640" w:type="dxa"/>
            <w:vAlign w:val="bottom"/>
            <w:shd w:val="clear" w:color="auto" w:fill="1D2758"/>
          </w:tcPr>
          <w:p>
            <w:pPr>
              <w:spacing w:after="0"/>
              <w:rPr>
                <w:sz w:val="11"/>
                <w:szCs w:val="11"/>
                <w:color w:val="auto"/>
              </w:rPr>
            </w:pPr>
          </w:p>
        </w:tc>
        <w:tc>
          <w:tcPr>
            <w:tcW w:w="520" w:type="dxa"/>
            <w:vAlign w:val="bottom"/>
            <w:shd w:val="clear" w:color="auto" w:fill="1D2758"/>
          </w:tcPr>
          <w:p>
            <w:pPr>
              <w:spacing w:after="0"/>
              <w:rPr>
                <w:sz w:val="11"/>
                <w:szCs w:val="11"/>
                <w:color w:val="auto"/>
              </w:rPr>
            </w:pPr>
          </w:p>
        </w:tc>
        <w:tc>
          <w:tcPr>
            <w:tcW w:w="1700" w:type="dxa"/>
            <w:vAlign w:val="bottom"/>
            <w:gridSpan w:val="5"/>
            <w:shd w:val="clear" w:color="auto" w:fill="1D2758"/>
          </w:tcPr>
          <w:p>
            <w:pPr>
              <w:ind w:left="300"/>
              <w:spacing w:after="0" w:line="129" w:lineRule="exact"/>
              <w:rPr>
                <w:sz w:val="20"/>
                <w:szCs w:val="20"/>
                <w:color w:val="auto"/>
              </w:rPr>
            </w:pPr>
            <w:r>
              <w:rPr>
                <w:rFonts w:ascii="Arial" w:cs="Arial" w:eastAsia="Arial" w:hAnsi="Arial"/>
                <w:sz w:val="12"/>
                <w:szCs w:val="12"/>
                <w:b w:val="1"/>
                <w:bCs w:val="1"/>
                <w:color w:val="FFFFFF"/>
              </w:rPr>
              <w:t>Three Months Ended</w:t>
            </w:r>
          </w:p>
        </w:tc>
        <w:tc>
          <w:tcPr>
            <w:tcW w:w="460" w:type="dxa"/>
            <w:vAlign w:val="bottom"/>
            <w:shd w:val="clear" w:color="auto" w:fill="1D2758"/>
          </w:tcPr>
          <w:p>
            <w:pPr>
              <w:spacing w:after="0"/>
              <w:rPr>
                <w:sz w:val="11"/>
                <w:szCs w:val="11"/>
                <w:color w:val="auto"/>
              </w:rPr>
            </w:pPr>
          </w:p>
        </w:tc>
        <w:tc>
          <w:tcPr>
            <w:tcW w:w="560" w:type="dxa"/>
            <w:vAlign w:val="bottom"/>
            <w:shd w:val="clear" w:color="auto" w:fill="1D2758"/>
          </w:tcPr>
          <w:p>
            <w:pPr>
              <w:spacing w:after="0"/>
              <w:rPr>
                <w:sz w:val="11"/>
                <w:szCs w:val="11"/>
                <w:color w:val="auto"/>
              </w:rPr>
            </w:pPr>
          </w:p>
        </w:tc>
        <w:tc>
          <w:tcPr>
            <w:tcW w:w="80" w:type="dxa"/>
            <w:vAlign w:val="bottom"/>
            <w:shd w:val="clear" w:color="auto" w:fill="1D2758"/>
          </w:tcPr>
          <w:p>
            <w:pPr>
              <w:spacing w:after="0"/>
              <w:rPr>
                <w:sz w:val="11"/>
                <w:szCs w:val="11"/>
                <w:color w:val="auto"/>
              </w:rPr>
            </w:pPr>
          </w:p>
        </w:tc>
        <w:tc>
          <w:tcPr>
            <w:tcW w:w="220" w:type="dxa"/>
            <w:vAlign w:val="bottom"/>
            <w:shd w:val="clear" w:color="auto" w:fill="1D2758"/>
          </w:tcPr>
          <w:p>
            <w:pPr>
              <w:spacing w:after="0"/>
              <w:rPr>
                <w:sz w:val="11"/>
                <w:szCs w:val="11"/>
                <w:color w:val="auto"/>
              </w:rPr>
            </w:pPr>
          </w:p>
        </w:tc>
        <w:tc>
          <w:tcPr>
            <w:tcW w:w="620" w:type="dxa"/>
            <w:vAlign w:val="bottom"/>
            <w:shd w:val="clear" w:color="auto" w:fill="1D2758"/>
          </w:tcPr>
          <w:p>
            <w:pPr>
              <w:spacing w:after="0"/>
              <w:rPr>
                <w:sz w:val="11"/>
                <w:szCs w:val="11"/>
                <w:color w:val="auto"/>
              </w:rPr>
            </w:pPr>
          </w:p>
        </w:tc>
        <w:tc>
          <w:tcPr>
            <w:tcW w:w="620" w:type="dxa"/>
            <w:vAlign w:val="bottom"/>
            <w:shd w:val="clear" w:color="auto" w:fill="1D2758"/>
          </w:tcPr>
          <w:p>
            <w:pPr>
              <w:spacing w:after="0"/>
              <w:rPr>
                <w:sz w:val="11"/>
                <w:szCs w:val="11"/>
                <w:color w:val="auto"/>
              </w:rPr>
            </w:pPr>
          </w:p>
        </w:tc>
        <w:tc>
          <w:tcPr>
            <w:tcW w:w="1400" w:type="dxa"/>
            <w:vAlign w:val="bottom"/>
            <w:gridSpan w:val="5"/>
            <w:shd w:val="clear" w:color="auto" w:fill="1D2758"/>
          </w:tcPr>
          <w:p>
            <w:pPr>
              <w:jc w:val="right"/>
              <w:spacing w:after="0" w:line="129" w:lineRule="exact"/>
              <w:rPr>
                <w:sz w:val="20"/>
                <w:szCs w:val="20"/>
                <w:color w:val="auto"/>
              </w:rPr>
            </w:pPr>
            <w:r>
              <w:rPr>
                <w:rFonts w:ascii="Arial" w:cs="Arial" w:eastAsia="Arial" w:hAnsi="Arial"/>
                <w:sz w:val="12"/>
                <w:szCs w:val="12"/>
                <w:b w:val="1"/>
                <w:bCs w:val="1"/>
                <w:color w:val="FFFFFF"/>
              </w:rPr>
              <w:t>Six Months Ended</w:t>
            </w:r>
          </w:p>
        </w:tc>
        <w:tc>
          <w:tcPr>
            <w:tcW w:w="320" w:type="dxa"/>
            <w:vAlign w:val="bottom"/>
            <w:shd w:val="clear" w:color="auto" w:fill="1D2758"/>
          </w:tcPr>
          <w:p>
            <w:pPr>
              <w:spacing w:after="0"/>
              <w:rPr>
                <w:sz w:val="11"/>
                <w:szCs w:val="11"/>
                <w:color w:val="auto"/>
              </w:rPr>
            </w:pPr>
          </w:p>
        </w:tc>
        <w:tc>
          <w:tcPr>
            <w:tcW w:w="380" w:type="dxa"/>
            <w:vAlign w:val="bottom"/>
            <w:shd w:val="clear" w:color="auto" w:fill="1D2758"/>
          </w:tcPr>
          <w:p>
            <w:pPr>
              <w:spacing w:after="0"/>
              <w:rPr>
                <w:sz w:val="11"/>
                <w:szCs w:val="11"/>
                <w:color w:val="auto"/>
              </w:rPr>
            </w:pPr>
          </w:p>
        </w:tc>
        <w:tc>
          <w:tcPr>
            <w:tcW w:w="560" w:type="dxa"/>
            <w:vAlign w:val="bottom"/>
            <w:shd w:val="clear" w:color="auto" w:fill="1D2758"/>
          </w:tcPr>
          <w:p>
            <w:pPr>
              <w:spacing w:after="0"/>
              <w:rPr>
                <w:sz w:val="11"/>
                <w:szCs w:val="11"/>
                <w:color w:val="auto"/>
              </w:rPr>
            </w:pPr>
          </w:p>
        </w:tc>
      </w:tr>
      <w:tr>
        <w:trPr>
          <w:trHeight w:val="160"/>
        </w:trPr>
        <w:tc>
          <w:tcPr>
            <w:tcW w:w="720" w:type="dxa"/>
            <w:vAlign w:val="bottom"/>
            <w:shd w:val="clear" w:color="auto" w:fill="1D2758"/>
          </w:tcPr>
          <w:p>
            <w:pPr>
              <w:spacing w:after="0"/>
              <w:rPr>
                <w:sz w:val="13"/>
                <w:szCs w:val="13"/>
                <w:color w:val="auto"/>
              </w:rPr>
            </w:pPr>
          </w:p>
        </w:tc>
        <w:tc>
          <w:tcPr>
            <w:tcW w:w="1040" w:type="dxa"/>
            <w:vAlign w:val="bottom"/>
            <w:shd w:val="clear" w:color="auto" w:fill="1D2758"/>
          </w:tcPr>
          <w:p>
            <w:pPr>
              <w:spacing w:after="0"/>
              <w:rPr>
                <w:sz w:val="13"/>
                <w:szCs w:val="13"/>
                <w:color w:val="auto"/>
              </w:rPr>
            </w:pPr>
          </w:p>
        </w:tc>
        <w:tc>
          <w:tcPr>
            <w:tcW w:w="580" w:type="dxa"/>
            <w:vAlign w:val="bottom"/>
            <w:shd w:val="clear" w:color="auto" w:fill="1D2758"/>
          </w:tcPr>
          <w:p>
            <w:pPr>
              <w:spacing w:after="0"/>
              <w:rPr>
                <w:sz w:val="13"/>
                <w:szCs w:val="13"/>
                <w:color w:val="auto"/>
              </w:rPr>
            </w:pPr>
          </w:p>
        </w:tc>
        <w:tc>
          <w:tcPr>
            <w:tcW w:w="380" w:type="dxa"/>
            <w:vAlign w:val="bottom"/>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260" w:type="dxa"/>
            <w:vAlign w:val="bottom"/>
            <w:shd w:val="clear" w:color="auto" w:fill="1D2758"/>
          </w:tcPr>
          <w:p>
            <w:pPr>
              <w:spacing w:after="0"/>
              <w:rPr>
                <w:sz w:val="13"/>
                <w:szCs w:val="13"/>
                <w:color w:val="auto"/>
              </w:rPr>
            </w:pPr>
          </w:p>
        </w:tc>
        <w:tc>
          <w:tcPr>
            <w:tcW w:w="640" w:type="dxa"/>
            <w:vAlign w:val="bottom"/>
            <w:shd w:val="clear" w:color="auto" w:fill="1D2758"/>
          </w:tcPr>
          <w:p>
            <w:pPr>
              <w:spacing w:after="0"/>
              <w:rPr>
                <w:sz w:val="13"/>
                <w:szCs w:val="13"/>
                <w:color w:val="auto"/>
              </w:rPr>
            </w:pPr>
          </w:p>
        </w:tc>
        <w:tc>
          <w:tcPr>
            <w:tcW w:w="520" w:type="dxa"/>
            <w:vAlign w:val="bottom"/>
            <w:shd w:val="clear" w:color="auto" w:fill="1D2758"/>
          </w:tcPr>
          <w:p>
            <w:pPr>
              <w:spacing w:after="0"/>
              <w:rPr>
                <w:sz w:val="13"/>
                <w:szCs w:val="13"/>
                <w:color w:val="auto"/>
              </w:rPr>
            </w:pPr>
          </w:p>
        </w:tc>
        <w:tc>
          <w:tcPr>
            <w:tcW w:w="960" w:type="dxa"/>
            <w:vAlign w:val="bottom"/>
            <w:gridSpan w:val="3"/>
            <w:shd w:val="clear" w:color="auto" w:fill="1D2758"/>
          </w:tcPr>
          <w:p>
            <w:pPr>
              <w:ind w:left="400"/>
              <w:spacing w:after="0"/>
              <w:rPr>
                <w:sz w:val="20"/>
                <w:szCs w:val="20"/>
                <w:color w:val="auto"/>
              </w:rPr>
            </w:pPr>
            <w:r>
              <w:rPr>
                <w:rFonts w:ascii="Arial" w:cs="Arial" w:eastAsia="Arial" w:hAnsi="Arial"/>
                <w:sz w:val="12"/>
                <w:szCs w:val="12"/>
                <w:b w:val="1"/>
                <w:bCs w:val="1"/>
                <w:color w:val="FFFFFF"/>
              </w:rPr>
              <w:t>June 30,</w:t>
            </w:r>
          </w:p>
        </w:tc>
        <w:tc>
          <w:tcPr>
            <w:tcW w:w="380" w:type="dxa"/>
            <w:vAlign w:val="bottom"/>
            <w:shd w:val="clear" w:color="auto" w:fill="1D2758"/>
          </w:tcPr>
          <w:p>
            <w:pPr>
              <w:spacing w:after="0"/>
              <w:rPr>
                <w:sz w:val="13"/>
                <w:szCs w:val="13"/>
                <w:color w:val="auto"/>
              </w:rPr>
            </w:pPr>
          </w:p>
        </w:tc>
        <w:tc>
          <w:tcPr>
            <w:tcW w:w="360" w:type="dxa"/>
            <w:vAlign w:val="bottom"/>
            <w:shd w:val="clear" w:color="auto" w:fill="1D2758"/>
          </w:tcPr>
          <w:p>
            <w:pPr>
              <w:spacing w:after="0"/>
              <w:rPr>
                <w:sz w:val="13"/>
                <w:szCs w:val="13"/>
                <w:color w:val="auto"/>
              </w:rPr>
            </w:pPr>
          </w:p>
        </w:tc>
        <w:tc>
          <w:tcPr>
            <w:tcW w:w="460" w:type="dxa"/>
            <w:vAlign w:val="bottom"/>
            <w:shd w:val="clear" w:color="auto" w:fill="1D2758"/>
          </w:tcPr>
          <w:p>
            <w:pPr>
              <w:spacing w:after="0"/>
              <w:rPr>
                <w:sz w:val="13"/>
                <w:szCs w:val="13"/>
                <w:color w:val="auto"/>
              </w:rPr>
            </w:pPr>
          </w:p>
        </w:tc>
        <w:tc>
          <w:tcPr>
            <w:tcW w:w="56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620" w:type="dxa"/>
            <w:vAlign w:val="bottom"/>
            <w:shd w:val="clear" w:color="auto" w:fill="1D2758"/>
          </w:tcPr>
          <w:p>
            <w:pPr>
              <w:spacing w:after="0"/>
              <w:rPr>
                <w:sz w:val="13"/>
                <w:szCs w:val="13"/>
                <w:color w:val="auto"/>
              </w:rPr>
            </w:pPr>
          </w:p>
        </w:tc>
        <w:tc>
          <w:tcPr>
            <w:tcW w:w="620" w:type="dxa"/>
            <w:vAlign w:val="bottom"/>
            <w:shd w:val="clear" w:color="auto" w:fill="1D2758"/>
          </w:tcPr>
          <w:p>
            <w:pPr>
              <w:spacing w:after="0"/>
              <w:rPr>
                <w:sz w:val="13"/>
                <w:szCs w:val="13"/>
                <w:color w:val="auto"/>
              </w:rPr>
            </w:pPr>
          </w:p>
        </w:tc>
        <w:tc>
          <w:tcPr>
            <w:tcW w:w="900" w:type="dxa"/>
            <w:vAlign w:val="bottom"/>
            <w:gridSpan w:val="4"/>
            <w:shd w:val="clear" w:color="auto" w:fill="1D2758"/>
          </w:tcPr>
          <w:p>
            <w:pPr>
              <w:jc w:val="right"/>
              <w:ind w:right="60"/>
              <w:spacing w:after="0"/>
              <w:rPr>
                <w:sz w:val="20"/>
                <w:szCs w:val="20"/>
                <w:color w:val="auto"/>
              </w:rPr>
            </w:pPr>
            <w:r>
              <w:rPr>
                <w:rFonts w:ascii="Arial" w:cs="Arial" w:eastAsia="Arial" w:hAnsi="Arial"/>
                <w:sz w:val="12"/>
                <w:szCs w:val="12"/>
                <w:b w:val="1"/>
                <w:bCs w:val="1"/>
                <w:color w:val="FFFFFF"/>
              </w:rPr>
              <w:t>June 30,</w:t>
            </w:r>
          </w:p>
        </w:tc>
        <w:tc>
          <w:tcPr>
            <w:tcW w:w="500" w:type="dxa"/>
            <w:vAlign w:val="bottom"/>
            <w:shd w:val="clear" w:color="auto" w:fill="1D2758"/>
          </w:tcPr>
          <w:p>
            <w:pPr>
              <w:spacing w:after="0"/>
              <w:rPr>
                <w:sz w:val="13"/>
                <w:szCs w:val="13"/>
                <w:color w:val="auto"/>
              </w:rPr>
            </w:pPr>
          </w:p>
        </w:tc>
        <w:tc>
          <w:tcPr>
            <w:tcW w:w="320" w:type="dxa"/>
            <w:vAlign w:val="bottom"/>
            <w:shd w:val="clear" w:color="auto" w:fill="1D2758"/>
          </w:tcPr>
          <w:p>
            <w:pPr>
              <w:spacing w:after="0"/>
              <w:rPr>
                <w:sz w:val="13"/>
                <w:szCs w:val="13"/>
                <w:color w:val="auto"/>
              </w:rPr>
            </w:pPr>
          </w:p>
        </w:tc>
        <w:tc>
          <w:tcPr>
            <w:tcW w:w="380" w:type="dxa"/>
            <w:vAlign w:val="bottom"/>
            <w:shd w:val="clear" w:color="auto" w:fill="1D2758"/>
          </w:tcPr>
          <w:p>
            <w:pPr>
              <w:spacing w:after="0"/>
              <w:rPr>
                <w:sz w:val="13"/>
                <w:szCs w:val="13"/>
                <w:color w:val="auto"/>
              </w:rPr>
            </w:pPr>
          </w:p>
        </w:tc>
        <w:tc>
          <w:tcPr>
            <w:tcW w:w="560" w:type="dxa"/>
            <w:vAlign w:val="bottom"/>
            <w:shd w:val="clear" w:color="auto" w:fill="1D2758"/>
          </w:tcPr>
          <w:p>
            <w:pPr>
              <w:spacing w:after="0"/>
              <w:rPr>
                <w:sz w:val="13"/>
                <w:szCs w:val="13"/>
                <w:color w:val="auto"/>
              </w:rPr>
            </w:pPr>
          </w:p>
        </w:tc>
      </w:tr>
      <w:tr>
        <w:trPr>
          <w:trHeight w:val="163"/>
        </w:trPr>
        <w:tc>
          <w:tcPr>
            <w:tcW w:w="1760" w:type="dxa"/>
            <w:vAlign w:val="bottom"/>
            <w:gridSpan w:val="2"/>
            <w:shd w:val="clear" w:color="auto" w:fill="1D2758"/>
          </w:tcPr>
          <w:p>
            <w:pPr>
              <w:ind w:left="500"/>
              <w:spacing w:after="0"/>
              <w:rPr>
                <w:sz w:val="20"/>
                <w:szCs w:val="20"/>
                <w:color w:val="auto"/>
              </w:rPr>
            </w:pPr>
            <w:r>
              <w:rPr>
                <w:rFonts w:ascii="Arial" w:cs="Arial" w:eastAsia="Arial" w:hAnsi="Arial"/>
                <w:sz w:val="12"/>
                <w:szCs w:val="12"/>
                <w:b w:val="1"/>
                <w:bCs w:val="1"/>
                <w:i w:val="1"/>
                <w:iCs w:val="1"/>
                <w:color w:val="FFFFFF"/>
              </w:rPr>
              <w:t>(in thousands)</w:t>
            </w:r>
          </w:p>
        </w:tc>
        <w:tc>
          <w:tcPr>
            <w:tcW w:w="580" w:type="dxa"/>
            <w:vAlign w:val="bottom"/>
            <w:shd w:val="clear" w:color="auto" w:fill="1D2758"/>
          </w:tcPr>
          <w:p>
            <w:pPr>
              <w:spacing w:after="0"/>
              <w:rPr>
                <w:sz w:val="14"/>
                <w:szCs w:val="14"/>
                <w:color w:val="auto"/>
              </w:rPr>
            </w:pPr>
          </w:p>
        </w:tc>
        <w:tc>
          <w:tcPr>
            <w:tcW w:w="38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640" w:type="dxa"/>
            <w:vAlign w:val="bottom"/>
            <w:shd w:val="clear" w:color="auto" w:fill="1D2758"/>
          </w:tcPr>
          <w:p>
            <w:pPr>
              <w:spacing w:after="0"/>
              <w:rPr>
                <w:sz w:val="14"/>
                <w:szCs w:val="14"/>
                <w:color w:val="auto"/>
              </w:rPr>
            </w:pPr>
          </w:p>
        </w:tc>
        <w:tc>
          <w:tcPr>
            <w:tcW w:w="52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2021</w:t>
            </w:r>
          </w:p>
        </w:tc>
        <w:tc>
          <w:tcPr>
            <w:tcW w:w="6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280" w:type="dxa"/>
            <w:vAlign w:val="bottom"/>
            <w:shd w:val="clear" w:color="auto" w:fill="1D2758"/>
          </w:tcPr>
          <w:p>
            <w:pPr>
              <w:spacing w:after="0"/>
              <w:rPr>
                <w:sz w:val="14"/>
                <w:szCs w:val="14"/>
                <w:color w:val="auto"/>
              </w:rPr>
            </w:pPr>
          </w:p>
        </w:tc>
        <w:tc>
          <w:tcPr>
            <w:tcW w:w="38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460" w:type="dxa"/>
            <w:vAlign w:val="bottom"/>
            <w:shd w:val="clear" w:color="auto" w:fill="1D2758"/>
          </w:tcPr>
          <w:p>
            <w:pPr>
              <w:ind w:left="100"/>
              <w:spacing w:after="0"/>
              <w:rPr>
                <w:sz w:val="20"/>
                <w:szCs w:val="20"/>
                <w:color w:val="auto"/>
              </w:rPr>
            </w:pPr>
            <w:r>
              <w:rPr>
                <w:rFonts w:ascii="Arial" w:cs="Arial" w:eastAsia="Arial" w:hAnsi="Arial"/>
                <w:sz w:val="12"/>
                <w:szCs w:val="12"/>
                <w:b w:val="1"/>
                <w:bCs w:val="1"/>
                <w:color w:val="FFFFFF"/>
              </w:rPr>
              <w:t>2020</w:t>
            </w:r>
          </w:p>
        </w:tc>
        <w:tc>
          <w:tcPr>
            <w:tcW w:w="5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620" w:type="dxa"/>
            <w:vAlign w:val="bottom"/>
            <w:shd w:val="clear" w:color="auto" w:fill="1D2758"/>
          </w:tcPr>
          <w:p>
            <w:pPr>
              <w:spacing w:after="0"/>
              <w:rPr>
                <w:sz w:val="14"/>
                <w:szCs w:val="14"/>
                <w:color w:val="auto"/>
              </w:rPr>
            </w:pPr>
          </w:p>
        </w:tc>
        <w:tc>
          <w:tcPr>
            <w:tcW w:w="620" w:type="dxa"/>
            <w:vAlign w:val="bottom"/>
            <w:shd w:val="clear" w:color="auto" w:fill="1D2758"/>
          </w:tcPr>
          <w:p>
            <w:pPr>
              <w:jc w:val="right"/>
              <w:ind w:right="19"/>
              <w:spacing w:after="0"/>
              <w:rPr>
                <w:sz w:val="20"/>
                <w:szCs w:val="20"/>
                <w:color w:val="auto"/>
              </w:rPr>
            </w:pPr>
            <w:r>
              <w:rPr>
                <w:rFonts w:ascii="Arial" w:cs="Arial" w:eastAsia="Arial" w:hAnsi="Arial"/>
                <w:sz w:val="12"/>
                <w:szCs w:val="12"/>
                <w:b w:val="1"/>
                <w:bCs w:val="1"/>
                <w:color w:val="FFFFFF"/>
              </w:rPr>
              <w:t>2021</w:t>
            </w:r>
          </w:p>
        </w:tc>
        <w:tc>
          <w:tcPr>
            <w:tcW w:w="540" w:type="dxa"/>
            <w:vAlign w:val="bottom"/>
            <w:shd w:val="clear" w:color="auto" w:fill="1D2758"/>
          </w:tcPr>
          <w:p>
            <w:pPr>
              <w:spacing w:after="0"/>
              <w:rPr>
                <w:sz w:val="14"/>
                <w:szCs w:val="14"/>
                <w:color w:val="auto"/>
              </w:rPr>
            </w:pPr>
          </w:p>
        </w:tc>
        <w:tc>
          <w:tcPr>
            <w:tcW w:w="2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500" w:type="dxa"/>
            <w:vAlign w:val="bottom"/>
            <w:shd w:val="clear" w:color="auto" w:fill="1D2758"/>
          </w:tcPr>
          <w:p>
            <w:pPr>
              <w:spacing w:after="0"/>
              <w:rPr>
                <w:sz w:val="14"/>
                <w:szCs w:val="14"/>
                <w:color w:val="auto"/>
              </w:rPr>
            </w:pPr>
          </w:p>
        </w:tc>
        <w:tc>
          <w:tcPr>
            <w:tcW w:w="320" w:type="dxa"/>
            <w:vAlign w:val="bottom"/>
            <w:shd w:val="clear" w:color="auto" w:fill="1D2758"/>
          </w:tcPr>
          <w:p>
            <w:pPr>
              <w:spacing w:after="0"/>
              <w:rPr>
                <w:sz w:val="14"/>
                <w:szCs w:val="14"/>
                <w:color w:val="auto"/>
              </w:rPr>
            </w:pPr>
          </w:p>
        </w:tc>
        <w:tc>
          <w:tcPr>
            <w:tcW w:w="38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2020</w:t>
            </w:r>
          </w:p>
        </w:tc>
        <w:tc>
          <w:tcPr>
            <w:tcW w:w="560" w:type="dxa"/>
            <w:vAlign w:val="bottom"/>
            <w:shd w:val="clear" w:color="auto" w:fill="1D2758"/>
          </w:tcPr>
          <w:p>
            <w:pPr>
              <w:spacing w:after="0"/>
              <w:rPr>
                <w:sz w:val="14"/>
                <w:szCs w:val="14"/>
                <w:color w:val="auto"/>
              </w:rPr>
            </w:pPr>
          </w:p>
        </w:tc>
      </w:tr>
      <w:tr>
        <w:trPr>
          <w:trHeight w:val="161"/>
        </w:trPr>
        <w:tc>
          <w:tcPr>
            <w:tcW w:w="2340" w:type="dxa"/>
            <w:vAlign w:val="bottom"/>
            <w:gridSpan w:val="3"/>
            <w:shd w:val="clear" w:color="auto" w:fill="DDDDDD"/>
          </w:tcPr>
          <w:p>
            <w:pPr>
              <w:ind w:left="500"/>
              <w:spacing w:after="0"/>
              <w:rPr>
                <w:sz w:val="20"/>
                <w:szCs w:val="20"/>
                <w:color w:val="auto"/>
              </w:rPr>
            </w:pPr>
            <w:r>
              <w:rPr>
                <w:rFonts w:ascii="Arial" w:cs="Arial" w:eastAsia="Arial" w:hAnsi="Arial"/>
                <w:sz w:val="12"/>
                <w:szCs w:val="12"/>
                <w:color w:val="auto"/>
              </w:rPr>
              <w:t>Modular space leasing revenue</w:t>
            </w:r>
          </w:p>
        </w:tc>
        <w:tc>
          <w:tcPr>
            <w:tcW w:w="3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640" w:type="dxa"/>
            <w:vAlign w:val="bottom"/>
            <w:shd w:val="clear" w:color="auto" w:fill="DDDDDD"/>
          </w:tcPr>
          <w:p>
            <w:pPr>
              <w:jc w:val="right"/>
              <w:ind w:right="259"/>
              <w:spacing w:after="0"/>
              <w:rPr>
                <w:sz w:val="20"/>
                <w:szCs w:val="20"/>
                <w:color w:val="auto"/>
              </w:rPr>
            </w:pPr>
            <w:r>
              <w:rPr>
                <w:rFonts w:ascii="Arial" w:cs="Arial" w:eastAsia="Arial" w:hAnsi="Arial"/>
                <w:sz w:val="12"/>
                <w:szCs w:val="12"/>
                <w:color w:val="auto"/>
              </w:rPr>
              <w:t>$</w:t>
            </w:r>
          </w:p>
        </w:tc>
        <w:tc>
          <w:tcPr>
            <w:tcW w:w="520" w:type="dxa"/>
            <w:vAlign w:val="bottom"/>
            <w:shd w:val="clear" w:color="auto" w:fill="DDDDDD"/>
          </w:tcPr>
          <w:p>
            <w:pPr>
              <w:spacing w:after="0"/>
              <w:rPr>
                <w:sz w:val="14"/>
                <w:szCs w:val="14"/>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181,376</w:t>
            </w:r>
          </w:p>
        </w:tc>
        <w:tc>
          <w:tcPr>
            <w:tcW w:w="8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38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auto"/>
              </w:rPr>
              <w:t>$</w:t>
            </w:r>
          </w:p>
        </w:tc>
        <w:tc>
          <w:tcPr>
            <w:tcW w:w="360" w:type="dxa"/>
            <w:vAlign w:val="bottom"/>
            <w:shd w:val="clear" w:color="auto" w:fill="DDDDDD"/>
          </w:tcPr>
          <w:p>
            <w:pPr>
              <w:spacing w:after="0"/>
              <w:rPr>
                <w:sz w:val="14"/>
                <w:szCs w:val="14"/>
                <w:color w:val="auto"/>
              </w:rPr>
            </w:pPr>
          </w:p>
        </w:tc>
        <w:tc>
          <w:tcPr>
            <w:tcW w:w="460" w:type="dxa"/>
            <w:vAlign w:val="bottom"/>
            <w:shd w:val="clear" w:color="auto" w:fill="DDDDDD"/>
          </w:tcPr>
          <w:p>
            <w:pPr>
              <w:spacing w:after="0"/>
              <w:rPr>
                <w:sz w:val="14"/>
                <w:szCs w:val="14"/>
                <w:color w:val="auto"/>
              </w:rPr>
            </w:pPr>
          </w:p>
        </w:tc>
        <w:tc>
          <w:tcPr>
            <w:tcW w:w="5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132,377</w:t>
            </w: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620" w:type="dxa"/>
            <w:vAlign w:val="bottom"/>
            <w:shd w:val="clear" w:color="auto" w:fill="DDDDDD"/>
          </w:tcPr>
          <w:p>
            <w:pPr>
              <w:jc w:val="center"/>
              <w:spacing w:after="0"/>
              <w:rPr>
                <w:sz w:val="20"/>
                <w:szCs w:val="20"/>
                <w:color w:val="auto"/>
              </w:rPr>
            </w:pPr>
            <w:r>
              <w:rPr>
                <w:rFonts w:ascii="Arial" w:cs="Arial" w:eastAsia="Arial" w:hAnsi="Arial"/>
                <w:sz w:val="12"/>
                <w:szCs w:val="12"/>
                <w:color w:val="auto"/>
              </w:rPr>
              <w:t>$</w:t>
            </w:r>
          </w:p>
        </w:tc>
        <w:tc>
          <w:tcPr>
            <w:tcW w:w="620" w:type="dxa"/>
            <w:vAlign w:val="bottom"/>
            <w:shd w:val="clear" w:color="auto" w:fill="DDDDDD"/>
          </w:tcPr>
          <w:p>
            <w:pPr>
              <w:spacing w:after="0"/>
              <w:rPr>
                <w:sz w:val="14"/>
                <w:szCs w:val="14"/>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2"/>
                <w:szCs w:val="12"/>
                <w:color w:val="auto"/>
              </w:rPr>
              <w:t>351,328</w:t>
            </w: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500" w:type="dxa"/>
            <w:vAlign w:val="bottom"/>
            <w:shd w:val="clear" w:color="auto" w:fill="DDDDDD"/>
          </w:tcPr>
          <w:p>
            <w:pPr>
              <w:jc w:val="right"/>
              <w:ind w:right="139"/>
              <w:spacing w:after="0"/>
              <w:rPr>
                <w:sz w:val="20"/>
                <w:szCs w:val="20"/>
                <w:color w:val="auto"/>
              </w:rPr>
            </w:pPr>
            <w:r>
              <w:rPr>
                <w:rFonts w:ascii="Arial" w:cs="Arial" w:eastAsia="Arial" w:hAnsi="Arial"/>
                <w:sz w:val="12"/>
                <w:szCs w:val="12"/>
                <w:color w:val="auto"/>
              </w:rPr>
              <w:t>$</w:t>
            </w:r>
          </w:p>
        </w:tc>
        <w:tc>
          <w:tcPr>
            <w:tcW w:w="32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5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263,775</w:t>
            </w:r>
          </w:p>
        </w:tc>
      </w:tr>
      <w:tr>
        <w:trPr>
          <w:trHeight w:val="159"/>
        </w:trPr>
        <w:tc>
          <w:tcPr>
            <w:tcW w:w="2340" w:type="dxa"/>
            <w:vAlign w:val="bottom"/>
            <w:gridSpan w:val="3"/>
          </w:tcPr>
          <w:p>
            <w:pPr>
              <w:ind w:left="500"/>
              <w:spacing w:after="0"/>
              <w:rPr>
                <w:sz w:val="20"/>
                <w:szCs w:val="20"/>
                <w:color w:val="auto"/>
              </w:rPr>
            </w:pPr>
            <w:r>
              <w:rPr>
                <w:rFonts w:ascii="Arial" w:cs="Arial" w:eastAsia="Arial" w:hAnsi="Arial"/>
                <w:sz w:val="12"/>
                <w:szCs w:val="12"/>
                <w:color w:val="auto"/>
              </w:rPr>
              <w:t>Portable storage leasing revenue</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58,848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5,716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113,461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11,565</w:t>
            </w:r>
          </w:p>
        </w:tc>
      </w:tr>
      <w:tr>
        <w:trPr>
          <w:trHeight w:val="164"/>
        </w:trPr>
        <w:tc>
          <w:tcPr>
            <w:tcW w:w="2340" w:type="dxa"/>
            <w:vAlign w:val="bottom"/>
            <w:gridSpan w:val="3"/>
            <w:shd w:val="clear" w:color="auto" w:fill="DDDDDD"/>
          </w:tcPr>
          <w:p>
            <w:pPr>
              <w:ind w:left="500"/>
              <w:spacing w:after="0"/>
              <w:rPr>
                <w:sz w:val="20"/>
                <w:szCs w:val="20"/>
                <w:color w:val="auto"/>
              </w:rPr>
            </w:pPr>
            <w:r>
              <w:rPr>
                <w:rFonts w:ascii="Arial" w:cs="Arial" w:eastAsia="Arial" w:hAnsi="Arial"/>
                <w:sz w:val="12"/>
                <w:szCs w:val="12"/>
                <w:color w:val="auto"/>
              </w:rPr>
              <w:t>Tank and pump leasing revenue</w:t>
            </w:r>
          </w:p>
        </w:tc>
        <w:tc>
          <w:tcPr>
            <w:tcW w:w="3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640" w:type="dxa"/>
            <w:vAlign w:val="bottom"/>
            <w:shd w:val="clear" w:color="auto" w:fill="DDDDDD"/>
          </w:tcPr>
          <w:p>
            <w:pPr>
              <w:spacing w:after="0"/>
              <w:rPr>
                <w:sz w:val="14"/>
                <w:szCs w:val="14"/>
                <w:color w:val="auto"/>
              </w:rPr>
            </w:pPr>
          </w:p>
        </w:tc>
        <w:tc>
          <w:tcPr>
            <w:tcW w:w="520" w:type="dxa"/>
            <w:vAlign w:val="bottom"/>
            <w:shd w:val="clear" w:color="auto" w:fill="DDDDDD"/>
          </w:tcPr>
          <w:p>
            <w:pPr>
              <w:spacing w:after="0"/>
              <w:rPr>
                <w:sz w:val="14"/>
                <w:szCs w:val="14"/>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17,109</w:t>
            </w:r>
          </w:p>
        </w:tc>
        <w:tc>
          <w:tcPr>
            <w:tcW w:w="8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360" w:type="dxa"/>
            <w:vAlign w:val="bottom"/>
            <w:shd w:val="clear" w:color="auto" w:fill="DDDDDD"/>
          </w:tcPr>
          <w:p>
            <w:pPr>
              <w:spacing w:after="0"/>
              <w:rPr>
                <w:sz w:val="14"/>
                <w:szCs w:val="14"/>
                <w:color w:val="auto"/>
              </w:rPr>
            </w:pPr>
          </w:p>
        </w:tc>
        <w:tc>
          <w:tcPr>
            <w:tcW w:w="460" w:type="dxa"/>
            <w:vAlign w:val="bottom"/>
            <w:shd w:val="clear" w:color="auto" w:fill="DDDDDD"/>
          </w:tcPr>
          <w:p>
            <w:pPr>
              <w:spacing w:after="0"/>
              <w:rPr>
                <w:sz w:val="14"/>
                <w:szCs w:val="14"/>
                <w:color w:val="auto"/>
              </w:rPr>
            </w:pPr>
          </w:p>
        </w:tc>
        <w:tc>
          <w:tcPr>
            <w:tcW w:w="5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620" w:type="dxa"/>
            <w:vAlign w:val="bottom"/>
            <w:shd w:val="clear" w:color="auto" w:fill="DDDDDD"/>
          </w:tcPr>
          <w:p>
            <w:pPr>
              <w:spacing w:after="0"/>
              <w:rPr>
                <w:sz w:val="14"/>
                <w:szCs w:val="14"/>
                <w:color w:val="auto"/>
              </w:rPr>
            </w:pPr>
          </w:p>
        </w:tc>
        <w:tc>
          <w:tcPr>
            <w:tcW w:w="620" w:type="dxa"/>
            <w:vAlign w:val="bottom"/>
            <w:shd w:val="clear" w:color="auto" w:fill="DDDDDD"/>
          </w:tcPr>
          <w:p>
            <w:pPr>
              <w:spacing w:after="0"/>
              <w:rPr>
                <w:sz w:val="14"/>
                <w:szCs w:val="14"/>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2"/>
                <w:szCs w:val="12"/>
                <w:color w:val="auto"/>
              </w:rPr>
              <w:t>32,869</w:t>
            </w: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500" w:type="dxa"/>
            <w:vAlign w:val="bottom"/>
            <w:shd w:val="clear" w:color="auto" w:fill="DDDDDD"/>
          </w:tcPr>
          <w:p>
            <w:pPr>
              <w:spacing w:after="0"/>
              <w:rPr>
                <w:sz w:val="14"/>
                <w:szCs w:val="14"/>
                <w:color w:val="auto"/>
              </w:rPr>
            </w:pPr>
          </w:p>
        </w:tc>
        <w:tc>
          <w:tcPr>
            <w:tcW w:w="32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5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2720" w:type="dxa"/>
            <w:vAlign w:val="bottom"/>
            <w:gridSpan w:val="4"/>
          </w:tcPr>
          <w:p>
            <w:pPr>
              <w:ind w:left="500"/>
              <w:spacing w:after="0" w:line="161" w:lineRule="exact"/>
              <w:rPr>
                <w:sz w:val="20"/>
                <w:szCs w:val="20"/>
                <w:color w:val="auto"/>
              </w:rPr>
            </w:pPr>
            <w:r>
              <w:rPr>
                <w:rFonts w:ascii="Arial" w:cs="Arial" w:eastAsia="Arial" w:hAnsi="Arial"/>
                <w:sz w:val="12"/>
                <w:szCs w:val="12"/>
                <w:color w:val="auto"/>
              </w:rPr>
              <w:t>VAPS and third party leasing revenues</w:t>
            </w:r>
            <w:r>
              <w:rPr>
                <w:rFonts w:ascii="Arial" w:cs="Arial" w:eastAsia="Arial" w:hAnsi="Arial"/>
                <w:sz w:val="15"/>
                <w:szCs w:val="15"/>
                <w:color w:val="auto"/>
                <w:vertAlign w:val="superscript"/>
              </w:rPr>
              <w:t>(a)</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70,880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42,421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133,306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83,423</w:t>
            </w:r>
          </w:p>
        </w:tc>
      </w:tr>
      <w:tr>
        <w:trPr>
          <w:trHeight w:val="161"/>
        </w:trPr>
        <w:tc>
          <w:tcPr>
            <w:tcW w:w="2340" w:type="dxa"/>
            <w:vAlign w:val="bottom"/>
            <w:gridSpan w:val="3"/>
            <w:shd w:val="clear" w:color="auto" w:fill="DDDDDD"/>
          </w:tcPr>
          <w:p>
            <w:pPr>
              <w:ind w:left="500"/>
              <w:spacing w:after="0" w:line="161" w:lineRule="exact"/>
              <w:rPr>
                <w:sz w:val="20"/>
                <w:szCs w:val="20"/>
                <w:color w:val="auto"/>
              </w:rPr>
            </w:pPr>
            <w:r>
              <w:rPr>
                <w:rFonts w:ascii="Arial" w:cs="Arial" w:eastAsia="Arial" w:hAnsi="Arial"/>
                <w:sz w:val="12"/>
                <w:szCs w:val="12"/>
                <w:color w:val="auto"/>
              </w:rPr>
              <w:t>Other leasing-related revenue</w:t>
            </w:r>
            <w:r>
              <w:rPr>
                <w:rFonts w:ascii="Arial" w:cs="Arial" w:eastAsia="Arial" w:hAnsi="Arial"/>
                <w:sz w:val="15"/>
                <w:szCs w:val="15"/>
                <w:color w:val="auto"/>
                <w:vertAlign w:val="superscript"/>
              </w:rPr>
              <w:t>(b)</w:t>
            </w:r>
          </w:p>
        </w:tc>
        <w:tc>
          <w:tcPr>
            <w:tcW w:w="3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260" w:type="dxa"/>
            <w:vAlign w:val="bottom"/>
            <w:tcBorders>
              <w:bottom w:val="single" w:sz="8" w:color="auto"/>
            </w:tcBorders>
            <w:shd w:val="clear" w:color="auto" w:fill="DDDDDD"/>
          </w:tcPr>
          <w:p>
            <w:pPr>
              <w:spacing w:after="0"/>
              <w:rPr>
                <w:sz w:val="14"/>
                <w:szCs w:val="14"/>
                <w:color w:val="auto"/>
              </w:rPr>
            </w:pPr>
          </w:p>
        </w:tc>
        <w:tc>
          <w:tcPr>
            <w:tcW w:w="640" w:type="dxa"/>
            <w:vAlign w:val="bottom"/>
            <w:tcBorders>
              <w:bottom w:val="single" w:sz="8" w:color="auto"/>
            </w:tcBorders>
            <w:shd w:val="clear" w:color="auto" w:fill="DDDDDD"/>
          </w:tcPr>
          <w:p>
            <w:pPr>
              <w:spacing w:after="0"/>
              <w:rPr>
                <w:sz w:val="14"/>
                <w:szCs w:val="14"/>
                <w:color w:val="auto"/>
              </w:rPr>
            </w:pPr>
          </w:p>
        </w:tc>
        <w:tc>
          <w:tcPr>
            <w:tcW w:w="520" w:type="dxa"/>
            <w:vAlign w:val="bottom"/>
            <w:tcBorders>
              <w:bottom w:val="single" w:sz="8" w:color="auto"/>
            </w:tcBorders>
            <w:shd w:val="clear" w:color="auto" w:fill="DDDDDD"/>
          </w:tcPr>
          <w:p>
            <w:pPr>
              <w:spacing w:after="0"/>
              <w:rPr>
                <w:sz w:val="14"/>
                <w:szCs w:val="14"/>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14,966</w:t>
            </w:r>
          </w:p>
        </w:tc>
        <w:tc>
          <w:tcPr>
            <w:tcW w:w="80" w:type="dxa"/>
            <w:vAlign w:val="bottom"/>
            <w:shd w:val="clear" w:color="auto" w:fill="DDDDDD"/>
          </w:tcPr>
          <w:p>
            <w:pPr>
              <w:spacing w:after="0"/>
              <w:rPr>
                <w:sz w:val="14"/>
                <w:szCs w:val="14"/>
                <w:color w:val="auto"/>
              </w:rPr>
            </w:pPr>
          </w:p>
        </w:tc>
        <w:tc>
          <w:tcPr>
            <w:tcW w:w="280" w:type="dxa"/>
            <w:vAlign w:val="bottom"/>
            <w:tcBorders>
              <w:bottom w:val="single" w:sz="8" w:color="auto"/>
            </w:tcBorders>
            <w:shd w:val="clear" w:color="auto" w:fill="DDDDDD"/>
          </w:tcPr>
          <w:p>
            <w:pPr>
              <w:spacing w:after="0"/>
              <w:rPr>
                <w:sz w:val="14"/>
                <w:szCs w:val="14"/>
                <w:color w:val="auto"/>
              </w:rPr>
            </w:pPr>
          </w:p>
        </w:tc>
        <w:tc>
          <w:tcPr>
            <w:tcW w:w="380" w:type="dxa"/>
            <w:vAlign w:val="bottom"/>
            <w:tcBorders>
              <w:bottom w:val="single" w:sz="8" w:color="auto"/>
            </w:tcBorders>
            <w:shd w:val="clear" w:color="auto" w:fill="DDDDDD"/>
          </w:tcPr>
          <w:p>
            <w:pPr>
              <w:spacing w:after="0"/>
              <w:rPr>
                <w:sz w:val="14"/>
                <w:szCs w:val="14"/>
                <w:color w:val="auto"/>
              </w:rPr>
            </w:pPr>
          </w:p>
        </w:tc>
        <w:tc>
          <w:tcPr>
            <w:tcW w:w="360" w:type="dxa"/>
            <w:vAlign w:val="bottom"/>
            <w:tcBorders>
              <w:bottom w:val="single" w:sz="8" w:color="auto"/>
            </w:tcBorders>
            <w:shd w:val="clear" w:color="auto" w:fill="DDDDDD"/>
          </w:tcPr>
          <w:p>
            <w:pPr>
              <w:spacing w:after="0"/>
              <w:rPr>
                <w:sz w:val="14"/>
                <w:szCs w:val="14"/>
                <w:color w:val="auto"/>
              </w:rPr>
            </w:pPr>
          </w:p>
        </w:tc>
        <w:tc>
          <w:tcPr>
            <w:tcW w:w="460" w:type="dxa"/>
            <w:vAlign w:val="bottom"/>
            <w:tcBorders>
              <w:bottom w:val="single" w:sz="8" w:color="auto"/>
            </w:tcBorders>
            <w:shd w:val="clear" w:color="auto" w:fill="DDDDDD"/>
          </w:tcPr>
          <w:p>
            <w:pPr>
              <w:spacing w:after="0"/>
              <w:rPr>
                <w:sz w:val="14"/>
                <w:szCs w:val="14"/>
                <w:color w:val="auto"/>
              </w:rPr>
            </w:pPr>
          </w:p>
        </w:tc>
        <w:tc>
          <w:tcPr>
            <w:tcW w:w="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9,629</w:t>
            </w:r>
          </w:p>
        </w:tc>
        <w:tc>
          <w:tcPr>
            <w:tcW w:w="80" w:type="dxa"/>
            <w:vAlign w:val="bottom"/>
            <w:shd w:val="clear" w:color="auto" w:fill="DDDDDD"/>
          </w:tcPr>
          <w:p>
            <w:pPr>
              <w:spacing w:after="0"/>
              <w:rPr>
                <w:sz w:val="14"/>
                <w:szCs w:val="14"/>
                <w:color w:val="auto"/>
              </w:rPr>
            </w:pPr>
          </w:p>
        </w:tc>
        <w:tc>
          <w:tcPr>
            <w:tcW w:w="220" w:type="dxa"/>
            <w:vAlign w:val="bottom"/>
            <w:tcBorders>
              <w:bottom w:val="single" w:sz="8" w:color="auto"/>
            </w:tcBorders>
            <w:shd w:val="clear" w:color="auto" w:fill="DDDDDD"/>
          </w:tcPr>
          <w:p>
            <w:pPr>
              <w:spacing w:after="0"/>
              <w:rPr>
                <w:sz w:val="14"/>
                <w:szCs w:val="14"/>
                <w:color w:val="auto"/>
              </w:rPr>
            </w:pPr>
          </w:p>
        </w:tc>
        <w:tc>
          <w:tcPr>
            <w:tcW w:w="620" w:type="dxa"/>
            <w:vAlign w:val="bottom"/>
            <w:tcBorders>
              <w:bottom w:val="single" w:sz="8" w:color="auto"/>
            </w:tcBorders>
            <w:shd w:val="clear" w:color="auto" w:fill="DDDDDD"/>
          </w:tcPr>
          <w:p>
            <w:pPr>
              <w:spacing w:after="0"/>
              <w:rPr>
                <w:sz w:val="14"/>
                <w:szCs w:val="14"/>
                <w:color w:val="auto"/>
              </w:rPr>
            </w:pPr>
          </w:p>
        </w:tc>
        <w:tc>
          <w:tcPr>
            <w:tcW w:w="620" w:type="dxa"/>
            <w:vAlign w:val="bottom"/>
            <w:tcBorders>
              <w:bottom w:val="single" w:sz="8" w:color="auto"/>
            </w:tcBorders>
            <w:shd w:val="clear" w:color="auto" w:fill="DDDDDD"/>
          </w:tcPr>
          <w:p>
            <w:pPr>
              <w:spacing w:after="0"/>
              <w:rPr>
                <w:sz w:val="14"/>
                <w:szCs w:val="14"/>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27,877</w:t>
            </w:r>
          </w:p>
        </w:tc>
        <w:tc>
          <w:tcPr>
            <w:tcW w:w="20" w:type="dxa"/>
            <w:vAlign w:val="bottom"/>
            <w:tcBorders>
              <w:bottom w:val="single" w:sz="8" w:color="auto"/>
            </w:tcBorders>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60" w:type="dxa"/>
            <w:vAlign w:val="bottom"/>
            <w:tcBorders>
              <w:bottom w:val="single" w:sz="8" w:color="auto"/>
            </w:tcBorders>
            <w:shd w:val="clear" w:color="auto" w:fill="DDDDDD"/>
          </w:tcPr>
          <w:p>
            <w:pPr>
              <w:spacing w:after="0"/>
              <w:rPr>
                <w:sz w:val="14"/>
                <w:szCs w:val="14"/>
                <w:color w:val="auto"/>
              </w:rPr>
            </w:pPr>
          </w:p>
        </w:tc>
        <w:tc>
          <w:tcPr>
            <w:tcW w:w="500" w:type="dxa"/>
            <w:vAlign w:val="bottom"/>
            <w:tcBorders>
              <w:bottom w:val="single" w:sz="8" w:color="auto"/>
            </w:tcBorders>
            <w:shd w:val="clear" w:color="auto" w:fill="DDDDDD"/>
          </w:tcPr>
          <w:p>
            <w:pPr>
              <w:spacing w:after="0"/>
              <w:rPr>
                <w:sz w:val="14"/>
                <w:szCs w:val="14"/>
                <w:color w:val="auto"/>
              </w:rPr>
            </w:pPr>
          </w:p>
        </w:tc>
        <w:tc>
          <w:tcPr>
            <w:tcW w:w="320" w:type="dxa"/>
            <w:vAlign w:val="bottom"/>
            <w:tcBorders>
              <w:bottom w:val="single" w:sz="8" w:color="auto"/>
            </w:tcBorders>
            <w:shd w:val="clear" w:color="auto" w:fill="DDDDDD"/>
          </w:tcPr>
          <w:p>
            <w:pPr>
              <w:spacing w:after="0"/>
              <w:rPr>
                <w:sz w:val="14"/>
                <w:szCs w:val="14"/>
                <w:color w:val="auto"/>
              </w:rPr>
            </w:pPr>
          </w:p>
        </w:tc>
        <w:tc>
          <w:tcPr>
            <w:tcW w:w="380" w:type="dxa"/>
            <w:vAlign w:val="bottom"/>
            <w:tcBorders>
              <w:bottom w:val="single" w:sz="8" w:color="auto"/>
            </w:tcBorders>
            <w:shd w:val="clear" w:color="auto" w:fill="DDDDDD"/>
          </w:tcPr>
          <w:p>
            <w:pPr>
              <w:spacing w:after="0"/>
              <w:rPr>
                <w:sz w:val="14"/>
                <w:szCs w:val="14"/>
                <w:color w:val="auto"/>
              </w:rPr>
            </w:pPr>
          </w:p>
        </w:tc>
        <w:tc>
          <w:tcPr>
            <w:tcW w:w="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19,732</w:t>
            </w:r>
          </w:p>
        </w:tc>
      </w:tr>
      <w:tr>
        <w:trPr>
          <w:trHeight w:val="149"/>
        </w:trPr>
        <w:tc>
          <w:tcPr>
            <w:tcW w:w="1760" w:type="dxa"/>
            <w:vAlign w:val="bottom"/>
            <w:gridSpan w:val="2"/>
          </w:tcPr>
          <w:p>
            <w:pPr>
              <w:ind w:left="660"/>
              <w:spacing w:after="0"/>
              <w:rPr>
                <w:sz w:val="20"/>
                <w:szCs w:val="20"/>
                <w:color w:val="auto"/>
              </w:rPr>
            </w:pPr>
            <w:r>
              <w:rPr>
                <w:rFonts w:ascii="Arial" w:cs="Arial" w:eastAsia="Arial" w:hAnsi="Arial"/>
                <w:sz w:val="12"/>
                <w:szCs w:val="12"/>
                <w:color w:val="auto"/>
              </w:rPr>
              <w:t>Leasing revenue</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343,179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190,143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658,841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378,495</w:t>
            </w:r>
          </w:p>
        </w:tc>
      </w:tr>
      <w:tr>
        <w:trPr>
          <w:trHeight w:val="161"/>
        </w:trPr>
        <w:tc>
          <w:tcPr>
            <w:tcW w:w="2340" w:type="dxa"/>
            <w:vAlign w:val="bottom"/>
            <w:gridSpan w:val="3"/>
            <w:shd w:val="clear" w:color="auto" w:fill="DDDDDD"/>
          </w:tcPr>
          <w:p>
            <w:pPr>
              <w:ind w:left="500"/>
              <w:spacing w:after="0"/>
              <w:rPr>
                <w:sz w:val="20"/>
                <w:szCs w:val="20"/>
                <w:color w:val="auto"/>
              </w:rPr>
            </w:pPr>
            <w:r>
              <w:rPr>
                <w:rFonts w:ascii="Arial" w:cs="Arial" w:eastAsia="Arial" w:hAnsi="Arial"/>
                <w:sz w:val="12"/>
                <w:szCs w:val="12"/>
                <w:color w:val="auto"/>
              </w:rPr>
              <w:t>Delivery and installation revenue</w:t>
            </w:r>
          </w:p>
        </w:tc>
        <w:tc>
          <w:tcPr>
            <w:tcW w:w="3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260" w:type="dxa"/>
            <w:vAlign w:val="bottom"/>
            <w:tcBorders>
              <w:bottom w:val="single" w:sz="8" w:color="auto"/>
            </w:tcBorders>
            <w:shd w:val="clear" w:color="auto" w:fill="DDDDDD"/>
          </w:tcPr>
          <w:p>
            <w:pPr>
              <w:spacing w:after="0"/>
              <w:rPr>
                <w:sz w:val="14"/>
                <w:szCs w:val="14"/>
                <w:color w:val="auto"/>
              </w:rPr>
            </w:pPr>
          </w:p>
        </w:tc>
        <w:tc>
          <w:tcPr>
            <w:tcW w:w="640" w:type="dxa"/>
            <w:vAlign w:val="bottom"/>
            <w:tcBorders>
              <w:bottom w:val="single" w:sz="8" w:color="auto"/>
            </w:tcBorders>
            <w:shd w:val="clear" w:color="auto" w:fill="DDDDDD"/>
          </w:tcPr>
          <w:p>
            <w:pPr>
              <w:spacing w:after="0"/>
              <w:rPr>
                <w:sz w:val="14"/>
                <w:szCs w:val="14"/>
                <w:color w:val="auto"/>
              </w:rPr>
            </w:pPr>
          </w:p>
        </w:tc>
        <w:tc>
          <w:tcPr>
            <w:tcW w:w="520" w:type="dxa"/>
            <w:vAlign w:val="bottom"/>
            <w:tcBorders>
              <w:bottom w:val="single" w:sz="8" w:color="auto"/>
            </w:tcBorders>
            <w:shd w:val="clear" w:color="auto" w:fill="DDDDDD"/>
          </w:tcPr>
          <w:p>
            <w:pPr>
              <w:spacing w:after="0"/>
              <w:rPr>
                <w:sz w:val="14"/>
                <w:szCs w:val="14"/>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91,680</w:t>
            </w:r>
          </w:p>
        </w:tc>
        <w:tc>
          <w:tcPr>
            <w:tcW w:w="80" w:type="dxa"/>
            <w:vAlign w:val="bottom"/>
            <w:shd w:val="clear" w:color="auto" w:fill="DDDDDD"/>
          </w:tcPr>
          <w:p>
            <w:pPr>
              <w:spacing w:after="0"/>
              <w:rPr>
                <w:sz w:val="14"/>
                <w:szCs w:val="14"/>
                <w:color w:val="auto"/>
              </w:rPr>
            </w:pPr>
          </w:p>
        </w:tc>
        <w:tc>
          <w:tcPr>
            <w:tcW w:w="280" w:type="dxa"/>
            <w:vAlign w:val="bottom"/>
            <w:tcBorders>
              <w:bottom w:val="single" w:sz="8" w:color="auto"/>
            </w:tcBorders>
            <w:shd w:val="clear" w:color="auto" w:fill="DDDDDD"/>
          </w:tcPr>
          <w:p>
            <w:pPr>
              <w:spacing w:after="0"/>
              <w:rPr>
                <w:sz w:val="14"/>
                <w:szCs w:val="14"/>
                <w:color w:val="auto"/>
              </w:rPr>
            </w:pPr>
          </w:p>
        </w:tc>
        <w:tc>
          <w:tcPr>
            <w:tcW w:w="380" w:type="dxa"/>
            <w:vAlign w:val="bottom"/>
            <w:tcBorders>
              <w:bottom w:val="single" w:sz="8" w:color="auto"/>
            </w:tcBorders>
            <w:shd w:val="clear" w:color="auto" w:fill="DDDDDD"/>
          </w:tcPr>
          <w:p>
            <w:pPr>
              <w:spacing w:after="0"/>
              <w:rPr>
                <w:sz w:val="14"/>
                <w:szCs w:val="14"/>
                <w:color w:val="auto"/>
              </w:rPr>
            </w:pPr>
          </w:p>
        </w:tc>
        <w:tc>
          <w:tcPr>
            <w:tcW w:w="360" w:type="dxa"/>
            <w:vAlign w:val="bottom"/>
            <w:tcBorders>
              <w:bottom w:val="single" w:sz="8" w:color="auto"/>
            </w:tcBorders>
            <w:shd w:val="clear" w:color="auto" w:fill="DDDDDD"/>
          </w:tcPr>
          <w:p>
            <w:pPr>
              <w:spacing w:after="0"/>
              <w:rPr>
                <w:sz w:val="14"/>
                <w:szCs w:val="14"/>
                <w:color w:val="auto"/>
              </w:rPr>
            </w:pPr>
          </w:p>
        </w:tc>
        <w:tc>
          <w:tcPr>
            <w:tcW w:w="460" w:type="dxa"/>
            <w:vAlign w:val="bottom"/>
            <w:tcBorders>
              <w:bottom w:val="single" w:sz="8" w:color="auto"/>
            </w:tcBorders>
            <w:shd w:val="clear" w:color="auto" w:fill="DDDDDD"/>
          </w:tcPr>
          <w:p>
            <w:pPr>
              <w:spacing w:after="0"/>
              <w:rPr>
                <w:sz w:val="14"/>
                <w:szCs w:val="14"/>
                <w:color w:val="auto"/>
              </w:rPr>
            </w:pPr>
          </w:p>
        </w:tc>
        <w:tc>
          <w:tcPr>
            <w:tcW w:w="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51,640</w:t>
            </w:r>
          </w:p>
        </w:tc>
        <w:tc>
          <w:tcPr>
            <w:tcW w:w="80" w:type="dxa"/>
            <w:vAlign w:val="bottom"/>
            <w:shd w:val="clear" w:color="auto" w:fill="DDDDDD"/>
          </w:tcPr>
          <w:p>
            <w:pPr>
              <w:spacing w:after="0"/>
              <w:rPr>
                <w:sz w:val="14"/>
                <w:szCs w:val="14"/>
                <w:color w:val="auto"/>
              </w:rPr>
            </w:pPr>
          </w:p>
        </w:tc>
        <w:tc>
          <w:tcPr>
            <w:tcW w:w="220" w:type="dxa"/>
            <w:vAlign w:val="bottom"/>
            <w:tcBorders>
              <w:bottom w:val="single" w:sz="8" w:color="auto"/>
            </w:tcBorders>
            <w:shd w:val="clear" w:color="auto" w:fill="DDDDDD"/>
          </w:tcPr>
          <w:p>
            <w:pPr>
              <w:spacing w:after="0"/>
              <w:rPr>
                <w:sz w:val="14"/>
                <w:szCs w:val="14"/>
                <w:color w:val="auto"/>
              </w:rPr>
            </w:pPr>
          </w:p>
        </w:tc>
        <w:tc>
          <w:tcPr>
            <w:tcW w:w="620" w:type="dxa"/>
            <w:vAlign w:val="bottom"/>
            <w:tcBorders>
              <w:bottom w:val="single" w:sz="8" w:color="auto"/>
            </w:tcBorders>
            <w:shd w:val="clear" w:color="auto" w:fill="DDDDDD"/>
          </w:tcPr>
          <w:p>
            <w:pPr>
              <w:spacing w:after="0"/>
              <w:rPr>
                <w:sz w:val="14"/>
                <w:szCs w:val="14"/>
                <w:color w:val="auto"/>
              </w:rPr>
            </w:pPr>
          </w:p>
        </w:tc>
        <w:tc>
          <w:tcPr>
            <w:tcW w:w="620" w:type="dxa"/>
            <w:vAlign w:val="bottom"/>
            <w:tcBorders>
              <w:bottom w:val="single" w:sz="8" w:color="auto"/>
            </w:tcBorders>
            <w:shd w:val="clear" w:color="auto" w:fill="DDDDDD"/>
          </w:tcPr>
          <w:p>
            <w:pPr>
              <w:spacing w:after="0"/>
              <w:rPr>
                <w:sz w:val="14"/>
                <w:szCs w:val="14"/>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175,184</w:t>
            </w:r>
          </w:p>
        </w:tc>
        <w:tc>
          <w:tcPr>
            <w:tcW w:w="20" w:type="dxa"/>
            <w:vAlign w:val="bottom"/>
            <w:tcBorders>
              <w:bottom w:val="single" w:sz="8" w:color="auto"/>
            </w:tcBorders>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60" w:type="dxa"/>
            <w:vAlign w:val="bottom"/>
            <w:tcBorders>
              <w:bottom w:val="single" w:sz="8" w:color="auto"/>
            </w:tcBorders>
            <w:shd w:val="clear" w:color="auto" w:fill="DDDDDD"/>
          </w:tcPr>
          <w:p>
            <w:pPr>
              <w:spacing w:after="0"/>
              <w:rPr>
                <w:sz w:val="14"/>
                <w:szCs w:val="14"/>
                <w:color w:val="auto"/>
              </w:rPr>
            </w:pPr>
          </w:p>
        </w:tc>
        <w:tc>
          <w:tcPr>
            <w:tcW w:w="500" w:type="dxa"/>
            <w:vAlign w:val="bottom"/>
            <w:tcBorders>
              <w:bottom w:val="single" w:sz="8" w:color="auto"/>
            </w:tcBorders>
            <w:shd w:val="clear" w:color="auto" w:fill="DDDDDD"/>
          </w:tcPr>
          <w:p>
            <w:pPr>
              <w:spacing w:after="0"/>
              <w:rPr>
                <w:sz w:val="14"/>
                <w:szCs w:val="14"/>
                <w:color w:val="auto"/>
              </w:rPr>
            </w:pPr>
          </w:p>
        </w:tc>
        <w:tc>
          <w:tcPr>
            <w:tcW w:w="320" w:type="dxa"/>
            <w:vAlign w:val="bottom"/>
            <w:tcBorders>
              <w:bottom w:val="single" w:sz="8" w:color="auto"/>
            </w:tcBorders>
            <w:shd w:val="clear" w:color="auto" w:fill="DDDDDD"/>
          </w:tcPr>
          <w:p>
            <w:pPr>
              <w:spacing w:after="0"/>
              <w:rPr>
                <w:sz w:val="14"/>
                <w:szCs w:val="14"/>
                <w:color w:val="auto"/>
              </w:rPr>
            </w:pPr>
          </w:p>
        </w:tc>
        <w:tc>
          <w:tcPr>
            <w:tcW w:w="380" w:type="dxa"/>
            <w:vAlign w:val="bottom"/>
            <w:tcBorders>
              <w:bottom w:val="single" w:sz="8" w:color="auto"/>
            </w:tcBorders>
            <w:shd w:val="clear" w:color="auto" w:fill="DDDDDD"/>
          </w:tcPr>
          <w:p>
            <w:pPr>
              <w:spacing w:after="0"/>
              <w:rPr>
                <w:sz w:val="14"/>
                <w:szCs w:val="14"/>
                <w:color w:val="auto"/>
              </w:rPr>
            </w:pPr>
          </w:p>
        </w:tc>
        <w:tc>
          <w:tcPr>
            <w:tcW w:w="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102,710</w:t>
            </w:r>
          </w:p>
        </w:tc>
      </w:tr>
      <w:tr>
        <w:trPr>
          <w:trHeight w:val="151"/>
        </w:trPr>
        <w:tc>
          <w:tcPr>
            <w:tcW w:w="2720" w:type="dxa"/>
            <w:vAlign w:val="bottom"/>
            <w:gridSpan w:val="4"/>
          </w:tcPr>
          <w:p>
            <w:pPr>
              <w:ind w:left="660"/>
              <w:spacing w:after="0"/>
              <w:rPr>
                <w:sz w:val="20"/>
                <w:szCs w:val="20"/>
                <w:color w:val="auto"/>
              </w:rPr>
            </w:pPr>
            <w:r>
              <w:rPr>
                <w:rFonts w:ascii="Arial" w:cs="Arial" w:eastAsia="Arial" w:hAnsi="Arial"/>
                <w:sz w:val="12"/>
                <w:szCs w:val="12"/>
                <w:color w:val="auto"/>
              </w:rPr>
              <w:t>Total leasing and services revenue</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434,859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241,783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834,025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481,205</w:t>
            </w:r>
          </w:p>
        </w:tc>
      </w:tr>
      <w:tr>
        <w:trPr>
          <w:trHeight w:val="164"/>
        </w:trPr>
        <w:tc>
          <w:tcPr>
            <w:tcW w:w="1760" w:type="dxa"/>
            <w:vAlign w:val="bottom"/>
            <w:gridSpan w:val="2"/>
            <w:shd w:val="clear" w:color="auto" w:fill="DDDDDD"/>
          </w:tcPr>
          <w:p>
            <w:pPr>
              <w:ind w:left="500"/>
              <w:spacing w:after="0"/>
              <w:rPr>
                <w:sz w:val="20"/>
                <w:szCs w:val="20"/>
                <w:color w:val="auto"/>
              </w:rPr>
            </w:pPr>
            <w:r>
              <w:rPr>
                <w:rFonts w:ascii="Arial" w:cs="Arial" w:eastAsia="Arial" w:hAnsi="Arial"/>
                <w:sz w:val="12"/>
                <w:szCs w:val="12"/>
                <w:color w:val="auto"/>
                <w:w w:val="99"/>
              </w:rPr>
              <w:t>New unit sales revenue</w:t>
            </w:r>
          </w:p>
        </w:tc>
        <w:tc>
          <w:tcPr>
            <w:tcW w:w="58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640" w:type="dxa"/>
            <w:vAlign w:val="bottom"/>
            <w:shd w:val="clear" w:color="auto" w:fill="DDDDDD"/>
          </w:tcPr>
          <w:p>
            <w:pPr>
              <w:spacing w:after="0"/>
              <w:rPr>
                <w:sz w:val="14"/>
                <w:szCs w:val="14"/>
                <w:color w:val="auto"/>
              </w:rPr>
            </w:pPr>
          </w:p>
        </w:tc>
        <w:tc>
          <w:tcPr>
            <w:tcW w:w="520" w:type="dxa"/>
            <w:vAlign w:val="bottom"/>
            <w:shd w:val="clear" w:color="auto" w:fill="DDDDDD"/>
          </w:tcPr>
          <w:p>
            <w:pPr>
              <w:spacing w:after="0"/>
              <w:rPr>
                <w:sz w:val="14"/>
                <w:szCs w:val="14"/>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11,008</w:t>
            </w:r>
          </w:p>
        </w:tc>
        <w:tc>
          <w:tcPr>
            <w:tcW w:w="8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360" w:type="dxa"/>
            <w:vAlign w:val="bottom"/>
            <w:shd w:val="clear" w:color="auto" w:fill="DDDDDD"/>
          </w:tcPr>
          <w:p>
            <w:pPr>
              <w:spacing w:after="0"/>
              <w:rPr>
                <w:sz w:val="14"/>
                <w:szCs w:val="14"/>
                <w:color w:val="auto"/>
              </w:rPr>
            </w:pPr>
          </w:p>
        </w:tc>
        <w:tc>
          <w:tcPr>
            <w:tcW w:w="460" w:type="dxa"/>
            <w:vAlign w:val="bottom"/>
            <w:shd w:val="clear" w:color="auto" w:fill="DDDDDD"/>
          </w:tcPr>
          <w:p>
            <w:pPr>
              <w:spacing w:after="0"/>
              <w:rPr>
                <w:sz w:val="14"/>
                <w:szCs w:val="14"/>
                <w:color w:val="auto"/>
              </w:rPr>
            </w:pPr>
          </w:p>
        </w:tc>
        <w:tc>
          <w:tcPr>
            <w:tcW w:w="5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9,763</w:t>
            </w: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620" w:type="dxa"/>
            <w:vAlign w:val="bottom"/>
            <w:shd w:val="clear" w:color="auto" w:fill="DDDDDD"/>
          </w:tcPr>
          <w:p>
            <w:pPr>
              <w:spacing w:after="0"/>
              <w:rPr>
                <w:sz w:val="14"/>
                <w:szCs w:val="14"/>
                <w:color w:val="auto"/>
              </w:rPr>
            </w:pPr>
          </w:p>
        </w:tc>
        <w:tc>
          <w:tcPr>
            <w:tcW w:w="620" w:type="dxa"/>
            <w:vAlign w:val="bottom"/>
            <w:shd w:val="clear" w:color="auto" w:fill="DDDDDD"/>
          </w:tcPr>
          <w:p>
            <w:pPr>
              <w:spacing w:after="0"/>
              <w:rPr>
                <w:sz w:val="14"/>
                <w:szCs w:val="14"/>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2"/>
                <w:szCs w:val="12"/>
                <w:color w:val="auto"/>
              </w:rPr>
              <w:t>21,963</w:t>
            </w: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500" w:type="dxa"/>
            <w:vAlign w:val="bottom"/>
            <w:shd w:val="clear" w:color="auto" w:fill="DDDDDD"/>
          </w:tcPr>
          <w:p>
            <w:pPr>
              <w:spacing w:after="0"/>
              <w:rPr>
                <w:sz w:val="14"/>
                <w:szCs w:val="14"/>
                <w:color w:val="auto"/>
              </w:rPr>
            </w:pPr>
          </w:p>
        </w:tc>
        <w:tc>
          <w:tcPr>
            <w:tcW w:w="32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5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19,376</w:t>
            </w:r>
          </w:p>
        </w:tc>
      </w:tr>
      <w:tr>
        <w:trPr>
          <w:trHeight w:val="159"/>
        </w:trPr>
        <w:tc>
          <w:tcPr>
            <w:tcW w:w="2340" w:type="dxa"/>
            <w:vAlign w:val="bottom"/>
            <w:tcBorders>
              <w:bottom w:val="single" w:sz="8" w:color="DDDDDD"/>
            </w:tcBorders>
            <w:gridSpan w:val="3"/>
          </w:tcPr>
          <w:p>
            <w:pPr>
              <w:ind w:left="500"/>
              <w:spacing w:after="0"/>
              <w:rPr>
                <w:sz w:val="20"/>
                <w:szCs w:val="20"/>
                <w:color w:val="auto"/>
              </w:rPr>
            </w:pPr>
            <w:r>
              <w:rPr>
                <w:rFonts w:ascii="Arial" w:cs="Arial" w:eastAsia="Arial" w:hAnsi="Arial"/>
                <w:sz w:val="12"/>
                <w:szCs w:val="12"/>
                <w:color w:val="auto"/>
              </w:rPr>
              <w:t>Rental unit sales revenue</w:t>
            </w:r>
          </w:p>
        </w:tc>
        <w:tc>
          <w:tcPr>
            <w:tcW w:w="380" w:type="dxa"/>
            <w:vAlign w:val="bottom"/>
            <w:tcBorders>
              <w:bottom w:val="single" w:sz="8" w:color="DDDDDD"/>
            </w:tcBorders>
          </w:tcPr>
          <w:p>
            <w:pPr>
              <w:spacing w:after="0"/>
              <w:rPr>
                <w:sz w:val="13"/>
                <w:szCs w:val="13"/>
                <w:color w:val="auto"/>
              </w:rPr>
            </w:pPr>
          </w:p>
        </w:tc>
        <w:tc>
          <w:tcPr>
            <w:tcW w:w="220" w:type="dxa"/>
            <w:vAlign w:val="bottom"/>
            <w:tcBorders>
              <w:bottom w:val="single" w:sz="8" w:color="DDDDDD"/>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15,235</w:t>
            </w:r>
          </w:p>
        </w:tc>
        <w:tc>
          <w:tcPr>
            <w:tcW w:w="80" w:type="dxa"/>
            <w:vAlign w:val="bottom"/>
            <w:tcBorders>
              <w:bottom w:val="single" w:sz="8" w:color="DDDDDD"/>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5,316</w:t>
            </w:r>
          </w:p>
        </w:tc>
        <w:tc>
          <w:tcPr>
            <w:tcW w:w="80" w:type="dxa"/>
            <w:vAlign w:val="bottom"/>
            <w:tcBorders>
              <w:bottom w:val="single" w:sz="8" w:color="DDDDDD"/>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30,437</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DDDDDD"/>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12,102</w:t>
            </w:r>
          </w:p>
        </w:tc>
      </w:tr>
      <w:tr>
        <w:trPr>
          <w:trHeight w:val="179"/>
        </w:trPr>
        <w:tc>
          <w:tcPr>
            <w:tcW w:w="720" w:type="dxa"/>
            <w:vAlign w:val="bottom"/>
            <w:tcBorders>
              <w:bottom w:val="single" w:sz="8" w:color="DDDDDD"/>
            </w:tcBorders>
            <w:shd w:val="clear" w:color="auto" w:fill="DDDDDD"/>
          </w:tcPr>
          <w:p>
            <w:pPr>
              <w:spacing w:after="0"/>
              <w:rPr>
                <w:sz w:val="15"/>
                <w:szCs w:val="15"/>
                <w:color w:val="auto"/>
              </w:rPr>
            </w:pPr>
          </w:p>
        </w:tc>
        <w:tc>
          <w:tcPr>
            <w:tcW w:w="1040" w:type="dxa"/>
            <w:vAlign w:val="bottom"/>
            <w:tcBorders>
              <w:bottom w:val="single" w:sz="8" w:color="DDDDDD"/>
            </w:tcBorders>
            <w:shd w:val="clear" w:color="auto" w:fill="DDDDDD"/>
          </w:tcPr>
          <w:p>
            <w:pPr>
              <w:jc w:val="right"/>
              <w:ind w:right="179"/>
              <w:spacing w:after="0"/>
              <w:rPr>
                <w:sz w:val="20"/>
                <w:szCs w:val="20"/>
                <w:color w:val="auto"/>
              </w:rPr>
            </w:pPr>
            <w:r>
              <w:rPr>
                <w:rFonts w:ascii="Arial" w:cs="Arial" w:eastAsia="Arial" w:hAnsi="Arial"/>
                <w:sz w:val="12"/>
                <w:szCs w:val="12"/>
                <w:color w:val="auto"/>
                <w:w w:val="98"/>
              </w:rPr>
              <w:t>Total revenues</w:t>
            </w:r>
          </w:p>
        </w:tc>
        <w:tc>
          <w:tcPr>
            <w:tcW w:w="580" w:type="dxa"/>
            <w:vAlign w:val="bottom"/>
            <w:tcBorders>
              <w:bottom w:val="single" w:sz="8" w:color="DDDDDD"/>
            </w:tcBorders>
            <w:shd w:val="clear" w:color="auto" w:fill="DDDDDD"/>
          </w:tcPr>
          <w:p>
            <w:pPr>
              <w:spacing w:after="0"/>
              <w:rPr>
                <w:sz w:val="15"/>
                <w:szCs w:val="15"/>
                <w:color w:val="auto"/>
              </w:rPr>
            </w:pPr>
          </w:p>
        </w:tc>
        <w:tc>
          <w:tcPr>
            <w:tcW w:w="380" w:type="dxa"/>
            <w:vAlign w:val="bottom"/>
            <w:tcBorders>
              <w:bottom w:val="single" w:sz="8" w:color="DDDDDD"/>
            </w:tcBorders>
            <w:shd w:val="clear" w:color="auto" w:fill="DDDDDD"/>
          </w:tcPr>
          <w:p>
            <w:pPr>
              <w:spacing w:after="0"/>
              <w:rPr>
                <w:sz w:val="15"/>
                <w:szCs w:val="15"/>
                <w:color w:val="auto"/>
              </w:rPr>
            </w:pPr>
          </w:p>
        </w:tc>
        <w:tc>
          <w:tcPr>
            <w:tcW w:w="220" w:type="dxa"/>
            <w:vAlign w:val="bottom"/>
            <w:tcBorders>
              <w:bottom w:val="single" w:sz="8" w:color="DDDDDD"/>
            </w:tcBorders>
            <w:shd w:val="clear" w:color="auto" w:fill="DDDDDD"/>
          </w:tcPr>
          <w:p>
            <w:pPr>
              <w:spacing w:after="0"/>
              <w:rPr>
                <w:sz w:val="15"/>
                <w:szCs w:val="15"/>
                <w:color w:val="auto"/>
              </w:rPr>
            </w:pPr>
          </w:p>
        </w:tc>
        <w:tc>
          <w:tcPr>
            <w:tcW w:w="260" w:type="dxa"/>
            <w:vAlign w:val="bottom"/>
            <w:tcBorders>
              <w:bottom w:val="single" w:sz="8" w:color="auto"/>
            </w:tcBorders>
            <w:shd w:val="clear" w:color="auto" w:fill="DDDDDD"/>
          </w:tcPr>
          <w:p>
            <w:pPr>
              <w:spacing w:after="0"/>
              <w:rPr>
                <w:sz w:val="15"/>
                <w:szCs w:val="15"/>
                <w:color w:val="auto"/>
              </w:rPr>
            </w:pPr>
          </w:p>
        </w:tc>
        <w:tc>
          <w:tcPr>
            <w:tcW w:w="640" w:type="dxa"/>
            <w:vAlign w:val="bottom"/>
            <w:tcBorders>
              <w:bottom w:val="single" w:sz="8" w:color="auto"/>
            </w:tcBorders>
            <w:shd w:val="clear" w:color="auto" w:fill="DDDDDD"/>
          </w:tcPr>
          <w:p>
            <w:pPr>
              <w:jc w:val="right"/>
              <w:ind w:right="259"/>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DDDDDD"/>
          </w:tcPr>
          <w:p>
            <w:pPr>
              <w:spacing w:after="0"/>
              <w:rPr>
                <w:sz w:val="15"/>
                <w:szCs w:val="15"/>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461,102</w:t>
            </w:r>
          </w:p>
        </w:tc>
        <w:tc>
          <w:tcPr>
            <w:tcW w:w="80" w:type="dxa"/>
            <w:vAlign w:val="bottom"/>
            <w:tcBorders>
              <w:bottom w:val="single" w:sz="8" w:color="DDDDDD"/>
            </w:tcBorders>
            <w:shd w:val="clear" w:color="auto" w:fill="DDDDDD"/>
          </w:tcPr>
          <w:p>
            <w:pPr>
              <w:spacing w:after="0"/>
              <w:rPr>
                <w:sz w:val="15"/>
                <w:szCs w:val="15"/>
                <w:color w:val="auto"/>
              </w:rPr>
            </w:pPr>
          </w:p>
        </w:tc>
        <w:tc>
          <w:tcPr>
            <w:tcW w:w="280" w:type="dxa"/>
            <w:vAlign w:val="bottom"/>
            <w:tcBorders>
              <w:bottom w:val="single" w:sz="8" w:color="auto"/>
            </w:tcBorders>
            <w:shd w:val="clear" w:color="auto" w:fill="DDDDDD"/>
          </w:tcPr>
          <w:p>
            <w:pPr>
              <w:spacing w:after="0"/>
              <w:rPr>
                <w:sz w:val="15"/>
                <w:szCs w:val="15"/>
                <w:color w:val="auto"/>
              </w:rPr>
            </w:pPr>
          </w:p>
        </w:tc>
        <w:tc>
          <w:tcPr>
            <w:tcW w:w="380" w:type="dxa"/>
            <w:vAlign w:val="bottom"/>
            <w:tcBorders>
              <w:bottom w:val="single" w:sz="8" w:color="auto"/>
            </w:tcBorders>
            <w:shd w:val="clear" w:color="auto" w:fill="DDDDDD"/>
          </w:tcPr>
          <w:p>
            <w:pPr>
              <w:jc w:val="right"/>
              <w:ind w:right="39"/>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DDDDDD"/>
          </w:tcPr>
          <w:p>
            <w:pPr>
              <w:spacing w:after="0"/>
              <w:rPr>
                <w:sz w:val="15"/>
                <w:szCs w:val="15"/>
                <w:color w:val="auto"/>
              </w:rPr>
            </w:pPr>
          </w:p>
        </w:tc>
        <w:tc>
          <w:tcPr>
            <w:tcW w:w="460" w:type="dxa"/>
            <w:vAlign w:val="bottom"/>
            <w:tcBorders>
              <w:bottom w:val="single" w:sz="8" w:color="auto"/>
            </w:tcBorders>
            <w:shd w:val="clear" w:color="auto" w:fill="DDDDDD"/>
          </w:tcPr>
          <w:p>
            <w:pPr>
              <w:spacing w:after="0"/>
              <w:rPr>
                <w:sz w:val="15"/>
                <w:szCs w:val="15"/>
                <w:color w:val="auto"/>
              </w:rPr>
            </w:pPr>
          </w:p>
        </w:tc>
        <w:tc>
          <w:tcPr>
            <w:tcW w:w="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256,862</w:t>
            </w:r>
          </w:p>
        </w:tc>
        <w:tc>
          <w:tcPr>
            <w:tcW w:w="80" w:type="dxa"/>
            <w:vAlign w:val="bottom"/>
            <w:tcBorders>
              <w:bottom w:val="single" w:sz="8" w:color="DDDDDD"/>
            </w:tcBorders>
            <w:shd w:val="clear" w:color="auto" w:fill="DDDDDD"/>
          </w:tcPr>
          <w:p>
            <w:pPr>
              <w:spacing w:after="0"/>
              <w:rPr>
                <w:sz w:val="15"/>
                <w:szCs w:val="15"/>
                <w:color w:val="auto"/>
              </w:rPr>
            </w:pPr>
          </w:p>
        </w:tc>
        <w:tc>
          <w:tcPr>
            <w:tcW w:w="220" w:type="dxa"/>
            <w:vAlign w:val="bottom"/>
            <w:tcBorders>
              <w:bottom w:val="single" w:sz="8" w:color="auto"/>
            </w:tcBorders>
            <w:shd w:val="clear" w:color="auto" w:fill="DDDDDD"/>
          </w:tcPr>
          <w:p>
            <w:pPr>
              <w:spacing w:after="0"/>
              <w:rPr>
                <w:sz w:val="15"/>
                <w:szCs w:val="15"/>
                <w:color w:val="auto"/>
              </w:rPr>
            </w:pPr>
          </w:p>
        </w:tc>
        <w:tc>
          <w:tcPr>
            <w:tcW w:w="62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DDDDDD"/>
          </w:tcPr>
          <w:p>
            <w:pPr>
              <w:spacing w:after="0"/>
              <w:rPr>
                <w:sz w:val="15"/>
                <w:szCs w:val="15"/>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886,425</w:t>
            </w:r>
          </w:p>
        </w:tc>
        <w:tc>
          <w:tcPr>
            <w:tcW w:w="20" w:type="dxa"/>
            <w:vAlign w:val="bottom"/>
            <w:tcBorders>
              <w:bottom w:val="single" w:sz="8" w:color="auto"/>
            </w:tcBorders>
            <w:shd w:val="clear" w:color="auto" w:fill="DDDDDD"/>
          </w:tcPr>
          <w:p>
            <w:pPr>
              <w:spacing w:after="0"/>
              <w:rPr>
                <w:sz w:val="15"/>
                <w:szCs w:val="15"/>
                <w:color w:val="auto"/>
              </w:rPr>
            </w:pPr>
          </w:p>
        </w:tc>
        <w:tc>
          <w:tcPr>
            <w:tcW w:w="80" w:type="dxa"/>
            <w:vAlign w:val="bottom"/>
            <w:tcBorders>
              <w:bottom w:val="single" w:sz="8" w:color="DDDDDD"/>
            </w:tcBorders>
            <w:shd w:val="clear" w:color="auto" w:fill="DDDDDD"/>
          </w:tcPr>
          <w:p>
            <w:pPr>
              <w:spacing w:after="0"/>
              <w:rPr>
                <w:sz w:val="15"/>
                <w:szCs w:val="15"/>
                <w:color w:val="auto"/>
              </w:rPr>
            </w:pPr>
          </w:p>
        </w:tc>
        <w:tc>
          <w:tcPr>
            <w:tcW w:w="260" w:type="dxa"/>
            <w:vAlign w:val="bottom"/>
            <w:tcBorders>
              <w:bottom w:val="single" w:sz="8" w:color="auto"/>
            </w:tcBorders>
            <w:shd w:val="clear" w:color="auto" w:fill="DDDDDD"/>
          </w:tcPr>
          <w:p>
            <w:pPr>
              <w:spacing w:after="0"/>
              <w:rPr>
                <w:sz w:val="15"/>
                <w:szCs w:val="15"/>
                <w:color w:val="auto"/>
              </w:rPr>
            </w:pPr>
          </w:p>
        </w:tc>
        <w:tc>
          <w:tcPr>
            <w:tcW w:w="500" w:type="dxa"/>
            <w:vAlign w:val="bottom"/>
            <w:tcBorders>
              <w:bottom w:val="single" w:sz="8" w:color="auto"/>
            </w:tcBorders>
            <w:shd w:val="clear" w:color="auto" w:fill="DDDDDD"/>
          </w:tcPr>
          <w:p>
            <w:pPr>
              <w:jc w:val="right"/>
              <w:ind w:right="139"/>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shd w:val="clear" w:color="auto" w:fill="DDDDDD"/>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512,683</w:t>
            </w:r>
          </w:p>
        </w:tc>
      </w:tr>
      <w:tr>
        <w:trPr>
          <w:trHeight w:val="20"/>
        </w:trPr>
        <w:tc>
          <w:tcPr>
            <w:tcW w:w="720" w:type="dxa"/>
            <w:vAlign w:val="bottom"/>
            <w:tcBorders>
              <w:top w:val="single" w:sz="8" w:color="DDDDDD"/>
            </w:tcBorders>
          </w:tcPr>
          <w:p>
            <w:pPr>
              <w:spacing w:after="0" w:line="20" w:lineRule="exact"/>
              <w:rPr>
                <w:sz w:val="1"/>
                <w:szCs w:val="1"/>
                <w:color w:val="auto"/>
              </w:rPr>
            </w:pPr>
          </w:p>
        </w:tc>
        <w:tc>
          <w:tcPr>
            <w:tcW w:w="1040" w:type="dxa"/>
            <w:vAlign w:val="bottom"/>
            <w:tcBorders>
              <w:top w:val="single" w:sz="8" w:color="DDDDDD"/>
            </w:tcBorders>
          </w:tcPr>
          <w:p>
            <w:pPr>
              <w:spacing w:after="0" w:line="20" w:lineRule="exact"/>
              <w:rPr>
                <w:sz w:val="1"/>
                <w:szCs w:val="1"/>
                <w:color w:val="auto"/>
              </w:rPr>
            </w:pPr>
          </w:p>
        </w:tc>
        <w:tc>
          <w:tcPr>
            <w:tcW w:w="580" w:type="dxa"/>
            <w:vAlign w:val="bottom"/>
            <w:tcBorders>
              <w:top w:val="single" w:sz="8" w:color="DDDDDD"/>
            </w:tcBorders>
          </w:tcPr>
          <w:p>
            <w:pPr>
              <w:spacing w:after="0" w:line="20" w:lineRule="exact"/>
              <w:rPr>
                <w:sz w:val="1"/>
                <w:szCs w:val="1"/>
                <w:color w:val="auto"/>
              </w:rPr>
            </w:pPr>
          </w:p>
        </w:tc>
        <w:tc>
          <w:tcPr>
            <w:tcW w:w="38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DDDDDD"/>
              <w:bottom w:val="single" w:sz="8" w:color="auto"/>
            </w:tcBorders>
          </w:tcPr>
          <w:p>
            <w:pPr>
              <w:spacing w:after="0" w:line="20" w:lineRule="exact"/>
              <w:rPr>
                <w:sz w:val="1"/>
                <w:szCs w:val="1"/>
                <w:color w:val="auto"/>
              </w:rPr>
            </w:pPr>
          </w:p>
        </w:tc>
        <w:tc>
          <w:tcPr>
            <w:tcW w:w="640" w:type="dxa"/>
            <w:vAlign w:val="bottom"/>
            <w:tcBorders>
              <w:top w:val="single" w:sz="8" w:color="DDDDDD"/>
              <w:bottom w:val="single" w:sz="8" w:color="auto"/>
            </w:tcBorders>
          </w:tcPr>
          <w:p>
            <w:pPr>
              <w:spacing w:after="0" w:line="20" w:lineRule="exact"/>
              <w:rPr>
                <w:sz w:val="1"/>
                <w:szCs w:val="1"/>
                <w:color w:val="auto"/>
              </w:rPr>
            </w:pPr>
          </w:p>
        </w:tc>
        <w:tc>
          <w:tcPr>
            <w:tcW w:w="520" w:type="dxa"/>
            <w:vAlign w:val="bottom"/>
            <w:tcBorders>
              <w:top w:val="single" w:sz="8" w:color="DDDDDD"/>
              <w:bottom w:val="single" w:sz="8" w:color="auto"/>
            </w:tcBorders>
          </w:tcPr>
          <w:p>
            <w:pPr>
              <w:spacing w:after="0" w:line="20" w:lineRule="exact"/>
              <w:rPr>
                <w:sz w:val="1"/>
                <w:szCs w:val="1"/>
                <w:color w:val="auto"/>
              </w:rPr>
            </w:pPr>
          </w:p>
        </w:tc>
        <w:tc>
          <w:tcPr>
            <w:tcW w:w="6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DDDDDD"/>
              <w:bottom w:val="single" w:sz="8" w:color="auto"/>
            </w:tcBorders>
          </w:tcPr>
          <w:p>
            <w:pPr>
              <w:spacing w:after="0" w:line="20" w:lineRule="exact"/>
              <w:rPr>
                <w:sz w:val="1"/>
                <w:szCs w:val="1"/>
                <w:color w:val="auto"/>
              </w:rPr>
            </w:pPr>
          </w:p>
        </w:tc>
        <w:tc>
          <w:tcPr>
            <w:tcW w:w="380" w:type="dxa"/>
            <w:vAlign w:val="bottom"/>
            <w:tcBorders>
              <w:top w:val="single" w:sz="8" w:color="DDDDDD"/>
              <w:bottom w:val="single" w:sz="8" w:color="auto"/>
            </w:tcBorders>
          </w:tcPr>
          <w:p>
            <w:pPr>
              <w:spacing w:after="0" w:line="20" w:lineRule="exact"/>
              <w:rPr>
                <w:sz w:val="1"/>
                <w:szCs w:val="1"/>
                <w:color w:val="auto"/>
              </w:rPr>
            </w:pP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460" w:type="dxa"/>
            <w:vAlign w:val="bottom"/>
            <w:tcBorders>
              <w:top w:val="single" w:sz="8" w:color="DDDDDD"/>
              <w:bottom w:val="single" w:sz="8" w:color="auto"/>
            </w:tcBorders>
          </w:tcPr>
          <w:p>
            <w:pPr>
              <w:spacing w:after="0" w:line="20" w:lineRule="exact"/>
              <w:rPr>
                <w:sz w:val="1"/>
                <w:szCs w:val="1"/>
                <w:color w:val="auto"/>
              </w:rPr>
            </w:pPr>
          </w:p>
        </w:tc>
        <w:tc>
          <w:tcPr>
            <w:tcW w:w="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DDDDDD"/>
              <w:bottom w:val="single" w:sz="8" w:color="auto"/>
            </w:tcBorders>
          </w:tcPr>
          <w:p>
            <w:pPr>
              <w:spacing w:after="0" w:line="20" w:lineRule="exact"/>
              <w:rPr>
                <w:sz w:val="1"/>
                <w:szCs w:val="1"/>
                <w:color w:val="auto"/>
              </w:rPr>
            </w:pPr>
          </w:p>
        </w:tc>
        <w:tc>
          <w:tcPr>
            <w:tcW w:w="620" w:type="dxa"/>
            <w:vAlign w:val="bottom"/>
            <w:tcBorders>
              <w:top w:val="single" w:sz="8" w:color="DDDDDD"/>
              <w:bottom w:val="single" w:sz="8" w:color="auto"/>
            </w:tcBorders>
          </w:tcPr>
          <w:p>
            <w:pPr>
              <w:spacing w:after="0" w:line="20" w:lineRule="exact"/>
              <w:rPr>
                <w:sz w:val="1"/>
                <w:szCs w:val="1"/>
                <w:color w:val="auto"/>
              </w:rPr>
            </w:pPr>
          </w:p>
        </w:tc>
        <w:tc>
          <w:tcPr>
            <w:tcW w:w="620" w:type="dxa"/>
            <w:vAlign w:val="bottom"/>
            <w:tcBorders>
              <w:top w:val="single" w:sz="8" w:color="DDDDDD"/>
              <w:bottom w:val="single" w:sz="8" w:color="auto"/>
            </w:tcBorders>
          </w:tcPr>
          <w:p>
            <w:pPr>
              <w:spacing w:after="0" w:line="20" w:lineRule="exact"/>
              <w:rPr>
                <w:sz w:val="1"/>
                <w:szCs w:val="1"/>
                <w:color w:val="auto"/>
              </w:rPr>
            </w:pPr>
          </w:p>
        </w:tc>
        <w:tc>
          <w:tcPr>
            <w:tcW w:w="54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DDDDDD"/>
              <w:bottom w:val="single" w:sz="8" w:color="auto"/>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320" w:type="dxa"/>
            <w:vAlign w:val="bottom"/>
            <w:tcBorders>
              <w:top w:val="single" w:sz="8" w:color="DDDDDD"/>
              <w:bottom w:val="single" w:sz="8" w:color="auto"/>
            </w:tcBorders>
          </w:tcPr>
          <w:p>
            <w:pPr>
              <w:spacing w:after="0" w:line="20" w:lineRule="exact"/>
              <w:rPr>
                <w:sz w:val="1"/>
                <w:szCs w:val="1"/>
                <w:color w:val="auto"/>
              </w:rPr>
            </w:pPr>
          </w:p>
        </w:tc>
        <w:tc>
          <w:tcPr>
            <w:tcW w:w="380" w:type="dxa"/>
            <w:vAlign w:val="bottom"/>
            <w:tcBorders>
              <w:top w:val="single" w:sz="8" w:color="DDDDDD"/>
              <w:bottom w:val="single" w:sz="8" w:color="auto"/>
            </w:tcBorders>
          </w:tcPr>
          <w:p>
            <w:pPr>
              <w:spacing w:after="0" w:line="20" w:lineRule="exact"/>
              <w:rPr>
                <w:sz w:val="1"/>
                <w:szCs w:val="1"/>
                <w:color w:val="auto"/>
              </w:rPr>
            </w:pPr>
          </w:p>
        </w:tc>
        <w:tc>
          <w:tcPr>
            <w:tcW w:w="560" w:type="dxa"/>
            <w:vAlign w:val="bottom"/>
            <w:tcBorders>
              <w:top w:val="single" w:sz="8" w:color="DDDDDD"/>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20"/>
        <w:spacing w:after="0"/>
        <w:rPr>
          <w:sz w:val="20"/>
          <w:szCs w:val="20"/>
          <w:color w:val="auto"/>
        </w:rPr>
      </w:pPr>
      <w:r>
        <w:rPr>
          <w:rFonts w:ascii="Arial" w:cs="Arial" w:eastAsia="Arial" w:hAnsi="Arial"/>
          <w:sz w:val="11"/>
          <w:szCs w:val="11"/>
          <w:color w:val="auto"/>
        </w:rPr>
        <w:t>(a)</w:t>
      </w:r>
    </w:p>
    <w:p>
      <w:pPr>
        <w:ind w:left="460"/>
        <w:spacing w:after="0" w:line="210" w:lineRule="auto"/>
        <w:rPr>
          <w:sz w:val="20"/>
          <w:szCs w:val="20"/>
          <w:color w:val="auto"/>
        </w:rPr>
      </w:pPr>
      <w:r>
        <w:rPr>
          <w:rFonts w:ascii="Arial" w:cs="Arial" w:eastAsia="Arial" w:hAnsi="Arial"/>
          <w:sz w:val="10"/>
          <w:szCs w:val="10"/>
          <w:color w:val="auto"/>
        </w:rPr>
        <w:t>Includes $7.8 million and $4.3 million of service revenue for the three months ended June 30, 2021 and 2020, respectively, and $14.0 million and $8.3 million of service revenue for the six months ended June 30, 2021 and 2020</w:t>
      </w:r>
    </w:p>
    <w:p>
      <w:pPr>
        <w:ind w:left="460"/>
        <w:spacing w:after="0"/>
        <w:rPr>
          <w:sz w:val="20"/>
          <w:szCs w:val="20"/>
          <w:color w:val="auto"/>
        </w:rPr>
      </w:pPr>
      <w:r>
        <w:rPr>
          <w:rFonts w:ascii="Arial" w:cs="Arial" w:eastAsia="Arial" w:hAnsi="Arial"/>
          <w:sz w:val="11"/>
          <w:szCs w:val="11"/>
          <w:color w:val="auto"/>
        </w:rPr>
        <w:t>, respectively.</w:t>
      </w:r>
    </w:p>
    <w:p>
      <w:pPr>
        <w:spacing w:after="0" w:line="14" w:lineRule="exact"/>
        <w:rPr>
          <w:sz w:val="20"/>
          <w:szCs w:val="20"/>
          <w:color w:val="auto"/>
        </w:rPr>
      </w:pPr>
    </w:p>
    <w:p>
      <w:pPr>
        <w:ind w:left="460" w:hanging="446"/>
        <w:spacing w:after="0"/>
        <w:tabs>
          <w:tab w:leader="none" w:pos="46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primarily damage billings, delinquent payment charges, and other processing fees.</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Leasing and Services Revenue</w:t>
      </w:r>
    </w:p>
    <w:p>
      <w:pPr>
        <w:spacing w:after="0" w:line="58"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 xml:space="preserve">The majority of revenue (73% for the three and six months ended June 30 2021 and 72% for the three and six months ended June 30, 2020) is generated by rental income subject to the guidance of ASU 2018-11, </w:t>
      </w:r>
      <w:r>
        <w:rPr>
          <w:rFonts w:ascii="Arial" w:cs="Arial" w:eastAsia="Arial" w:hAnsi="Arial"/>
          <w:sz w:val="12"/>
          <w:szCs w:val="12"/>
          <w:i w:val="1"/>
          <w:iCs w:val="1"/>
          <w:color w:val="auto"/>
        </w:rPr>
        <w:t>Leases (Topic 842)</w:t>
      </w:r>
      <w:r>
        <w:rPr>
          <w:rFonts w:ascii="Arial" w:cs="Arial" w:eastAsia="Arial" w:hAnsi="Arial"/>
          <w:sz w:val="12"/>
          <w:szCs w:val="12"/>
          <w:color w:val="auto"/>
        </w:rPr>
        <w:t xml:space="preserve"> ("ASC 842"). The remaining revenue for the three and six months ended June 30, 2021 and 2020 is generated by performance obligations in contracts with customers for services or sale of units subject to the guidance in ASU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("ASC 606").</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Receivables, Contract Assets and Liabilities</w:t>
      </w:r>
    </w:p>
    <w:p>
      <w:pPr>
        <w:spacing w:after="0" w:line="70"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As reflected above, approximately 73% of the Company's rental revenue is generated by lease revenue subject to the guidance in ASC 842. The customers that are responsible for the remaining revenue accounted for under ASC 606 are generally the same customers that rent the Company's equipment. The Company manages credit risk associated with its accounts receivables at the customer level. As the same customers generate the revenues that are accounted for under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517525</wp:posOffset>
            </wp:positionV>
            <wp:extent cx="719264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9" w:right="319" w:bottom="1440" w:gutter="0" w:footer="0" w:header="0"/>
        </w:sectPr>
      </w:pPr>
    </w:p>
    <w:bookmarkStart w:id="13" w:name="page14"/>
    <w:bookmarkEnd w:id="13"/>
    <w:p>
      <w:pPr>
        <w:jc w:val="both"/>
        <w:spacing w:after="0" w:line="258" w:lineRule="auto"/>
        <w:rPr>
          <w:sz w:val="20"/>
          <w:szCs w:val="20"/>
          <w:color w:val="auto"/>
        </w:rPr>
      </w:pPr>
      <w:r>
        <w:rPr>
          <w:rFonts w:ascii="Arial" w:cs="Arial" w:eastAsia="Arial" w:hAnsi="Arial"/>
          <w:sz w:val="12"/>
          <w:szCs w:val="12"/>
          <w:color w:val="auto"/>
        </w:rPr>
        <w:t>ASC 606 and ASC 842, the discussions below on credit risk and the Company's allowance for credit losses address its total revenues. The Company's top five customers with the largest open receivables balances represented 4.4% of the total receivables balance as of June 30, 2021.</w:t>
      </w:r>
    </w:p>
    <w:p>
      <w:pPr>
        <w:spacing w:after="0" w:line="26"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As of June 30, 2021 and December 31, 2020, the Company had approximately $74.7 million and $74.1 million, respectively, of deferred revenue that relates to removal services for lease transactions and advance billings for sale transactions, which are within the scope of ASC 606 and are included in deferred revenue and customer deposits in the condensed consolidated balance sheets. During the three months ended June 30, 2021, $18.1 million of previously deferred revenue relating to removal services for lease transactions and advance billings for sale transactions was recognized as revenue.</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Company does not have material contract assets and it did not recognize any material impairments of contract assets.</w:t>
      </w:r>
    </w:p>
    <w:p>
      <w:pPr>
        <w:spacing w:after="0" w:line="44"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costs ultimately incurred to provide those services.</w:t>
      </w:r>
    </w:p>
    <w:p>
      <w:pPr>
        <w:spacing w:after="0" w:line="29"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primary costs to obtain contracts for new and rental unit sales with the Company's customers are commissions paid to its sales force. The Company pays its sales force commissions on the sale of new and rental units. For new and rental unit sales, the period benefited by each commission is less than one year, therefore the commissions are expensed as incurred.</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Credit Losses</w:t>
      </w:r>
    </w:p>
    <w:p>
      <w:pPr>
        <w:spacing w:after="0" w:line="111"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The Company is exposed to credit losses from trade receivables generated through its leasing and sales business. The Company assesses each customer’s ability to pay for the products it leases or sells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new leases after a defined period of dormancy. The Company also considers contract terms and conditions, country risk and business strategy in the evaluation.</w:t>
      </w:r>
    </w:p>
    <w:p>
      <w:pPr>
        <w:spacing w:after="0" w:line="33"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The Company monitors ongoing credit exposure through an active review of customer balances against contract terms and due dates. The Company may employ collection agencies and legal counsel to pursue recovery of defaulted receivables. The allowances for credit losses reflect the estimate of the amount of receivables that the Company will be unable to collect based on historical write-off experience and, as applicable, current conditions and reasonable and supportable forecasts that affect collectability. This estimate could require change based on changing circumstances, including changes in the economy or in the particular circumstances of individual customers. Accordingly, the Company may be required to increase or decrease its allowances.</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Activity in the allowance for credit losses was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20" w:type="dxa"/>
            <w:vAlign w:val="bottom"/>
            <w:shd w:val="clear" w:color="auto" w:fill="1D2758"/>
          </w:tcPr>
          <w:p>
            <w:pPr>
              <w:spacing w:after="0"/>
              <w:rPr>
                <w:sz w:val="12"/>
                <w:szCs w:val="12"/>
                <w:color w:val="auto"/>
              </w:rPr>
            </w:pPr>
          </w:p>
        </w:tc>
        <w:tc>
          <w:tcPr>
            <w:tcW w:w="1060" w:type="dxa"/>
            <w:vAlign w:val="bottom"/>
            <w:shd w:val="clear" w:color="auto" w:fill="1D2758"/>
          </w:tcPr>
          <w:p>
            <w:pPr>
              <w:spacing w:after="0"/>
              <w:rPr>
                <w:sz w:val="12"/>
                <w:szCs w:val="12"/>
                <w:color w:val="auto"/>
              </w:rPr>
            </w:pPr>
          </w:p>
        </w:tc>
        <w:tc>
          <w:tcPr>
            <w:tcW w:w="1820" w:type="dxa"/>
            <w:vAlign w:val="bottom"/>
            <w:gridSpan w:val="3"/>
            <w:shd w:val="clear" w:color="auto" w:fill="1D2758"/>
          </w:tcPr>
          <w:p>
            <w:pPr>
              <w:jc w:val="right"/>
              <w:ind w:right="499"/>
              <w:spacing w:after="0"/>
              <w:rPr>
                <w:sz w:val="20"/>
                <w:szCs w:val="20"/>
                <w:color w:val="auto"/>
              </w:rPr>
            </w:pPr>
            <w:r>
              <w:rPr>
                <w:rFonts w:ascii="Arial" w:cs="Arial" w:eastAsia="Arial" w:hAnsi="Arial"/>
                <w:sz w:val="12"/>
                <w:szCs w:val="12"/>
                <w:b w:val="1"/>
                <w:bCs w:val="1"/>
                <w:color w:val="FFFFFF"/>
              </w:rPr>
              <w:t>Three Months Ended</w:t>
            </w:r>
          </w:p>
        </w:tc>
        <w:tc>
          <w:tcPr>
            <w:tcW w:w="560" w:type="dxa"/>
            <w:vAlign w:val="bottom"/>
            <w:shd w:val="clear" w:color="auto" w:fill="1D2758"/>
          </w:tcPr>
          <w:p>
            <w:pPr>
              <w:spacing w:after="0"/>
              <w:rPr>
                <w:sz w:val="12"/>
                <w:szCs w:val="12"/>
                <w:color w:val="auto"/>
              </w:rPr>
            </w:pPr>
          </w:p>
        </w:tc>
        <w:tc>
          <w:tcPr>
            <w:tcW w:w="80" w:type="dxa"/>
            <w:vAlign w:val="bottom"/>
            <w:shd w:val="clear" w:color="auto" w:fill="1D2758"/>
          </w:tcPr>
          <w:p>
            <w:pPr>
              <w:spacing w:after="0"/>
              <w:rPr>
                <w:sz w:val="12"/>
                <w:szCs w:val="12"/>
                <w:color w:val="auto"/>
              </w:rPr>
            </w:pPr>
          </w:p>
        </w:tc>
        <w:tc>
          <w:tcPr>
            <w:tcW w:w="1080" w:type="dxa"/>
            <w:vAlign w:val="bottom"/>
            <w:shd w:val="clear" w:color="auto" w:fill="1D2758"/>
          </w:tcPr>
          <w:p>
            <w:pPr>
              <w:spacing w:after="0"/>
              <w:rPr>
                <w:sz w:val="12"/>
                <w:szCs w:val="12"/>
                <w:color w:val="auto"/>
              </w:rPr>
            </w:pPr>
          </w:p>
        </w:tc>
        <w:tc>
          <w:tcPr>
            <w:tcW w:w="1280" w:type="dxa"/>
            <w:vAlign w:val="bottom"/>
            <w:gridSpan w:val="3"/>
            <w:shd w:val="clear" w:color="auto" w:fill="1D2758"/>
          </w:tcPr>
          <w:p>
            <w:pPr>
              <w:jc w:val="right"/>
              <w:ind w:right="59"/>
              <w:spacing w:after="0"/>
              <w:rPr>
                <w:sz w:val="20"/>
                <w:szCs w:val="20"/>
                <w:color w:val="auto"/>
              </w:rPr>
            </w:pPr>
            <w:r>
              <w:rPr>
                <w:rFonts w:ascii="Arial" w:cs="Arial" w:eastAsia="Arial" w:hAnsi="Arial"/>
                <w:sz w:val="12"/>
                <w:szCs w:val="12"/>
                <w:b w:val="1"/>
                <w:bCs w:val="1"/>
                <w:color w:val="FFFFFF"/>
              </w:rPr>
              <w:t>Six Months Ended</w:t>
            </w:r>
          </w:p>
        </w:tc>
        <w:tc>
          <w:tcPr>
            <w:tcW w:w="1080" w:type="dxa"/>
            <w:vAlign w:val="bottom"/>
            <w:shd w:val="clear" w:color="auto" w:fill="1D2758"/>
          </w:tcPr>
          <w:p>
            <w:pPr>
              <w:spacing w:after="0"/>
              <w:rPr>
                <w:sz w:val="12"/>
                <w:szCs w:val="12"/>
                <w:color w:val="auto"/>
              </w:rPr>
            </w:pPr>
          </w:p>
        </w:tc>
      </w:tr>
      <w:tr>
        <w:trPr>
          <w:trHeight w:val="160"/>
        </w:trPr>
        <w:tc>
          <w:tcPr>
            <w:tcW w:w="4320" w:type="dxa"/>
            <w:vAlign w:val="bottom"/>
            <w:shd w:val="clear" w:color="auto" w:fill="1D2758"/>
          </w:tcPr>
          <w:p>
            <w:pPr>
              <w:spacing w:after="0"/>
              <w:rPr>
                <w:sz w:val="13"/>
                <w:szCs w:val="13"/>
                <w:color w:val="auto"/>
              </w:rPr>
            </w:pPr>
          </w:p>
        </w:tc>
        <w:tc>
          <w:tcPr>
            <w:tcW w:w="1060" w:type="dxa"/>
            <w:vAlign w:val="bottom"/>
            <w:shd w:val="clear" w:color="auto" w:fill="1D2758"/>
          </w:tcPr>
          <w:p>
            <w:pPr>
              <w:spacing w:after="0"/>
              <w:rPr>
                <w:sz w:val="13"/>
                <w:szCs w:val="13"/>
                <w:color w:val="auto"/>
              </w:rPr>
            </w:pPr>
          </w:p>
        </w:tc>
        <w:tc>
          <w:tcPr>
            <w:tcW w:w="1820" w:type="dxa"/>
            <w:vAlign w:val="bottom"/>
            <w:gridSpan w:val="3"/>
            <w:shd w:val="clear" w:color="auto" w:fill="1D2758"/>
          </w:tcPr>
          <w:p>
            <w:pPr>
              <w:jc w:val="right"/>
              <w:ind w:right="859"/>
              <w:spacing w:after="0"/>
              <w:rPr>
                <w:sz w:val="20"/>
                <w:szCs w:val="20"/>
                <w:color w:val="auto"/>
              </w:rPr>
            </w:pPr>
            <w:r>
              <w:rPr>
                <w:rFonts w:ascii="Arial" w:cs="Arial" w:eastAsia="Arial" w:hAnsi="Arial"/>
                <w:sz w:val="12"/>
                <w:szCs w:val="12"/>
                <w:b w:val="1"/>
                <w:bCs w:val="1"/>
                <w:color w:val="FFFFFF"/>
              </w:rPr>
              <w:t>June 30,</w:t>
            </w:r>
          </w:p>
        </w:tc>
        <w:tc>
          <w:tcPr>
            <w:tcW w:w="56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1080" w:type="dxa"/>
            <w:vAlign w:val="bottom"/>
            <w:shd w:val="clear" w:color="auto" w:fill="1D2758"/>
          </w:tcPr>
          <w:p>
            <w:pPr>
              <w:spacing w:after="0"/>
              <w:rPr>
                <w:sz w:val="13"/>
                <w:szCs w:val="13"/>
                <w:color w:val="auto"/>
              </w:rPr>
            </w:pPr>
          </w:p>
        </w:tc>
        <w:tc>
          <w:tcPr>
            <w:tcW w:w="1280" w:type="dxa"/>
            <w:vAlign w:val="bottom"/>
            <w:gridSpan w:val="3"/>
            <w:shd w:val="clear" w:color="auto" w:fill="1D2758"/>
          </w:tcPr>
          <w:p>
            <w:pPr>
              <w:jc w:val="right"/>
              <w:ind w:right="339"/>
              <w:spacing w:after="0"/>
              <w:rPr>
                <w:sz w:val="20"/>
                <w:szCs w:val="20"/>
                <w:color w:val="auto"/>
              </w:rPr>
            </w:pPr>
            <w:r>
              <w:rPr>
                <w:rFonts w:ascii="Arial" w:cs="Arial" w:eastAsia="Arial" w:hAnsi="Arial"/>
                <w:sz w:val="12"/>
                <w:szCs w:val="12"/>
                <w:b w:val="1"/>
                <w:bCs w:val="1"/>
                <w:color w:val="FFFFFF"/>
              </w:rPr>
              <w:t>June 30,</w:t>
            </w:r>
          </w:p>
        </w:tc>
        <w:tc>
          <w:tcPr>
            <w:tcW w:w="1080" w:type="dxa"/>
            <w:vAlign w:val="bottom"/>
            <w:shd w:val="clear" w:color="auto" w:fill="1D2758"/>
          </w:tcPr>
          <w:p>
            <w:pPr>
              <w:spacing w:after="0"/>
              <w:rPr>
                <w:sz w:val="13"/>
                <w:szCs w:val="13"/>
                <w:color w:val="auto"/>
              </w:rPr>
            </w:pPr>
          </w:p>
        </w:tc>
      </w:tr>
      <w:tr>
        <w:trPr>
          <w:trHeight w:val="163"/>
        </w:trPr>
        <w:tc>
          <w:tcPr>
            <w:tcW w:w="432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060" w:type="dxa"/>
            <w:vAlign w:val="bottom"/>
            <w:shd w:val="clear" w:color="auto" w:fill="1D2758"/>
          </w:tcPr>
          <w:p>
            <w:pPr>
              <w:jc w:val="right"/>
              <w:ind w:right="19"/>
              <w:spacing w:after="0"/>
              <w:rPr>
                <w:sz w:val="20"/>
                <w:szCs w:val="20"/>
                <w:color w:val="auto"/>
              </w:rPr>
            </w:pPr>
            <w:r>
              <w:rPr>
                <w:rFonts w:ascii="Arial" w:cs="Arial" w:eastAsia="Arial" w:hAnsi="Arial"/>
                <w:sz w:val="12"/>
                <w:szCs w:val="12"/>
                <w:b w:val="1"/>
                <w:bCs w:val="1"/>
                <w:color w:val="FFFFFF"/>
              </w:rPr>
              <w:t>2021</w:t>
            </w:r>
          </w:p>
        </w:tc>
        <w:tc>
          <w:tcPr>
            <w:tcW w:w="62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120" w:type="dxa"/>
            <w:vAlign w:val="bottom"/>
            <w:shd w:val="clear" w:color="auto" w:fill="1D2758"/>
          </w:tcPr>
          <w:p>
            <w:pPr>
              <w:jc w:val="right"/>
              <w:ind w:right="79"/>
              <w:spacing w:after="0"/>
              <w:rPr>
                <w:sz w:val="20"/>
                <w:szCs w:val="20"/>
                <w:color w:val="auto"/>
              </w:rPr>
            </w:pPr>
            <w:r>
              <w:rPr>
                <w:rFonts w:ascii="Arial" w:cs="Arial" w:eastAsia="Arial" w:hAnsi="Arial"/>
                <w:sz w:val="12"/>
                <w:szCs w:val="12"/>
                <w:b w:val="1"/>
                <w:bCs w:val="1"/>
                <w:color w:val="FFFFFF"/>
              </w:rPr>
              <w:t>2020</w:t>
            </w:r>
          </w:p>
        </w:tc>
        <w:tc>
          <w:tcPr>
            <w:tcW w:w="5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080" w:type="dxa"/>
            <w:vAlign w:val="bottom"/>
            <w:shd w:val="clear" w:color="auto" w:fill="1D2758"/>
          </w:tcPr>
          <w:p>
            <w:pPr>
              <w:jc w:val="right"/>
              <w:ind w:right="39"/>
              <w:spacing w:after="0"/>
              <w:rPr>
                <w:sz w:val="20"/>
                <w:szCs w:val="20"/>
                <w:color w:val="auto"/>
              </w:rPr>
            </w:pPr>
            <w:r>
              <w:rPr>
                <w:rFonts w:ascii="Arial" w:cs="Arial" w:eastAsia="Arial" w:hAnsi="Arial"/>
                <w:sz w:val="12"/>
                <w:szCs w:val="12"/>
                <w:b w:val="1"/>
                <w:bCs w:val="1"/>
                <w:color w:val="FFFFFF"/>
              </w:rPr>
              <w:t>2021</w:t>
            </w:r>
          </w:p>
        </w:tc>
        <w:tc>
          <w:tcPr>
            <w:tcW w:w="6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600" w:type="dxa"/>
            <w:vAlign w:val="bottom"/>
            <w:shd w:val="clear" w:color="auto" w:fill="1D2758"/>
          </w:tcPr>
          <w:p>
            <w:pPr>
              <w:spacing w:after="0"/>
              <w:rPr>
                <w:sz w:val="14"/>
                <w:szCs w:val="14"/>
                <w:color w:val="auto"/>
              </w:rPr>
            </w:pPr>
          </w:p>
        </w:tc>
        <w:tc>
          <w:tcPr>
            <w:tcW w:w="1080" w:type="dxa"/>
            <w:vAlign w:val="bottom"/>
            <w:shd w:val="clear" w:color="auto" w:fill="1D2758"/>
          </w:tcPr>
          <w:p>
            <w:pPr>
              <w:jc w:val="right"/>
              <w:ind w:right="639"/>
              <w:spacing w:after="0"/>
              <w:rPr>
                <w:sz w:val="20"/>
                <w:szCs w:val="20"/>
                <w:color w:val="auto"/>
              </w:rPr>
            </w:pPr>
            <w:r>
              <w:rPr>
                <w:rFonts w:ascii="Arial" w:cs="Arial" w:eastAsia="Arial" w:hAnsi="Arial"/>
                <w:sz w:val="12"/>
                <w:szCs w:val="12"/>
                <w:b w:val="1"/>
                <w:bCs w:val="1"/>
                <w:color w:val="FFFFFF"/>
              </w:rPr>
              <w:t>2020</w:t>
            </w:r>
          </w:p>
        </w:tc>
      </w:tr>
      <w:tr>
        <w:trPr>
          <w:trHeight w:val="161"/>
        </w:trPr>
        <w:tc>
          <w:tcPr>
            <w:tcW w:w="4320" w:type="dxa"/>
            <w:vAlign w:val="bottom"/>
            <w:shd w:val="clear" w:color="auto" w:fill="DBDBDB"/>
          </w:tcPr>
          <w:p>
            <w:pPr>
              <w:ind w:left="20"/>
              <w:spacing w:after="0"/>
              <w:rPr>
                <w:sz w:val="20"/>
                <w:szCs w:val="20"/>
                <w:color w:val="auto"/>
              </w:rPr>
            </w:pPr>
            <w:r>
              <w:rPr>
                <w:rFonts w:ascii="Arial" w:cs="Arial" w:eastAsia="Arial" w:hAnsi="Arial"/>
                <w:sz w:val="12"/>
                <w:szCs w:val="12"/>
                <w:color w:val="auto"/>
              </w:rPr>
              <w:t>Balance at beginning of period</w:t>
            </w:r>
          </w:p>
        </w:tc>
        <w:tc>
          <w:tcPr>
            <w:tcW w:w="1060" w:type="dxa"/>
            <w:vAlign w:val="bottom"/>
            <w:shd w:val="clear" w:color="auto" w:fill="DDDDDD"/>
          </w:tcPr>
          <w:p>
            <w:pPr>
              <w:jc w:val="right"/>
              <w:ind w:right="919"/>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DDDDDD"/>
          </w:tcPr>
          <w:p>
            <w:pPr>
              <w:jc w:val="right"/>
              <w:spacing w:after="0"/>
              <w:rPr>
                <w:sz w:val="20"/>
                <w:szCs w:val="20"/>
                <w:color w:val="auto"/>
              </w:rPr>
            </w:pPr>
            <w:r>
              <w:rPr>
                <w:rFonts w:ascii="Arial" w:cs="Arial" w:eastAsia="Arial" w:hAnsi="Arial"/>
                <w:sz w:val="12"/>
                <w:szCs w:val="12"/>
                <w:color w:val="auto"/>
              </w:rPr>
              <w:t>31,630</w:t>
            </w:r>
          </w:p>
        </w:tc>
        <w:tc>
          <w:tcPr>
            <w:tcW w:w="80" w:type="dxa"/>
            <w:vAlign w:val="bottom"/>
            <w:shd w:val="clear" w:color="auto" w:fill="DDDDDD"/>
          </w:tcPr>
          <w:p>
            <w:pPr>
              <w:spacing w:after="0"/>
              <w:rPr>
                <w:sz w:val="14"/>
                <w:szCs w:val="14"/>
                <w:color w:val="auto"/>
              </w:rPr>
            </w:pPr>
          </w:p>
        </w:tc>
        <w:tc>
          <w:tcPr>
            <w:tcW w:w="1120" w:type="dxa"/>
            <w:vAlign w:val="bottom"/>
            <w:shd w:val="clear" w:color="auto" w:fill="DDDDDD"/>
          </w:tcPr>
          <w:p>
            <w:pPr>
              <w:jc w:val="right"/>
              <w:ind w:right="979"/>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16,471</w:t>
            </w:r>
          </w:p>
        </w:tc>
        <w:tc>
          <w:tcPr>
            <w:tcW w:w="80" w:type="dxa"/>
            <w:vAlign w:val="bottom"/>
            <w:shd w:val="clear" w:color="auto" w:fill="DDDDDD"/>
          </w:tcPr>
          <w:p>
            <w:pPr>
              <w:spacing w:after="0"/>
              <w:rPr>
                <w:sz w:val="14"/>
                <w:szCs w:val="14"/>
                <w:color w:val="auto"/>
              </w:rPr>
            </w:pPr>
          </w:p>
        </w:tc>
        <w:tc>
          <w:tcPr>
            <w:tcW w:w="1080" w:type="dxa"/>
            <w:vAlign w:val="bottom"/>
            <w:shd w:val="clear" w:color="auto" w:fill="DDDDDD"/>
          </w:tcPr>
          <w:p>
            <w:pPr>
              <w:jc w:val="right"/>
              <w:ind w:right="93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DDDDDD"/>
          </w:tcPr>
          <w:p>
            <w:pPr>
              <w:jc w:val="right"/>
              <w:spacing w:after="0"/>
              <w:rPr>
                <w:sz w:val="20"/>
                <w:szCs w:val="20"/>
                <w:color w:val="auto"/>
              </w:rPr>
            </w:pPr>
            <w:r>
              <w:rPr>
                <w:rFonts w:ascii="Arial" w:cs="Arial" w:eastAsia="Arial" w:hAnsi="Arial"/>
                <w:sz w:val="12"/>
                <w:szCs w:val="12"/>
                <w:color w:val="auto"/>
              </w:rPr>
              <w:t>29,258</w:t>
            </w:r>
          </w:p>
        </w:tc>
        <w:tc>
          <w:tcPr>
            <w:tcW w:w="80" w:type="dxa"/>
            <w:vAlign w:val="bottom"/>
            <w:shd w:val="clear" w:color="auto" w:fill="DDDDDD"/>
          </w:tcPr>
          <w:p>
            <w:pPr>
              <w:spacing w:after="0"/>
              <w:rPr>
                <w:sz w:val="14"/>
                <w:szCs w:val="14"/>
                <w:color w:val="auto"/>
              </w:rPr>
            </w:pPr>
          </w:p>
        </w:tc>
        <w:tc>
          <w:tcPr>
            <w:tcW w:w="600" w:type="dxa"/>
            <w:vAlign w:val="bottom"/>
            <w:shd w:val="clear" w:color="auto" w:fill="DDDDDD"/>
          </w:tcPr>
          <w:p>
            <w:pPr>
              <w:jc w:val="right"/>
              <w:ind w:right="459"/>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15,828</w:t>
            </w:r>
          </w:p>
        </w:tc>
      </w:tr>
      <w:tr>
        <w:trPr>
          <w:trHeight w:val="159"/>
        </w:trPr>
        <w:tc>
          <w:tcPr>
            <w:tcW w:w="4320" w:type="dxa"/>
            <w:vAlign w:val="bottom"/>
          </w:tcPr>
          <w:p>
            <w:pPr>
              <w:ind w:left="20"/>
              <w:spacing w:after="0"/>
              <w:rPr>
                <w:sz w:val="20"/>
                <w:szCs w:val="20"/>
                <w:color w:val="auto"/>
              </w:rPr>
            </w:pPr>
            <w:r>
              <w:rPr>
                <w:rFonts w:ascii="Arial" w:cs="Arial" w:eastAsia="Arial" w:hAnsi="Arial"/>
                <w:sz w:val="12"/>
                <w:szCs w:val="12"/>
                <w:color w:val="auto"/>
              </w:rPr>
              <w:t>Net charges to bad debt expense and revenue</w:t>
            </w:r>
          </w:p>
        </w:tc>
        <w:tc>
          <w:tcPr>
            <w:tcW w:w="10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8,390</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5,730</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16,910</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9,122</w:t>
            </w:r>
          </w:p>
        </w:tc>
      </w:tr>
      <w:tr>
        <w:trPr>
          <w:trHeight w:val="164"/>
        </w:trPr>
        <w:tc>
          <w:tcPr>
            <w:tcW w:w="4320" w:type="dxa"/>
            <w:vAlign w:val="bottom"/>
            <w:shd w:val="clear" w:color="auto" w:fill="DBDBDB"/>
          </w:tcPr>
          <w:p>
            <w:pPr>
              <w:ind w:left="20"/>
              <w:spacing w:after="0"/>
              <w:rPr>
                <w:sz w:val="20"/>
                <w:szCs w:val="20"/>
                <w:color w:val="auto"/>
              </w:rPr>
            </w:pPr>
            <w:r>
              <w:rPr>
                <w:rFonts w:ascii="Arial" w:cs="Arial" w:eastAsia="Arial" w:hAnsi="Arial"/>
                <w:sz w:val="12"/>
                <w:szCs w:val="12"/>
                <w:color w:val="auto"/>
              </w:rPr>
              <w:t>Write-offs</w:t>
            </w:r>
          </w:p>
        </w:tc>
        <w:tc>
          <w:tcPr>
            <w:tcW w:w="1060" w:type="dxa"/>
            <w:vAlign w:val="bottom"/>
            <w:shd w:val="clear" w:color="auto" w:fill="DDDDDD"/>
          </w:tcPr>
          <w:p>
            <w:pPr>
              <w:spacing w:after="0"/>
              <w:rPr>
                <w:sz w:val="14"/>
                <w:szCs w:val="14"/>
                <w:color w:val="auto"/>
              </w:rPr>
            </w:pPr>
          </w:p>
        </w:tc>
        <w:tc>
          <w:tcPr>
            <w:tcW w:w="620" w:type="dxa"/>
            <w:vAlign w:val="bottom"/>
            <w:shd w:val="clear" w:color="auto" w:fill="DDDDDD"/>
          </w:tcPr>
          <w:p>
            <w:pPr>
              <w:jc w:val="right"/>
              <w:spacing w:after="0"/>
              <w:rPr>
                <w:sz w:val="20"/>
                <w:szCs w:val="20"/>
                <w:color w:val="auto"/>
              </w:rPr>
            </w:pPr>
            <w:r>
              <w:rPr>
                <w:rFonts w:ascii="Arial" w:cs="Arial" w:eastAsia="Arial" w:hAnsi="Arial"/>
                <w:sz w:val="12"/>
                <w:szCs w:val="12"/>
                <w:color w:val="auto"/>
              </w:rPr>
              <w:t>(4,058)</w:t>
            </w:r>
          </w:p>
        </w:tc>
        <w:tc>
          <w:tcPr>
            <w:tcW w:w="80" w:type="dxa"/>
            <w:vAlign w:val="bottom"/>
            <w:shd w:val="clear" w:color="auto" w:fill="DDDDDD"/>
          </w:tcPr>
          <w:p>
            <w:pPr>
              <w:spacing w:after="0"/>
              <w:rPr>
                <w:sz w:val="14"/>
                <w:szCs w:val="14"/>
                <w:color w:val="auto"/>
              </w:rPr>
            </w:pPr>
          </w:p>
        </w:tc>
        <w:tc>
          <w:tcPr>
            <w:tcW w:w="1120" w:type="dxa"/>
            <w:vAlign w:val="bottom"/>
            <w:shd w:val="clear" w:color="auto" w:fill="DDDDDD"/>
          </w:tcPr>
          <w:p>
            <w:pPr>
              <w:spacing w:after="0"/>
              <w:rPr>
                <w:sz w:val="14"/>
                <w:szCs w:val="14"/>
                <w:color w:val="auto"/>
              </w:rPr>
            </w:pPr>
          </w:p>
        </w:tc>
        <w:tc>
          <w:tcPr>
            <w:tcW w:w="5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(2,829)</w:t>
            </w:r>
          </w:p>
        </w:tc>
        <w:tc>
          <w:tcPr>
            <w:tcW w:w="80" w:type="dxa"/>
            <w:vAlign w:val="bottom"/>
            <w:shd w:val="clear" w:color="auto" w:fill="DDDDDD"/>
          </w:tcPr>
          <w:p>
            <w:pPr>
              <w:spacing w:after="0"/>
              <w:rPr>
                <w:sz w:val="14"/>
                <w:szCs w:val="14"/>
                <w:color w:val="auto"/>
              </w:rPr>
            </w:pPr>
          </w:p>
        </w:tc>
        <w:tc>
          <w:tcPr>
            <w:tcW w:w="1080" w:type="dxa"/>
            <w:vAlign w:val="bottom"/>
            <w:shd w:val="clear" w:color="auto" w:fill="DDDDDD"/>
          </w:tcPr>
          <w:p>
            <w:pPr>
              <w:spacing w:after="0"/>
              <w:rPr>
                <w:sz w:val="14"/>
                <w:szCs w:val="14"/>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2"/>
                <w:szCs w:val="12"/>
                <w:color w:val="auto"/>
              </w:rPr>
              <w:t>(9,872)</w:t>
            </w:r>
          </w:p>
        </w:tc>
        <w:tc>
          <w:tcPr>
            <w:tcW w:w="80" w:type="dxa"/>
            <w:vAlign w:val="bottom"/>
            <w:shd w:val="clear" w:color="auto" w:fill="DDDDDD"/>
          </w:tcPr>
          <w:p>
            <w:pPr>
              <w:spacing w:after="0"/>
              <w:rPr>
                <w:sz w:val="14"/>
                <w:szCs w:val="14"/>
                <w:color w:val="auto"/>
              </w:rPr>
            </w:pPr>
          </w:p>
        </w:tc>
        <w:tc>
          <w:tcPr>
            <w:tcW w:w="600" w:type="dxa"/>
            <w:vAlign w:val="bottom"/>
            <w:shd w:val="clear" w:color="auto" w:fill="DDDDDD"/>
          </w:tcPr>
          <w:p>
            <w:pPr>
              <w:spacing w:after="0"/>
              <w:rPr>
                <w:sz w:val="14"/>
                <w:szCs w:val="14"/>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(5,573)</w:t>
            </w:r>
          </w:p>
        </w:tc>
      </w:tr>
      <w:tr>
        <w:trPr>
          <w:trHeight w:val="159"/>
        </w:trPr>
        <w:tc>
          <w:tcPr>
            <w:tcW w:w="432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Foreign currency translation and other</w:t>
            </w:r>
          </w:p>
        </w:tc>
        <w:tc>
          <w:tcPr>
            <w:tcW w:w="10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823</w:t>
            </w:r>
          </w:p>
        </w:tc>
        <w:tc>
          <w:tcPr>
            <w:tcW w:w="80" w:type="dxa"/>
            <w:vAlign w:val="bottom"/>
            <w:tcBorders>
              <w:bottom w:val="single" w:sz="8" w:color="DDDDDD"/>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w:t>
            </w:r>
          </w:p>
        </w:tc>
        <w:tc>
          <w:tcPr>
            <w:tcW w:w="80" w:type="dxa"/>
            <w:vAlign w:val="bottom"/>
            <w:tcBorders>
              <w:bottom w:val="single" w:sz="8" w:color="DDDDDD"/>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489</w:t>
            </w:r>
          </w:p>
        </w:tc>
        <w:tc>
          <w:tcPr>
            <w:tcW w:w="80" w:type="dxa"/>
            <w:vAlign w:val="bottom"/>
            <w:tcBorders>
              <w:bottom w:val="single" w:sz="8" w:color="DDDDDD"/>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(194)</w:t>
            </w:r>
          </w:p>
        </w:tc>
      </w:tr>
      <w:tr>
        <w:trPr>
          <w:trHeight w:val="176"/>
        </w:trPr>
        <w:tc>
          <w:tcPr>
            <w:tcW w:w="4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at end of period</w:t>
            </w:r>
          </w:p>
        </w:tc>
        <w:tc>
          <w:tcPr>
            <w:tcW w:w="1060" w:type="dxa"/>
            <w:vAlign w:val="bottom"/>
            <w:tcBorders>
              <w:bottom w:val="single" w:sz="8" w:color="auto"/>
            </w:tcBorders>
            <w:shd w:val="clear" w:color="auto" w:fill="DDDDDD"/>
          </w:tcPr>
          <w:p>
            <w:pPr>
              <w:jc w:val="right"/>
              <w:ind w:right="919"/>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36,785</w:t>
            </w:r>
          </w:p>
        </w:tc>
        <w:tc>
          <w:tcPr>
            <w:tcW w:w="80" w:type="dxa"/>
            <w:vAlign w:val="bottom"/>
            <w:tcBorders>
              <w:bottom w:val="single" w:sz="8" w:color="DDDDDD"/>
            </w:tcBorders>
            <w:shd w:val="clear" w:color="auto" w:fill="DDDDDD"/>
          </w:tcPr>
          <w:p>
            <w:pPr>
              <w:spacing w:after="0"/>
              <w:rPr>
                <w:sz w:val="14"/>
                <w:szCs w:val="14"/>
                <w:color w:val="auto"/>
              </w:rPr>
            </w:pPr>
          </w:p>
        </w:tc>
        <w:tc>
          <w:tcPr>
            <w:tcW w:w="1120" w:type="dxa"/>
            <w:vAlign w:val="bottom"/>
            <w:tcBorders>
              <w:bottom w:val="single" w:sz="8" w:color="auto"/>
            </w:tcBorders>
            <w:shd w:val="clear" w:color="auto" w:fill="DDDDDD"/>
          </w:tcPr>
          <w:p>
            <w:pPr>
              <w:jc w:val="right"/>
              <w:ind w:right="97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19,183</w:t>
            </w:r>
          </w:p>
        </w:tc>
        <w:tc>
          <w:tcPr>
            <w:tcW w:w="80" w:type="dxa"/>
            <w:vAlign w:val="bottom"/>
            <w:tcBorders>
              <w:bottom w:val="single" w:sz="8" w:color="DDDDDD"/>
            </w:tcBorders>
            <w:shd w:val="clear" w:color="auto" w:fill="DDDDDD"/>
          </w:tcPr>
          <w:p>
            <w:pPr>
              <w:spacing w:after="0"/>
              <w:rPr>
                <w:sz w:val="14"/>
                <w:szCs w:val="14"/>
                <w:color w:val="auto"/>
              </w:rPr>
            </w:pPr>
          </w:p>
        </w:tc>
        <w:tc>
          <w:tcPr>
            <w:tcW w:w="1080" w:type="dxa"/>
            <w:vAlign w:val="bottom"/>
            <w:tcBorders>
              <w:bottom w:val="single" w:sz="8" w:color="auto"/>
            </w:tcBorders>
            <w:shd w:val="clear" w:color="auto" w:fill="DDDDDD"/>
          </w:tcPr>
          <w:p>
            <w:pPr>
              <w:jc w:val="right"/>
              <w:ind w:right="939"/>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36,785</w:t>
            </w:r>
          </w:p>
        </w:tc>
        <w:tc>
          <w:tcPr>
            <w:tcW w:w="80" w:type="dxa"/>
            <w:vAlign w:val="bottom"/>
            <w:tcBorders>
              <w:bottom w:val="single" w:sz="8" w:color="DDDDDD"/>
            </w:tcBorders>
            <w:shd w:val="clear" w:color="auto" w:fill="DDDDDD"/>
          </w:tcPr>
          <w:p>
            <w:pPr>
              <w:spacing w:after="0"/>
              <w:rPr>
                <w:sz w:val="14"/>
                <w:szCs w:val="14"/>
                <w:color w:val="auto"/>
              </w:rPr>
            </w:pPr>
          </w:p>
        </w:tc>
        <w:tc>
          <w:tcPr>
            <w:tcW w:w="600" w:type="dxa"/>
            <w:vAlign w:val="bottom"/>
            <w:tcBorders>
              <w:bottom w:val="single" w:sz="8" w:color="auto"/>
            </w:tcBorders>
            <w:shd w:val="clear" w:color="auto" w:fill="DDDDDD"/>
          </w:tcPr>
          <w:p>
            <w:pPr>
              <w:jc w:val="right"/>
              <w:ind w:right="459"/>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19,183</w:t>
            </w:r>
          </w:p>
        </w:tc>
      </w:tr>
      <w:tr>
        <w:trPr>
          <w:trHeight w:val="20"/>
        </w:trPr>
        <w:tc>
          <w:tcPr>
            <w:tcW w:w="432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c>
          <w:tcPr>
            <w:tcW w:w="62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120" w:type="dxa"/>
            <w:vAlign w:val="bottom"/>
            <w:tcBorders>
              <w:top w:val="single" w:sz="8" w:color="DDDDDD"/>
              <w:bottom w:val="single" w:sz="8" w:color="auto"/>
            </w:tcBorders>
          </w:tcPr>
          <w:p>
            <w:pPr>
              <w:spacing w:after="0" w:line="20" w:lineRule="exact"/>
              <w:rPr>
                <w:sz w:val="1"/>
                <w:szCs w:val="1"/>
                <w:color w:val="auto"/>
              </w:rPr>
            </w:pPr>
          </w:p>
        </w:tc>
        <w:tc>
          <w:tcPr>
            <w:tcW w:w="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c>
          <w:tcPr>
            <w:tcW w:w="6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600" w:type="dxa"/>
            <w:vAlign w:val="bottom"/>
            <w:tcBorders>
              <w:top w:val="single" w:sz="8" w:color="DDDDDD"/>
              <w:bottom w:val="single" w:sz="8" w:color="auto"/>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r>
      <w:tr>
        <w:trPr>
          <w:trHeight w:val="1102"/>
        </w:trPr>
        <w:tc>
          <w:tcPr>
            <w:tcW w:w="4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1D2758"/>
        </w:rPr>
        <w:t>NOTE 4 - Leases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0" w:type="dxa"/>
            <w:vAlign w:val="bottom"/>
          </w:tcPr>
          <w:p>
            <w:pPr>
              <w:ind w:left="480"/>
              <w:spacing w:after="0"/>
              <w:rPr>
                <w:sz w:val="20"/>
                <w:szCs w:val="20"/>
                <w:color w:val="auto"/>
              </w:rPr>
            </w:pPr>
            <w:r>
              <w:rPr>
                <w:rFonts w:ascii="Arial" w:cs="Arial" w:eastAsia="Arial" w:hAnsi="Arial"/>
                <w:sz w:val="12"/>
                <w:szCs w:val="12"/>
                <w:color w:val="auto"/>
              </w:rPr>
              <w:t>As</w:t>
            </w:r>
          </w:p>
        </w:tc>
        <w:tc>
          <w:tcPr>
            <w:tcW w:w="380" w:type="dxa"/>
            <w:vAlign w:val="bottom"/>
          </w:tcPr>
          <w:p>
            <w:pPr>
              <w:ind w:left="20"/>
              <w:spacing w:after="0"/>
              <w:rPr>
                <w:sz w:val="20"/>
                <w:szCs w:val="20"/>
                <w:color w:val="auto"/>
              </w:rPr>
            </w:pPr>
            <w:r>
              <w:rPr>
                <w:rFonts w:ascii="Arial" w:cs="Arial" w:eastAsia="Arial" w:hAnsi="Arial"/>
                <w:sz w:val="12"/>
                <w:szCs w:val="12"/>
                <w:color w:val="auto"/>
              </w:rPr>
              <w:t>of</w:t>
            </w:r>
          </w:p>
        </w:tc>
        <w:tc>
          <w:tcPr>
            <w:tcW w:w="560" w:type="dxa"/>
            <w:vAlign w:val="bottom"/>
          </w:tcPr>
          <w:p>
            <w:pPr>
              <w:ind w:left="20"/>
              <w:spacing w:after="0"/>
              <w:rPr>
                <w:sz w:val="20"/>
                <w:szCs w:val="20"/>
                <w:color w:val="auto"/>
              </w:rPr>
            </w:pPr>
            <w:r>
              <w:rPr>
                <w:rFonts w:ascii="Arial" w:cs="Arial" w:eastAsia="Arial" w:hAnsi="Arial"/>
                <w:sz w:val="12"/>
                <w:szCs w:val="12"/>
                <w:color w:val="auto"/>
              </w:rPr>
              <w:t>June</w:t>
            </w:r>
          </w:p>
        </w:tc>
        <w:tc>
          <w:tcPr>
            <w:tcW w:w="460" w:type="dxa"/>
            <w:vAlign w:val="bottom"/>
          </w:tcPr>
          <w:p>
            <w:pPr>
              <w:jc w:val="right"/>
              <w:ind w:right="219"/>
              <w:spacing w:after="0"/>
              <w:rPr>
                <w:sz w:val="20"/>
                <w:szCs w:val="20"/>
                <w:color w:val="auto"/>
              </w:rPr>
            </w:pPr>
            <w:r>
              <w:rPr>
                <w:rFonts w:ascii="Arial" w:cs="Arial" w:eastAsia="Arial" w:hAnsi="Arial"/>
                <w:sz w:val="12"/>
                <w:szCs w:val="12"/>
                <w:color w:val="auto"/>
                <w:w w:val="95"/>
              </w:rPr>
              <w:t>30,</w:t>
            </w:r>
          </w:p>
        </w:tc>
        <w:tc>
          <w:tcPr>
            <w:tcW w:w="440" w:type="dxa"/>
            <w:vAlign w:val="bottom"/>
          </w:tcPr>
          <w:p>
            <w:pPr>
              <w:jc w:val="right"/>
              <w:ind w:right="79"/>
              <w:spacing w:after="0"/>
              <w:rPr>
                <w:sz w:val="20"/>
                <w:szCs w:val="20"/>
                <w:color w:val="auto"/>
              </w:rPr>
            </w:pPr>
            <w:r>
              <w:rPr>
                <w:rFonts w:ascii="Arial" w:cs="Arial" w:eastAsia="Arial" w:hAnsi="Arial"/>
                <w:sz w:val="12"/>
                <w:szCs w:val="12"/>
                <w:color w:val="auto"/>
                <w:w w:val="93"/>
              </w:rPr>
              <w:t>2021,</w:t>
            </w:r>
          </w:p>
        </w:tc>
        <w:tc>
          <w:tcPr>
            <w:tcW w:w="580" w:type="dxa"/>
            <w:vAlign w:val="bottom"/>
          </w:tcPr>
          <w:p>
            <w:pPr>
              <w:ind w:left="140"/>
              <w:spacing w:after="0"/>
              <w:rPr>
                <w:sz w:val="20"/>
                <w:szCs w:val="20"/>
                <w:color w:val="auto"/>
              </w:rPr>
            </w:pPr>
            <w:r>
              <w:rPr>
                <w:rFonts w:ascii="Arial" w:cs="Arial" w:eastAsia="Arial" w:hAnsi="Arial"/>
                <w:sz w:val="12"/>
                <w:szCs w:val="12"/>
                <w:color w:val="auto"/>
              </w:rPr>
              <w:t>the</w:t>
            </w:r>
          </w:p>
        </w:tc>
        <w:tc>
          <w:tcPr>
            <w:tcW w:w="860" w:type="dxa"/>
            <w:vAlign w:val="bottom"/>
          </w:tcPr>
          <w:p>
            <w:pPr>
              <w:spacing w:after="0"/>
              <w:rPr>
                <w:sz w:val="20"/>
                <w:szCs w:val="20"/>
                <w:color w:val="auto"/>
              </w:rPr>
            </w:pPr>
            <w:r>
              <w:rPr>
                <w:rFonts w:ascii="Arial" w:cs="Arial" w:eastAsia="Arial" w:hAnsi="Arial"/>
                <w:sz w:val="12"/>
                <w:szCs w:val="12"/>
                <w:color w:val="auto"/>
              </w:rPr>
              <w:t>undiscounted</w:t>
            </w:r>
          </w:p>
        </w:tc>
        <w:tc>
          <w:tcPr>
            <w:tcW w:w="600" w:type="dxa"/>
            <w:vAlign w:val="bottom"/>
          </w:tcPr>
          <w:p>
            <w:pPr>
              <w:ind w:left="140"/>
              <w:spacing w:after="0"/>
              <w:rPr>
                <w:sz w:val="20"/>
                <w:szCs w:val="20"/>
                <w:color w:val="auto"/>
              </w:rPr>
            </w:pPr>
            <w:r>
              <w:rPr>
                <w:rFonts w:ascii="Arial" w:cs="Arial" w:eastAsia="Arial" w:hAnsi="Arial"/>
                <w:sz w:val="12"/>
                <w:szCs w:val="12"/>
                <w:color w:val="auto"/>
              </w:rPr>
              <w:t>future</w:t>
            </w:r>
          </w:p>
        </w:tc>
        <w:tc>
          <w:tcPr>
            <w:tcW w:w="560" w:type="dxa"/>
            <w:vAlign w:val="bottom"/>
          </w:tcPr>
          <w:p>
            <w:pPr>
              <w:ind w:left="140"/>
              <w:spacing w:after="0"/>
              <w:rPr>
                <w:sz w:val="20"/>
                <w:szCs w:val="20"/>
                <w:color w:val="auto"/>
              </w:rPr>
            </w:pPr>
            <w:r>
              <w:rPr>
                <w:rFonts w:ascii="Arial" w:cs="Arial" w:eastAsia="Arial" w:hAnsi="Arial"/>
                <w:sz w:val="12"/>
                <w:szCs w:val="12"/>
                <w:color w:val="auto"/>
              </w:rPr>
              <w:t>lease</w:t>
            </w:r>
          </w:p>
        </w:tc>
        <w:tc>
          <w:tcPr>
            <w:tcW w:w="760" w:type="dxa"/>
            <w:vAlign w:val="bottom"/>
            <w:gridSpan w:val="2"/>
          </w:tcPr>
          <w:p>
            <w:pPr>
              <w:ind w:left="140"/>
              <w:spacing w:after="0"/>
              <w:rPr>
                <w:sz w:val="20"/>
                <w:szCs w:val="20"/>
                <w:color w:val="auto"/>
              </w:rPr>
            </w:pPr>
            <w:r>
              <w:rPr>
                <w:rFonts w:ascii="Arial" w:cs="Arial" w:eastAsia="Arial" w:hAnsi="Arial"/>
                <w:sz w:val="12"/>
                <w:szCs w:val="12"/>
                <w:color w:val="auto"/>
              </w:rPr>
              <w:t>payments</w:t>
            </w:r>
          </w:p>
        </w:tc>
        <w:tc>
          <w:tcPr>
            <w:tcW w:w="18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2"/>
                <w:szCs w:val="12"/>
                <w:color w:val="auto"/>
              </w:rPr>
              <w:t>for</w:t>
            </w:r>
          </w:p>
        </w:tc>
        <w:tc>
          <w:tcPr>
            <w:tcW w:w="740" w:type="dxa"/>
            <w:vAlign w:val="bottom"/>
          </w:tcPr>
          <w:p>
            <w:pPr>
              <w:ind w:left="140"/>
              <w:spacing w:after="0"/>
              <w:rPr>
                <w:sz w:val="20"/>
                <w:szCs w:val="20"/>
                <w:color w:val="auto"/>
              </w:rPr>
            </w:pPr>
            <w:r>
              <w:rPr>
                <w:rFonts w:ascii="Arial" w:cs="Arial" w:eastAsia="Arial" w:hAnsi="Arial"/>
                <w:sz w:val="12"/>
                <w:szCs w:val="12"/>
                <w:color w:val="auto"/>
              </w:rPr>
              <w:t>operating</w:t>
            </w:r>
          </w:p>
        </w:tc>
        <w:tc>
          <w:tcPr>
            <w:tcW w:w="520" w:type="dxa"/>
            <w:vAlign w:val="bottom"/>
          </w:tcPr>
          <w:p>
            <w:pPr>
              <w:jc w:val="right"/>
              <w:ind w:right="59"/>
              <w:spacing w:after="0"/>
              <w:rPr>
                <w:sz w:val="20"/>
                <w:szCs w:val="20"/>
                <w:color w:val="auto"/>
              </w:rPr>
            </w:pPr>
            <w:r>
              <w:rPr>
                <w:rFonts w:ascii="Arial" w:cs="Arial" w:eastAsia="Arial" w:hAnsi="Arial"/>
                <w:sz w:val="12"/>
                <w:szCs w:val="12"/>
                <w:color w:val="auto"/>
              </w:rPr>
              <w:t>and</w:t>
            </w:r>
          </w:p>
        </w:tc>
        <w:tc>
          <w:tcPr>
            <w:tcW w:w="580" w:type="dxa"/>
            <w:vAlign w:val="bottom"/>
          </w:tcPr>
          <w:p>
            <w:pPr>
              <w:jc w:val="right"/>
              <w:spacing w:after="0"/>
              <w:rPr>
                <w:sz w:val="20"/>
                <w:szCs w:val="20"/>
                <w:color w:val="auto"/>
              </w:rPr>
            </w:pPr>
            <w:r>
              <w:rPr>
                <w:rFonts w:ascii="Arial" w:cs="Arial" w:eastAsia="Arial" w:hAnsi="Arial"/>
                <w:sz w:val="12"/>
                <w:szCs w:val="12"/>
                <w:color w:val="auto"/>
              </w:rPr>
              <w:t>finance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3"/>
          </w:tcPr>
          <w:p>
            <w:pPr>
              <w:jc w:val="right"/>
              <w:spacing w:after="0"/>
              <w:rPr>
                <w:sz w:val="20"/>
                <w:szCs w:val="20"/>
                <w:color w:val="auto"/>
              </w:rPr>
            </w:pPr>
            <w:r>
              <w:rPr>
                <w:rFonts w:ascii="Arial" w:cs="Arial" w:eastAsia="Arial" w:hAnsi="Arial"/>
                <w:sz w:val="12"/>
                <w:szCs w:val="12"/>
                <w:color w:val="auto"/>
              </w:rPr>
              <w:t>lease</w:t>
            </w: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liabilities</w:t>
            </w:r>
          </w:p>
        </w:tc>
        <w:tc>
          <w:tcPr>
            <w:tcW w:w="640" w:type="dxa"/>
            <w:vAlign w:val="bottom"/>
          </w:tcPr>
          <w:p>
            <w:pPr>
              <w:ind w:left="160"/>
              <w:spacing w:after="0"/>
              <w:rPr>
                <w:sz w:val="20"/>
                <w:szCs w:val="20"/>
                <w:color w:val="auto"/>
              </w:rPr>
            </w:pPr>
            <w:r>
              <w:rPr>
                <w:rFonts w:ascii="Arial" w:cs="Arial" w:eastAsia="Arial" w:hAnsi="Arial"/>
                <w:sz w:val="12"/>
                <w:szCs w:val="12"/>
                <w:color w:val="auto"/>
              </w:rPr>
              <w:t>were</w:t>
            </w:r>
          </w:p>
        </w:tc>
        <w:tc>
          <w:tcPr>
            <w:tcW w:w="320" w:type="dxa"/>
            <w:vAlign w:val="bottom"/>
          </w:tcPr>
          <w:p>
            <w:pPr>
              <w:ind w:left="60"/>
              <w:spacing w:after="0"/>
              <w:rPr>
                <w:sz w:val="20"/>
                <w:szCs w:val="20"/>
                <w:color w:val="auto"/>
              </w:rPr>
            </w:pPr>
            <w:r>
              <w:rPr>
                <w:rFonts w:ascii="Arial" w:cs="Arial" w:eastAsia="Arial" w:hAnsi="Arial"/>
                <w:sz w:val="12"/>
                <w:szCs w:val="12"/>
                <w:color w:val="auto"/>
              </w:rPr>
              <w:t>as</w:t>
            </w:r>
          </w:p>
        </w:tc>
        <w:tc>
          <w:tcPr>
            <w:tcW w:w="540" w:type="dxa"/>
            <w:vAlign w:val="bottom"/>
          </w:tcPr>
          <w:p>
            <w:pPr>
              <w:jc w:val="right"/>
              <w:spacing w:after="0"/>
              <w:rPr>
                <w:sz w:val="20"/>
                <w:szCs w:val="20"/>
                <w:color w:val="auto"/>
              </w:rPr>
            </w:pPr>
            <w:r>
              <w:rPr>
                <w:rFonts w:ascii="Arial" w:cs="Arial" w:eastAsia="Arial" w:hAnsi="Arial"/>
                <w:sz w:val="12"/>
                <w:szCs w:val="12"/>
                <w:color w:val="auto"/>
              </w:rPr>
              <w:t>follows:</w:t>
            </w:r>
          </w:p>
        </w:tc>
      </w:tr>
      <w:tr>
        <w:trPr>
          <w:trHeight w:val="169"/>
        </w:trPr>
        <w:tc>
          <w:tcPr>
            <w:tcW w:w="1820" w:type="dxa"/>
            <w:vAlign w:val="bottom"/>
            <w:gridSpan w:val="3"/>
            <w:shd w:val="clear" w:color="auto" w:fill="1D2758"/>
          </w:tcPr>
          <w:p>
            <w:pPr>
              <w:ind w:left="500"/>
              <w:spacing w:after="0"/>
              <w:rPr>
                <w:sz w:val="20"/>
                <w:szCs w:val="20"/>
                <w:color w:val="auto"/>
              </w:rPr>
            </w:pPr>
            <w:r>
              <w:rPr>
                <w:rFonts w:ascii="Arial" w:cs="Arial" w:eastAsia="Arial" w:hAnsi="Arial"/>
                <w:sz w:val="12"/>
                <w:szCs w:val="12"/>
                <w:b w:val="1"/>
                <w:bCs w:val="1"/>
                <w:i w:val="1"/>
                <w:iCs w:val="1"/>
                <w:color w:val="FFFFFF"/>
              </w:rPr>
              <w:t>(in thousands)</w:t>
            </w:r>
          </w:p>
        </w:tc>
        <w:tc>
          <w:tcPr>
            <w:tcW w:w="460" w:type="dxa"/>
            <w:vAlign w:val="bottom"/>
            <w:shd w:val="clear" w:color="auto" w:fill="1D2758"/>
          </w:tcPr>
          <w:p>
            <w:pPr>
              <w:spacing w:after="0"/>
              <w:rPr>
                <w:sz w:val="14"/>
                <w:szCs w:val="14"/>
                <w:color w:val="auto"/>
              </w:rPr>
            </w:pPr>
          </w:p>
        </w:tc>
        <w:tc>
          <w:tcPr>
            <w:tcW w:w="440" w:type="dxa"/>
            <w:vAlign w:val="bottom"/>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860" w:type="dxa"/>
            <w:vAlign w:val="bottom"/>
            <w:shd w:val="clear" w:color="auto" w:fill="1D2758"/>
          </w:tcPr>
          <w:p>
            <w:pPr>
              <w:spacing w:after="0"/>
              <w:rPr>
                <w:sz w:val="14"/>
                <w:szCs w:val="14"/>
                <w:color w:val="auto"/>
              </w:rPr>
            </w:pPr>
          </w:p>
        </w:tc>
        <w:tc>
          <w:tcPr>
            <w:tcW w:w="600" w:type="dxa"/>
            <w:vAlign w:val="bottom"/>
            <w:shd w:val="clear" w:color="auto" w:fill="1D2758"/>
          </w:tcPr>
          <w:p>
            <w:pPr>
              <w:spacing w:after="0"/>
              <w:rPr>
                <w:sz w:val="14"/>
                <w:szCs w:val="14"/>
                <w:color w:val="auto"/>
              </w:rPr>
            </w:pPr>
          </w:p>
        </w:tc>
        <w:tc>
          <w:tcPr>
            <w:tcW w:w="560" w:type="dxa"/>
            <w:vAlign w:val="bottom"/>
            <w:shd w:val="clear" w:color="auto" w:fill="1D2758"/>
          </w:tcPr>
          <w:p>
            <w:pPr>
              <w:spacing w:after="0"/>
              <w:rPr>
                <w:sz w:val="14"/>
                <w:szCs w:val="14"/>
                <w:color w:val="auto"/>
              </w:rPr>
            </w:pPr>
          </w:p>
        </w:tc>
        <w:tc>
          <w:tcPr>
            <w:tcW w:w="34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280" w:type="dxa"/>
            <w:vAlign w:val="bottom"/>
            <w:shd w:val="clear" w:color="auto" w:fill="1D2758"/>
          </w:tcPr>
          <w:p>
            <w:pPr>
              <w:spacing w:after="0"/>
              <w:rPr>
                <w:sz w:val="14"/>
                <w:szCs w:val="14"/>
                <w:color w:val="auto"/>
              </w:rPr>
            </w:pPr>
          </w:p>
        </w:tc>
        <w:tc>
          <w:tcPr>
            <w:tcW w:w="1260" w:type="dxa"/>
            <w:vAlign w:val="bottom"/>
            <w:gridSpan w:val="2"/>
            <w:shd w:val="clear" w:color="auto" w:fill="1D2758"/>
          </w:tcPr>
          <w:p>
            <w:pPr>
              <w:jc w:val="right"/>
              <w:ind w:right="159"/>
              <w:spacing w:after="0"/>
              <w:rPr>
                <w:sz w:val="20"/>
                <w:szCs w:val="20"/>
                <w:color w:val="auto"/>
              </w:rPr>
            </w:pPr>
            <w:r>
              <w:rPr>
                <w:rFonts w:ascii="Arial" w:cs="Arial" w:eastAsia="Arial" w:hAnsi="Arial"/>
                <w:sz w:val="12"/>
                <w:szCs w:val="12"/>
                <w:b w:val="1"/>
                <w:bCs w:val="1"/>
                <w:color w:val="FFFFFF"/>
              </w:rPr>
              <w:t>Operating</w:t>
            </w:r>
          </w:p>
        </w:tc>
        <w:tc>
          <w:tcPr>
            <w:tcW w:w="580" w:type="dxa"/>
            <w:vAlign w:val="bottom"/>
            <w:shd w:val="clear" w:color="auto" w:fill="1D2758"/>
          </w:tcPr>
          <w:p>
            <w:pPr>
              <w:spacing w:after="0"/>
              <w:rPr>
                <w:sz w:val="14"/>
                <w:szCs w:val="14"/>
                <w:color w:val="auto"/>
              </w:rPr>
            </w:pPr>
          </w:p>
        </w:tc>
        <w:tc>
          <w:tcPr>
            <w:tcW w:w="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820" w:type="dxa"/>
            <w:vAlign w:val="bottom"/>
            <w:shd w:val="clear" w:color="auto" w:fill="1D2758"/>
          </w:tcPr>
          <w:p>
            <w:pPr>
              <w:spacing w:after="0"/>
              <w:rPr>
                <w:sz w:val="14"/>
                <w:szCs w:val="14"/>
                <w:color w:val="auto"/>
              </w:rPr>
            </w:pPr>
          </w:p>
        </w:tc>
        <w:tc>
          <w:tcPr>
            <w:tcW w:w="640" w:type="dxa"/>
            <w:vAlign w:val="bottom"/>
            <w:shd w:val="clear" w:color="auto" w:fill="1D2758"/>
          </w:tcPr>
          <w:p>
            <w:pPr>
              <w:ind w:left="140"/>
              <w:spacing w:after="0"/>
              <w:rPr>
                <w:sz w:val="20"/>
                <w:szCs w:val="20"/>
                <w:color w:val="auto"/>
              </w:rPr>
            </w:pPr>
            <w:r>
              <w:rPr>
                <w:rFonts w:ascii="Arial" w:cs="Arial" w:eastAsia="Arial" w:hAnsi="Arial"/>
                <w:sz w:val="12"/>
                <w:szCs w:val="12"/>
                <w:b w:val="1"/>
                <w:bCs w:val="1"/>
                <w:color w:val="FFFFFF"/>
              </w:rPr>
              <w:t>Finance</w:t>
            </w:r>
          </w:p>
        </w:tc>
        <w:tc>
          <w:tcPr>
            <w:tcW w:w="320" w:type="dxa"/>
            <w:vAlign w:val="bottom"/>
            <w:shd w:val="clear" w:color="auto" w:fill="1D2758"/>
          </w:tcPr>
          <w:p>
            <w:pPr>
              <w:spacing w:after="0"/>
              <w:rPr>
                <w:sz w:val="14"/>
                <w:szCs w:val="14"/>
                <w:color w:val="auto"/>
              </w:rPr>
            </w:pPr>
          </w:p>
        </w:tc>
        <w:tc>
          <w:tcPr>
            <w:tcW w:w="540" w:type="dxa"/>
            <w:vAlign w:val="bottom"/>
            <w:shd w:val="clear" w:color="auto" w:fill="1D2758"/>
          </w:tcPr>
          <w:p>
            <w:pPr>
              <w:spacing w:after="0"/>
              <w:rPr>
                <w:sz w:val="14"/>
                <w:szCs w:val="14"/>
                <w:color w:val="auto"/>
              </w:rPr>
            </w:pPr>
          </w:p>
        </w:tc>
      </w:tr>
      <w:tr>
        <w:trPr>
          <w:trHeight w:val="161"/>
        </w:trPr>
        <w:tc>
          <w:tcPr>
            <w:tcW w:w="1820" w:type="dxa"/>
            <w:vAlign w:val="bottom"/>
            <w:gridSpan w:val="3"/>
            <w:shd w:val="clear" w:color="auto" w:fill="DBDBDB"/>
          </w:tcPr>
          <w:p>
            <w:pPr>
              <w:ind w:left="500"/>
              <w:spacing w:after="0"/>
              <w:rPr>
                <w:sz w:val="20"/>
                <w:szCs w:val="20"/>
                <w:color w:val="auto"/>
              </w:rPr>
            </w:pPr>
            <w:r>
              <w:rPr>
                <w:rFonts w:ascii="Arial" w:cs="Arial" w:eastAsia="Arial" w:hAnsi="Arial"/>
                <w:sz w:val="12"/>
                <w:szCs w:val="12"/>
                <w:color w:val="auto"/>
              </w:rPr>
              <w:t>2021 (remaining)</w:t>
            </w:r>
          </w:p>
        </w:tc>
        <w:tc>
          <w:tcPr>
            <w:tcW w:w="46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31,653</w:t>
            </w:r>
          </w:p>
        </w:tc>
        <w:tc>
          <w:tcPr>
            <w:tcW w:w="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820" w:type="dxa"/>
            <w:vAlign w:val="bottom"/>
            <w:shd w:val="clear" w:color="auto" w:fill="DBDBDB"/>
          </w:tcPr>
          <w:p>
            <w:pPr>
              <w:jc w:val="right"/>
              <w:ind w:right="639"/>
              <w:spacing w:after="0"/>
              <w:rPr>
                <w:sz w:val="20"/>
                <w:szCs w:val="20"/>
                <w:color w:val="auto"/>
              </w:rPr>
            </w:pPr>
            <w:r>
              <w:rPr>
                <w:rFonts w:ascii="Arial" w:cs="Arial" w:eastAsia="Arial" w:hAnsi="Arial"/>
                <w:sz w:val="12"/>
                <w:szCs w:val="12"/>
                <w:color w:val="auto"/>
              </w:rPr>
              <w:t>$</w:t>
            </w:r>
          </w:p>
        </w:tc>
        <w:tc>
          <w:tcPr>
            <w:tcW w:w="64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10,193</w:t>
            </w:r>
          </w:p>
        </w:tc>
      </w:tr>
      <w:tr>
        <w:trPr>
          <w:trHeight w:val="159"/>
        </w:trPr>
        <w:tc>
          <w:tcPr>
            <w:tcW w:w="880" w:type="dxa"/>
            <w:vAlign w:val="bottom"/>
          </w:tcPr>
          <w:p>
            <w:pPr>
              <w:ind w:left="500"/>
              <w:spacing w:after="0"/>
              <w:rPr>
                <w:sz w:val="20"/>
                <w:szCs w:val="20"/>
                <w:color w:val="auto"/>
              </w:rPr>
            </w:pPr>
            <w:r>
              <w:rPr>
                <w:rFonts w:ascii="Arial" w:cs="Arial" w:eastAsia="Arial" w:hAnsi="Arial"/>
                <w:sz w:val="12"/>
                <w:szCs w:val="12"/>
                <w:color w:val="auto"/>
              </w:rPr>
              <w:t>2022</w:t>
            </w: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56,891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18,747</w:t>
            </w:r>
          </w:p>
        </w:tc>
      </w:tr>
      <w:tr>
        <w:trPr>
          <w:trHeight w:val="164"/>
        </w:trPr>
        <w:tc>
          <w:tcPr>
            <w:tcW w:w="880" w:type="dxa"/>
            <w:vAlign w:val="bottom"/>
            <w:shd w:val="clear" w:color="auto" w:fill="DBDBDB"/>
          </w:tcPr>
          <w:p>
            <w:pPr>
              <w:ind w:left="500"/>
              <w:spacing w:after="0"/>
              <w:rPr>
                <w:sz w:val="20"/>
                <w:szCs w:val="20"/>
                <w:color w:val="auto"/>
              </w:rPr>
            </w:pPr>
            <w:r>
              <w:rPr>
                <w:rFonts w:ascii="Arial" w:cs="Arial" w:eastAsia="Arial" w:hAnsi="Arial"/>
                <w:sz w:val="12"/>
                <w:szCs w:val="12"/>
                <w:color w:val="auto"/>
              </w:rPr>
              <w:t>2023</w:t>
            </w:r>
          </w:p>
        </w:tc>
        <w:tc>
          <w:tcPr>
            <w:tcW w:w="38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46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46,544</w:t>
            </w:r>
          </w:p>
        </w:tc>
        <w:tc>
          <w:tcPr>
            <w:tcW w:w="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15,296</w:t>
            </w:r>
          </w:p>
        </w:tc>
      </w:tr>
      <w:tr>
        <w:trPr>
          <w:trHeight w:val="159"/>
        </w:trPr>
        <w:tc>
          <w:tcPr>
            <w:tcW w:w="880" w:type="dxa"/>
            <w:vAlign w:val="bottom"/>
          </w:tcPr>
          <w:p>
            <w:pPr>
              <w:ind w:left="500"/>
              <w:spacing w:after="0"/>
              <w:rPr>
                <w:sz w:val="20"/>
                <w:szCs w:val="20"/>
                <w:color w:val="auto"/>
              </w:rPr>
            </w:pPr>
            <w:r>
              <w:rPr>
                <w:rFonts w:ascii="Arial" w:cs="Arial" w:eastAsia="Arial" w:hAnsi="Arial"/>
                <w:sz w:val="12"/>
                <w:szCs w:val="12"/>
                <w:color w:val="auto"/>
              </w:rPr>
              <w:t>2024</w:t>
            </w: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38,183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12,375</w:t>
            </w:r>
          </w:p>
        </w:tc>
      </w:tr>
      <w:tr>
        <w:trPr>
          <w:trHeight w:val="164"/>
        </w:trPr>
        <w:tc>
          <w:tcPr>
            <w:tcW w:w="880" w:type="dxa"/>
            <w:vAlign w:val="bottom"/>
            <w:shd w:val="clear" w:color="auto" w:fill="DBDBDB"/>
          </w:tcPr>
          <w:p>
            <w:pPr>
              <w:ind w:left="500"/>
              <w:spacing w:after="0"/>
              <w:rPr>
                <w:sz w:val="20"/>
                <w:szCs w:val="20"/>
                <w:color w:val="auto"/>
              </w:rPr>
            </w:pPr>
            <w:r>
              <w:rPr>
                <w:rFonts w:ascii="Arial" w:cs="Arial" w:eastAsia="Arial" w:hAnsi="Arial"/>
                <w:sz w:val="12"/>
                <w:szCs w:val="12"/>
                <w:color w:val="auto"/>
              </w:rPr>
              <w:t>2025</w:t>
            </w:r>
          </w:p>
        </w:tc>
        <w:tc>
          <w:tcPr>
            <w:tcW w:w="38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46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31,384</w:t>
            </w:r>
          </w:p>
        </w:tc>
        <w:tc>
          <w:tcPr>
            <w:tcW w:w="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12,482</w:t>
            </w:r>
          </w:p>
        </w:tc>
      </w:tr>
      <w:tr>
        <w:trPr>
          <w:trHeight w:val="159"/>
        </w:trPr>
        <w:tc>
          <w:tcPr>
            <w:tcW w:w="1260" w:type="dxa"/>
            <w:vAlign w:val="bottom"/>
            <w:tcBorders>
              <w:bottom w:val="single" w:sz="8" w:color="DBDBDB"/>
            </w:tcBorders>
            <w:gridSpan w:val="2"/>
          </w:tcPr>
          <w:p>
            <w:pPr>
              <w:ind w:left="500"/>
              <w:spacing w:after="0"/>
              <w:rPr>
                <w:sz w:val="20"/>
                <w:szCs w:val="20"/>
                <w:color w:val="auto"/>
              </w:rPr>
            </w:pPr>
            <w:r>
              <w:rPr>
                <w:rFonts w:ascii="Arial" w:cs="Arial" w:eastAsia="Arial" w:hAnsi="Arial"/>
                <w:sz w:val="12"/>
                <w:szCs w:val="12"/>
                <w:color w:val="auto"/>
              </w:rPr>
              <w:t>Thereafter</w:t>
            </w:r>
          </w:p>
        </w:tc>
        <w:tc>
          <w:tcPr>
            <w:tcW w:w="560" w:type="dxa"/>
            <w:vAlign w:val="bottom"/>
            <w:tcBorders>
              <w:bottom w:val="single" w:sz="8" w:color="DBDBDB"/>
            </w:tcBorders>
          </w:tcPr>
          <w:p>
            <w:pPr>
              <w:spacing w:after="0"/>
              <w:rPr>
                <w:sz w:val="13"/>
                <w:szCs w:val="13"/>
                <w:color w:val="auto"/>
              </w:rPr>
            </w:pPr>
          </w:p>
        </w:tc>
        <w:tc>
          <w:tcPr>
            <w:tcW w:w="460" w:type="dxa"/>
            <w:vAlign w:val="bottom"/>
            <w:tcBorders>
              <w:bottom w:val="single" w:sz="8" w:color="DBDBDB"/>
            </w:tcBorders>
          </w:tcPr>
          <w:p>
            <w:pPr>
              <w:spacing w:after="0"/>
              <w:rPr>
                <w:sz w:val="13"/>
                <w:szCs w:val="13"/>
                <w:color w:val="auto"/>
              </w:rPr>
            </w:pPr>
          </w:p>
        </w:tc>
        <w:tc>
          <w:tcPr>
            <w:tcW w:w="440" w:type="dxa"/>
            <w:vAlign w:val="bottom"/>
            <w:tcBorders>
              <w:bottom w:val="single" w:sz="8" w:color="DBDBDB"/>
            </w:tcBorders>
          </w:tcPr>
          <w:p>
            <w:pPr>
              <w:spacing w:after="0"/>
              <w:rPr>
                <w:sz w:val="13"/>
                <w:szCs w:val="13"/>
                <w:color w:val="auto"/>
              </w:rPr>
            </w:pPr>
          </w:p>
        </w:tc>
        <w:tc>
          <w:tcPr>
            <w:tcW w:w="580" w:type="dxa"/>
            <w:vAlign w:val="bottom"/>
            <w:tcBorders>
              <w:bottom w:val="single" w:sz="8" w:color="DBDBDB"/>
            </w:tcBorders>
          </w:tcPr>
          <w:p>
            <w:pPr>
              <w:spacing w:after="0"/>
              <w:rPr>
                <w:sz w:val="13"/>
                <w:szCs w:val="13"/>
                <w:color w:val="auto"/>
              </w:rPr>
            </w:pPr>
          </w:p>
        </w:tc>
        <w:tc>
          <w:tcPr>
            <w:tcW w:w="860" w:type="dxa"/>
            <w:vAlign w:val="bottom"/>
            <w:tcBorders>
              <w:bottom w:val="single" w:sz="8" w:color="DBDBDB"/>
            </w:tcBorders>
          </w:tcPr>
          <w:p>
            <w:pPr>
              <w:spacing w:after="0"/>
              <w:rPr>
                <w:sz w:val="13"/>
                <w:szCs w:val="13"/>
                <w:color w:val="auto"/>
              </w:rPr>
            </w:pPr>
          </w:p>
        </w:tc>
        <w:tc>
          <w:tcPr>
            <w:tcW w:w="600" w:type="dxa"/>
            <w:vAlign w:val="bottom"/>
            <w:tcBorders>
              <w:bottom w:val="single" w:sz="8" w:color="DBDBDB"/>
            </w:tcBorders>
          </w:tcPr>
          <w:p>
            <w:pPr>
              <w:spacing w:after="0"/>
              <w:rPr>
                <w:sz w:val="13"/>
                <w:szCs w:val="13"/>
                <w:color w:val="auto"/>
              </w:rPr>
            </w:pPr>
          </w:p>
        </w:tc>
        <w:tc>
          <w:tcPr>
            <w:tcW w:w="560" w:type="dxa"/>
            <w:vAlign w:val="bottom"/>
            <w:tcBorders>
              <w:bottom w:val="single" w:sz="8" w:color="DBDBDB"/>
            </w:tcBorders>
          </w:tcPr>
          <w:p>
            <w:pPr>
              <w:spacing w:after="0"/>
              <w:rPr>
                <w:sz w:val="13"/>
                <w:szCs w:val="13"/>
                <w:color w:val="auto"/>
              </w:rPr>
            </w:pPr>
          </w:p>
        </w:tc>
        <w:tc>
          <w:tcPr>
            <w:tcW w:w="340" w:type="dxa"/>
            <w:vAlign w:val="bottom"/>
            <w:tcBorders>
              <w:bottom w:val="single" w:sz="8" w:color="DBDBDB"/>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74,309</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18,932</w:t>
            </w:r>
          </w:p>
        </w:tc>
      </w:tr>
      <w:tr>
        <w:trPr>
          <w:trHeight w:val="154"/>
        </w:trPr>
        <w:tc>
          <w:tcPr>
            <w:tcW w:w="1820" w:type="dxa"/>
            <w:vAlign w:val="bottom"/>
            <w:gridSpan w:val="3"/>
            <w:shd w:val="clear" w:color="auto" w:fill="DBDBDB"/>
          </w:tcPr>
          <w:p>
            <w:pPr>
              <w:ind w:left="660"/>
              <w:spacing w:after="0"/>
              <w:rPr>
                <w:sz w:val="20"/>
                <w:szCs w:val="20"/>
                <w:color w:val="auto"/>
              </w:rPr>
            </w:pPr>
            <w:r>
              <w:rPr>
                <w:rFonts w:ascii="Arial" w:cs="Arial" w:eastAsia="Arial" w:hAnsi="Arial"/>
                <w:sz w:val="12"/>
                <w:szCs w:val="12"/>
                <w:color w:val="auto"/>
                <w:w w:val="99"/>
              </w:rPr>
              <w:t>Total lease payments</w:t>
            </w:r>
          </w:p>
        </w:tc>
        <w:tc>
          <w:tcPr>
            <w:tcW w:w="46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60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278,964</w:t>
            </w:r>
          </w:p>
        </w:tc>
        <w:tc>
          <w:tcPr>
            <w:tcW w:w="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88,025</w:t>
            </w:r>
          </w:p>
        </w:tc>
      </w:tr>
      <w:tr>
        <w:trPr>
          <w:trHeight w:val="159"/>
        </w:trPr>
        <w:tc>
          <w:tcPr>
            <w:tcW w:w="1260" w:type="dxa"/>
            <w:vAlign w:val="bottom"/>
            <w:tcBorders>
              <w:bottom w:val="single" w:sz="8" w:color="DBDBDB"/>
            </w:tcBorders>
            <w:gridSpan w:val="2"/>
          </w:tcPr>
          <w:p>
            <w:pPr>
              <w:ind w:left="500"/>
              <w:spacing w:after="0"/>
              <w:rPr>
                <w:sz w:val="20"/>
                <w:szCs w:val="20"/>
                <w:color w:val="auto"/>
              </w:rPr>
            </w:pPr>
            <w:r>
              <w:rPr>
                <w:rFonts w:ascii="Arial" w:cs="Arial" w:eastAsia="Arial" w:hAnsi="Arial"/>
                <w:sz w:val="12"/>
                <w:szCs w:val="12"/>
                <w:color w:val="auto"/>
              </w:rPr>
              <w:t>Less: interest</w:t>
            </w:r>
          </w:p>
        </w:tc>
        <w:tc>
          <w:tcPr>
            <w:tcW w:w="560" w:type="dxa"/>
            <w:vAlign w:val="bottom"/>
            <w:tcBorders>
              <w:bottom w:val="single" w:sz="8" w:color="DBDBDB"/>
            </w:tcBorders>
          </w:tcPr>
          <w:p>
            <w:pPr>
              <w:spacing w:after="0"/>
              <w:rPr>
                <w:sz w:val="13"/>
                <w:szCs w:val="13"/>
                <w:color w:val="auto"/>
              </w:rPr>
            </w:pPr>
          </w:p>
        </w:tc>
        <w:tc>
          <w:tcPr>
            <w:tcW w:w="460" w:type="dxa"/>
            <w:vAlign w:val="bottom"/>
            <w:tcBorders>
              <w:bottom w:val="single" w:sz="8" w:color="DBDBDB"/>
            </w:tcBorders>
          </w:tcPr>
          <w:p>
            <w:pPr>
              <w:spacing w:after="0"/>
              <w:rPr>
                <w:sz w:val="13"/>
                <w:szCs w:val="13"/>
                <w:color w:val="auto"/>
              </w:rPr>
            </w:pPr>
          </w:p>
        </w:tc>
        <w:tc>
          <w:tcPr>
            <w:tcW w:w="440" w:type="dxa"/>
            <w:vAlign w:val="bottom"/>
            <w:tcBorders>
              <w:bottom w:val="single" w:sz="8" w:color="DBDBDB"/>
            </w:tcBorders>
          </w:tcPr>
          <w:p>
            <w:pPr>
              <w:spacing w:after="0"/>
              <w:rPr>
                <w:sz w:val="13"/>
                <w:szCs w:val="13"/>
                <w:color w:val="auto"/>
              </w:rPr>
            </w:pPr>
          </w:p>
        </w:tc>
        <w:tc>
          <w:tcPr>
            <w:tcW w:w="580" w:type="dxa"/>
            <w:vAlign w:val="bottom"/>
            <w:tcBorders>
              <w:bottom w:val="single" w:sz="8" w:color="DBDBDB"/>
            </w:tcBorders>
          </w:tcPr>
          <w:p>
            <w:pPr>
              <w:spacing w:after="0"/>
              <w:rPr>
                <w:sz w:val="13"/>
                <w:szCs w:val="13"/>
                <w:color w:val="auto"/>
              </w:rPr>
            </w:pPr>
          </w:p>
        </w:tc>
        <w:tc>
          <w:tcPr>
            <w:tcW w:w="860" w:type="dxa"/>
            <w:vAlign w:val="bottom"/>
            <w:tcBorders>
              <w:bottom w:val="single" w:sz="8" w:color="DBDBDB"/>
            </w:tcBorders>
          </w:tcPr>
          <w:p>
            <w:pPr>
              <w:spacing w:after="0"/>
              <w:rPr>
                <w:sz w:val="13"/>
                <w:szCs w:val="13"/>
                <w:color w:val="auto"/>
              </w:rPr>
            </w:pPr>
          </w:p>
        </w:tc>
        <w:tc>
          <w:tcPr>
            <w:tcW w:w="600" w:type="dxa"/>
            <w:vAlign w:val="bottom"/>
            <w:tcBorders>
              <w:bottom w:val="single" w:sz="8" w:color="DBDBDB"/>
            </w:tcBorders>
          </w:tcPr>
          <w:p>
            <w:pPr>
              <w:spacing w:after="0"/>
              <w:rPr>
                <w:sz w:val="13"/>
                <w:szCs w:val="13"/>
                <w:color w:val="auto"/>
              </w:rPr>
            </w:pPr>
          </w:p>
        </w:tc>
        <w:tc>
          <w:tcPr>
            <w:tcW w:w="560" w:type="dxa"/>
            <w:vAlign w:val="bottom"/>
            <w:tcBorders>
              <w:bottom w:val="single" w:sz="8" w:color="DBDBDB"/>
            </w:tcBorders>
          </w:tcPr>
          <w:p>
            <w:pPr>
              <w:spacing w:after="0"/>
              <w:rPr>
                <w:sz w:val="13"/>
                <w:szCs w:val="13"/>
                <w:color w:val="auto"/>
              </w:rPr>
            </w:pPr>
          </w:p>
        </w:tc>
        <w:tc>
          <w:tcPr>
            <w:tcW w:w="340" w:type="dxa"/>
            <w:vAlign w:val="bottom"/>
            <w:tcBorders>
              <w:bottom w:val="single" w:sz="8" w:color="DBDBDB"/>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(44,484)</w:t>
            </w:r>
          </w:p>
        </w:tc>
        <w:tc>
          <w:tcPr>
            <w:tcW w:w="80" w:type="dxa"/>
            <w:vAlign w:val="bottom"/>
            <w:tcBorders>
              <w:bottom w:val="single" w:sz="8" w:color="DBDBDB"/>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(6,496)</w:t>
            </w:r>
          </w:p>
        </w:tc>
      </w:tr>
      <w:tr>
        <w:trPr>
          <w:trHeight w:val="176"/>
        </w:trPr>
        <w:tc>
          <w:tcPr>
            <w:tcW w:w="2280" w:type="dxa"/>
            <w:vAlign w:val="bottom"/>
            <w:tcBorders>
              <w:bottom w:val="single" w:sz="8" w:color="DBDBDB"/>
            </w:tcBorders>
            <w:gridSpan w:val="4"/>
            <w:shd w:val="clear" w:color="auto" w:fill="DBDBDB"/>
          </w:tcPr>
          <w:p>
            <w:pPr>
              <w:ind w:left="500"/>
              <w:spacing w:after="0"/>
              <w:rPr>
                <w:sz w:val="20"/>
                <w:szCs w:val="20"/>
                <w:color w:val="auto"/>
              </w:rPr>
            </w:pPr>
            <w:r>
              <w:rPr>
                <w:rFonts w:ascii="Arial" w:cs="Arial" w:eastAsia="Arial" w:hAnsi="Arial"/>
                <w:sz w:val="12"/>
                <w:szCs w:val="12"/>
                <w:color w:val="auto"/>
              </w:rPr>
              <w:t>Present value of lease liabilities</w:t>
            </w:r>
          </w:p>
        </w:tc>
        <w:tc>
          <w:tcPr>
            <w:tcW w:w="440" w:type="dxa"/>
            <w:vAlign w:val="bottom"/>
            <w:tcBorders>
              <w:bottom w:val="single" w:sz="8" w:color="DBDBDB"/>
            </w:tcBorders>
            <w:shd w:val="clear" w:color="auto" w:fill="DBDBDB"/>
          </w:tcPr>
          <w:p>
            <w:pPr>
              <w:spacing w:after="0"/>
              <w:rPr>
                <w:sz w:val="14"/>
                <w:szCs w:val="14"/>
                <w:color w:val="auto"/>
              </w:rPr>
            </w:pPr>
          </w:p>
        </w:tc>
        <w:tc>
          <w:tcPr>
            <w:tcW w:w="580" w:type="dxa"/>
            <w:vAlign w:val="bottom"/>
            <w:tcBorders>
              <w:bottom w:val="single" w:sz="8" w:color="DBDBDB"/>
            </w:tcBorders>
            <w:shd w:val="clear" w:color="auto" w:fill="DBDBDB"/>
          </w:tcPr>
          <w:p>
            <w:pPr>
              <w:spacing w:after="0"/>
              <w:rPr>
                <w:sz w:val="14"/>
                <w:szCs w:val="14"/>
                <w:color w:val="auto"/>
              </w:rPr>
            </w:pPr>
          </w:p>
        </w:tc>
        <w:tc>
          <w:tcPr>
            <w:tcW w:w="860" w:type="dxa"/>
            <w:vAlign w:val="bottom"/>
            <w:tcBorders>
              <w:bottom w:val="single" w:sz="8" w:color="DBDBDB"/>
            </w:tcBorders>
            <w:shd w:val="clear" w:color="auto" w:fill="DBDBDB"/>
          </w:tcPr>
          <w:p>
            <w:pPr>
              <w:spacing w:after="0"/>
              <w:rPr>
                <w:sz w:val="14"/>
                <w:szCs w:val="14"/>
                <w:color w:val="auto"/>
              </w:rPr>
            </w:pPr>
          </w:p>
        </w:tc>
        <w:tc>
          <w:tcPr>
            <w:tcW w:w="600" w:type="dxa"/>
            <w:vAlign w:val="bottom"/>
            <w:tcBorders>
              <w:bottom w:val="single" w:sz="8" w:color="DBDBDB"/>
            </w:tcBorders>
            <w:shd w:val="clear" w:color="auto" w:fill="DBDBDB"/>
          </w:tcPr>
          <w:p>
            <w:pPr>
              <w:spacing w:after="0"/>
              <w:rPr>
                <w:sz w:val="14"/>
                <w:szCs w:val="14"/>
                <w:color w:val="auto"/>
              </w:rPr>
            </w:pPr>
          </w:p>
        </w:tc>
        <w:tc>
          <w:tcPr>
            <w:tcW w:w="560" w:type="dxa"/>
            <w:vAlign w:val="bottom"/>
            <w:tcBorders>
              <w:bottom w:val="single" w:sz="8" w:color="DBDBDB"/>
            </w:tcBorders>
            <w:shd w:val="clear" w:color="auto" w:fill="DBDBDB"/>
          </w:tcPr>
          <w:p>
            <w:pPr>
              <w:spacing w:after="0"/>
              <w:rPr>
                <w:sz w:val="14"/>
                <w:szCs w:val="14"/>
                <w:color w:val="auto"/>
              </w:rPr>
            </w:pPr>
          </w:p>
        </w:tc>
        <w:tc>
          <w:tcPr>
            <w:tcW w:w="340" w:type="dxa"/>
            <w:vAlign w:val="bottom"/>
            <w:tcBorders>
              <w:bottom w:val="single" w:sz="8" w:color="DBDBDB"/>
            </w:tcBorders>
            <w:shd w:val="clear" w:color="auto" w:fill="DBDBDB"/>
          </w:tcPr>
          <w:p>
            <w:pPr>
              <w:spacing w:after="0"/>
              <w:rPr>
                <w:sz w:val="14"/>
                <w:szCs w:val="14"/>
                <w:color w:val="auto"/>
              </w:rPr>
            </w:pPr>
          </w:p>
        </w:tc>
        <w:tc>
          <w:tcPr>
            <w:tcW w:w="420" w:type="dxa"/>
            <w:vAlign w:val="bottom"/>
            <w:tcBorders>
              <w:bottom w:val="single" w:sz="8" w:color="auto"/>
            </w:tcBorders>
            <w:shd w:val="clear" w:color="auto" w:fill="DBDBDB"/>
          </w:tcPr>
          <w:p>
            <w:pPr>
              <w:spacing w:after="0"/>
              <w:rPr>
                <w:sz w:val="14"/>
                <w:szCs w:val="14"/>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shd w:val="clear" w:color="auto" w:fill="DBDBDB"/>
          </w:tcPr>
          <w:p>
            <w:pPr>
              <w:spacing w:after="0"/>
              <w:rPr>
                <w:sz w:val="14"/>
                <w:szCs w:val="14"/>
                <w:color w:val="auto"/>
              </w:rPr>
            </w:pPr>
          </w:p>
        </w:tc>
        <w:tc>
          <w:tcPr>
            <w:tcW w:w="740" w:type="dxa"/>
            <w:vAlign w:val="bottom"/>
            <w:tcBorders>
              <w:bottom w:val="single" w:sz="8" w:color="auto"/>
            </w:tcBorders>
            <w:shd w:val="clear" w:color="auto" w:fill="DBDBDB"/>
          </w:tcPr>
          <w:p>
            <w:pPr>
              <w:spacing w:after="0"/>
              <w:rPr>
                <w:sz w:val="14"/>
                <w:szCs w:val="14"/>
                <w:color w:val="auto"/>
              </w:rPr>
            </w:pPr>
          </w:p>
        </w:tc>
        <w:tc>
          <w:tcPr>
            <w:tcW w:w="520" w:type="dxa"/>
            <w:vAlign w:val="bottom"/>
            <w:tcBorders>
              <w:bottom w:val="single" w:sz="8" w:color="auto"/>
            </w:tcBorders>
            <w:shd w:val="clear" w:color="auto" w:fill="DBDBDB"/>
          </w:tcPr>
          <w:p>
            <w:pPr>
              <w:spacing w:after="0"/>
              <w:rPr>
                <w:sz w:val="14"/>
                <w:szCs w:val="14"/>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234,480</w:t>
            </w:r>
          </w:p>
        </w:tc>
        <w:tc>
          <w:tcPr>
            <w:tcW w:w="60" w:type="dxa"/>
            <w:vAlign w:val="bottom"/>
            <w:tcBorders>
              <w:bottom w:val="single" w:sz="8" w:color="auto"/>
            </w:tcBorders>
            <w:shd w:val="clear" w:color="auto" w:fill="DBDBDB"/>
          </w:tcPr>
          <w:p>
            <w:pPr>
              <w:spacing w:after="0"/>
              <w:rPr>
                <w:sz w:val="14"/>
                <w:szCs w:val="14"/>
                <w:color w:val="auto"/>
              </w:rPr>
            </w:pPr>
          </w:p>
        </w:tc>
        <w:tc>
          <w:tcPr>
            <w:tcW w:w="80" w:type="dxa"/>
            <w:vAlign w:val="bottom"/>
            <w:tcBorders>
              <w:bottom w:val="single" w:sz="8" w:color="DBDBDB"/>
            </w:tcBorders>
            <w:shd w:val="clear" w:color="auto" w:fill="DBDBDB"/>
          </w:tcPr>
          <w:p>
            <w:pPr>
              <w:spacing w:after="0"/>
              <w:rPr>
                <w:sz w:val="14"/>
                <w:szCs w:val="14"/>
                <w:color w:val="auto"/>
              </w:rPr>
            </w:pPr>
          </w:p>
        </w:tc>
        <w:tc>
          <w:tcPr>
            <w:tcW w:w="220" w:type="dxa"/>
            <w:vAlign w:val="bottom"/>
            <w:tcBorders>
              <w:bottom w:val="single" w:sz="8" w:color="auto"/>
            </w:tcBorders>
            <w:shd w:val="clear" w:color="auto" w:fill="DBDBDB"/>
          </w:tcPr>
          <w:p>
            <w:pPr>
              <w:spacing w:after="0"/>
              <w:rPr>
                <w:sz w:val="14"/>
                <w:szCs w:val="14"/>
                <w:color w:val="auto"/>
              </w:rPr>
            </w:pPr>
          </w:p>
        </w:tc>
        <w:tc>
          <w:tcPr>
            <w:tcW w:w="80" w:type="dxa"/>
            <w:vAlign w:val="bottom"/>
            <w:tcBorders>
              <w:bottom w:val="single" w:sz="8" w:color="auto"/>
            </w:tcBorders>
            <w:shd w:val="clear" w:color="auto" w:fill="DBDBDB"/>
          </w:tcPr>
          <w:p>
            <w:pPr>
              <w:spacing w:after="0"/>
              <w:rPr>
                <w:sz w:val="14"/>
                <w:szCs w:val="14"/>
                <w:color w:val="auto"/>
              </w:rPr>
            </w:pPr>
          </w:p>
        </w:tc>
        <w:tc>
          <w:tcPr>
            <w:tcW w:w="140" w:type="dxa"/>
            <w:vAlign w:val="bottom"/>
            <w:tcBorders>
              <w:bottom w:val="single" w:sz="8" w:color="auto"/>
            </w:tcBorders>
            <w:shd w:val="clear" w:color="auto" w:fill="DBDBDB"/>
          </w:tcPr>
          <w:p>
            <w:pPr>
              <w:spacing w:after="0"/>
              <w:rPr>
                <w:sz w:val="14"/>
                <w:szCs w:val="14"/>
                <w:color w:val="auto"/>
              </w:rPr>
            </w:pPr>
          </w:p>
        </w:tc>
        <w:tc>
          <w:tcPr>
            <w:tcW w:w="820" w:type="dxa"/>
            <w:vAlign w:val="bottom"/>
            <w:tcBorders>
              <w:bottom w:val="single" w:sz="8" w:color="auto"/>
            </w:tcBorders>
            <w:shd w:val="clear" w:color="auto" w:fill="DBDBDB"/>
          </w:tcPr>
          <w:p>
            <w:pPr>
              <w:jc w:val="right"/>
              <w:ind w:right="639"/>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DBDBDB"/>
          </w:tcPr>
          <w:p>
            <w:pPr>
              <w:spacing w:after="0"/>
              <w:rPr>
                <w:sz w:val="14"/>
                <w:szCs w:val="14"/>
                <w:color w:val="auto"/>
              </w:rPr>
            </w:pPr>
          </w:p>
        </w:tc>
        <w:tc>
          <w:tcPr>
            <w:tcW w:w="320" w:type="dxa"/>
            <w:vAlign w:val="bottom"/>
            <w:tcBorders>
              <w:bottom w:val="single" w:sz="8" w:color="auto"/>
            </w:tcBorders>
            <w:shd w:val="clear" w:color="auto" w:fill="DBDBDB"/>
          </w:tcPr>
          <w:p>
            <w:pPr>
              <w:spacing w:after="0"/>
              <w:rPr>
                <w:sz w:val="14"/>
                <w:szCs w:val="14"/>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81,529</w:t>
            </w:r>
          </w:p>
        </w:tc>
      </w:tr>
      <w:tr>
        <w:trPr>
          <w:trHeight w:val="20"/>
        </w:trPr>
        <w:tc>
          <w:tcPr>
            <w:tcW w:w="5660" w:type="dxa"/>
            <w:vAlign w:val="bottom"/>
            <w:tcBorders>
              <w:top w:val="single" w:sz="8" w:color="DBDBDB"/>
            </w:tcBorders>
            <w:gridSpan w:val="10"/>
          </w:tcPr>
          <w:p>
            <w:pPr>
              <w:spacing w:after="0" w:line="20" w:lineRule="exact"/>
              <w:rPr>
                <w:sz w:val="1"/>
                <w:szCs w:val="1"/>
                <w:color w:val="auto"/>
              </w:rPr>
            </w:pPr>
          </w:p>
        </w:tc>
        <w:tc>
          <w:tcPr>
            <w:tcW w:w="600" w:type="dxa"/>
            <w:vAlign w:val="bottom"/>
            <w:tcBorders>
              <w:top w:val="single" w:sz="8" w:color="DBDBDB"/>
              <w:bottom w:val="single" w:sz="8" w:color="auto"/>
            </w:tcBorders>
            <w:gridSpan w:val="2"/>
          </w:tcPr>
          <w:p>
            <w:pPr>
              <w:spacing w:after="0" w:line="20" w:lineRule="exact"/>
              <w:rPr>
                <w:sz w:val="1"/>
                <w:szCs w:val="1"/>
                <w:color w:val="auto"/>
              </w:rPr>
            </w:pPr>
          </w:p>
        </w:tc>
        <w:tc>
          <w:tcPr>
            <w:tcW w:w="2120" w:type="dxa"/>
            <w:vAlign w:val="bottom"/>
            <w:tcBorders>
              <w:top w:val="single" w:sz="8" w:color="DBDBDB"/>
              <w:bottom w:val="single" w:sz="8" w:color="auto"/>
            </w:tcBorders>
            <w:gridSpan w:val="4"/>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r>
      <w:tr>
        <w:trPr>
          <w:trHeight w:val="261"/>
        </w:trPr>
        <w:tc>
          <w:tcPr>
            <w:tcW w:w="8380" w:type="dxa"/>
            <w:vAlign w:val="bottom"/>
            <w:gridSpan w:val="16"/>
          </w:tcPr>
          <w:p>
            <w:pPr>
              <w:ind w:left="480"/>
              <w:spacing w:after="0"/>
              <w:rPr>
                <w:sz w:val="20"/>
                <w:szCs w:val="20"/>
                <w:color w:val="auto"/>
              </w:rPr>
            </w:pPr>
            <w:r>
              <w:rPr>
                <w:rFonts w:ascii="Arial" w:cs="Arial" w:eastAsia="Arial" w:hAnsi="Arial"/>
                <w:sz w:val="12"/>
                <w:szCs w:val="12"/>
                <w:color w:val="auto"/>
              </w:rPr>
              <w:t>Finance lease liabilities are included within long-term debt and current portion of long-term debt on the condensed consolidated balance sheets.</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82"/>
        </w:trPr>
        <w:tc>
          <w:tcPr>
            <w:tcW w:w="6080" w:type="dxa"/>
            <w:vAlign w:val="bottom"/>
            <w:gridSpan w:val="11"/>
          </w:tcPr>
          <w:p>
            <w:pPr>
              <w:ind w:left="480"/>
              <w:spacing w:after="0"/>
              <w:rPr>
                <w:sz w:val="20"/>
                <w:szCs w:val="20"/>
                <w:color w:val="auto"/>
              </w:rPr>
            </w:pPr>
            <w:r>
              <w:rPr>
                <w:rFonts w:ascii="Arial" w:cs="Arial" w:eastAsia="Arial" w:hAnsi="Arial"/>
                <w:sz w:val="12"/>
                <w:szCs w:val="12"/>
                <w:color w:val="auto"/>
              </w:rPr>
              <w:t>The Company’s lease activity during the six months ended June 30, 2021 and 2020 was as follows: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95"/>
        </w:trPr>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4"/>
          </w:tcPr>
          <w:p>
            <w:pPr>
              <w:spacing w:after="0"/>
              <w:rPr>
                <w:sz w:val="8"/>
                <w:szCs w:val="8"/>
                <w:color w:val="auto"/>
              </w:rPr>
            </w:pPr>
          </w:p>
        </w:tc>
        <w:tc>
          <w:tcPr>
            <w:tcW w:w="1040" w:type="dxa"/>
            <w:vAlign w:val="bottom"/>
            <w:gridSpan w:val="3"/>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60"/>
        </w:trPr>
        <w:tc>
          <w:tcPr>
            <w:tcW w:w="8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380" w:type="dxa"/>
            <w:vAlign w:val="bottom"/>
            <w:shd w:val="clear" w:color="auto" w:fill="1D2758"/>
          </w:tcPr>
          <w:p>
            <w:pPr>
              <w:spacing w:after="0"/>
              <w:rPr>
                <w:sz w:val="13"/>
                <w:szCs w:val="13"/>
                <w:color w:val="auto"/>
              </w:rPr>
            </w:pPr>
          </w:p>
        </w:tc>
        <w:tc>
          <w:tcPr>
            <w:tcW w:w="560" w:type="dxa"/>
            <w:vAlign w:val="bottom"/>
            <w:shd w:val="clear" w:color="auto" w:fill="1D2758"/>
          </w:tcPr>
          <w:p>
            <w:pPr>
              <w:spacing w:after="0"/>
              <w:rPr>
                <w:sz w:val="13"/>
                <w:szCs w:val="13"/>
                <w:color w:val="auto"/>
              </w:rPr>
            </w:pPr>
          </w:p>
        </w:tc>
        <w:tc>
          <w:tcPr>
            <w:tcW w:w="460" w:type="dxa"/>
            <w:vAlign w:val="bottom"/>
            <w:shd w:val="clear" w:color="auto" w:fill="1D2758"/>
          </w:tcPr>
          <w:p>
            <w:pPr>
              <w:spacing w:after="0"/>
              <w:rPr>
                <w:sz w:val="13"/>
                <w:szCs w:val="13"/>
                <w:color w:val="auto"/>
              </w:rPr>
            </w:pPr>
          </w:p>
        </w:tc>
        <w:tc>
          <w:tcPr>
            <w:tcW w:w="440" w:type="dxa"/>
            <w:vAlign w:val="bottom"/>
            <w:shd w:val="clear" w:color="auto" w:fill="1D2758"/>
          </w:tcPr>
          <w:p>
            <w:pPr>
              <w:spacing w:after="0"/>
              <w:rPr>
                <w:sz w:val="13"/>
                <w:szCs w:val="13"/>
                <w:color w:val="auto"/>
              </w:rPr>
            </w:pPr>
          </w:p>
        </w:tc>
        <w:tc>
          <w:tcPr>
            <w:tcW w:w="580" w:type="dxa"/>
            <w:vAlign w:val="bottom"/>
            <w:shd w:val="clear" w:color="auto" w:fill="1D2758"/>
          </w:tcPr>
          <w:p>
            <w:pPr>
              <w:spacing w:after="0"/>
              <w:rPr>
                <w:sz w:val="13"/>
                <w:szCs w:val="13"/>
                <w:color w:val="auto"/>
              </w:rPr>
            </w:pPr>
          </w:p>
        </w:tc>
        <w:tc>
          <w:tcPr>
            <w:tcW w:w="860" w:type="dxa"/>
            <w:vAlign w:val="bottom"/>
            <w:shd w:val="clear" w:color="auto" w:fill="1D2758"/>
          </w:tcPr>
          <w:p>
            <w:pPr>
              <w:spacing w:after="0"/>
              <w:rPr>
                <w:sz w:val="13"/>
                <w:szCs w:val="13"/>
                <w:color w:val="auto"/>
              </w:rPr>
            </w:pPr>
          </w:p>
        </w:tc>
        <w:tc>
          <w:tcPr>
            <w:tcW w:w="600" w:type="dxa"/>
            <w:vAlign w:val="bottom"/>
            <w:shd w:val="clear" w:color="auto" w:fill="1D2758"/>
          </w:tcPr>
          <w:p>
            <w:pPr>
              <w:spacing w:after="0"/>
              <w:rPr>
                <w:sz w:val="13"/>
                <w:szCs w:val="13"/>
                <w:color w:val="auto"/>
              </w:rPr>
            </w:pPr>
          </w:p>
        </w:tc>
        <w:tc>
          <w:tcPr>
            <w:tcW w:w="560" w:type="dxa"/>
            <w:vAlign w:val="bottom"/>
            <w:shd w:val="clear" w:color="auto" w:fill="1D2758"/>
          </w:tcPr>
          <w:p>
            <w:pPr>
              <w:spacing w:after="0"/>
              <w:rPr>
                <w:sz w:val="13"/>
                <w:szCs w:val="13"/>
                <w:color w:val="auto"/>
              </w:rPr>
            </w:pPr>
          </w:p>
        </w:tc>
        <w:tc>
          <w:tcPr>
            <w:tcW w:w="340" w:type="dxa"/>
            <w:vAlign w:val="bottom"/>
            <w:shd w:val="clear" w:color="auto" w:fill="1D2758"/>
          </w:tcPr>
          <w:p>
            <w:pPr>
              <w:spacing w:after="0"/>
              <w:rPr>
                <w:sz w:val="13"/>
                <w:szCs w:val="13"/>
                <w:color w:val="auto"/>
              </w:rPr>
            </w:pPr>
          </w:p>
        </w:tc>
        <w:tc>
          <w:tcPr>
            <w:tcW w:w="420" w:type="dxa"/>
            <w:vAlign w:val="bottom"/>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280" w:type="dxa"/>
            <w:vAlign w:val="bottom"/>
            <w:shd w:val="clear" w:color="auto" w:fill="1D2758"/>
          </w:tcPr>
          <w:p>
            <w:pPr>
              <w:spacing w:after="0"/>
              <w:rPr>
                <w:sz w:val="13"/>
                <w:szCs w:val="13"/>
                <w:color w:val="auto"/>
              </w:rPr>
            </w:pPr>
          </w:p>
        </w:tc>
        <w:tc>
          <w:tcPr>
            <w:tcW w:w="740" w:type="dxa"/>
            <w:vAlign w:val="bottom"/>
            <w:shd w:val="clear" w:color="auto" w:fill="1D2758"/>
          </w:tcPr>
          <w:p>
            <w:pPr>
              <w:spacing w:after="0"/>
              <w:rPr>
                <w:sz w:val="13"/>
                <w:szCs w:val="13"/>
                <w:color w:val="auto"/>
              </w:rPr>
            </w:pPr>
          </w:p>
        </w:tc>
        <w:tc>
          <w:tcPr>
            <w:tcW w:w="520" w:type="dxa"/>
            <w:vAlign w:val="bottom"/>
            <w:shd w:val="clear" w:color="auto" w:fill="1D2758"/>
          </w:tcPr>
          <w:p>
            <w:pPr>
              <w:spacing w:after="0"/>
              <w:rPr>
                <w:sz w:val="13"/>
                <w:szCs w:val="13"/>
                <w:color w:val="auto"/>
              </w:rPr>
            </w:pPr>
          </w:p>
        </w:tc>
        <w:tc>
          <w:tcPr>
            <w:tcW w:w="1980" w:type="dxa"/>
            <w:vAlign w:val="bottom"/>
            <w:gridSpan w:val="7"/>
            <w:shd w:val="clear" w:color="auto" w:fill="1D2758"/>
          </w:tcPr>
          <w:p>
            <w:pPr>
              <w:jc w:val="right"/>
              <w:ind w:right="159"/>
              <w:spacing w:after="0"/>
              <w:rPr>
                <w:sz w:val="20"/>
                <w:szCs w:val="20"/>
                <w:color w:val="auto"/>
              </w:rPr>
            </w:pPr>
            <w:r>
              <w:rPr>
                <w:rFonts w:ascii="Arial" w:cs="Arial" w:eastAsia="Arial" w:hAnsi="Arial"/>
                <w:sz w:val="12"/>
                <w:szCs w:val="12"/>
                <w:b w:val="1"/>
                <w:bCs w:val="1"/>
                <w:color w:val="FFFFFF"/>
              </w:rPr>
              <w:t>Six Months Ended June 30,</w:t>
            </w:r>
          </w:p>
        </w:tc>
        <w:tc>
          <w:tcPr>
            <w:tcW w:w="640" w:type="dxa"/>
            <w:vAlign w:val="bottom"/>
            <w:shd w:val="clear" w:color="auto" w:fill="1D2758"/>
          </w:tcPr>
          <w:p>
            <w:pPr>
              <w:spacing w:after="0"/>
              <w:rPr>
                <w:sz w:val="13"/>
                <w:szCs w:val="13"/>
                <w:color w:val="auto"/>
              </w:rPr>
            </w:pPr>
          </w:p>
        </w:tc>
        <w:tc>
          <w:tcPr>
            <w:tcW w:w="320" w:type="dxa"/>
            <w:vAlign w:val="bottom"/>
            <w:shd w:val="clear" w:color="auto" w:fill="1D2758"/>
          </w:tcPr>
          <w:p>
            <w:pPr>
              <w:spacing w:after="0"/>
              <w:rPr>
                <w:sz w:val="13"/>
                <w:szCs w:val="13"/>
                <w:color w:val="auto"/>
              </w:rPr>
            </w:pPr>
          </w:p>
        </w:tc>
        <w:tc>
          <w:tcPr>
            <w:tcW w:w="540" w:type="dxa"/>
            <w:vAlign w:val="bottom"/>
            <w:shd w:val="clear" w:color="auto" w:fill="1D2758"/>
          </w:tcPr>
          <w:p>
            <w:pPr>
              <w:spacing w:after="0"/>
              <w:rPr>
                <w:sz w:val="13"/>
                <w:szCs w:val="13"/>
                <w:color w:val="auto"/>
              </w:rPr>
            </w:pPr>
          </w:p>
        </w:tc>
      </w:tr>
      <w:tr>
        <w:trPr>
          <w:trHeight w:val="163"/>
        </w:trPr>
        <w:tc>
          <w:tcPr>
            <w:tcW w:w="1820" w:type="dxa"/>
            <w:vAlign w:val="bottom"/>
            <w:gridSpan w:val="3"/>
            <w:shd w:val="clear" w:color="auto" w:fill="1D2758"/>
          </w:tcPr>
          <w:p>
            <w:pPr>
              <w:ind w:left="20"/>
              <w:spacing w:after="0"/>
              <w:rPr>
                <w:sz w:val="20"/>
                <w:szCs w:val="20"/>
                <w:color w:val="auto"/>
              </w:rPr>
            </w:pPr>
            <w:r>
              <w:rPr>
                <w:rFonts w:ascii="Arial" w:cs="Arial" w:eastAsia="Arial" w:hAnsi="Arial"/>
                <w:sz w:val="12"/>
                <w:szCs w:val="12"/>
                <w:b w:val="1"/>
                <w:bCs w:val="1"/>
                <w:color w:val="FFFFFF"/>
              </w:rPr>
              <w:t>Financial Statement Line</w:t>
            </w:r>
          </w:p>
        </w:tc>
        <w:tc>
          <w:tcPr>
            <w:tcW w:w="460" w:type="dxa"/>
            <w:vAlign w:val="bottom"/>
            <w:shd w:val="clear" w:color="auto" w:fill="1D2758"/>
          </w:tcPr>
          <w:p>
            <w:pPr>
              <w:spacing w:after="0"/>
              <w:rPr>
                <w:sz w:val="14"/>
                <w:szCs w:val="14"/>
                <w:color w:val="auto"/>
              </w:rPr>
            </w:pPr>
          </w:p>
        </w:tc>
        <w:tc>
          <w:tcPr>
            <w:tcW w:w="440" w:type="dxa"/>
            <w:vAlign w:val="bottom"/>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860" w:type="dxa"/>
            <w:vAlign w:val="bottom"/>
            <w:shd w:val="clear" w:color="auto" w:fill="1D2758"/>
          </w:tcPr>
          <w:p>
            <w:pPr>
              <w:spacing w:after="0"/>
              <w:rPr>
                <w:sz w:val="14"/>
                <w:szCs w:val="14"/>
                <w:color w:val="auto"/>
              </w:rPr>
            </w:pPr>
          </w:p>
        </w:tc>
        <w:tc>
          <w:tcPr>
            <w:tcW w:w="600" w:type="dxa"/>
            <w:vAlign w:val="bottom"/>
            <w:shd w:val="clear" w:color="auto" w:fill="1D2758"/>
          </w:tcPr>
          <w:p>
            <w:pPr>
              <w:spacing w:after="0"/>
              <w:rPr>
                <w:sz w:val="14"/>
                <w:szCs w:val="14"/>
                <w:color w:val="auto"/>
              </w:rPr>
            </w:pPr>
          </w:p>
        </w:tc>
        <w:tc>
          <w:tcPr>
            <w:tcW w:w="560" w:type="dxa"/>
            <w:vAlign w:val="bottom"/>
            <w:shd w:val="clear" w:color="auto" w:fill="1D2758"/>
          </w:tcPr>
          <w:p>
            <w:pPr>
              <w:spacing w:after="0"/>
              <w:rPr>
                <w:sz w:val="14"/>
                <w:szCs w:val="14"/>
                <w:color w:val="auto"/>
              </w:rPr>
            </w:pPr>
          </w:p>
        </w:tc>
        <w:tc>
          <w:tcPr>
            <w:tcW w:w="34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280" w:type="dxa"/>
            <w:vAlign w:val="bottom"/>
            <w:shd w:val="clear" w:color="auto" w:fill="1D2758"/>
          </w:tcPr>
          <w:p>
            <w:pPr>
              <w:spacing w:after="0"/>
              <w:rPr>
                <w:sz w:val="14"/>
                <w:szCs w:val="14"/>
                <w:color w:val="auto"/>
              </w:rPr>
            </w:pPr>
          </w:p>
        </w:tc>
        <w:tc>
          <w:tcPr>
            <w:tcW w:w="740" w:type="dxa"/>
            <w:vAlign w:val="bottom"/>
            <w:shd w:val="clear" w:color="auto" w:fill="1D2758"/>
          </w:tcPr>
          <w:p>
            <w:pPr>
              <w:spacing w:after="0"/>
              <w:rPr>
                <w:sz w:val="14"/>
                <w:szCs w:val="14"/>
                <w:color w:val="auto"/>
              </w:rPr>
            </w:pPr>
          </w:p>
        </w:tc>
        <w:tc>
          <w:tcPr>
            <w:tcW w:w="520" w:type="dxa"/>
            <w:vAlign w:val="bottom"/>
            <w:shd w:val="clear" w:color="auto" w:fill="1D2758"/>
          </w:tcPr>
          <w:p>
            <w:pPr>
              <w:jc w:val="right"/>
              <w:ind w:right="99"/>
              <w:spacing w:after="0"/>
              <w:rPr>
                <w:sz w:val="20"/>
                <w:szCs w:val="20"/>
                <w:color w:val="auto"/>
              </w:rPr>
            </w:pPr>
            <w:r>
              <w:rPr>
                <w:rFonts w:ascii="Arial" w:cs="Arial" w:eastAsia="Arial" w:hAnsi="Arial"/>
                <w:sz w:val="12"/>
                <w:szCs w:val="12"/>
                <w:b w:val="1"/>
                <w:bCs w:val="1"/>
                <w:color w:val="FFFFFF"/>
              </w:rPr>
              <w:t>2021</w:t>
            </w:r>
          </w:p>
        </w:tc>
        <w:tc>
          <w:tcPr>
            <w:tcW w:w="580" w:type="dxa"/>
            <w:vAlign w:val="bottom"/>
            <w:shd w:val="clear" w:color="auto" w:fill="1D2758"/>
          </w:tcPr>
          <w:p>
            <w:pPr>
              <w:spacing w:after="0"/>
              <w:rPr>
                <w:sz w:val="14"/>
                <w:szCs w:val="14"/>
                <w:color w:val="auto"/>
              </w:rPr>
            </w:pPr>
          </w:p>
        </w:tc>
        <w:tc>
          <w:tcPr>
            <w:tcW w:w="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820" w:type="dxa"/>
            <w:vAlign w:val="bottom"/>
            <w:shd w:val="clear" w:color="auto" w:fill="1D2758"/>
          </w:tcPr>
          <w:p>
            <w:pPr>
              <w:spacing w:after="0"/>
              <w:rPr>
                <w:sz w:val="14"/>
                <w:szCs w:val="14"/>
                <w:color w:val="auto"/>
              </w:rPr>
            </w:pPr>
          </w:p>
        </w:tc>
        <w:tc>
          <w:tcPr>
            <w:tcW w:w="640" w:type="dxa"/>
            <w:vAlign w:val="bottom"/>
            <w:shd w:val="clear" w:color="auto" w:fill="1D2758"/>
          </w:tcPr>
          <w:p>
            <w:pPr>
              <w:ind w:left="140"/>
              <w:spacing w:after="0"/>
              <w:rPr>
                <w:sz w:val="20"/>
                <w:szCs w:val="20"/>
                <w:color w:val="auto"/>
              </w:rPr>
            </w:pPr>
            <w:r>
              <w:rPr>
                <w:rFonts w:ascii="Arial" w:cs="Arial" w:eastAsia="Arial" w:hAnsi="Arial"/>
                <w:sz w:val="12"/>
                <w:szCs w:val="12"/>
                <w:b w:val="1"/>
                <w:bCs w:val="1"/>
                <w:color w:val="FFFFFF"/>
              </w:rPr>
              <w:t>2020</w:t>
            </w:r>
          </w:p>
        </w:tc>
        <w:tc>
          <w:tcPr>
            <w:tcW w:w="320" w:type="dxa"/>
            <w:vAlign w:val="bottom"/>
            <w:shd w:val="clear" w:color="auto" w:fill="1D2758"/>
          </w:tcPr>
          <w:p>
            <w:pPr>
              <w:spacing w:after="0"/>
              <w:rPr>
                <w:sz w:val="14"/>
                <w:szCs w:val="14"/>
                <w:color w:val="auto"/>
              </w:rPr>
            </w:pPr>
          </w:p>
        </w:tc>
        <w:tc>
          <w:tcPr>
            <w:tcW w:w="540" w:type="dxa"/>
            <w:vAlign w:val="bottom"/>
            <w:shd w:val="clear" w:color="auto" w:fill="1D2758"/>
          </w:tcPr>
          <w:p>
            <w:pPr>
              <w:spacing w:after="0"/>
              <w:rPr>
                <w:sz w:val="14"/>
                <w:szCs w:val="14"/>
                <w:color w:val="auto"/>
              </w:rPr>
            </w:pPr>
          </w:p>
        </w:tc>
      </w:tr>
      <w:tr>
        <w:trPr>
          <w:trHeight w:val="161"/>
        </w:trPr>
        <w:tc>
          <w:tcPr>
            <w:tcW w:w="1820" w:type="dxa"/>
            <w:vAlign w:val="bottom"/>
            <w:gridSpan w:val="3"/>
            <w:shd w:val="clear" w:color="auto" w:fill="DBDBDB"/>
          </w:tcPr>
          <w:p>
            <w:pPr>
              <w:ind w:left="20"/>
              <w:spacing w:after="0"/>
              <w:rPr>
                <w:sz w:val="20"/>
                <w:szCs w:val="20"/>
                <w:color w:val="auto"/>
              </w:rPr>
            </w:pPr>
            <w:r>
              <w:rPr>
                <w:rFonts w:ascii="Arial" w:cs="Arial" w:eastAsia="Arial" w:hAnsi="Arial"/>
                <w:sz w:val="12"/>
                <w:szCs w:val="12"/>
                <w:color w:val="auto"/>
              </w:rPr>
              <w:t>Finance Lease Expense</w:t>
            </w:r>
          </w:p>
        </w:tc>
        <w:tc>
          <w:tcPr>
            <w:tcW w:w="46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r>
      <w:tr>
        <w:trPr>
          <w:trHeight w:val="159"/>
        </w:trPr>
        <w:tc>
          <w:tcPr>
            <w:tcW w:w="2280" w:type="dxa"/>
            <w:vAlign w:val="bottom"/>
            <w:gridSpan w:val="4"/>
          </w:tcPr>
          <w:p>
            <w:pPr>
              <w:ind w:left="260"/>
              <w:spacing w:after="0"/>
              <w:rPr>
                <w:sz w:val="20"/>
                <w:szCs w:val="20"/>
                <w:color w:val="auto"/>
              </w:rPr>
            </w:pPr>
            <w:r>
              <w:rPr>
                <w:rFonts w:ascii="Arial" w:cs="Arial" w:eastAsia="Arial" w:hAnsi="Arial"/>
                <w:sz w:val="12"/>
                <w:szCs w:val="12"/>
                <w:color w:val="auto"/>
              </w:rPr>
              <w:t>Amortization of finance lease assets</w:t>
            </w: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gridSpan w:val="3"/>
          </w:tcPr>
          <w:p>
            <w:pPr>
              <w:jc w:val="right"/>
              <w:spacing w:after="0"/>
              <w:rPr>
                <w:sz w:val="20"/>
                <w:szCs w:val="20"/>
                <w:color w:val="auto"/>
              </w:rPr>
            </w:pPr>
            <w:r>
              <w:rPr>
                <w:rFonts w:ascii="Arial" w:cs="Arial" w:eastAsia="Arial" w:hAnsi="Arial"/>
                <w:sz w:val="12"/>
                <w:szCs w:val="12"/>
                <w:color w:val="auto"/>
                <w:w w:val="93"/>
              </w:rPr>
              <w:t>9,514</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2720" w:type="dxa"/>
            <w:vAlign w:val="bottom"/>
            <w:gridSpan w:val="5"/>
            <w:shd w:val="clear" w:color="auto" w:fill="DBDBDB"/>
          </w:tcPr>
          <w:p>
            <w:pPr>
              <w:ind w:left="260"/>
              <w:spacing w:after="0"/>
              <w:rPr>
                <w:sz w:val="20"/>
                <w:szCs w:val="20"/>
                <w:color w:val="auto"/>
              </w:rPr>
            </w:pPr>
            <w:r>
              <w:rPr>
                <w:rFonts w:ascii="Arial" w:cs="Arial" w:eastAsia="Arial" w:hAnsi="Arial"/>
                <w:sz w:val="12"/>
                <w:szCs w:val="12"/>
                <w:color w:val="auto"/>
              </w:rPr>
              <w:t>Interest on obligations under finance leases</w:t>
            </w:r>
          </w:p>
        </w:tc>
        <w:tc>
          <w:tcPr>
            <w:tcW w:w="5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280" w:type="dxa"/>
            <w:vAlign w:val="bottom"/>
            <w:tcBorders>
              <w:bottom w:val="single" w:sz="8" w:color="auto"/>
            </w:tcBorders>
            <w:shd w:val="clear" w:color="auto" w:fill="DBDBDB"/>
          </w:tcPr>
          <w:p>
            <w:pPr>
              <w:spacing w:after="0"/>
              <w:rPr>
                <w:sz w:val="14"/>
                <w:szCs w:val="14"/>
                <w:color w:val="auto"/>
              </w:rPr>
            </w:pPr>
          </w:p>
        </w:tc>
        <w:tc>
          <w:tcPr>
            <w:tcW w:w="740" w:type="dxa"/>
            <w:vAlign w:val="bottom"/>
            <w:tcBorders>
              <w:bottom w:val="single" w:sz="8" w:color="auto"/>
            </w:tcBorders>
            <w:shd w:val="clear" w:color="auto" w:fill="DBDBDB"/>
          </w:tcPr>
          <w:p>
            <w:pPr>
              <w:spacing w:after="0"/>
              <w:rPr>
                <w:sz w:val="14"/>
                <w:szCs w:val="14"/>
                <w:color w:val="auto"/>
              </w:rPr>
            </w:pPr>
          </w:p>
        </w:tc>
        <w:tc>
          <w:tcPr>
            <w:tcW w:w="520" w:type="dxa"/>
            <w:vAlign w:val="bottom"/>
            <w:tcBorders>
              <w:bottom w:val="single" w:sz="8" w:color="auto"/>
            </w:tcBorders>
            <w:shd w:val="clear" w:color="auto" w:fill="DBDBDB"/>
          </w:tcPr>
          <w:p>
            <w:pPr>
              <w:spacing w:after="0"/>
              <w:rPr>
                <w:sz w:val="14"/>
                <w:szCs w:val="14"/>
                <w:color w:val="auto"/>
              </w:rPr>
            </w:pPr>
          </w:p>
        </w:tc>
        <w:tc>
          <w:tcPr>
            <w:tcW w:w="580" w:type="dxa"/>
            <w:vAlign w:val="bottom"/>
            <w:tcBorders>
              <w:bottom w:val="single" w:sz="8" w:color="auto"/>
            </w:tcBorders>
            <w:shd w:val="clear" w:color="auto" w:fill="DBDBDB"/>
          </w:tcPr>
          <w:p>
            <w:pPr>
              <w:spacing w:after="0"/>
              <w:rPr>
                <w:sz w:val="14"/>
                <w:szCs w:val="14"/>
                <w:color w:val="auto"/>
              </w:rPr>
            </w:pPr>
          </w:p>
        </w:tc>
        <w:tc>
          <w:tcPr>
            <w:tcW w:w="36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2"/>
                <w:szCs w:val="12"/>
                <w:color w:val="auto"/>
                <w:w w:val="93"/>
              </w:rPr>
              <w:t>1,098</w:t>
            </w:r>
          </w:p>
        </w:tc>
        <w:tc>
          <w:tcPr>
            <w:tcW w:w="80" w:type="dxa"/>
            <w:vAlign w:val="bottom"/>
            <w:shd w:val="clear" w:color="auto" w:fill="DBDBDB"/>
          </w:tcPr>
          <w:p>
            <w:pPr>
              <w:spacing w:after="0"/>
              <w:rPr>
                <w:sz w:val="14"/>
                <w:szCs w:val="14"/>
                <w:color w:val="auto"/>
              </w:rPr>
            </w:pPr>
          </w:p>
        </w:tc>
        <w:tc>
          <w:tcPr>
            <w:tcW w:w="140" w:type="dxa"/>
            <w:vAlign w:val="bottom"/>
            <w:tcBorders>
              <w:bottom w:val="single" w:sz="8" w:color="auto"/>
            </w:tcBorders>
            <w:shd w:val="clear" w:color="auto" w:fill="DBDBDB"/>
          </w:tcPr>
          <w:p>
            <w:pPr>
              <w:spacing w:after="0"/>
              <w:rPr>
                <w:sz w:val="14"/>
                <w:szCs w:val="14"/>
                <w:color w:val="auto"/>
              </w:rPr>
            </w:pPr>
          </w:p>
        </w:tc>
        <w:tc>
          <w:tcPr>
            <w:tcW w:w="820" w:type="dxa"/>
            <w:vAlign w:val="bottom"/>
            <w:tcBorders>
              <w:bottom w:val="single" w:sz="8" w:color="auto"/>
            </w:tcBorders>
            <w:shd w:val="clear" w:color="auto" w:fill="DBDBDB"/>
          </w:tcPr>
          <w:p>
            <w:pPr>
              <w:spacing w:after="0"/>
              <w:rPr>
                <w:sz w:val="14"/>
                <w:szCs w:val="14"/>
                <w:color w:val="auto"/>
              </w:rPr>
            </w:pPr>
          </w:p>
        </w:tc>
        <w:tc>
          <w:tcPr>
            <w:tcW w:w="640" w:type="dxa"/>
            <w:vAlign w:val="bottom"/>
            <w:tcBorders>
              <w:bottom w:val="single" w:sz="8" w:color="auto"/>
            </w:tcBorders>
            <w:shd w:val="clear" w:color="auto" w:fill="DBDBDB"/>
          </w:tcPr>
          <w:p>
            <w:pPr>
              <w:spacing w:after="0"/>
              <w:rPr>
                <w:sz w:val="14"/>
                <w:szCs w:val="14"/>
                <w:color w:val="auto"/>
              </w:rPr>
            </w:pPr>
          </w:p>
        </w:tc>
        <w:tc>
          <w:tcPr>
            <w:tcW w:w="320" w:type="dxa"/>
            <w:vAlign w:val="bottom"/>
            <w:tcBorders>
              <w:bottom w:val="single" w:sz="8" w:color="auto"/>
            </w:tcBorders>
            <w:shd w:val="clear" w:color="auto" w:fill="DBDBDB"/>
          </w:tcPr>
          <w:p>
            <w:pPr>
              <w:spacing w:after="0"/>
              <w:rPr>
                <w:sz w:val="14"/>
                <w:szCs w:val="14"/>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1820" w:type="dxa"/>
            <w:vAlign w:val="bottom"/>
            <w:gridSpan w:val="3"/>
          </w:tcPr>
          <w:p>
            <w:pPr>
              <w:ind w:left="20"/>
              <w:spacing w:after="0"/>
              <w:rPr>
                <w:sz w:val="20"/>
                <w:szCs w:val="20"/>
                <w:color w:val="auto"/>
              </w:rPr>
            </w:pPr>
            <w:r>
              <w:rPr>
                <w:rFonts w:ascii="Arial" w:cs="Arial" w:eastAsia="Arial" w:hAnsi="Arial"/>
                <w:sz w:val="12"/>
                <w:szCs w:val="12"/>
                <w:color w:val="auto"/>
              </w:rPr>
              <w:t>Total finance lease expense</w:t>
            </w: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gridSpan w:val="4"/>
          </w:tcPr>
          <w:p>
            <w:pPr>
              <w:jc w:val="right"/>
              <w:spacing w:after="0"/>
              <w:rPr>
                <w:sz w:val="20"/>
                <w:szCs w:val="20"/>
                <w:color w:val="auto"/>
              </w:rPr>
            </w:pPr>
            <w:r>
              <w:rPr>
                <w:rFonts w:ascii="Arial" w:cs="Arial" w:eastAsia="Arial" w:hAnsi="Arial"/>
                <w:sz w:val="12"/>
                <w:szCs w:val="12"/>
                <w:color w:val="auto"/>
              </w:rPr>
              <w:t>10,612</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88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DBDBDB"/>
            </w:tcBorders>
          </w:tcPr>
          <w:p>
            <w:pPr>
              <w:spacing w:after="0" w:line="20" w:lineRule="exact"/>
              <w:rPr>
                <w:sz w:val="1"/>
                <w:szCs w:val="1"/>
                <w:color w:val="auto"/>
              </w:rPr>
            </w:pPr>
          </w:p>
        </w:tc>
        <w:tc>
          <w:tcPr>
            <w:tcW w:w="86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88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46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60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r>
      <w:tr>
        <w:trPr>
          <w:trHeight w:val="159"/>
        </w:trPr>
        <w:tc>
          <w:tcPr>
            <w:tcW w:w="1820" w:type="dxa"/>
            <w:vAlign w:val="bottom"/>
            <w:gridSpan w:val="3"/>
          </w:tcPr>
          <w:p>
            <w:pPr>
              <w:ind w:left="20"/>
              <w:spacing w:after="0"/>
              <w:rPr>
                <w:sz w:val="20"/>
                <w:szCs w:val="20"/>
                <w:color w:val="auto"/>
              </w:rPr>
            </w:pPr>
            <w:r>
              <w:rPr>
                <w:rFonts w:ascii="Arial" w:cs="Arial" w:eastAsia="Arial" w:hAnsi="Arial"/>
                <w:sz w:val="12"/>
                <w:szCs w:val="12"/>
                <w:color w:val="auto"/>
              </w:rPr>
              <w:t>Operating Lease Expense</w:t>
            </w: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4"/>
        </w:trPr>
        <w:tc>
          <w:tcPr>
            <w:tcW w:w="1820" w:type="dxa"/>
            <w:vAlign w:val="bottom"/>
            <w:gridSpan w:val="3"/>
            <w:shd w:val="clear" w:color="auto" w:fill="DBDBDB"/>
          </w:tcPr>
          <w:p>
            <w:pPr>
              <w:ind w:left="260"/>
              <w:spacing w:after="0"/>
              <w:rPr>
                <w:sz w:val="20"/>
                <w:szCs w:val="20"/>
                <w:color w:val="auto"/>
              </w:rPr>
            </w:pPr>
            <w:r>
              <w:rPr>
                <w:rFonts w:ascii="Arial" w:cs="Arial" w:eastAsia="Arial" w:hAnsi="Arial"/>
                <w:sz w:val="12"/>
                <w:szCs w:val="12"/>
                <w:color w:val="auto"/>
              </w:rPr>
              <w:t>Fixed lease expense</w:t>
            </w:r>
          </w:p>
        </w:tc>
        <w:tc>
          <w:tcPr>
            <w:tcW w:w="46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r>
      <w:tr>
        <w:trPr>
          <w:trHeight w:val="159"/>
        </w:trPr>
        <w:tc>
          <w:tcPr>
            <w:tcW w:w="2280" w:type="dxa"/>
            <w:vAlign w:val="bottom"/>
            <w:gridSpan w:val="4"/>
          </w:tcPr>
          <w:p>
            <w:pPr>
              <w:ind w:left="420"/>
              <w:spacing w:after="0"/>
              <w:rPr>
                <w:sz w:val="20"/>
                <w:szCs w:val="20"/>
                <w:color w:val="auto"/>
              </w:rPr>
            </w:pPr>
            <w:r>
              <w:rPr>
                <w:rFonts w:ascii="Arial" w:cs="Arial" w:eastAsia="Arial" w:hAnsi="Arial"/>
                <w:sz w:val="12"/>
                <w:szCs w:val="12"/>
                <w:color w:val="auto"/>
              </w:rPr>
              <w:t>Cost of leasing and services</w:t>
            </w: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gridSpan w:val="3"/>
          </w:tcPr>
          <w:p>
            <w:pPr>
              <w:jc w:val="right"/>
              <w:spacing w:after="0"/>
              <w:rPr>
                <w:sz w:val="20"/>
                <w:szCs w:val="20"/>
                <w:color w:val="auto"/>
              </w:rPr>
            </w:pPr>
            <w:r>
              <w:rPr>
                <w:rFonts w:ascii="Arial" w:cs="Arial" w:eastAsia="Arial" w:hAnsi="Arial"/>
                <w:sz w:val="12"/>
                <w:szCs w:val="12"/>
                <w:color w:val="auto"/>
                <w:w w:val="93"/>
              </w:rPr>
              <w:t>2,131</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3,074</w:t>
            </w:r>
          </w:p>
        </w:tc>
      </w:tr>
      <w:tr>
        <w:trPr>
          <w:trHeight w:val="164"/>
        </w:trPr>
        <w:tc>
          <w:tcPr>
            <w:tcW w:w="2280" w:type="dxa"/>
            <w:vAlign w:val="bottom"/>
            <w:gridSpan w:val="4"/>
            <w:shd w:val="clear" w:color="auto" w:fill="DBDBDB"/>
          </w:tcPr>
          <w:p>
            <w:pPr>
              <w:ind w:left="420"/>
              <w:spacing w:after="0"/>
              <w:rPr>
                <w:sz w:val="20"/>
                <w:szCs w:val="20"/>
                <w:color w:val="auto"/>
              </w:rPr>
            </w:pPr>
            <w:r>
              <w:rPr>
                <w:rFonts w:ascii="Arial" w:cs="Arial" w:eastAsia="Arial" w:hAnsi="Arial"/>
                <w:sz w:val="12"/>
                <w:szCs w:val="12"/>
                <w:color w:val="auto"/>
              </w:rPr>
              <w:t>Selling, general and administrative</w:t>
            </w:r>
          </w:p>
        </w:tc>
        <w:tc>
          <w:tcPr>
            <w:tcW w:w="44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940" w:type="dxa"/>
            <w:vAlign w:val="bottom"/>
            <w:gridSpan w:val="4"/>
            <w:shd w:val="clear" w:color="auto" w:fill="DBDBDB"/>
          </w:tcPr>
          <w:p>
            <w:pPr>
              <w:jc w:val="right"/>
              <w:spacing w:after="0"/>
              <w:rPr>
                <w:sz w:val="20"/>
                <w:szCs w:val="20"/>
                <w:color w:val="auto"/>
              </w:rPr>
            </w:pPr>
            <w:r>
              <w:rPr>
                <w:rFonts w:ascii="Arial" w:cs="Arial" w:eastAsia="Arial" w:hAnsi="Arial"/>
                <w:sz w:val="12"/>
                <w:szCs w:val="12"/>
                <w:color w:val="auto"/>
              </w:rPr>
              <w:t>29,359</w:t>
            </w: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16,866</w:t>
            </w:r>
          </w:p>
        </w:tc>
      </w:tr>
      <w:tr>
        <w:trPr>
          <w:trHeight w:val="159"/>
        </w:trPr>
        <w:tc>
          <w:tcPr>
            <w:tcW w:w="3300" w:type="dxa"/>
            <w:vAlign w:val="bottom"/>
            <w:gridSpan w:val="6"/>
          </w:tcPr>
          <w:p>
            <w:pPr>
              <w:ind w:left="420"/>
              <w:spacing w:after="0"/>
              <w:rPr>
                <w:sz w:val="20"/>
                <w:szCs w:val="20"/>
                <w:color w:val="auto"/>
              </w:rPr>
            </w:pPr>
            <w:r>
              <w:rPr>
                <w:rFonts w:ascii="Arial" w:cs="Arial" w:eastAsia="Arial" w:hAnsi="Arial"/>
                <w:sz w:val="12"/>
                <w:szCs w:val="12"/>
                <w:color w:val="auto"/>
              </w:rPr>
              <w:t>Lease impairment expense and other related charges</w:t>
            </w: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gridSpan w:val="3"/>
          </w:tcPr>
          <w:p>
            <w:pPr>
              <w:jc w:val="right"/>
              <w:spacing w:after="0"/>
              <w:rPr>
                <w:sz w:val="20"/>
                <w:szCs w:val="20"/>
                <w:color w:val="auto"/>
              </w:rPr>
            </w:pPr>
            <w:r>
              <w:rPr>
                <w:rFonts w:ascii="Arial" w:cs="Arial" w:eastAsia="Arial" w:hAnsi="Arial"/>
                <w:sz w:val="12"/>
                <w:szCs w:val="12"/>
                <w:color w:val="auto"/>
                <w:w w:val="93"/>
              </w:rPr>
              <w:t>1,107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1,359</w:t>
            </w:r>
          </w:p>
        </w:tc>
      </w:tr>
      <w:tr>
        <w:trPr>
          <w:trHeight w:val="164"/>
        </w:trPr>
        <w:tc>
          <w:tcPr>
            <w:tcW w:w="1820" w:type="dxa"/>
            <w:vAlign w:val="bottom"/>
            <w:gridSpan w:val="3"/>
            <w:shd w:val="clear" w:color="auto" w:fill="DBDBDB"/>
          </w:tcPr>
          <w:p>
            <w:pPr>
              <w:ind w:left="180"/>
              <w:spacing w:after="0"/>
              <w:rPr>
                <w:sz w:val="20"/>
                <w:szCs w:val="20"/>
                <w:color w:val="auto"/>
              </w:rPr>
            </w:pPr>
            <w:r>
              <w:rPr>
                <w:rFonts w:ascii="Arial" w:cs="Arial" w:eastAsia="Arial" w:hAnsi="Arial"/>
                <w:sz w:val="12"/>
                <w:szCs w:val="12"/>
                <w:color w:val="auto"/>
              </w:rPr>
              <w:t>Short-term lease expense</w:t>
            </w:r>
          </w:p>
        </w:tc>
        <w:tc>
          <w:tcPr>
            <w:tcW w:w="46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r>
      <w:tr>
        <w:trPr>
          <w:trHeight w:val="159"/>
        </w:trPr>
        <w:tc>
          <w:tcPr>
            <w:tcW w:w="2280" w:type="dxa"/>
            <w:vAlign w:val="bottom"/>
            <w:gridSpan w:val="4"/>
          </w:tcPr>
          <w:p>
            <w:pPr>
              <w:ind w:left="420"/>
              <w:spacing w:after="0"/>
              <w:rPr>
                <w:sz w:val="20"/>
                <w:szCs w:val="20"/>
                <w:color w:val="auto"/>
              </w:rPr>
            </w:pPr>
            <w:r>
              <w:rPr>
                <w:rFonts w:ascii="Arial" w:cs="Arial" w:eastAsia="Arial" w:hAnsi="Arial"/>
                <w:sz w:val="12"/>
                <w:szCs w:val="12"/>
                <w:color w:val="auto"/>
              </w:rPr>
              <w:t>Cost of leasing and services</w:t>
            </w: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gridSpan w:val="4"/>
          </w:tcPr>
          <w:p>
            <w:pPr>
              <w:jc w:val="right"/>
              <w:spacing w:after="0"/>
              <w:rPr>
                <w:sz w:val="20"/>
                <w:szCs w:val="20"/>
                <w:color w:val="auto"/>
              </w:rPr>
            </w:pPr>
            <w:r>
              <w:rPr>
                <w:rFonts w:ascii="Arial" w:cs="Arial" w:eastAsia="Arial" w:hAnsi="Arial"/>
                <w:sz w:val="12"/>
                <w:szCs w:val="12"/>
                <w:color w:val="auto"/>
              </w:rPr>
              <w:t>11,575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13,603</w:t>
            </w:r>
          </w:p>
        </w:tc>
      </w:tr>
      <w:tr>
        <w:trPr>
          <w:trHeight w:val="164"/>
        </w:trPr>
        <w:tc>
          <w:tcPr>
            <w:tcW w:w="2280" w:type="dxa"/>
            <w:vAlign w:val="bottom"/>
            <w:gridSpan w:val="4"/>
            <w:shd w:val="clear" w:color="auto" w:fill="DBDBDB"/>
          </w:tcPr>
          <w:p>
            <w:pPr>
              <w:ind w:left="420"/>
              <w:spacing w:after="0"/>
              <w:rPr>
                <w:sz w:val="20"/>
                <w:szCs w:val="20"/>
                <w:color w:val="auto"/>
              </w:rPr>
            </w:pPr>
            <w:r>
              <w:rPr>
                <w:rFonts w:ascii="Arial" w:cs="Arial" w:eastAsia="Arial" w:hAnsi="Arial"/>
                <w:sz w:val="12"/>
                <w:szCs w:val="12"/>
                <w:color w:val="auto"/>
              </w:rPr>
              <w:t>Selling, general and administrative</w:t>
            </w:r>
          </w:p>
        </w:tc>
        <w:tc>
          <w:tcPr>
            <w:tcW w:w="44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360" w:type="dxa"/>
            <w:vAlign w:val="bottom"/>
            <w:gridSpan w:val="3"/>
            <w:shd w:val="clear" w:color="auto" w:fill="DBDBDB"/>
          </w:tcPr>
          <w:p>
            <w:pPr>
              <w:jc w:val="right"/>
              <w:spacing w:after="0"/>
              <w:rPr>
                <w:sz w:val="20"/>
                <w:szCs w:val="20"/>
                <w:color w:val="auto"/>
              </w:rPr>
            </w:pPr>
            <w:r>
              <w:rPr>
                <w:rFonts w:ascii="Arial" w:cs="Arial" w:eastAsia="Arial" w:hAnsi="Arial"/>
                <w:sz w:val="12"/>
                <w:szCs w:val="12"/>
                <w:color w:val="auto"/>
              </w:rPr>
              <w:t>723</w:t>
            </w: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851</w:t>
            </w:r>
          </w:p>
        </w:tc>
      </w:tr>
      <w:tr>
        <w:trPr>
          <w:trHeight w:val="159"/>
        </w:trPr>
        <w:tc>
          <w:tcPr>
            <w:tcW w:w="3300" w:type="dxa"/>
            <w:vAlign w:val="bottom"/>
            <w:gridSpan w:val="6"/>
          </w:tcPr>
          <w:p>
            <w:pPr>
              <w:ind w:left="420"/>
              <w:spacing w:after="0"/>
              <w:rPr>
                <w:sz w:val="20"/>
                <w:szCs w:val="20"/>
                <w:color w:val="auto"/>
              </w:rPr>
            </w:pPr>
            <w:r>
              <w:rPr>
                <w:rFonts w:ascii="Arial" w:cs="Arial" w:eastAsia="Arial" w:hAnsi="Arial"/>
                <w:sz w:val="12"/>
                <w:szCs w:val="12"/>
                <w:color w:val="auto"/>
              </w:rPr>
              <w:t>Lease impairment expense and other related charges</w:t>
            </w: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466</w:t>
            </w:r>
          </w:p>
        </w:tc>
      </w:tr>
      <w:tr>
        <w:trPr>
          <w:trHeight w:val="164"/>
        </w:trPr>
        <w:tc>
          <w:tcPr>
            <w:tcW w:w="1820" w:type="dxa"/>
            <w:vAlign w:val="bottom"/>
            <w:gridSpan w:val="3"/>
            <w:shd w:val="clear" w:color="auto" w:fill="DBDBDB"/>
          </w:tcPr>
          <w:p>
            <w:pPr>
              <w:ind w:left="180"/>
              <w:spacing w:after="0"/>
              <w:rPr>
                <w:sz w:val="20"/>
                <w:szCs w:val="20"/>
                <w:color w:val="auto"/>
              </w:rPr>
            </w:pPr>
            <w:r>
              <w:rPr>
                <w:rFonts w:ascii="Arial" w:cs="Arial" w:eastAsia="Arial" w:hAnsi="Arial"/>
                <w:sz w:val="12"/>
                <w:szCs w:val="12"/>
                <w:color w:val="auto"/>
              </w:rPr>
              <w:t>Variable lease expense</w:t>
            </w:r>
          </w:p>
        </w:tc>
        <w:tc>
          <w:tcPr>
            <w:tcW w:w="46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r>
      <w:tr>
        <w:trPr>
          <w:trHeight w:val="159"/>
        </w:trPr>
        <w:tc>
          <w:tcPr>
            <w:tcW w:w="2280" w:type="dxa"/>
            <w:vAlign w:val="bottom"/>
            <w:gridSpan w:val="4"/>
          </w:tcPr>
          <w:p>
            <w:pPr>
              <w:ind w:left="420"/>
              <w:spacing w:after="0"/>
              <w:rPr>
                <w:sz w:val="20"/>
                <w:szCs w:val="20"/>
                <w:color w:val="auto"/>
              </w:rPr>
            </w:pPr>
            <w:r>
              <w:rPr>
                <w:rFonts w:ascii="Arial" w:cs="Arial" w:eastAsia="Arial" w:hAnsi="Arial"/>
                <w:sz w:val="12"/>
                <w:szCs w:val="12"/>
                <w:color w:val="auto"/>
              </w:rPr>
              <w:t>Cost of leasing and services</w:t>
            </w: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gridSpan w:val="3"/>
          </w:tcPr>
          <w:p>
            <w:pPr>
              <w:jc w:val="right"/>
              <w:spacing w:after="0"/>
              <w:rPr>
                <w:sz w:val="20"/>
                <w:szCs w:val="20"/>
                <w:color w:val="auto"/>
              </w:rPr>
            </w:pPr>
            <w:r>
              <w:rPr>
                <w:rFonts w:ascii="Arial" w:cs="Arial" w:eastAsia="Arial" w:hAnsi="Arial"/>
                <w:sz w:val="12"/>
                <w:szCs w:val="12"/>
                <w:color w:val="auto"/>
                <w:w w:val="93"/>
              </w:rPr>
              <w:t>3,373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3,657</w:t>
            </w:r>
          </w:p>
        </w:tc>
      </w:tr>
      <w:tr>
        <w:trPr>
          <w:trHeight w:val="164"/>
        </w:trPr>
        <w:tc>
          <w:tcPr>
            <w:tcW w:w="2280" w:type="dxa"/>
            <w:vAlign w:val="bottom"/>
            <w:gridSpan w:val="4"/>
            <w:shd w:val="clear" w:color="auto" w:fill="DBDBDB"/>
          </w:tcPr>
          <w:p>
            <w:pPr>
              <w:ind w:left="420"/>
              <w:spacing w:after="0"/>
              <w:rPr>
                <w:sz w:val="20"/>
                <w:szCs w:val="20"/>
                <w:color w:val="auto"/>
              </w:rPr>
            </w:pPr>
            <w:r>
              <w:rPr>
                <w:rFonts w:ascii="Arial" w:cs="Arial" w:eastAsia="Arial" w:hAnsi="Arial"/>
                <w:sz w:val="12"/>
                <w:szCs w:val="12"/>
                <w:color w:val="auto"/>
              </w:rPr>
              <w:t>Selling, general and administrative</w:t>
            </w:r>
          </w:p>
        </w:tc>
        <w:tc>
          <w:tcPr>
            <w:tcW w:w="44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360" w:type="dxa"/>
            <w:vAlign w:val="bottom"/>
            <w:gridSpan w:val="3"/>
            <w:shd w:val="clear" w:color="auto" w:fill="DBDBDB"/>
          </w:tcPr>
          <w:p>
            <w:pPr>
              <w:jc w:val="right"/>
              <w:spacing w:after="0"/>
              <w:rPr>
                <w:sz w:val="20"/>
                <w:szCs w:val="20"/>
                <w:color w:val="auto"/>
              </w:rPr>
            </w:pPr>
            <w:r>
              <w:rPr>
                <w:rFonts w:ascii="Arial" w:cs="Arial" w:eastAsia="Arial" w:hAnsi="Arial"/>
                <w:sz w:val="12"/>
                <w:szCs w:val="12"/>
                <w:color w:val="auto"/>
                <w:w w:val="93"/>
              </w:rPr>
              <w:t>3,792</w:t>
            </w: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2,131</w:t>
            </w:r>
          </w:p>
        </w:tc>
      </w:tr>
      <w:tr>
        <w:trPr>
          <w:trHeight w:val="159"/>
        </w:trPr>
        <w:tc>
          <w:tcPr>
            <w:tcW w:w="3300" w:type="dxa"/>
            <w:vAlign w:val="bottom"/>
            <w:tcBorders>
              <w:bottom w:val="single" w:sz="8" w:color="DBDBDB"/>
            </w:tcBorders>
            <w:gridSpan w:val="6"/>
          </w:tcPr>
          <w:p>
            <w:pPr>
              <w:ind w:left="420"/>
              <w:spacing w:after="0"/>
              <w:rPr>
                <w:sz w:val="20"/>
                <w:szCs w:val="20"/>
                <w:color w:val="auto"/>
              </w:rPr>
            </w:pPr>
            <w:r>
              <w:rPr>
                <w:rFonts w:ascii="Arial" w:cs="Arial" w:eastAsia="Arial" w:hAnsi="Arial"/>
                <w:sz w:val="12"/>
                <w:szCs w:val="12"/>
                <w:color w:val="auto"/>
              </w:rPr>
              <w:t>Lease impairment expense and other related charges</w:t>
            </w:r>
          </w:p>
        </w:tc>
        <w:tc>
          <w:tcPr>
            <w:tcW w:w="860" w:type="dxa"/>
            <w:vAlign w:val="bottom"/>
            <w:tcBorders>
              <w:bottom w:val="single" w:sz="8" w:color="DBDBDB"/>
            </w:tcBorders>
          </w:tcPr>
          <w:p>
            <w:pPr>
              <w:spacing w:after="0"/>
              <w:rPr>
                <w:sz w:val="13"/>
                <w:szCs w:val="13"/>
                <w:color w:val="auto"/>
              </w:rPr>
            </w:pPr>
          </w:p>
        </w:tc>
        <w:tc>
          <w:tcPr>
            <w:tcW w:w="600" w:type="dxa"/>
            <w:vAlign w:val="bottom"/>
            <w:tcBorders>
              <w:bottom w:val="single" w:sz="8" w:color="DBDBDB"/>
            </w:tcBorders>
          </w:tcPr>
          <w:p>
            <w:pPr>
              <w:spacing w:after="0"/>
              <w:rPr>
                <w:sz w:val="13"/>
                <w:szCs w:val="13"/>
                <w:color w:val="auto"/>
              </w:rPr>
            </w:pPr>
          </w:p>
        </w:tc>
        <w:tc>
          <w:tcPr>
            <w:tcW w:w="560" w:type="dxa"/>
            <w:vAlign w:val="bottom"/>
            <w:tcBorders>
              <w:bottom w:val="single" w:sz="8" w:color="DBDBDB"/>
            </w:tcBorders>
          </w:tcPr>
          <w:p>
            <w:pPr>
              <w:spacing w:after="0"/>
              <w:rPr>
                <w:sz w:val="13"/>
                <w:szCs w:val="13"/>
                <w:color w:val="auto"/>
              </w:rPr>
            </w:pPr>
          </w:p>
        </w:tc>
        <w:tc>
          <w:tcPr>
            <w:tcW w:w="340" w:type="dxa"/>
            <w:vAlign w:val="bottom"/>
            <w:tcBorders>
              <w:bottom w:val="single" w:sz="8" w:color="DBDBDB"/>
            </w:tcBorders>
          </w:tcPr>
          <w:p>
            <w:pPr>
              <w:spacing w:after="0"/>
              <w:rPr>
                <w:sz w:val="13"/>
                <w:szCs w:val="13"/>
                <w:color w:val="auto"/>
              </w:rPr>
            </w:pPr>
          </w:p>
        </w:tc>
        <w:tc>
          <w:tcPr>
            <w:tcW w:w="420" w:type="dxa"/>
            <w:vAlign w:val="bottom"/>
            <w:tcBorders>
              <w:bottom w:val="single" w:sz="8" w:color="DBDBDB"/>
            </w:tcBorders>
          </w:tcPr>
          <w:p>
            <w:pPr>
              <w:spacing w:after="0"/>
              <w:rPr>
                <w:sz w:val="13"/>
                <w:szCs w:val="13"/>
                <w:color w:val="auto"/>
              </w:rPr>
            </w:pPr>
          </w:p>
        </w:tc>
        <w:tc>
          <w:tcPr>
            <w:tcW w:w="180" w:type="dxa"/>
            <w:vAlign w:val="bottom"/>
            <w:tcBorders>
              <w:bottom w:val="single" w:sz="8" w:color="DBDBDB"/>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335</w:t>
            </w:r>
          </w:p>
        </w:tc>
        <w:tc>
          <w:tcPr>
            <w:tcW w:w="80" w:type="dxa"/>
            <w:vAlign w:val="bottom"/>
            <w:tcBorders>
              <w:bottom w:val="single" w:sz="8" w:color="DBDBDB"/>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511</w:t>
            </w:r>
          </w:p>
        </w:tc>
      </w:tr>
      <w:tr>
        <w:trPr>
          <w:trHeight w:val="174"/>
        </w:trPr>
        <w:tc>
          <w:tcPr>
            <w:tcW w:w="1820" w:type="dxa"/>
            <w:vAlign w:val="bottom"/>
            <w:gridSpan w:val="3"/>
            <w:shd w:val="clear" w:color="auto" w:fill="DBDBDB"/>
          </w:tcPr>
          <w:p>
            <w:pPr>
              <w:ind w:left="20"/>
              <w:spacing w:after="0"/>
              <w:rPr>
                <w:sz w:val="20"/>
                <w:szCs w:val="20"/>
                <w:color w:val="auto"/>
              </w:rPr>
            </w:pPr>
            <w:r>
              <w:rPr>
                <w:rFonts w:ascii="Arial" w:cs="Arial" w:eastAsia="Arial" w:hAnsi="Arial"/>
                <w:sz w:val="12"/>
                <w:szCs w:val="12"/>
                <w:color w:val="auto"/>
              </w:rPr>
              <w:t>Total operating lease expense</w:t>
            </w:r>
          </w:p>
        </w:tc>
        <w:tc>
          <w:tcPr>
            <w:tcW w:w="46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460" w:type="dxa"/>
            <w:vAlign w:val="bottom"/>
            <w:gridSpan w:val="2"/>
            <w:shd w:val="clear" w:color="auto" w:fill="DBDBDB"/>
          </w:tcPr>
          <w:p>
            <w:pPr>
              <w:ind w:lef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940" w:type="dxa"/>
            <w:vAlign w:val="bottom"/>
            <w:gridSpan w:val="4"/>
            <w:shd w:val="clear" w:color="auto" w:fill="DBDBDB"/>
          </w:tcPr>
          <w:p>
            <w:pPr>
              <w:jc w:val="right"/>
              <w:spacing w:after="0"/>
              <w:rPr>
                <w:sz w:val="20"/>
                <w:szCs w:val="20"/>
                <w:color w:val="auto"/>
              </w:rPr>
            </w:pPr>
            <w:r>
              <w:rPr>
                <w:rFonts w:ascii="Arial" w:cs="Arial" w:eastAsia="Arial" w:hAnsi="Arial"/>
                <w:sz w:val="12"/>
                <w:szCs w:val="12"/>
                <w:color w:val="auto"/>
              </w:rPr>
              <w:t>52,395</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42,518</w:t>
            </w:r>
          </w:p>
        </w:tc>
      </w:tr>
      <w:tr>
        <w:trPr>
          <w:trHeight w:val="20"/>
        </w:trPr>
        <w:tc>
          <w:tcPr>
            <w:tcW w:w="8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Lease impairment expense and other related charges relate to closed locations that are no longer used in operations as a result of consolidation activities within the Company. During the six months ended June 30, 2021, the Company recorded $1.7 million in lease impairment expense and other related charges which is comprised of $0.2 million loss on lease exit and impairment charges and $1.5 million in closed location rent expense. During the six months ended June 30, 2020, the Company recorded $3.1 million in lease impairment expense and other related charges which is comprised of $0.8 million loss on lease exit and $2.3 million in closed location rent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711835</wp:posOffset>
            </wp:positionV>
            <wp:extent cx="719264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9"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53"/>
        </w:trPr>
        <w:tc>
          <w:tcPr>
            <w:tcW w:w="1420" w:type="dxa"/>
            <w:vAlign w:val="bottom"/>
          </w:tcPr>
          <w:p>
            <w:pPr>
              <w:ind w:left="480"/>
              <w:spacing w:after="0"/>
              <w:rPr>
                <w:sz w:val="20"/>
                <w:szCs w:val="20"/>
                <w:color w:val="auto"/>
              </w:rPr>
            </w:pPr>
            <w:r>
              <w:rPr>
                <w:rFonts w:ascii="Arial" w:cs="Arial" w:eastAsia="Arial" w:hAnsi="Arial"/>
                <w:sz w:val="12"/>
                <w:szCs w:val="12"/>
                <w:color w:val="auto"/>
              </w:rPr>
              <w:t>Supplemental</w:t>
            </w:r>
          </w:p>
        </w:tc>
        <w:tc>
          <w:tcPr>
            <w:tcW w:w="460" w:type="dxa"/>
            <w:vAlign w:val="bottom"/>
          </w:tcPr>
          <w:p>
            <w:pPr>
              <w:ind w:left="80"/>
              <w:spacing w:after="0"/>
              <w:rPr>
                <w:sz w:val="20"/>
                <w:szCs w:val="20"/>
                <w:color w:val="auto"/>
              </w:rPr>
            </w:pPr>
            <w:r>
              <w:rPr>
                <w:rFonts w:ascii="Arial" w:cs="Arial" w:eastAsia="Arial" w:hAnsi="Arial"/>
                <w:sz w:val="12"/>
                <w:szCs w:val="12"/>
                <w:color w:val="auto"/>
              </w:rPr>
              <w:t>cash</w:t>
            </w:r>
          </w:p>
        </w:tc>
        <w:tc>
          <w:tcPr>
            <w:tcW w:w="560" w:type="dxa"/>
            <w:vAlign w:val="bottom"/>
          </w:tcPr>
          <w:p>
            <w:pPr>
              <w:ind w:left="140"/>
              <w:spacing w:after="0"/>
              <w:rPr>
                <w:sz w:val="20"/>
                <w:szCs w:val="20"/>
                <w:color w:val="auto"/>
              </w:rPr>
            </w:pPr>
            <w:r>
              <w:rPr>
                <w:rFonts w:ascii="Arial" w:cs="Arial" w:eastAsia="Arial" w:hAnsi="Arial"/>
                <w:sz w:val="12"/>
                <w:szCs w:val="12"/>
                <w:color w:val="auto"/>
              </w:rPr>
              <w:t>flow</w:t>
            </w:r>
          </w:p>
        </w:tc>
        <w:tc>
          <w:tcPr>
            <w:tcW w:w="840" w:type="dxa"/>
            <w:vAlign w:val="bottom"/>
          </w:tcPr>
          <w:p>
            <w:pPr>
              <w:ind w:left="60"/>
              <w:spacing w:after="0"/>
              <w:rPr>
                <w:sz w:val="20"/>
                <w:szCs w:val="20"/>
                <w:color w:val="auto"/>
              </w:rPr>
            </w:pPr>
            <w:r>
              <w:rPr>
                <w:rFonts w:ascii="Arial" w:cs="Arial" w:eastAsia="Arial" w:hAnsi="Arial"/>
                <w:sz w:val="12"/>
                <w:szCs w:val="12"/>
                <w:color w:val="auto"/>
              </w:rPr>
              <w:t>information</w:t>
            </w:r>
          </w:p>
        </w:tc>
        <w:tc>
          <w:tcPr>
            <w:tcW w:w="620" w:type="dxa"/>
            <w:vAlign w:val="bottom"/>
          </w:tcPr>
          <w:p>
            <w:pPr>
              <w:ind w:left="80"/>
              <w:spacing w:after="0"/>
              <w:rPr>
                <w:sz w:val="20"/>
                <w:szCs w:val="20"/>
                <w:color w:val="auto"/>
              </w:rPr>
            </w:pPr>
            <w:r>
              <w:rPr>
                <w:rFonts w:ascii="Arial" w:cs="Arial" w:eastAsia="Arial" w:hAnsi="Arial"/>
                <w:sz w:val="12"/>
                <w:szCs w:val="12"/>
                <w:color w:val="auto"/>
              </w:rPr>
              <w:t>related</w:t>
            </w:r>
          </w:p>
        </w:tc>
        <w:tc>
          <w:tcPr>
            <w:tcW w:w="320" w:type="dxa"/>
            <w:vAlign w:val="bottom"/>
          </w:tcPr>
          <w:p>
            <w:pPr>
              <w:ind w:left="100"/>
              <w:spacing w:after="0"/>
              <w:rPr>
                <w:sz w:val="20"/>
                <w:szCs w:val="20"/>
                <w:color w:val="auto"/>
              </w:rPr>
            </w:pPr>
            <w:r>
              <w:rPr>
                <w:rFonts w:ascii="Arial" w:cs="Arial" w:eastAsia="Arial" w:hAnsi="Arial"/>
                <w:sz w:val="12"/>
                <w:szCs w:val="12"/>
                <w:color w:val="auto"/>
              </w:rPr>
              <w:t>to</w:t>
            </w:r>
          </w:p>
        </w:tc>
        <w:tc>
          <w:tcPr>
            <w:tcW w:w="620" w:type="dxa"/>
            <w:vAlign w:val="bottom"/>
          </w:tcPr>
          <w:p>
            <w:pPr>
              <w:ind w:left="140"/>
              <w:spacing w:after="0"/>
              <w:rPr>
                <w:sz w:val="20"/>
                <w:szCs w:val="20"/>
                <w:color w:val="auto"/>
              </w:rPr>
            </w:pPr>
            <w:r>
              <w:rPr>
                <w:rFonts w:ascii="Arial" w:cs="Arial" w:eastAsia="Arial" w:hAnsi="Arial"/>
                <w:sz w:val="12"/>
                <w:szCs w:val="12"/>
                <w:color w:val="auto"/>
              </w:rPr>
              <w:t>leases</w:t>
            </w:r>
          </w:p>
        </w:tc>
        <w:tc>
          <w:tcPr>
            <w:tcW w:w="400" w:type="dxa"/>
            <w:vAlign w:val="bottom"/>
          </w:tcPr>
          <w:p>
            <w:pPr>
              <w:ind w:left="140"/>
              <w:spacing w:after="0"/>
              <w:rPr>
                <w:sz w:val="20"/>
                <w:szCs w:val="20"/>
                <w:color w:val="auto"/>
              </w:rPr>
            </w:pPr>
            <w:r>
              <w:rPr>
                <w:rFonts w:ascii="Arial" w:cs="Arial" w:eastAsia="Arial" w:hAnsi="Arial"/>
                <w:sz w:val="12"/>
                <w:szCs w:val="12"/>
                <w:color w:val="auto"/>
              </w:rPr>
              <w:t>for</w:t>
            </w:r>
          </w:p>
        </w:tc>
        <w:tc>
          <w:tcPr>
            <w:tcW w:w="440" w:type="dxa"/>
            <w:vAlign w:val="bottom"/>
          </w:tcPr>
          <w:p>
            <w:pPr>
              <w:ind w:left="140"/>
              <w:spacing w:after="0"/>
              <w:rPr>
                <w:sz w:val="20"/>
                <w:szCs w:val="20"/>
                <w:color w:val="auto"/>
              </w:rPr>
            </w:pPr>
            <w:r>
              <w:rPr>
                <w:rFonts w:ascii="Arial" w:cs="Arial" w:eastAsia="Arial" w:hAnsi="Arial"/>
                <w:sz w:val="12"/>
                <w:szCs w:val="12"/>
                <w:color w:val="auto"/>
              </w:rPr>
              <w:t>the</w:t>
            </w:r>
          </w:p>
        </w:tc>
        <w:tc>
          <w:tcPr>
            <w:tcW w:w="440" w:type="dxa"/>
            <w:vAlign w:val="bottom"/>
          </w:tcPr>
          <w:p>
            <w:pPr>
              <w:ind w:left="140"/>
              <w:spacing w:after="0"/>
              <w:rPr>
                <w:sz w:val="20"/>
                <w:szCs w:val="20"/>
                <w:color w:val="auto"/>
              </w:rPr>
            </w:pPr>
            <w:r>
              <w:rPr>
                <w:rFonts w:ascii="Arial" w:cs="Arial" w:eastAsia="Arial" w:hAnsi="Arial"/>
                <w:sz w:val="12"/>
                <w:szCs w:val="12"/>
                <w:color w:val="auto"/>
              </w:rPr>
              <w:t>six</w:t>
            </w:r>
          </w:p>
        </w:tc>
        <w:tc>
          <w:tcPr>
            <w:tcW w:w="660" w:type="dxa"/>
            <w:vAlign w:val="bottom"/>
          </w:tcPr>
          <w:p>
            <w:pPr>
              <w:jc w:val="right"/>
              <w:ind w:right="99"/>
              <w:spacing w:after="0"/>
              <w:rPr>
                <w:sz w:val="20"/>
                <w:szCs w:val="20"/>
                <w:color w:val="auto"/>
              </w:rPr>
            </w:pPr>
            <w:r>
              <w:rPr>
                <w:rFonts w:ascii="Arial" w:cs="Arial" w:eastAsia="Arial" w:hAnsi="Arial"/>
                <w:sz w:val="12"/>
                <w:szCs w:val="12"/>
                <w:color w:val="auto"/>
              </w:rPr>
              <w:t>months</w:t>
            </w:r>
          </w:p>
        </w:tc>
        <w:tc>
          <w:tcPr>
            <w:tcW w:w="580" w:type="dxa"/>
            <w:vAlign w:val="bottom"/>
          </w:tcPr>
          <w:p>
            <w:pPr>
              <w:ind w:left="120"/>
              <w:spacing w:after="0"/>
              <w:rPr>
                <w:sz w:val="20"/>
                <w:szCs w:val="20"/>
                <w:color w:val="auto"/>
              </w:rPr>
            </w:pPr>
            <w:r>
              <w:rPr>
                <w:rFonts w:ascii="Arial" w:cs="Arial" w:eastAsia="Arial" w:hAnsi="Arial"/>
                <w:sz w:val="12"/>
                <w:szCs w:val="12"/>
                <w:color w:val="auto"/>
              </w:rPr>
              <w:t>ended</w:t>
            </w:r>
          </w:p>
        </w:tc>
        <w:tc>
          <w:tcPr>
            <w:tcW w:w="640" w:type="dxa"/>
            <w:vAlign w:val="bottom"/>
          </w:tcPr>
          <w:p>
            <w:pPr>
              <w:jc w:val="right"/>
              <w:ind w:right="179"/>
              <w:spacing w:after="0"/>
              <w:rPr>
                <w:sz w:val="20"/>
                <w:szCs w:val="20"/>
                <w:color w:val="auto"/>
              </w:rPr>
            </w:pPr>
            <w:r>
              <w:rPr>
                <w:rFonts w:ascii="Arial" w:cs="Arial" w:eastAsia="Arial" w:hAnsi="Arial"/>
                <w:sz w:val="12"/>
                <w:szCs w:val="12"/>
                <w:color w:val="auto"/>
              </w:rPr>
              <w:t>June</w:t>
            </w:r>
          </w:p>
        </w:tc>
        <w:tc>
          <w:tcPr>
            <w:tcW w:w="220" w:type="dxa"/>
            <w:vAlign w:val="bottom"/>
          </w:tcPr>
          <w:p>
            <w:pPr>
              <w:jc w:val="right"/>
              <w:spacing w:after="0"/>
              <w:rPr>
                <w:sz w:val="20"/>
                <w:szCs w:val="20"/>
                <w:color w:val="auto"/>
              </w:rPr>
            </w:pPr>
            <w:r>
              <w:rPr>
                <w:rFonts w:ascii="Arial" w:cs="Arial" w:eastAsia="Arial" w:hAnsi="Arial"/>
                <w:sz w:val="12"/>
                <w:szCs w:val="12"/>
                <w:color w:val="auto"/>
              </w:rPr>
              <w:t>30,</w:t>
            </w:r>
          </w:p>
        </w:tc>
        <w:tc>
          <w:tcPr>
            <w:tcW w:w="660" w:type="dxa"/>
            <w:vAlign w:val="bottom"/>
          </w:tcPr>
          <w:p>
            <w:pPr>
              <w:jc w:val="right"/>
              <w:ind w:right="99"/>
              <w:spacing w:after="0"/>
              <w:rPr>
                <w:sz w:val="20"/>
                <w:szCs w:val="20"/>
                <w:color w:val="auto"/>
              </w:rPr>
            </w:pPr>
            <w:r>
              <w:rPr>
                <w:rFonts w:ascii="Arial" w:cs="Arial" w:eastAsia="Arial" w:hAnsi="Arial"/>
                <w:sz w:val="12"/>
                <w:szCs w:val="12"/>
                <w:color w:val="auto"/>
              </w:rPr>
              <w:t>2021</w:t>
            </w:r>
          </w:p>
        </w:tc>
        <w:tc>
          <w:tcPr>
            <w:tcW w:w="500" w:type="dxa"/>
            <w:vAlign w:val="bottom"/>
          </w:tcPr>
          <w:p>
            <w:pPr>
              <w:jc w:val="right"/>
              <w:ind w:right="119"/>
              <w:spacing w:after="0"/>
              <w:rPr>
                <w:sz w:val="20"/>
                <w:szCs w:val="20"/>
                <w:color w:val="auto"/>
              </w:rPr>
            </w:pPr>
            <w:r>
              <w:rPr>
                <w:rFonts w:ascii="Arial" w:cs="Arial" w:eastAsia="Arial" w:hAnsi="Arial"/>
                <w:sz w:val="12"/>
                <w:szCs w:val="12"/>
                <w:color w:val="auto"/>
              </w:rPr>
              <w:t>and</w:t>
            </w:r>
          </w:p>
        </w:tc>
        <w:tc>
          <w:tcPr>
            <w:tcW w:w="480" w:type="dxa"/>
            <w:vAlign w:val="bottom"/>
          </w:tcPr>
          <w:p>
            <w:pPr>
              <w:jc w:val="right"/>
              <w:ind w:right="79"/>
              <w:spacing w:after="0"/>
              <w:rPr>
                <w:sz w:val="20"/>
                <w:szCs w:val="20"/>
                <w:color w:val="auto"/>
              </w:rPr>
            </w:pPr>
            <w:r>
              <w:rPr>
                <w:rFonts w:ascii="Arial" w:cs="Arial" w:eastAsia="Arial" w:hAnsi="Arial"/>
                <w:sz w:val="12"/>
                <w:szCs w:val="12"/>
                <w:color w:val="auto"/>
              </w:rPr>
              <w:t>2020</w:t>
            </w:r>
          </w:p>
        </w:tc>
        <w:tc>
          <w:tcPr>
            <w:tcW w:w="580" w:type="dxa"/>
            <w:vAlign w:val="bottom"/>
          </w:tcPr>
          <w:p>
            <w:pPr>
              <w:jc w:val="right"/>
              <w:ind w:right="159"/>
              <w:spacing w:after="0"/>
              <w:rPr>
                <w:sz w:val="20"/>
                <w:szCs w:val="20"/>
                <w:color w:val="auto"/>
              </w:rPr>
            </w:pPr>
            <w:r>
              <w:rPr>
                <w:rFonts w:ascii="Arial" w:cs="Arial" w:eastAsia="Arial" w:hAnsi="Arial"/>
                <w:sz w:val="12"/>
                <w:szCs w:val="12"/>
                <w:color w:val="auto"/>
              </w:rPr>
              <w:t>was</w:t>
            </w:r>
          </w:p>
        </w:tc>
        <w:tc>
          <w:tcPr>
            <w:tcW w:w="340" w:type="dxa"/>
            <w:vAlign w:val="bottom"/>
          </w:tcPr>
          <w:p>
            <w:pPr>
              <w:ind w:left="40"/>
              <w:spacing w:after="0"/>
              <w:rPr>
                <w:sz w:val="20"/>
                <w:szCs w:val="20"/>
                <w:color w:val="auto"/>
              </w:rPr>
            </w:pPr>
            <w:r>
              <w:rPr>
                <w:rFonts w:ascii="Arial" w:cs="Arial" w:eastAsia="Arial" w:hAnsi="Arial"/>
                <w:sz w:val="12"/>
                <w:szCs w:val="12"/>
                <w:color w:val="auto"/>
              </w:rPr>
              <w:t>as</w:t>
            </w:r>
          </w:p>
        </w:tc>
        <w:tc>
          <w:tcPr>
            <w:tcW w:w="500" w:type="dxa"/>
            <w:vAlign w:val="bottom"/>
          </w:tcPr>
          <w:p>
            <w:pPr>
              <w:jc w:val="right"/>
              <w:spacing w:after="0"/>
              <w:rPr>
                <w:sz w:val="20"/>
                <w:szCs w:val="20"/>
                <w:color w:val="auto"/>
              </w:rPr>
            </w:pPr>
            <w:r>
              <w:rPr>
                <w:rFonts w:ascii="Arial" w:cs="Arial" w:eastAsia="Arial" w:hAnsi="Arial"/>
                <w:sz w:val="12"/>
                <w:szCs w:val="12"/>
                <w:color w:val="auto"/>
              </w:rPr>
              <w:t>follows:</w:t>
            </w:r>
          </w:p>
        </w:tc>
      </w:tr>
      <w:tr>
        <w:trPr>
          <w:trHeight w:val="167"/>
        </w:trPr>
        <w:tc>
          <w:tcPr>
            <w:tcW w:w="1420" w:type="dxa"/>
            <w:vAlign w:val="bottom"/>
            <w:shd w:val="clear" w:color="auto" w:fill="1D2758"/>
          </w:tcPr>
          <w:p>
            <w:pPr>
              <w:ind w:left="500"/>
              <w:spacing w:after="0"/>
              <w:rPr>
                <w:sz w:val="20"/>
                <w:szCs w:val="20"/>
                <w:color w:val="auto"/>
              </w:rPr>
            </w:pPr>
            <w:r>
              <w:rPr>
                <w:rFonts w:ascii="Arial" w:cs="Arial" w:eastAsia="Arial" w:hAnsi="Arial"/>
                <w:sz w:val="12"/>
                <w:szCs w:val="12"/>
                <w:b w:val="1"/>
                <w:bCs w:val="1"/>
                <w:i w:val="1"/>
                <w:iCs w:val="1"/>
                <w:color w:val="FFFFFF"/>
              </w:rPr>
              <w:t>(in thousands)</w:t>
            </w:r>
          </w:p>
        </w:tc>
        <w:tc>
          <w:tcPr>
            <w:tcW w:w="460" w:type="dxa"/>
            <w:vAlign w:val="bottom"/>
            <w:shd w:val="clear" w:color="auto" w:fill="1D2758"/>
          </w:tcPr>
          <w:p>
            <w:pPr>
              <w:spacing w:after="0"/>
              <w:rPr>
                <w:sz w:val="14"/>
                <w:szCs w:val="14"/>
                <w:color w:val="auto"/>
              </w:rPr>
            </w:pPr>
          </w:p>
        </w:tc>
        <w:tc>
          <w:tcPr>
            <w:tcW w:w="560" w:type="dxa"/>
            <w:vAlign w:val="bottom"/>
            <w:shd w:val="clear" w:color="auto" w:fill="1D2758"/>
          </w:tcPr>
          <w:p>
            <w:pPr>
              <w:spacing w:after="0"/>
              <w:rPr>
                <w:sz w:val="14"/>
                <w:szCs w:val="14"/>
                <w:color w:val="auto"/>
              </w:rPr>
            </w:pPr>
          </w:p>
        </w:tc>
        <w:tc>
          <w:tcPr>
            <w:tcW w:w="840" w:type="dxa"/>
            <w:vAlign w:val="bottom"/>
            <w:shd w:val="clear" w:color="auto" w:fill="1D2758"/>
          </w:tcPr>
          <w:p>
            <w:pPr>
              <w:spacing w:after="0"/>
              <w:rPr>
                <w:sz w:val="14"/>
                <w:szCs w:val="14"/>
                <w:color w:val="auto"/>
              </w:rPr>
            </w:pPr>
          </w:p>
        </w:tc>
        <w:tc>
          <w:tcPr>
            <w:tcW w:w="620" w:type="dxa"/>
            <w:vAlign w:val="bottom"/>
            <w:shd w:val="clear" w:color="auto" w:fill="1D2758"/>
          </w:tcPr>
          <w:p>
            <w:pPr>
              <w:spacing w:after="0"/>
              <w:rPr>
                <w:sz w:val="14"/>
                <w:szCs w:val="14"/>
                <w:color w:val="auto"/>
              </w:rPr>
            </w:pPr>
          </w:p>
        </w:tc>
        <w:tc>
          <w:tcPr>
            <w:tcW w:w="320" w:type="dxa"/>
            <w:vAlign w:val="bottom"/>
            <w:shd w:val="clear" w:color="auto" w:fill="1D2758"/>
          </w:tcPr>
          <w:p>
            <w:pPr>
              <w:spacing w:after="0"/>
              <w:rPr>
                <w:sz w:val="14"/>
                <w:szCs w:val="14"/>
                <w:color w:val="auto"/>
              </w:rPr>
            </w:pPr>
          </w:p>
        </w:tc>
        <w:tc>
          <w:tcPr>
            <w:tcW w:w="62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440" w:type="dxa"/>
            <w:vAlign w:val="bottom"/>
            <w:shd w:val="clear" w:color="auto" w:fill="1D2758"/>
          </w:tcPr>
          <w:p>
            <w:pPr>
              <w:spacing w:after="0"/>
              <w:rPr>
                <w:sz w:val="14"/>
                <w:szCs w:val="14"/>
                <w:color w:val="auto"/>
              </w:rPr>
            </w:pPr>
          </w:p>
        </w:tc>
        <w:tc>
          <w:tcPr>
            <w:tcW w:w="440" w:type="dxa"/>
            <w:vAlign w:val="bottom"/>
            <w:shd w:val="clear" w:color="auto" w:fill="1D2758"/>
          </w:tcPr>
          <w:p>
            <w:pPr>
              <w:spacing w:after="0"/>
              <w:rPr>
                <w:sz w:val="14"/>
                <w:szCs w:val="14"/>
                <w:color w:val="auto"/>
              </w:rPr>
            </w:pPr>
          </w:p>
        </w:tc>
        <w:tc>
          <w:tcPr>
            <w:tcW w:w="660" w:type="dxa"/>
            <w:vAlign w:val="bottom"/>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640" w:type="dxa"/>
            <w:vAlign w:val="bottom"/>
            <w:shd w:val="clear" w:color="auto" w:fill="1D2758"/>
          </w:tcPr>
          <w:p>
            <w:pPr>
              <w:spacing w:after="0"/>
              <w:rPr>
                <w:sz w:val="14"/>
                <w:szCs w:val="14"/>
                <w:color w:val="auto"/>
              </w:rPr>
            </w:pPr>
          </w:p>
        </w:tc>
        <w:tc>
          <w:tcPr>
            <w:tcW w:w="1860" w:type="dxa"/>
            <w:vAlign w:val="bottom"/>
            <w:gridSpan w:val="4"/>
            <w:shd w:val="clear" w:color="auto" w:fill="1D2758"/>
          </w:tcPr>
          <w:p>
            <w:pPr>
              <w:jc w:val="right"/>
              <w:ind w:right="59"/>
              <w:spacing w:after="0"/>
              <w:rPr>
                <w:sz w:val="20"/>
                <w:szCs w:val="20"/>
                <w:color w:val="auto"/>
              </w:rPr>
            </w:pPr>
            <w:r>
              <w:rPr>
                <w:rFonts w:ascii="Arial" w:cs="Arial" w:eastAsia="Arial" w:hAnsi="Arial"/>
                <w:sz w:val="12"/>
                <w:szCs w:val="12"/>
                <w:b w:val="1"/>
                <w:bCs w:val="1"/>
                <w:color w:val="FFFFFF"/>
              </w:rPr>
              <w:t>Six Months Ended June 30,</w:t>
            </w:r>
          </w:p>
        </w:tc>
        <w:tc>
          <w:tcPr>
            <w:tcW w:w="580" w:type="dxa"/>
            <w:vAlign w:val="bottom"/>
            <w:shd w:val="clear" w:color="auto" w:fill="1D2758"/>
          </w:tcPr>
          <w:p>
            <w:pPr>
              <w:spacing w:after="0"/>
              <w:rPr>
                <w:sz w:val="14"/>
                <w:szCs w:val="14"/>
                <w:color w:val="auto"/>
              </w:rPr>
            </w:pPr>
          </w:p>
        </w:tc>
        <w:tc>
          <w:tcPr>
            <w:tcW w:w="340" w:type="dxa"/>
            <w:vAlign w:val="bottom"/>
            <w:shd w:val="clear" w:color="auto" w:fill="1D2758"/>
          </w:tcPr>
          <w:p>
            <w:pPr>
              <w:spacing w:after="0"/>
              <w:rPr>
                <w:sz w:val="14"/>
                <w:szCs w:val="14"/>
                <w:color w:val="auto"/>
              </w:rPr>
            </w:pPr>
          </w:p>
        </w:tc>
        <w:tc>
          <w:tcPr>
            <w:tcW w:w="500" w:type="dxa"/>
            <w:vAlign w:val="bottom"/>
            <w:shd w:val="clear" w:color="auto" w:fill="1D2758"/>
          </w:tcPr>
          <w:p>
            <w:pPr>
              <w:spacing w:after="0"/>
              <w:rPr>
                <w:sz w:val="14"/>
                <w:szCs w:val="14"/>
                <w:color w:val="auto"/>
              </w:rPr>
            </w:pPr>
          </w:p>
        </w:tc>
      </w:tr>
      <w:tr>
        <w:trPr>
          <w:trHeight w:val="163"/>
        </w:trPr>
        <w:tc>
          <w:tcPr>
            <w:tcW w:w="3280" w:type="dxa"/>
            <w:vAlign w:val="bottom"/>
            <w:gridSpan w:val="4"/>
            <w:shd w:val="clear" w:color="auto" w:fill="1D2758"/>
          </w:tcPr>
          <w:p>
            <w:pPr>
              <w:ind w:left="500"/>
              <w:spacing w:after="0"/>
              <w:rPr>
                <w:sz w:val="20"/>
                <w:szCs w:val="20"/>
                <w:color w:val="auto"/>
              </w:rPr>
            </w:pPr>
            <w:r>
              <w:rPr>
                <w:rFonts w:ascii="Arial" w:cs="Arial" w:eastAsia="Arial" w:hAnsi="Arial"/>
                <w:sz w:val="12"/>
                <w:szCs w:val="12"/>
                <w:b w:val="1"/>
                <w:bCs w:val="1"/>
                <w:color w:val="FFFFFF"/>
              </w:rPr>
              <w:t>Supplemental Cash Flow Information</w:t>
            </w:r>
          </w:p>
        </w:tc>
        <w:tc>
          <w:tcPr>
            <w:tcW w:w="620" w:type="dxa"/>
            <w:vAlign w:val="bottom"/>
            <w:shd w:val="clear" w:color="auto" w:fill="1D2758"/>
          </w:tcPr>
          <w:p>
            <w:pPr>
              <w:spacing w:after="0"/>
              <w:rPr>
                <w:sz w:val="14"/>
                <w:szCs w:val="14"/>
                <w:color w:val="auto"/>
              </w:rPr>
            </w:pPr>
          </w:p>
        </w:tc>
        <w:tc>
          <w:tcPr>
            <w:tcW w:w="320" w:type="dxa"/>
            <w:vAlign w:val="bottom"/>
            <w:shd w:val="clear" w:color="auto" w:fill="1D2758"/>
          </w:tcPr>
          <w:p>
            <w:pPr>
              <w:spacing w:after="0"/>
              <w:rPr>
                <w:sz w:val="14"/>
                <w:szCs w:val="14"/>
                <w:color w:val="auto"/>
              </w:rPr>
            </w:pPr>
          </w:p>
        </w:tc>
        <w:tc>
          <w:tcPr>
            <w:tcW w:w="62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440" w:type="dxa"/>
            <w:vAlign w:val="bottom"/>
            <w:shd w:val="clear" w:color="auto" w:fill="1D2758"/>
          </w:tcPr>
          <w:p>
            <w:pPr>
              <w:spacing w:after="0"/>
              <w:rPr>
                <w:sz w:val="14"/>
                <w:szCs w:val="14"/>
                <w:color w:val="auto"/>
              </w:rPr>
            </w:pPr>
          </w:p>
        </w:tc>
        <w:tc>
          <w:tcPr>
            <w:tcW w:w="440" w:type="dxa"/>
            <w:vAlign w:val="bottom"/>
            <w:shd w:val="clear" w:color="auto" w:fill="1D2758"/>
          </w:tcPr>
          <w:p>
            <w:pPr>
              <w:spacing w:after="0"/>
              <w:rPr>
                <w:sz w:val="14"/>
                <w:szCs w:val="14"/>
                <w:color w:val="auto"/>
              </w:rPr>
            </w:pPr>
          </w:p>
        </w:tc>
        <w:tc>
          <w:tcPr>
            <w:tcW w:w="660" w:type="dxa"/>
            <w:vAlign w:val="bottom"/>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640" w:type="dxa"/>
            <w:vAlign w:val="bottom"/>
            <w:shd w:val="clear" w:color="auto" w:fill="1D2758"/>
          </w:tcPr>
          <w:p>
            <w:pPr>
              <w:jc w:val="right"/>
              <w:ind w:right="159"/>
              <w:spacing w:after="0"/>
              <w:rPr>
                <w:sz w:val="20"/>
                <w:szCs w:val="20"/>
                <w:color w:val="auto"/>
              </w:rPr>
            </w:pPr>
            <w:r>
              <w:rPr>
                <w:rFonts w:ascii="Arial" w:cs="Arial" w:eastAsia="Arial" w:hAnsi="Arial"/>
                <w:sz w:val="12"/>
                <w:szCs w:val="12"/>
                <w:b w:val="1"/>
                <w:bCs w:val="1"/>
                <w:color w:val="FFFFFF"/>
              </w:rPr>
              <w:t>2021</w:t>
            </w:r>
          </w:p>
        </w:tc>
        <w:tc>
          <w:tcPr>
            <w:tcW w:w="220" w:type="dxa"/>
            <w:vAlign w:val="bottom"/>
            <w:shd w:val="clear" w:color="auto" w:fill="1D2758"/>
          </w:tcPr>
          <w:p>
            <w:pPr>
              <w:spacing w:after="0"/>
              <w:rPr>
                <w:sz w:val="14"/>
                <w:szCs w:val="14"/>
                <w:color w:val="auto"/>
              </w:rPr>
            </w:pPr>
          </w:p>
        </w:tc>
        <w:tc>
          <w:tcPr>
            <w:tcW w:w="660" w:type="dxa"/>
            <w:vAlign w:val="bottom"/>
            <w:shd w:val="clear" w:color="auto" w:fill="1D2758"/>
          </w:tcPr>
          <w:p>
            <w:pPr>
              <w:spacing w:after="0"/>
              <w:rPr>
                <w:sz w:val="14"/>
                <w:szCs w:val="14"/>
                <w:color w:val="auto"/>
              </w:rPr>
            </w:pPr>
          </w:p>
        </w:tc>
        <w:tc>
          <w:tcPr>
            <w:tcW w:w="500" w:type="dxa"/>
            <w:vAlign w:val="bottom"/>
            <w:shd w:val="clear" w:color="auto" w:fill="1D2758"/>
          </w:tcPr>
          <w:p>
            <w:pPr>
              <w:spacing w:after="0"/>
              <w:rPr>
                <w:sz w:val="14"/>
                <w:szCs w:val="14"/>
                <w:color w:val="auto"/>
              </w:rPr>
            </w:pPr>
          </w:p>
        </w:tc>
        <w:tc>
          <w:tcPr>
            <w:tcW w:w="480" w:type="dxa"/>
            <w:vAlign w:val="bottom"/>
            <w:shd w:val="clear" w:color="auto" w:fill="1D2758"/>
          </w:tcPr>
          <w:p>
            <w:pPr>
              <w:spacing w:after="0"/>
              <w:rPr>
                <w:sz w:val="14"/>
                <w:szCs w:val="14"/>
                <w:color w:val="auto"/>
              </w:rPr>
            </w:pPr>
          </w:p>
        </w:tc>
        <w:tc>
          <w:tcPr>
            <w:tcW w:w="58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2020</w:t>
            </w:r>
          </w:p>
        </w:tc>
        <w:tc>
          <w:tcPr>
            <w:tcW w:w="340" w:type="dxa"/>
            <w:vAlign w:val="bottom"/>
            <w:shd w:val="clear" w:color="auto" w:fill="1D2758"/>
          </w:tcPr>
          <w:p>
            <w:pPr>
              <w:spacing w:after="0"/>
              <w:rPr>
                <w:sz w:val="14"/>
                <w:szCs w:val="14"/>
                <w:color w:val="auto"/>
              </w:rPr>
            </w:pPr>
          </w:p>
        </w:tc>
        <w:tc>
          <w:tcPr>
            <w:tcW w:w="500" w:type="dxa"/>
            <w:vAlign w:val="bottom"/>
            <w:shd w:val="clear" w:color="auto" w:fill="1D2758"/>
          </w:tcPr>
          <w:p>
            <w:pPr>
              <w:spacing w:after="0"/>
              <w:rPr>
                <w:sz w:val="14"/>
                <w:szCs w:val="14"/>
                <w:color w:val="auto"/>
              </w:rPr>
            </w:pPr>
          </w:p>
        </w:tc>
      </w:tr>
      <w:tr>
        <w:trPr>
          <w:trHeight w:val="161"/>
        </w:trPr>
        <w:tc>
          <w:tcPr>
            <w:tcW w:w="4840" w:type="dxa"/>
            <w:vAlign w:val="bottom"/>
            <w:gridSpan w:val="7"/>
            <w:shd w:val="clear" w:color="auto" w:fill="DBDBDB"/>
          </w:tcPr>
          <w:p>
            <w:pPr>
              <w:ind w:left="500"/>
              <w:spacing w:after="0"/>
              <w:rPr>
                <w:sz w:val="20"/>
                <w:szCs w:val="20"/>
                <w:color w:val="auto"/>
              </w:rPr>
            </w:pPr>
            <w:r>
              <w:rPr>
                <w:rFonts w:ascii="Arial" w:cs="Arial" w:eastAsia="Arial" w:hAnsi="Arial"/>
                <w:sz w:val="12"/>
                <w:szCs w:val="12"/>
                <w:color w:val="auto"/>
              </w:rPr>
              <w:t>Cash paid for the amounts included in the measurement of lease liabilities:</w:t>
            </w:r>
          </w:p>
        </w:tc>
        <w:tc>
          <w:tcPr>
            <w:tcW w:w="40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48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r>
      <w:tr>
        <w:trPr>
          <w:trHeight w:val="159"/>
        </w:trPr>
        <w:tc>
          <w:tcPr>
            <w:tcW w:w="3280" w:type="dxa"/>
            <w:vAlign w:val="bottom"/>
            <w:gridSpan w:val="4"/>
          </w:tcPr>
          <w:p>
            <w:pPr>
              <w:ind w:left="580"/>
              <w:spacing w:after="0"/>
              <w:rPr>
                <w:sz w:val="20"/>
                <w:szCs w:val="20"/>
                <w:color w:val="auto"/>
              </w:rPr>
            </w:pPr>
            <w:r>
              <w:rPr>
                <w:rFonts w:ascii="Arial" w:cs="Arial" w:eastAsia="Arial" w:hAnsi="Arial"/>
                <w:sz w:val="12"/>
                <w:szCs w:val="12"/>
                <w:color w:val="auto"/>
              </w:rPr>
              <w:t>Operating cash outflows from operating leases</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99"/>
              <w:spacing w:after="0"/>
              <w:rPr>
                <w:sz w:val="20"/>
                <w:szCs w:val="20"/>
                <w:color w:val="auto"/>
              </w:rPr>
            </w:pPr>
            <w:r>
              <w:rPr>
                <w:rFonts w:ascii="Arial" w:cs="Arial" w:eastAsia="Arial" w:hAnsi="Arial"/>
                <w:sz w:val="12"/>
                <w:szCs w:val="12"/>
                <w:color w:val="auto"/>
              </w:rPr>
              <w:t>33,409</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20,271</w:t>
            </w:r>
          </w:p>
        </w:tc>
      </w:tr>
      <w:tr>
        <w:trPr>
          <w:trHeight w:val="164"/>
        </w:trPr>
        <w:tc>
          <w:tcPr>
            <w:tcW w:w="3280" w:type="dxa"/>
            <w:vAlign w:val="bottom"/>
            <w:gridSpan w:val="4"/>
            <w:shd w:val="clear" w:color="auto" w:fill="DBDBDB"/>
          </w:tcPr>
          <w:p>
            <w:pPr>
              <w:ind w:left="580"/>
              <w:spacing w:after="0"/>
              <w:rPr>
                <w:sz w:val="20"/>
                <w:szCs w:val="20"/>
                <w:color w:val="auto"/>
              </w:rPr>
            </w:pPr>
            <w:r>
              <w:rPr>
                <w:rFonts w:ascii="Arial" w:cs="Arial" w:eastAsia="Arial" w:hAnsi="Arial"/>
                <w:sz w:val="12"/>
                <w:szCs w:val="12"/>
                <w:color w:val="auto"/>
              </w:rPr>
              <w:t>Financing cash outflows from finance leases</w:t>
            </w:r>
          </w:p>
        </w:tc>
        <w:tc>
          <w:tcPr>
            <w:tcW w:w="62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660" w:type="dxa"/>
            <w:vAlign w:val="bottom"/>
            <w:shd w:val="clear" w:color="auto" w:fill="DBDBDB"/>
          </w:tcPr>
          <w:p>
            <w:pPr>
              <w:jc w:val="right"/>
              <w:ind w:right="39"/>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660" w:type="dxa"/>
            <w:vAlign w:val="bottom"/>
            <w:shd w:val="clear" w:color="auto" w:fill="DBDBDB"/>
          </w:tcPr>
          <w:p>
            <w:pPr>
              <w:jc w:val="right"/>
              <w:ind w:right="199"/>
              <w:spacing w:after="0"/>
              <w:rPr>
                <w:sz w:val="20"/>
                <w:szCs w:val="20"/>
                <w:color w:val="auto"/>
              </w:rPr>
            </w:pPr>
            <w:r>
              <w:rPr>
                <w:rFonts w:ascii="Arial" w:cs="Arial" w:eastAsia="Arial" w:hAnsi="Arial"/>
                <w:sz w:val="12"/>
                <w:szCs w:val="12"/>
                <w:color w:val="auto"/>
              </w:rPr>
              <w:t>8,030</w:t>
            </w: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92"/>
        </w:trPr>
        <w:tc>
          <w:tcPr>
            <w:tcW w:w="3900" w:type="dxa"/>
            <w:vAlign w:val="bottom"/>
            <w:gridSpan w:val="5"/>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61"/>
        </w:trPr>
        <w:tc>
          <w:tcPr>
            <w:tcW w:w="3900" w:type="dxa"/>
            <w:vAlign w:val="bottom"/>
            <w:gridSpan w:val="5"/>
            <w:shd w:val="clear" w:color="auto" w:fill="DBDBDB"/>
          </w:tcPr>
          <w:p>
            <w:pPr>
              <w:ind w:left="500"/>
              <w:spacing w:after="0"/>
              <w:rPr>
                <w:sz w:val="20"/>
                <w:szCs w:val="20"/>
                <w:color w:val="auto"/>
              </w:rPr>
            </w:pPr>
            <w:r>
              <w:rPr>
                <w:rFonts w:ascii="Arial" w:cs="Arial" w:eastAsia="Arial" w:hAnsi="Arial"/>
                <w:sz w:val="12"/>
                <w:szCs w:val="12"/>
                <w:color w:val="auto"/>
              </w:rPr>
              <w:t>Right of use assets obtained in exchange for lease obligations</w:t>
            </w:r>
          </w:p>
        </w:tc>
        <w:tc>
          <w:tcPr>
            <w:tcW w:w="32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660" w:type="dxa"/>
            <w:vAlign w:val="bottom"/>
            <w:shd w:val="clear" w:color="auto" w:fill="DBDBDB"/>
          </w:tcPr>
          <w:p>
            <w:pPr>
              <w:jc w:val="right"/>
              <w:ind w:right="39"/>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660" w:type="dxa"/>
            <w:vAlign w:val="bottom"/>
            <w:shd w:val="clear" w:color="auto" w:fill="DBDBDB"/>
          </w:tcPr>
          <w:p>
            <w:pPr>
              <w:jc w:val="right"/>
              <w:ind w:right="199"/>
              <w:spacing w:after="0"/>
              <w:rPr>
                <w:sz w:val="20"/>
                <w:szCs w:val="20"/>
                <w:color w:val="auto"/>
              </w:rPr>
            </w:pPr>
            <w:r>
              <w:rPr>
                <w:rFonts w:ascii="Arial" w:cs="Arial" w:eastAsia="Arial" w:hAnsi="Arial"/>
                <w:sz w:val="12"/>
                <w:szCs w:val="12"/>
                <w:color w:val="auto"/>
              </w:rPr>
              <w:t>28,288</w:t>
            </w: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19,242</w:t>
            </w:r>
          </w:p>
        </w:tc>
      </w:tr>
      <w:tr>
        <w:trPr>
          <w:trHeight w:val="157"/>
        </w:trPr>
        <w:tc>
          <w:tcPr>
            <w:tcW w:w="3280" w:type="dxa"/>
            <w:vAlign w:val="bottom"/>
            <w:gridSpan w:val="4"/>
          </w:tcPr>
          <w:p>
            <w:pPr>
              <w:ind w:left="500"/>
              <w:spacing w:after="0"/>
              <w:rPr>
                <w:sz w:val="20"/>
                <w:szCs w:val="20"/>
                <w:color w:val="auto"/>
              </w:rPr>
            </w:pPr>
            <w:r>
              <w:rPr>
                <w:rFonts w:ascii="Arial" w:cs="Arial" w:eastAsia="Arial" w:hAnsi="Arial"/>
                <w:sz w:val="12"/>
                <w:szCs w:val="12"/>
                <w:color w:val="auto"/>
              </w:rPr>
              <w:t>Assets obtained in exchange for finance leases</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99"/>
              <w:spacing w:after="0"/>
              <w:rPr>
                <w:sz w:val="20"/>
                <w:szCs w:val="20"/>
                <w:color w:val="auto"/>
              </w:rPr>
            </w:pPr>
            <w:r>
              <w:rPr>
                <w:rFonts w:ascii="Arial" w:cs="Arial" w:eastAsia="Arial" w:hAnsi="Arial"/>
                <w:sz w:val="12"/>
                <w:szCs w:val="12"/>
                <w:color w:val="auto"/>
              </w:rPr>
              <w:t>11,530</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350"/>
        </w:trPr>
        <w:tc>
          <w:tcPr>
            <w:tcW w:w="8880" w:type="dxa"/>
            <w:vAlign w:val="bottom"/>
            <w:gridSpan w:val="15"/>
          </w:tcPr>
          <w:p>
            <w:pPr>
              <w:ind w:left="480"/>
              <w:spacing w:after="0"/>
              <w:rPr>
                <w:sz w:val="20"/>
                <w:szCs w:val="20"/>
                <w:color w:val="auto"/>
              </w:rPr>
            </w:pPr>
            <w:r>
              <w:rPr>
                <w:rFonts w:ascii="Arial" w:cs="Arial" w:eastAsia="Arial" w:hAnsi="Arial"/>
                <w:sz w:val="12"/>
                <w:szCs w:val="12"/>
                <w:color w:val="auto"/>
              </w:rPr>
              <w:t>Weighted-average remaining operating lease terms and the weighted average discount rates as of June 30, 2021 and December 31, 2020 were as follows:</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9"/>
        </w:trPr>
        <w:tc>
          <w:tcPr>
            <w:tcW w:w="2440" w:type="dxa"/>
            <w:vAlign w:val="bottom"/>
            <w:gridSpan w:val="3"/>
            <w:shd w:val="clear" w:color="auto" w:fill="1D2758"/>
          </w:tcPr>
          <w:p>
            <w:pPr>
              <w:ind w:left="500"/>
              <w:spacing w:after="0"/>
              <w:rPr>
                <w:sz w:val="20"/>
                <w:szCs w:val="20"/>
                <w:color w:val="auto"/>
              </w:rPr>
            </w:pPr>
            <w:r>
              <w:rPr>
                <w:rFonts w:ascii="Arial" w:cs="Arial" w:eastAsia="Arial" w:hAnsi="Arial"/>
                <w:sz w:val="12"/>
                <w:szCs w:val="12"/>
                <w:b w:val="1"/>
                <w:bCs w:val="1"/>
                <w:color w:val="FFFFFF"/>
              </w:rPr>
              <w:t>Lease Terms and Discount Rates</w:t>
            </w:r>
          </w:p>
        </w:tc>
        <w:tc>
          <w:tcPr>
            <w:tcW w:w="840" w:type="dxa"/>
            <w:vAlign w:val="bottom"/>
            <w:shd w:val="clear" w:color="auto" w:fill="1D2758"/>
          </w:tcPr>
          <w:p>
            <w:pPr>
              <w:spacing w:after="0"/>
              <w:rPr>
                <w:sz w:val="14"/>
                <w:szCs w:val="14"/>
                <w:color w:val="auto"/>
              </w:rPr>
            </w:pPr>
          </w:p>
        </w:tc>
        <w:tc>
          <w:tcPr>
            <w:tcW w:w="620" w:type="dxa"/>
            <w:vAlign w:val="bottom"/>
            <w:shd w:val="clear" w:color="auto" w:fill="1D2758"/>
          </w:tcPr>
          <w:p>
            <w:pPr>
              <w:spacing w:after="0"/>
              <w:rPr>
                <w:sz w:val="14"/>
                <w:szCs w:val="14"/>
                <w:color w:val="auto"/>
              </w:rPr>
            </w:pPr>
          </w:p>
        </w:tc>
        <w:tc>
          <w:tcPr>
            <w:tcW w:w="320" w:type="dxa"/>
            <w:vAlign w:val="bottom"/>
            <w:shd w:val="clear" w:color="auto" w:fill="1D2758"/>
          </w:tcPr>
          <w:p>
            <w:pPr>
              <w:spacing w:after="0"/>
              <w:rPr>
                <w:sz w:val="14"/>
                <w:szCs w:val="14"/>
                <w:color w:val="auto"/>
              </w:rPr>
            </w:pPr>
          </w:p>
        </w:tc>
        <w:tc>
          <w:tcPr>
            <w:tcW w:w="62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440" w:type="dxa"/>
            <w:vAlign w:val="bottom"/>
            <w:shd w:val="clear" w:color="auto" w:fill="1D2758"/>
          </w:tcPr>
          <w:p>
            <w:pPr>
              <w:spacing w:after="0"/>
              <w:rPr>
                <w:sz w:val="14"/>
                <w:szCs w:val="14"/>
                <w:color w:val="auto"/>
              </w:rPr>
            </w:pPr>
          </w:p>
        </w:tc>
        <w:tc>
          <w:tcPr>
            <w:tcW w:w="440" w:type="dxa"/>
            <w:vAlign w:val="bottom"/>
            <w:shd w:val="clear" w:color="auto" w:fill="1D2758"/>
          </w:tcPr>
          <w:p>
            <w:pPr>
              <w:spacing w:after="0"/>
              <w:rPr>
                <w:sz w:val="14"/>
                <w:szCs w:val="14"/>
                <w:color w:val="auto"/>
              </w:rPr>
            </w:pPr>
          </w:p>
        </w:tc>
        <w:tc>
          <w:tcPr>
            <w:tcW w:w="660" w:type="dxa"/>
            <w:vAlign w:val="bottom"/>
            <w:shd w:val="clear" w:color="auto" w:fill="1D2758"/>
          </w:tcPr>
          <w:p>
            <w:pPr>
              <w:spacing w:after="0"/>
              <w:rPr>
                <w:sz w:val="14"/>
                <w:szCs w:val="14"/>
                <w:color w:val="auto"/>
              </w:rPr>
            </w:pPr>
          </w:p>
        </w:tc>
        <w:tc>
          <w:tcPr>
            <w:tcW w:w="1220" w:type="dxa"/>
            <w:vAlign w:val="bottom"/>
            <w:gridSpan w:val="2"/>
            <w:shd w:val="clear" w:color="auto" w:fill="1D2758"/>
          </w:tcPr>
          <w:p>
            <w:pPr>
              <w:jc w:val="right"/>
              <w:spacing w:after="0"/>
              <w:rPr>
                <w:sz w:val="20"/>
                <w:szCs w:val="20"/>
                <w:color w:val="auto"/>
              </w:rPr>
            </w:pPr>
            <w:r>
              <w:rPr>
                <w:rFonts w:ascii="Arial" w:cs="Arial" w:eastAsia="Arial" w:hAnsi="Arial"/>
                <w:sz w:val="12"/>
                <w:szCs w:val="12"/>
                <w:b w:val="1"/>
                <w:bCs w:val="1"/>
                <w:color w:val="FFFFFF"/>
              </w:rPr>
              <w:t>June 30, 2021</w:t>
            </w:r>
          </w:p>
        </w:tc>
        <w:tc>
          <w:tcPr>
            <w:tcW w:w="220" w:type="dxa"/>
            <w:vAlign w:val="bottom"/>
            <w:shd w:val="clear" w:color="auto" w:fill="1D2758"/>
          </w:tcPr>
          <w:p>
            <w:pPr>
              <w:spacing w:after="0"/>
              <w:rPr>
                <w:sz w:val="14"/>
                <w:szCs w:val="14"/>
                <w:color w:val="auto"/>
              </w:rPr>
            </w:pPr>
          </w:p>
        </w:tc>
        <w:tc>
          <w:tcPr>
            <w:tcW w:w="660" w:type="dxa"/>
            <w:vAlign w:val="bottom"/>
            <w:shd w:val="clear" w:color="auto" w:fill="1D2758"/>
          </w:tcPr>
          <w:p>
            <w:pPr>
              <w:spacing w:after="0"/>
              <w:rPr>
                <w:sz w:val="14"/>
                <w:szCs w:val="14"/>
                <w:color w:val="auto"/>
              </w:rPr>
            </w:pPr>
          </w:p>
        </w:tc>
        <w:tc>
          <w:tcPr>
            <w:tcW w:w="500" w:type="dxa"/>
            <w:vAlign w:val="bottom"/>
            <w:shd w:val="clear" w:color="auto" w:fill="1D2758"/>
          </w:tcPr>
          <w:p>
            <w:pPr>
              <w:spacing w:after="0"/>
              <w:rPr>
                <w:sz w:val="14"/>
                <w:szCs w:val="14"/>
                <w:color w:val="auto"/>
              </w:rPr>
            </w:pPr>
          </w:p>
        </w:tc>
        <w:tc>
          <w:tcPr>
            <w:tcW w:w="1400" w:type="dxa"/>
            <w:vAlign w:val="bottom"/>
            <w:gridSpan w:val="3"/>
            <w:shd w:val="clear" w:color="auto" w:fill="1D2758"/>
          </w:tcPr>
          <w:p>
            <w:pPr>
              <w:ind w:left="300"/>
              <w:spacing w:after="0"/>
              <w:rPr>
                <w:sz w:val="20"/>
                <w:szCs w:val="20"/>
                <w:color w:val="auto"/>
              </w:rPr>
            </w:pPr>
            <w:r>
              <w:rPr>
                <w:rFonts w:ascii="Arial" w:cs="Arial" w:eastAsia="Arial" w:hAnsi="Arial"/>
                <w:sz w:val="12"/>
                <w:szCs w:val="12"/>
                <w:b w:val="1"/>
                <w:bCs w:val="1"/>
                <w:color w:val="FFFFFF"/>
                <w:w w:val="99"/>
              </w:rPr>
              <w:t>December 31, 2020</w:t>
            </w:r>
          </w:p>
        </w:tc>
        <w:tc>
          <w:tcPr>
            <w:tcW w:w="500" w:type="dxa"/>
            <w:vAlign w:val="bottom"/>
            <w:shd w:val="clear" w:color="auto" w:fill="1D2758"/>
          </w:tcPr>
          <w:p>
            <w:pPr>
              <w:spacing w:after="0"/>
              <w:rPr>
                <w:sz w:val="14"/>
                <w:szCs w:val="14"/>
                <w:color w:val="auto"/>
              </w:rPr>
            </w:pPr>
          </w:p>
        </w:tc>
      </w:tr>
      <w:tr>
        <w:trPr>
          <w:trHeight w:val="161"/>
        </w:trPr>
        <w:tc>
          <w:tcPr>
            <w:tcW w:w="3900" w:type="dxa"/>
            <w:vAlign w:val="bottom"/>
            <w:gridSpan w:val="5"/>
            <w:shd w:val="clear" w:color="auto" w:fill="DBDBDB"/>
          </w:tcPr>
          <w:p>
            <w:pPr>
              <w:ind w:left="500"/>
              <w:spacing w:after="0"/>
              <w:rPr>
                <w:sz w:val="20"/>
                <w:szCs w:val="20"/>
                <w:color w:val="auto"/>
              </w:rPr>
            </w:pPr>
            <w:r>
              <w:rPr>
                <w:rFonts w:ascii="Arial" w:cs="Arial" w:eastAsia="Arial" w:hAnsi="Arial"/>
                <w:sz w:val="12"/>
                <w:szCs w:val="12"/>
                <w:color w:val="auto"/>
              </w:rPr>
              <w:t>Weighted-average remaining lease term - operating leases</w:t>
            </w:r>
          </w:p>
        </w:tc>
        <w:tc>
          <w:tcPr>
            <w:tcW w:w="32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880" w:type="dxa"/>
            <w:vAlign w:val="bottom"/>
            <w:gridSpan w:val="2"/>
            <w:shd w:val="clear" w:color="auto" w:fill="DBDBDB"/>
          </w:tcPr>
          <w:p>
            <w:pPr>
              <w:jc w:val="right"/>
              <w:ind w:right="219"/>
              <w:spacing w:after="0"/>
              <w:rPr>
                <w:sz w:val="20"/>
                <w:szCs w:val="20"/>
                <w:color w:val="auto"/>
              </w:rPr>
            </w:pPr>
            <w:r>
              <w:rPr>
                <w:rFonts w:ascii="Arial" w:cs="Arial" w:eastAsia="Arial" w:hAnsi="Arial"/>
                <w:sz w:val="12"/>
                <w:szCs w:val="12"/>
                <w:color w:val="auto"/>
              </w:rPr>
              <w:t>6.2 years</w:t>
            </w:r>
          </w:p>
        </w:tc>
        <w:tc>
          <w:tcPr>
            <w:tcW w:w="500" w:type="dxa"/>
            <w:vAlign w:val="bottom"/>
            <w:shd w:val="clear" w:color="auto" w:fill="DBDBDB"/>
          </w:tcPr>
          <w:p>
            <w:pPr>
              <w:spacing w:after="0"/>
              <w:rPr>
                <w:sz w:val="14"/>
                <w:szCs w:val="14"/>
                <w:color w:val="auto"/>
              </w:rPr>
            </w:pPr>
          </w:p>
        </w:tc>
        <w:tc>
          <w:tcPr>
            <w:tcW w:w="48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w w:val="97"/>
              </w:rPr>
              <w:t>6.4 years</w:t>
            </w:r>
          </w:p>
        </w:tc>
      </w:tr>
      <w:tr>
        <w:trPr>
          <w:trHeight w:val="159"/>
        </w:trPr>
        <w:tc>
          <w:tcPr>
            <w:tcW w:w="3280" w:type="dxa"/>
            <w:vAlign w:val="bottom"/>
            <w:gridSpan w:val="4"/>
          </w:tcPr>
          <w:p>
            <w:pPr>
              <w:ind w:left="500"/>
              <w:spacing w:after="0"/>
              <w:rPr>
                <w:sz w:val="20"/>
                <w:szCs w:val="20"/>
                <w:color w:val="auto"/>
              </w:rPr>
            </w:pPr>
            <w:r>
              <w:rPr>
                <w:rFonts w:ascii="Arial" w:cs="Arial" w:eastAsia="Arial" w:hAnsi="Arial"/>
                <w:sz w:val="12"/>
                <w:szCs w:val="12"/>
                <w:color w:val="auto"/>
              </w:rPr>
              <w:t>Weighted-average discount rate - operating leases</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5.6</w:t>
            </w:r>
          </w:p>
        </w:tc>
        <w:tc>
          <w:tcPr>
            <w:tcW w:w="220" w:type="dxa"/>
            <w:vAlign w:val="bottom"/>
          </w:tcPr>
          <w:p>
            <w:pPr>
              <w:spacing w:after="0"/>
              <w:rPr>
                <w:sz w:val="13"/>
                <w:szCs w:val="13"/>
                <w:color w:val="auto"/>
              </w:rPr>
            </w:pPr>
          </w:p>
        </w:tc>
        <w:tc>
          <w:tcPr>
            <w:tcW w:w="660" w:type="dxa"/>
            <w:vAlign w:val="bottom"/>
          </w:tcPr>
          <w:p>
            <w:pPr>
              <w:jc w:val="right"/>
              <w:ind w:right="219"/>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color w:val="auto"/>
              </w:rPr>
              <w:t>5.7</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4"/>
        </w:trPr>
        <w:tc>
          <w:tcPr>
            <w:tcW w:w="3900" w:type="dxa"/>
            <w:vAlign w:val="bottom"/>
            <w:gridSpan w:val="5"/>
            <w:shd w:val="clear" w:color="auto" w:fill="DBDBDB"/>
          </w:tcPr>
          <w:p>
            <w:pPr>
              <w:ind w:left="500"/>
              <w:spacing w:after="0"/>
              <w:rPr>
                <w:sz w:val="20"/>
                <w:szCs w:val="20"/>
                <w:color w:val="auto"/>
              </w:rPr>
            </w:pPr>
            <w:r>
              <w:rPr>
                <w:rFonts w:ascii="Arial" w:cs="Arial" w:eastAsia="Arial" w:hAnsi="Arial"/>
                <w:sz w:val="12"/>
                <w:szCs w:val="12"/>
                <w:color w:val="auto"/>
              </w:rPr>
              <w:t>Weighted-average remaining lease term - finance leases</w:t>
            </w:r>
          </w:p>
        </w:tc>
        <w:tc>
          <w:tcPr>
            <w:tcW w:w="32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880" w:type="dxa"/>
            <w:vAlign w:val="bottom"/>
            <w:gridSpan w:val="2"/>
            <w:shd w:val="clear" w:color="auto" w:fill="DBDBDB"/>
          </w:tcPr>
          <w:p>
            <w:pPr>
              <w:jc w:val="right"/>
              <w:ind w:right="219"/>
              <w:spacing w:after="0"/>
              <w:rPr>
                <w:sz w:val="20"/>
                <w:szCs w:val="20"/>
                <w:color w:val="auto"/>
              </w:rPr>
            </w:pPr>
            <w:r>
              <w:rPr>
                <w:rFonts w:ascii="Arial" w:cs="Arial" w:eastAsia="Arial" w:hAnsi="Arial"/>
                <w:sz w:val="12"/>
                <w:szCs w:val="12"/>
                <w:color w:val="auto"/>
              </w:rPr>
              <w:t>4.5 years</w:t>
            </w:r>
          </w:p>
        </w:tc>
        <w:tc>
          <w:tcPr>
            <w:tcW w:w="500" w:type="dxa"/>
            <w:vAlign w:val="bottom"/>
            <w:shd w:val="clear" w:color="auto" w:fill="DBDBDB"/>
          </w:tcPr>
          <w:p>
            <w:pPr>
              <w:spacing w:after="0"/>
              <w:rPr>
                <w:sz w:val="14"/>
                <w:szCs w:val="14"/>
                <w:color w:val="auto"/>
              </w:rPr>
            </w:pPr>
          </w:p>
        </w:tc>
        <w:tc>
          <w:tcPr>
            <w:tcW w:w="48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w w:val="97"/>
              </w:rPr>
              <w:t>4.6 years</w:t>
            </w:r>
          </w:p>
        </w:tc>
      </w:tr>
      <w:tr>
        <w:trPr>
          <w:trHeight w:val="157"/>
        </w:trPr>
        <w:tc>
          <w:tcPr>
            <w:tcW w:w="3280" w:type="dxa"/>
            <w:vAlign w:val="bottom"/>
            <w:gridSpan w:val="4"/>
          </w:tcPr>
          <w:p>
            <w:pPr>
              <w:ind w:left="500"/>
              <w:spacing w:after="0"/>
              <w:rPr>
                <w:sz w:val="20"/>
                <w:szCs w:val="20"/>
                <w:color w:val="auto"/>
              </w:rPr>
            </w:pPr>
            <w:r>
              <w:rPr>
                <w:rFonts w:ascii="Arial" w:cs="Arial" w:eastAsia="Arial" w:hAnsi="Arial"/>
                <w:sz w:val="12"/>
                <w:szCs w:val="12"/>
                <w:color w:val="auto"/>
              </w:rPr>
              <w:t>Weighted-average discount rate - finance leases</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2.9</w:t>
            </w:r>
          </w:p>
        </w:tc>
        <w:tc>
          <w:tcPr>
            <w:tcW w:w="220" w:type="dxa"/>
            <w:vAlign w:val="bottom"/>
          </w:tcPr>
          <w:p>
            <w:pPr>
              <w:spacing w:after="0"/>
              <w:rPr>
                <w:sz w:val="13"/>
                <w:szCs w:val="13"/>
                <w:color w:val="auto"/>
              </w:rPr>
            </w:pPr>
          </w:p>
        </w:tc>
        <w:tc>
          <w:tcPr>
            <w:tcW w:w="660" w:type="dxa"/>
            <w:vAlign w:val="bottom"/>
          </w:tcPr>
          <w:p>
            <w:pPr>
              <w:jc w:val="right"/>
              <w:ind w:right="219"/>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color w:val="auto"/>
              </w:rPr>
              <w:t>2.9</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93"/>
        </w:trPr>
        <w:tc>
          <w:tcPr>
            <w:tcW w:w="4840" w:type="dxa"/>
            <w:vAlign w:val="bottom"/>
            <w:gridSpan w:val="7"/>
          </w:tcPr>
          <w:p>
            <w:pPr>
              <w:ind w:left="480"/>
              <w:spacing w:after="0"/>
              <w:rPr>
                <w:sz w:val="20"/>
                <w:szCs w:val="20"/>
                <w:color w:val="auto"/>
              </w:rPr>
            </w:pPr>
            <w:r>
              <w:rPr>
                <w:rFonts w:ascii="Arial" w:cs="Arial" w:eastAsia="Arial" w:hAnsi="Arial"/>
                <w:sz w:val="12"/>
                <w:szCs w:val="12"/>
                <w:color w:val="auto"/>
              </w:rPr>
              <w:t>The Company presents information related to leasing revenues in Note 3.</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1D2758"/>
        </w:rPr>
        <w:t>NOTE 5 - Inventories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760" w:type="dxa"/>
            <w:vAlign w:val="bottom"/>
          </w:tcPr>
          <w:p>
            <w:pPr>
              <w:ind w:left="480"/>
              <w:spacing w:after="0"/>
              <w:rPr>
                <w:sz w:val="20"/>
                <w:szCs w:val="20"/>
                <w:color w:val="auto"/>
              </w:rPr>
            </w:pPr>
            <w:r>
              <w:rPr>
                <w:rFonts w:ascii="Arial" w:cs="Arial" w:eastAsia="Arial" w:hAnsi="Arial"/>
                <w:sz w:val="12"/>
                <w:szCs w:val="12"/>
                <w:color w:val="auto"/>
              </w:rPr>
              <w:t>Inventories at the respective balance sheet dates consisted of the following:</w:t>
            </w:r>
          </w:p>
        </w:tc>
        <w:tc>
          <w:tcPr>
            <w:tcW w:w="1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67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6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660" w:type="dxa"/>
            <w:vAlign w:val="bottom"/>
            <w:vMerge w:val="restart"/>
            <w:shd w:val="clear" w:color="auto" w:fill="1D2758"/>
          </w:tcPr>
          <w:p>
            <w:pPr>
              <w:jc w:val="right"/>
              <w:ind w:right="79"/>
              <w:spacing w:after="0"/>
              <w:rPr>
                <w:sz w:val="20"/>
                <w:szCs w:val="20"/>
                <w:color w:val="auto"/>
              </w:rPr>
            </w:pPr>
            <w:r>
              <w:rPr>
                <w:rFonts w:ascii="Arial" w:cs="Arial" w:eastAsia="Arial" w:hAnsi="Arial"/>
                <w:sz w:val="12"/>
                <w:szCs w:val="12"/>
                <w:b w:val="1"/>
                <w:bCs w:val="1"/>
                <w:color w:val="FFFFFF"/>
              </w:rPr>
              <w:t>June 30, 2021</w:t>
            </w:r>
          </w:p>
        </w:tc>
        <w:tc>
          <w:tcPr>
            <w:tcW w:w="56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340" w:type="dxa"/>
            <w:vAlign w:val="bottom"/>
            <w:shd w:val="clear" w:color="auto" w:fill="1D2758"/>
          </w:tcPr>
          <w:p>
            <w:pPr>
              <w:spacing w:after="0"/>
              <w:rPr>
                <w:sz w:val="13"/>
                <w:szCs w:val="13"/>
                <w:color w:val="auto"/>
              </w:rPr>
            </w:pPr>
          </w:p>
        </w:tc>
        <w:tc>
          <w:tcPr>
            <w:tcW w:w="1880" w:type="dxa"/>
            <w:vAlign w:val="bottom"/>
            <w:vMerge w:val="restart"/>
            <w:shd w:val="clear" w:color="auto" w:fill="1D2758"/>
          </w:tcPr>
          <w:p>
            <w:pPr>
              <w:jc w:val="right"/>
              <w:ind w:right="499"/>
              <w:spacing w:after="0"/>
              <w:rPr>
                <w:sz w:val="20"/>
                <w:szCs w:val="20"/>
                <w:color w:val="auto"/>
              </w:rPr>
            </w:pPr>
            <w:r>
              <w:rPr>
                <w:rFonts w:ascii="Arial" w:cs="Arial" w:eastAsia="Arial" w:hAnsi="Arial"/>
                <w:sz w:val="12"/>
                <w:szCs w:val="12"/>
                <w:b w:val="1"/>
                <w:bCs w:val="1"/>
                <w:color w:val="FFFFFF"/>
              </w:rPr>
              <w:t>December 31, 2020</w:t>
            </w:r>
          </w:p>
        </w:tc>
        <w:tc>
          <w:tcPr>
            <w:tcW w:w="0" w:type="dxa"/>
            <w:vAlign w:val="bottom"/>
          </w:tcPr>
          <w:p>
            <w:pPr>
              <w:spacing w:after="0"/>
              <w:rPr>
                <w:sz w:val="1"/>
                <w:szCs w:val="1"/>
                <w:color w:val="auto"/>
              </w:rPr>
            </w:pPr>
          </w:p>
        </w:tc>
      </w:tr>
      <w:tr>
        <w:trPr>
          <w:trHeight w:val="72"/>
        </w:trPr>
        <w:tc>
          <w:tcPr>
            <w:tcW w:w="6760" w:type="dxa"/>
            <w:vAlign w:val="bottom"/>
            <w:shd w:val="clear" w:color="auto" w:fill="1D2758"/>
          </w:tcPr>
          <w:p>
            <w:pPr>
              <w:spacing w:after="0"/>
              <w:rPr>
                <w:sz w:val="6"/>
                <w:szCs w:val="6"/>
                <w:color w:val="auto"/>
              </w:rPr>
            </w:pPr>
          </w:p>
        </w:tc>
        <w:tc>
          <w:tcPr>
            <w:tcW w:w="1660" w:type="dxa"/>
            <w:vAlign w:val="bottom"/>
            <w:vMerge w:val="continue"/>
            <w:shd w:val="clear" w:color="auto" w:fill="1D2758"/>
          </w:tcPr>
          <w:p>
            <w:pPr>
              <w:spacing w:after="0"/>
              <w:rPr>
                <w:sz w:val="6"/>
                <w:szCs w:val="6"/>
                <w:color w:val="auto"/>
              </w:rPr>
            </w:pPr>
          </w:p>
        </w:tc>
        <w:tc>
          <w:tcPr>
            <w:tcW w:w="560" w:type="dxa"/>
            <w:vAlign w:val="bottom"/>
            <w:shd w:val="clear" w:color="auto" w:fill="1D2758"/>
          </w:tcPr>
          <w:p>
            <w:pPr>
              <w:spacing w:after="0"/>
              <w:rPr>
                <w:sz w:val="6"/>
                <w:szCs w:val="6"/>
                <w:color w:val="auto"/>
              </w:rPr>
            </w:pPr>
          </w:p>
        </w:tc>
        <w:tc>
          <w:tcPr>
            <w:tcW w:w="80" w:type="dxa"/>
            <w:vAlign w:val="bottom"/>
            <w:shd w:val="clear" w:color="auto" w:fill="1D2758"/>
          </w:tcPr>
          <w:p>
            <w:pPr>
              <w:spacing w:after="0"/>
              <w:rPr>
                <w:sz w:val="6"/>
                <w:szCs w:val="6"/>
                <w:color w:val="auto"/>
              </w:rPr>
            </w:pPr>
          </w:p>
        </w:tc>
        <w:tc>
          <w:tcPr>
            <w:tcW w:w="340" w:type="dxa"/>
            <w:vAlign w:val="bottom"/>
            <w:shd w:val="clear" w:color="auto" w:fill="1D2758"/>
          </w:tcPr>
          <w:p>
            <w:pPr>
              <w:spacing w:after="0"/>
              <w:rPr>
                <w:sz w:val="6"/>
                <w:szCs w:val="6"/>
                <w:color w:val="auto"/>
              </w:rPr>
            </w:pPr>
          </w:p>
        </w:tc>
        <w:tc>
          <w:tcPr>
            <w:tcW w:w="1880" w:type="dxa"/>
            <w:vAlign w:val="bottom"/>
            <w:vMerge w:val="continue"/>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760" w:type="dxa"/>
            <w:vAlign w:val="bottom"/>
            <w:shd w:val="clear" w:color="auto" w:fill="DBDBDB"/>
          </w:tcPr>
          <w:p>
            <w:pPr>
              <w:ind w:left="20"/>
              <w:spacing w:after="0"/>
              <w:rPr>
                <w:sz w:val="20"/>
                <w:szCs w:val="20"/>
                <w:color w:val="auto"/>
              </w:rPr>
            </w:pPr>
            <w:r>
              <w:rPr>
                <w:rFonts w:ascii="Arial" w:cs="Arial" w:eastAsia="Arial" w:hAnsi="Arial"/>
                <w:sz w:val="12"/>
                <w:szCs w:val="12"/>
                <w:color w:val="auto"/>
              </w:rPr>
              <w:t>Raw materials</w:t>
            </w:r>
          </w:p>
        </w:tc>
        <w:tc>
          <w:tcPr>
            <w:tcW w:w="1660" w:type="dxa"/>
            <w:vAlign w:val="bottom"/>
            <w:shd w:val="clear" w:color="auto" w:fill="DBDBDB"/>
          </w:tcPr>
          <w:p>
            <w:pPr>
              <w:jc w:val="right"/>
              <w:ind w:right="1519"/>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24,493</w:t>
            </w:r>
          </w:p>
        </w:tc>
        <w:tc>
          <w:tcPr>
            <w:tcW w:w="80" w:type="dxa"/>
            <w:vAlign w:val="bottom"/>
            <w:shd w:val="clear" w:color="auto" w:fill="DBDBDB"/>
          </w:tcPr>
          <w:p>
            <w:pPr>
              <w:spacing w:after="0"/>
              <w:rPr>
                <w:sz w:val="14"/>
                <w:szCs w:val="14"/>
                <w:color w:val="auto"/>
              </w:rPr>
            </w:pPr>
          </w:p>
        </w:tc>
        <w:tc>
          <w:tcPr>
            <w:tcW w:w="340" w:type="dxa"/>
            <w:vAlign w:val="bottom"/>
            <w:shd w:val="clear" w:color="auto" w:fill="DBDBDB"/>
          </w:tcPr>
          <w:p>
            <w:pPr>
              <w:jc w:val="right"/>
              <w:ind w:right="199"/>
              <w:spacing w:after="0"/>
              <w:rPr>
                <w:sz w:val="20"/>
                <w:szCs w:val="20"/>
                <w:color w:val="auto"/>
              </w:rPr>
            </w:pPr>
            <w:r>
              <w:rPr>
                <w:rFonts w:ascii="Arial" w:cs="Arial" w:eastAsia="Arial" w:hAnsi="Arial"/>
                <w:sz w:val="12"/>
                <w:szCs w:val="12"/>
                <w:color w:val="auto"/>
                <w:w w:val="89"/>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19,560</w:t>
            </w:r>
          </w:p>
        </w:tc>
        <w:tc>
          <w:tcPr>
            <w:tcW w:w="0" w:type="dxa"/>
            <w:vAlign w:val="bottom"/>
          </w:tcPr>
          <w:p>
            <w:pPr>
              <w:spacing w:after="0"/>
              <w:rPr>
                <w:sz w:val="1"/>
                <w:szCs w:val="1"/>
                <w:color w:val="auto"/>
              </w:rPr>
            </w:pPr>
          </w:p>
        </w:tc>
      </w:tr>
      <w:tr>
        <w:trPr>
          <w:trHeight w:val="159"/>
        </w:trPr>
        <w:tc>
          <w:tcPr>
            <w:tcW w:w="676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Finished units</w:t>
            </w:r>
          </w:p>
        </w:tc>
        <w:tc>
          <w:tcPr>
            <w:tcW w:w="16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7,801</w:t>
            </w:r>
          </w:p>
        </w:tc>
        <w:tc>
          <w:tcPr>
            <w:tcW w:w="80" w:type="dxa"/>
            <w:vAlign w:val="bottom"/>
            <w:tcBorders>
              <w:bottom w:val="single" w:sz="8" w:color="DBDBDB"/>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4,171</w:t>
            </w:r>
          </w:p>
        </w:tc>
        <w:tc>
          <w:tcPr>
            <w:tcW w:w="0" w:type="dxa"/>
            <w:vAlign w:val="bottom"/>
          </w:tcPr>
          <w:p>
            <w:pPr>
              <w:spacing w:after="0"/>
              <w:rPr>
                <w:sz w:val="1"/>
                <w:szCs w:val="1"/>
                <w:color w:val="auto"/>
              </w:rPr>
            </w:pPr>
          </w:p>
        </w:tc>
      </w:tr>
      <w:tr>
        <w:trPr>
          <w:trHeight w:val="179"/>
        </w:trPr>
        <w:tc>
          <w:tcPr>
            <w:tcW w:w="67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2"/>
                <w:szCs w:val="12"/>
                <w:color w:val="auto"/>
              </w:rPr>
              <w:t>Inventories</w:t>
            </w:r>
          </w:p>
        </w:tc>
        <w:tc>
          <w:tcPr>
            <w:tcW w:w="1660" w:type="dxa"/>
            <w:vAlign w:val="bottom"/>
            <w:tcBorders>
              <w:bottom w:val="single" w:sz="8" w:color="auto"/>
            </w:tcBorders>
            <w:shd w:val="clear" w:color="auto" w:fill="DBDBDB"/>
          </w:tcPr>
          <w:p>
            <w:pPr>
              <w:jc w:val="right"/>
              <w:ind w:right="151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32,294</w:t>
            </w:r>
          </w:p>
        </w:tc>
        <w:tc>
          <w:tcPr>
            <w:tcW w:w="80" w:type="dxa"/>
            <w:vAlign w:val="bottom"/>
            <w:tcBorders>
              <w:bottom w:val="single" w:sz="8" w:color="DBDBDB"/>
            </w:tcBorders>
            <w:shd w:val="clear" w:color="auto" w:fill="DBDBDB"/>
          </w:tcPr>
          <w:p>
            <w:pPr>
              <w:spacing w:after="0"/>
              <w:rPr>
                <w:sz w:val="15"/>
                <w:szCs w:val="15"/>
                <w:color w:val="auto"/>
              </w:rPr>
            </w:pPr>
          </w:p>
        </w:tc>
        <w:tc>
          <w:tcPr>
            <w:tcW w:w="34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2"/>
                <w:szCs w:val="12"/>
                <w:color w:val="auto"/>
                <w:w w:val="89"/>
              </w:rPr>
              <w:t>$</w:t>
            </w: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23,731</w:t>
            </w:r>
          </w:p>
        </w:tc>
        <w:tc>
          <w:tcPr>
            <w:tcW w:w="0" w:type="dxa"/>
            <w:vAlign w:val="bottom"/>
          </w:tcPr>
          <w:p>
            <w:pPr>
              <w:spacing w:after="0"/>
              <w:rPr>
                <w:sz w:val="1"/>
                <w:szCs w:val="1"/>
                <w:color w:val="auto"/>
              </w:rPr>
            </w:pPr>
          </w:p>
        </w:tc>
      </w:tr>
      <w:tr>
        <w:trPr>
          <w:trHeight w:val="20"/>
        </w:trPr>
        <w:tc>
          <w:tcPr>
            <w:tcW w:w="6760" w:type="dxa"/>
            <w:vAlign w:val="bottom"/>
            <w:tcBorders>
              <w:top w:val="single" w:sz="8" w:color="DBDBDB"/>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1D2758"/>
        </w:rPr>
        <w:t>NOTE 6 - Rental Equipment, net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760" w:type="dxa"/>
            <w:vAlign w:val="bottom"/>
          </w:tcPr>
          <w:p>
            <w:pPr>
              <w:ind w:left="480"/>
              <w:spacing w:after="0"/>
              <w:rPr>
                <w:sz w:val="20"/>
                <w:szCs w:val="20"/>
                <w:color w:val="auto"/>
              </w:rPr>
            </w:pPr>
            <w:r>
              <w:rPr>
                <w:rFonts w:ascii="Arial" w:cs="Arial" w:eastAsia="Arial" w:hAnsi="Arial"/>
                <w:sz w:val="12"/>
                <w:szCs w:val="12"/>
                <w:color w:val="auto"/>
              </w:rPr>
              <w:t>Rental equipment, net at the respective balance sheet dates consisted of the following:</w:t>
            </w: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67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676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580" w:type="dxa"/>
            <w:vAlign w:val="bottom"/>
            <w:vMerge w:val="restart"/>
            <w:shd w:val="clear" w:color="auto" w:fill="1D2758"/>
          </w:tcPr>
          <w:p>
            <w:pPr>
              <w:jc w:val="right"/>
              <w:spacing w:after="0"/>
              <w:rPr>
                <w:sz w:val="20"/>
                <w:szCs w:val="20"/>
                <w:color w:val="auto"/>
              </w:rPr>
            </w:pPr>
            <w:r>
              <w:rPr>
                <w:rFonts w:ascii="Arial" w:cs="Arial" w:eastAsia="Arial" w:hAnsi="Arial"/>
                <w:sz w:val="12"/>
                <w:szCs w:val="12"/>
                <w:b w:val="1"/>
                <w:bCs w:val="1"/>
                <w:color w:val="FFFFFF"/>
              </w:rPr>
              <w:t>June 30, 2021</w:t>
            </w:r>
          </w:p>
        </w:tc>
        <w:tc>
          <w:tcPr>
            <w:tcW w:w="64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340" w:type="dxa"/>
            <w:vAlign w:val="bottom"/>
            <w:shd w:val="clear" w:color="auto" w:fill="1D2758"/>
          </w:tcPr>
          <w:p>
            <w:pPr>
              <w:spacing w:after="0"/>
              <w:rPr>
                <w:sz w:val="13"/>
                <w:szCs w:val="13"/>
                <w:color w:val="auto"/>
              </w:rPr>
            </w:pPr>
          </w:p>
        </w:tc>
        <w:tc>
          <w:tcPr>
            <w:tcW w:w="1880" w:type="dxa"/>
            <w:vAlign w:val="bottom"/>
            <w:vMerge w:val="restart"/>
            <w:shd w:val="clear" w:color="auto" w:fill="1D2758"/>
          </w:tcPr>
          <w:p>
            <w:pPr>
              <w:jc w:val="right"/>
              <w:ind w:right="499"/>
              <w:spacing w:after="0"/>
              <w:rPr>
                <w:sz w:val="20"/>
                <w:szCs w:val="20"/>
                <w:color w:val="auto"/>
              </w:rPr>
            </w:pPr>
            <w:r>
              <w:rPr>
                <w:rFonts w:ascii="Arial" w:cs="Arial" w:eastAsia="Arial" w:hAnsi="Arial"/>
                <w:sz w:val="12"/>
                <w:szCs w:val="12"/>
                <w:b w:val="1"/>
                <w:bCs w:val="1"/>
                <w:color w:val="FFFFFF"/>
              </w:rPr>
              <w:t>December 31, 2020</w:t>
            </w:r>
          </w:p>
        </w:tc>
        <w:tc>
          <w:tcPr>
            <w:tcW w:w="0" w:type="dxa"/>
            <w:vAlign w:val="bottom"/>
          </w:tcPr>
          <w:p>
            <w:pPr>
              <w:spacing w:after="0"/>
              <w:rPr>
                <w:sz w:val="1"/>
                <w:szCs w:val="1"/>
                <w:color w:val="auto"/>
              </w:rPr>
            </w:pPr>
          </w:p>
        </w:tc>
      </w:tr>
      <w:tr>
        <w:trPr>
          <w:trHeight w:val="72"/>
        </w:trPr>
        <w:tc>
          <w:tcPr>
            <w:tcW w:w="6760" w:type="dxa"/>
            <w:vAlign w:val="bottom"/>
            <w:shd w:val="clear" w:color="auto" w:fill="1D2758"/>
          </w:tcPr>
          <w:p>
            <w:pPr>
              <w:spacing w:after="0"/>
              <w:rPr>
                <w:sz w:val="6"/>
                <w:szCs w:val="6"/>
                <w:color w:val="auto"/>
              </w:rPr>
            </w:pPr>
          </w:p>
        </w:tc>
        <w:tc>
          <w:tcPr>
            <w:tcW w:w="1580" w:type="dxa"/>
            <w:vAlign w:val="bottom"/>
            <w:vMerge w:val="continue"/>
            <w:shd w:val="clear" w:color="auto" w:fill="1D2758"/>
          </w:tcPr>
          <w:p>
            <w:pPr>
              <w:spacing w:after="0"/>
              <w:rPr>
                <w:sz w:val="6"/>
                <w:szCs w:val="6"/>
                <w:color w:val="auto"/>
              </w:rPr>
            </w:pPr>
          </w:p>
        </w:tc>
        <w:tc>
          <w:tcPr>
            <w:tcW w:w="640" w:type="dxa"/>
            <w:vAlign w:val="bottom"/>
            <w:shd w:val="clear" w:color="auto" w:fill="1D2758"/>
          </w:tcPr>
          <w:p>
            <w:pPr>
              <w:spacing w:after="0"/>
              <w:rPr>
                <w:sz w:val="6"/>
                <w:szCs w:val="6"/>
                <w:color w:val="auto"/>
              </w:rPr>
            </w:pPr>
          </w:p>
        </w:tc>
        <w:tc>
          <w:tcPr>
            <w:tcW w:w="80" w:type="dxa"/>
            <w:vAlign w:val="bottom"/>
            <w:shd w:val="clear" w:color="auto" w:fill="1D2758"/>
          </w:tcPr>
          <w:p>
            <w:pPr>
              <w:spacing w:after="0"/>
              <w:rPr>
                <w:sz w:val="6"/>
                <w:szCs w:val="6"/>
                <w:color w:val="auto"/>
              </w:rPr>
            </w:pPr>
          </w:p>
        </w:tc>
        <w:tc>
          <w:tcPr>
            <w:tcW w:w="340" w:type="dxa"/>
            <w:vAlign w:val="bottom"/>
            <w:shd w:val="clear" w:color="auto" w:fill="1D2758"/>
          </w:tcPr>
          <w:p>
            <w:pPr>
              <w:spacing w:after="0"/>
              <w:rPr>
                <w:sz w:val="6"/>
                <w:szCs w:val="6"/>
                <w:color w:val="auto"/>
              </w:rPr>
            </w:pPr>
          </w:p>
        </w:tc>
        <w:tc>
          <w:tcPr>
            <w:tcW w:w="1880" w:type="dxa"/>
            <w:vAlign w:val="bottom"/>
            <w:vMerge w:val="continue"/>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760" w:type="dxa"/>
            <w:vAlign w:val="bottom"/>
            <w:shd w:val="clear" w:color="auto" w:fill="DBDBDB"/>
          </w:tcPr>
          <w:p>
            <w:pPr>
              <w:ind w:left="20"/>
              <w:spacing w:after="0"/>
              <w:rPr>
                <w:sz w:val="20"/>
                <w:szCs w:val="20"/>
                <w:color w:val="auto"/>
              </w:rPr>
            </w:pPr>
            <w:r>
              <w:rPr>
                <w:rFonts w:ascii="Arial" w:cs="Arial" w:eastAsia="Arial" w:hAnsi="Arial"/>
                <w:sz w:val="12"/>
                <w:szCs w:val="12"/>
                <w:color w:val="auto"/>
              </w:rPr>
              <w:t>Modular space units</w:t>
            </w:r>
          </w:p>
        </w:tc>
        <w:tc>
          <w:tcPr>
            <w:tcW w:w="1580" w:type="dxa"/>
            <w:vAlign w:val="bottom"/>
            <w:shd w:val="clear" w:color="auto" w:fill="DBDBDB"/>
          </w:tcPr>
          <w:p>
            <w:pPr>
              <w:jc w:val="right"/>
              <w:ind w:right="1439"/>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2,822,231</w:t>
            </w:r>
          </w:p>
        </w:tc>
        <w:tc>
          <w:tcPr>
            <w:tcW w:w="80" w:type="dxa"/>
            <w:vAlign w:val="bottom"/>
            <w:shd w:val="clear" w:color="auto" w:fill="DBDBDB"/>
          </w:tcPr>
          <w:p>
            <w:pPr>
              <w:spacing w:after="0"/>
              <w:rPr>
                <w:sz w:val="14"/>
                <w:szCs w:val="14"/>
                <w:color w:val="auto"/>
              </w:rPr>
            </w:pPr>
          </w:p>
        </w:tc>
        <w:tc>
          <w:tcPr>
            <w:tcW w:w="340" w:type="dxa"/>
            <w:vAlign w:val="bottom"/>
            <w:shd w:val="clear" w:color="auto" w:fill="DBDBDB"/>
          </w:tcPr>
          <w:p>
            <w:pPr>
              <w:jc w:val="right"/>
              <w:ind w:right="199"/>
              <w:spacing w:after="0"/>
              <w:rPr>
                <w:sz w:val="20"/>
                <w:szCs w:val="20"/>
                <w:color w:val="auto"/>
              </w:rPr>
            </w:pPr>
            <w:r>
              <w:rPr>
                <w:rFonts w:ascii="Arial" w:cs="Arial" w:eastAsia="Arial" w:hAnsi="Arial"/>
                <w:sz w:val="12"/>
                <w:szCs w:val="12"/>
                <w:color w:val="auto"/>
                <w:w w:val="89"/>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2,796,284</w:t>
            </w:r>
          </w:p>
        </w:tc>
        <w:tc>
          <w:tcPr>
            <w:tcW w:w="0" w:type="dxa"/>
            <w:vAlign w:val="bottom"/>
          </w:tcPr>
          <w:p>
            <w:pPr>
              <w:spacing w:after="0"/>
              <w:rPr>
                <w:sz w:val="1"/>
                <w:szCs w:val="1"/>
                <w:color w:val="auto"/>
              </w:rPr>
            </w:pPr>
          </w:p>
        </w:tc>
      </w:tr>
      <w:tr>
        <w:trPr>
          <w:trHeight w:val="159"/>
        </w:trPr>
        <w:tc>
          <w:tcPr>
            <w:tcW w:w="6760" w:type="dxa"/>
            <w:vAlign w:val="bottom"/>
          </w:tcPr>
          <w:p>
            <w:pPr>
              <w:ind w:left="20"/>
              <w:spacing w:after="0"/>
              <w:rPr>
                <w:sz w:val="20"/>
                <w:szCs w:val="20"/>
                <w:color w:val="auto"/>
              </w:rPr>
            </w:pPr>
            <w:r>
              <w:rPr>
                <w:rFonts w:ascii="Arial" w:cs="Arial" w:eastAsia="Arial" w:hAnsi="Arial"/>
                <w:sz w:val="12"/>
                <w:szCs w:val="12"/>
                <w:color w:val="auto"/>
              </w:rPr>
              <w:t>Portable storage units</w:t>
            </w:r>
          </w:p>
        </w:tc>
        <w:tc>
          <w:tcPr>
            <w:tcW w:w="15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696,600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2"/>
                <w:szCs w:val="12"/>
                <w:color w:val="auto"/>
              </w:rPr>
              <w:t>653,707</w:t>
            </w:r>
          </w:p>
        </w:tc>
        <w:tc>
          <w:tcPr>
            <w:tcW w:w="0" w:type="dxa"/>
            <w:vAlign w:val="bottom"/>
          </w:tcPr>
          <w:p>
            <w:pPr>
              <w:spacing w:after="0"/>
              <w:rPr>
                <w:sz w:val="1"/>
                <w:szCs w:val="1"/>
                <w:color w:val="auto"/>
              </w:rPr>
            </w:pPr>
          </w:p>
        </w:tc>
      </w:tr>
      <w:tr>
        <w:trPr>
          <w:trHeight w:val="164"/>
        </w:trPr>
        <w:tc>
          <w:tcPr>
            <w:tcW w:w="6760" w:type="dxa"/>
            <w:vAlign w:val="bottom"/>
            <w:shd w:val="clear" w:color="auto" w:fill="DBDBDB"/>
          </w:tcPr>
          <w:p>
            <w:pPr>
              <w:ind w:left="20"/>
              <w:spacing w:after="0"/>
              <w:rPr>
                <w:sz w:val="20"/>
                <w:szCs w:val="20"/>
                <w:color w:val="auto"/>
              </w:rPr>
            </w:pPr>
            <w:r>
              <w:rPr>
                <w:rFonts w:ascii="Arial" w:cs="Arial" w:eastAsia="Arial" w:hAnsi="Arial"/>
                <w:sz w:val="12"/>
                <w:szCs w:val="12"/>
                <w:color w:val="auto"/>
              </w:rPr>
              <w:t>Tank and pump products</w:t>
            </w:r>
          </w:p>
        </w:tc>
        <w:tc>
          <w:tcPr>
            <w:tcW w:w="1580" w:type="dxa"/>
            <w:vAlign w:val="bottom"/>
            <w:shd w:val="clear" w:color="auto" w:fill="DBDBDB"/>
          </w:tcPr>
          <w:p>
            <w:pPr>
              <w:spacing w:after="0"/>
              <w:rPr>
                <w:sz w:val="14"/>
                <w:szCs w:val="14"/>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144,951</w:t>
            </w:r>
          </w:p>
        </w:tc>
        <w:tc>
          <w:tcPr>
            <w:tcW w:w="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132,071</w:t>
            </w:r>
          </w:p>
        </w:tc>
        <w:tc>
          <w:tcPr>
            <w:tcW w:w="0" w:type="dxa"/>
            <w:vAlign w:val="bottom"/>
          </w:tcPr>
          <w:p>
            <w:pPr>
              <w:spacing w:after="0"/>
              <w:rPr>
                <w:sz w:val="1"/>
                <w:szCs w:val="1"/>
                <w:color w:val="auto"/>
              </w:rPr>
            </w:pPr>
          </w:p>
        </w:tc>
      </w:tr>
      <w:tr>
        <w:trPr>
          <w:trHeight w:val="159"/>
        </w:trPr>
        <w:tc>
          <w:tcPr>
            <w:tcW w:w="676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Value added products</w:t>
            </w:r>
          </w:p>
        </w:tc>
        <w:tc>
          <w:tcPr>
            <w:tcW w:w="15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156,987</w:t>
            </w:r>
          </w:p>
        </w:tc>
        <w:tc>
          <w:tcPr>
            <w:tcW w:w="80" w:type="dxa"/>
            <w:vAlign w:val="bottom"/>
            <w:tcBorders>
              <w:bottom w:val="single" w:sz="8" w:color="DBDBDB"/>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143,652</w:t>
            </w:r>
          </w:p>
        </w:tc>
        <w:tc>
          <w:tcPr>
            <w:tcW w:w="0" w:type="dxa"/>
            <w:vAlign w:val="bottom"/>
          </w:tcPr>
          <w:p>
            <w:pPr>
              <w:spacing w:after="0"/>
              <w:rPr>
                <w:sz w:val="1"/>
                <w:szCs w:val="1"/>
                <w:color w:val="auto"/>
              </w:rPr>
            </w:pPr>
          </w:p>
        </w:tc>
      </w:tr>
      <w:tr>
        <w:trPr>
          <w:trHeight w:val="154"/>
        </w:trPr>
        <w:tc>
          <w:tcPr>
            <w:tcW w:w="67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Total rental equipment</w:t>
            </w:r>
          </w:p>
        </w:tc>
        <w:tc>
          <w:tcPr>
            <w:tcW w:w="1580" w:type="dxa"/>
            <w:vAlign w:val="bottom"/>
            <w:shd w:val="clear" w:color="auto" w:fill="DBDBDB"/>
          </w:tcPr>
          <w:p>
            <w:pPr>
              <w:spacing w:after="0"/>
              <w:rPr>
                <w:sz w:val="13"/>
                <w:szCs w:val="13"/>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3,820,769</w:t>
            </w:r>
          </w:p>
        </w:tc>
        <w:tc>
          <w:tcPr>
            <w:tcW w:w="8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3,725,714</w:t>
            </w:r>
          </w:p>
        </w:tc>
        <w:tc>
          <w:tcPr>
            <w:tcW w:w="0" w:type="dxa"/>
            <w:vAlign w:val="bottom"/>
          </w:tcPr>
          <w:p>
            <w:pPr>
              <w:spacing w:after="0"/>
              <w:rPr>
                <w:sz w:val="1"/>
                <w:szCs w:val="1"/>
                <w:color w:val="auto"/>
              </w:rPr>
            </w:pPr>
          </w:p>
        </w:tc>
      </w:tr>
      <w:tr>
        <w:trPr>
          <w:trHeight w:val="159"/>
        </w:trPr>
        <w:tc>
          <w:tcPr>
            <w:tcW w:w="676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Less: accumulated depreciation</w:t>
            </w:r>
          </w:p>
        </w:tc>
        <w:tc>
          <w:tcPr>
            <w:tcW w:w="15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(906,197)</w:t>
            </w:r>
          </w:p>
        </w:tc>
        <w:tc>
          <w:tcPr>
            <w:tcW w:w="80" w:type="dxa"/>
            <w:vAlign w:val="bottom"/>
            <w:tcBorders>
              <w:bottom w:val="single" w:sz="8" w:color="DBDBDB"/>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(794,068)</w:t>
            </w:r>
          </w:p>
        </w:tc>
        <w:tc>
          <w:tcPr>
            <w:tcW w:w="0" w:type="dxa"/>
            <w:vAlign w:val="bottom"/>
          </w:tcPr>
          <w:p>
            <w:pPr>
              <w:spacing w:after="0"/>
              <w:rPr>
                <w:sz w:val="1"/>
                <w:szCs w:val="1"/>
                <w:color w:val="auto"/>
              </w:rPr>
            </w:pPr>
          </w:p>
        </w:tc>
      </w:tr>
      <w:tr>
        <w:trPr>
          <w:trHeight w:val="176"/>
        </w:trPr>
        <w:tc>
          <w:tcPr>
            <w:tcW w:w="67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2"/>
                <w:szCs w:val="12"/>
                <w:color w:val="auto"/>
              </w:rPr>
              <w:t>Rental equipment, net</w:t>
            </w:r>
          </w:p>
        </w:tc>
        <w:tc>
          <w:tcPr>
            <w:tcW w:w="1580" w:type="dxa"/>
            <w:vAlign w:val="bottom"/>
            <w:tcBorders>
              <w:bottom w:val="single" w:sz="8" w:color="auto"/>
            </w:tcBorders>
            <w:shd w:val="clear" w:color="auto" w:fill="DBDBDB"/>
          </w:tcPr>
          <w:p>
            <w:pPr>
              <w:jc w:val="right"/>
              <w:ind w:right="1439"/>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2,914,572</w:t>
            </w:r>
          </w:p>
        </w:tc>
        <w:tc>
          <w:tcPr>
            <w:tcW w:w="80" w:type="dxa"/>
            <w:vAlign w:val="bottom"/>
            <w:tcBorders>
              <w:bottom w:val="single" w:sz="8" w:color="DBDBDB"/>
            </w:tcBorders>
            <w:shd w:val="clear" w:color="auto" w:fill="DBDBDB"/>
          </w:tcPr>
          <w:p>
            <w:pPr>
              <w:spacing w:after="0"/>
              <w:rPr>
                <w:sz w:val="14"/>
                <w:szCs w:val="14"/>
                <w:color w:val="auto"/>
              </w:rPr>
            </w:pPr>
          </w:p>
        </w:tc>
        <w:tc>
          <w:tcPr>
            <w:tcW w:w="34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2"/>
                <w:szCs w:val="12"/>
                <w:color w:val="auto"/>
                <w:w w:val="89"/>
              </w:rPr>
              <w:t>$</w:t>
            </w: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2,931,646</w:t>
            </w:r>
          </w:p>
        </w:tc>
        <w:tc>
          <w:tcPr>
            <w:tcW w:w="0" w:type="dxa"/>
            <w:vAlign w:val="bottom"/>
          </w:tcPr>
          <w:p>
            <w:pPr>
              <w:spacing w:after="0"/>
              <w:rPr>
                <w:sz w:val="1"/>
                <w:szCs w:val="1"/>
                <w:color w:val="auto"/>
              </w:rPr>
            </w:pPr>
          </w:p>
        </w:tc>
      </w:tr>
      <w:tr>
        <w:trPr>
          <w:trHeight w:val="20"/>
        </w:trPr>
        <w:tc>
          <w:tcPr>
            <w:tcW w:w="676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3"/>
        </w:trPr>
        <w:tc>
          <w:tcPr>
            <w:tcW w:w="67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1D2758"/>
        </w:rPr>
        <w:t>NOTE 7 - Goodwill</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gridSpan w:val="3"/>
          </w:tcPr>
          <w:p>
            <w:pPr>
              <w:ind w:left="480"/>
              <w:spacing w:after="0"/>
              <w:rPr>
                <w:sz w:val="20"/>
                <w:szCs w:val="20"/>
                <w:color w:val="auto"/>
              </w:rPr>
            </w:pPr>
            <w:r>
              <w:rPr>
                <w:rFonts w:ascii="Arial" w:cs="Arial" w:eastAsia="Arial" w:hAnsi="Arial"/>
                <w:sz w:val="12"/>
                <w:szCs w:val="12"/>
                <w:color w:val="auto"/>
              </w:rPr>
              <w:t>Changes in the carrying amount of goodwill were as follows:</w:t>
            </w: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9"/>
        </w:trPr>
        <w:tc>
          <w:tcPr>
            <w:tcW w:w="2880" w:type="dxa"/>
            <w:vAlign w:val="bottom"/>
            <w:shd w:val="clear" w:color="auto" w:fill="1D2758"/>
          </w:tcPr>
          <w:p>
            <w:pPr>
              <w:ind w:left="500"/>
              <w:spacing w:after="0"/>
              <w:rPr>
                <w:sz w:val="20"/>
                <w:szCs w:val="20"/>
                <w:color w:val="auto"/>
              </w:rPr>
            </w:pPr>
            <w:r>
              <w:rPr>
                <w:rFonts w:ascii="Arial" w:cs="Arial" w:eastAsia="Arial" w:hAnsi="Arial"/>
                <w:sz w:val="12"/>
                <w:szCs w:val="12"/>
                <w:b w:val="1"/>
                <w:bCs w:val="1"/>
                <w:i w:val="1"/>
                <w:iCs w:val="1"/>
                <w:color w:val="FFFFFF"/>
              </w:rPr>
              <w:t>(in thousands)</w:t>
            </w:r>
          </w:p>
        </w:tc>
        <w:tc>
          <w:tcPr>
            <w:tcW w:w="640" w:type="dxa"/>
            <w:vAlign w:val="bottom"/>
            <w:shd w:val="clear" w:color="auto" w:fill="1D2758"/>
          </w:tcPr>
          <w:p>
            <w:pPr>
              <w:spacing w:after="0"/>
              <w:rPr>
                <w:sz w:val="14"/>
                <w:szCs w:val="14"/>
                <w:color w:val="auto"/>
              </w:rPr>
            </w:pPr>
          </w:p>
        </w:tc>
        <w:tc>
          <w:tcPr>
            <w:tcW w:w="1240" w:type="dxa"/>
            <w:vAlign w:val="bottom"/>
            <w:shd w:val="clear" w:color="auto" w:fill="1D2758"/>
          </w:tcPr>
          <w:p>
            <w:pPr>
              <w:jc w:val="right"/>
              <w:ind w:right="439"/>
              <w:spacing w:after="0"/>
              <w:rPr>
                <w:sz w:val="20"/>
                <w:szCs w:val="20"/>
                <w:color w:val="auto"/>
              </w:rPr>
            </w:pPr>
            <w:r>
              <w:rPr>
                <w:rFonts w:ascii="Arial" w:cs="Arial" w:eastAsia="Arial" w:hAnsi="Arial"/>
                <w:sz w:val="12"/>
                <w:szCs w:val="12"/>
                <w:b w:val="1"/>
                <w:bCs w:val="1"/>
                <w:color w:val="FFFFFF"/>
              </w:rPr>
              <w:t>NA Modular</w:t>
            </w:r>
          </w:p>
        </w:tc>
        <w:tc>
          <w:tcPr>
            <w:tcW w:w="460" w:type="dxa"/>
            <w:vAlign w:val="bottom"/>
            <w:shd w:val="clear" w:color="auto" w:fill="1D2758"/>
          </w:tcPr>
          <w:p>
            <w:pPr>
              <w:spacing w:after="0"/>
              <w:rPr>
                <w:sz w:val="14"/>
                <w:szCs w:val="14"/>
                <w:color w:val="auto"/>
              </w:rPr>
            </w:pPr>
          </w:p>
        </w:tc>
        <w:tc>
          <w:tcPr>
            <w:tcW w:w="1240" w:type="dxa"/>
            <w:vAlign w:val="bottom"/>
            <w:shd w:val="clear" w:color="auto" w:fill="1D2758"/>
          </w:tcPr>
          <w:p>
            <w:pPr>
              <w:jc w:val="right"/>
              <w:ind w:right="439"/>
              <w:spacing w:after="0"/>
              <w:rPr>
                <w:sz w:val="20"/>
                <w:szCs w:val="20"/>
                <w:color w:val="auto"/>
              </w:rPr>
            </w:pPr>
            <w:r>
              <w:rPr>
                <w:rFonts w:ascii="Arial" w:cs="Arial" w:eastAsia="Arial" w:hAnsi="Arial"/>
                <w:sz w:val="12"/>
                <w:szCs w:val="12"/>
                <w:b w:val="1"/>
                <w:bCs w:val="1"/>
                <w:color w:val="FFFFFF"/>
              </w:rPr>
              <w:t>NA Storage</w:t>
            </w:r>
          </w:p>
        </w:tc>
        <w:tc>
          <w:tcPr>
            <w:tcW w:w="440" w:type="dxa"/>
            <w:vAlign w:val="bottom"/>
            <w:shd w:val="clear" w:color="auto" w:fill="1D2758"/>
          </w:tcPr>
          <w:p>
            <w:pPr>
              <w:spacing w:after="0"/>
              <w:rPr>
                <w:sz w:val="14"/>
                <w:szCs w:val="14"/>
                <w:color w:val="auto"/>
              </w:rPr>
            </w:pPr>
          </w:p>
        </w:tc>
        <w:tc>
          <w:tcPr>
            <w:tcW w:w="1200" w:type="dxa"/>
            <w:vAlign w:val="bottom"/>
            <w:shd w:val="clear" w:color="auto" w:fill="1D2758"/>
          </w:tcPr>
          <w:p>
            <w:pPr>
              <w:jc w:val="right"/>
              <w:ind w:right="419"/>
              <w:spacing w:after="0"/>
              <w:rPr>
                <w:sz w:val="20"/>
                <w:szCs w:val="20"/>
                <w:color w:val="auto"/>
              </w:rPr>
            </w:pPr>
            <w:r>
              <w:rPr>
                <w:rFonts w:ascii="Arial" w:cs="Arial" w:eastAsia="Arial" w:hAnsi="Arial"/>
                <w:sz w:val="12"/>
                <w:szCs w:val="12"/>
                <w:b w:val="1"/>
                <w:bCs w:val="1"/>
                <w:color w:val="FFFFFF"/>
              </w:rPr>
              <w:t>UK Storage</w:t>
            </w:r>
          </w:p>
        </w:tc>
        <w:tc>
          <w:tcPr>
            <w:tcW w:w="400" w:type="dxa"/>
            <w:vAlign w:val="bottom"/>
            <w:shd w:val="clear" w:color="auto" w:fill="1D2758"/>
          </w:tcPr>
          <w:p>
            <w:pPr>
              <w:spacing w:after="0"/>
              <w:rPr>
                <w:sz w:val="14"/>
                <w:szCs w:val="14"/>
                <w:color w:val="auto"/>
              </w:rPr>
            </w:pPr>
          </w:p>
        </w:tc>
        <w:tc>
          <w:tcPr>
            <w:tcW w:w="1320" w:type="dxa"/>
            <w:vAlign w:val="bottom"/>
            <w:shd w:val="clear" w:color="auto" w:fill="1D2758"/>
          </w:tcPr>
          <w:p>
            <w:pPr>
              <w:jc w:val="right"/>
              <w:ind w:right="339"/>
              <w:spacing w:after="0"/>
              <w:rPr>
                <w:sz w:val="20"/>
                <w:szCs w:val="20"/>
                <w:color w:val="auto"/>
              </w:rPr>
            </w:pPr>
            <w:r>
              <w:rPr>
                <w:rFonts w:ascii="Arial" w:cs="Arial" w:eastAsia="Arial" w:hAnsi="Arial"/>
                <w:sz w:val="12"/>
                <w:szCs w:val="12"/>
                <w:b w:val="1"/>
                <w:bCs w:val="1"/>
                <w:color w:val="FFFFFF"/>
              </w:rPr>
              <w:t>Tank and Pump</w:t>
            </w:r>
          </w:p>
        </w:tc>
        <w:tc>
          <w:tcPr>
            <w:tcW w:w="540" w:type="dxa"/>
            <w:vAlign w:val="bottom"/>
            <w:shd w:val="clear" w:color="auto" w:fill="1D2758"/>
          </w:tcPr>
          <w:p>
            <w:pPr>
              <w:spacing w:after="0"/>
              <w:rPr>
                <w:sz w:val="14"/>
                <w:szCs w:val="14"/>
                <w:color w:val="auto"/>
              </w:rPr>
            </w:pPr>
          </w:p>
        </w:tc>
        <w:tc>
          <w:tcPr>
            <w:tcW w:w="920" w:type="dxa"/>
            <w:vAlign w:val="bottom"/>
            <w:shd w:val="clear" w:color="auto" w:fill="1D2758"/>
          </w:tcPr>
          <w:p>
            <w:pPr>
              <w:jc w:val="right"/>
              <w:ind w:right="379"/>
              <w:spacing w:after="0"/>
              <w:rPr>
                <w:sz w:val="20"/>
                <w:szCs w:val="20"/>
                <w:color w:val="auto"/>
              </w:rPr>
            </w:pPr>
            <w:r>
              <w:rPr>
                <w:rFonts w:ascii="Arial" w:cs="Arial" w:eastAsia="Arial" w:hAnsi="Arial"/>
                <w:sz w:val="12"/>
                <w:szCs w:val="12"/>
                <w:b w:val="1"/>
                <w:bCs w:val="1"/>
                <w:color w:val="FFFFFF"/>
              </w:rPr>
              <w:t>Total</w:t>
            </w:r>
          </w:p>
        </w:tc>
      </w:tr>
      <w:tr>
        <w:trPr>
          <w:trHeight w:val="161"/>
        </w:trPr>
        <w:tc>
          <w:tcPr>
            <w:tcW w:w="2880" w:type="dxa"/>
            <w:vAlign w:val="bottom"/>
            <w:shd w:val="clear" w:color="auto" w:fill="DBDBDB"/>
          </w:tcPr>
          <w:p>
            <w:pPr>
              <w:ind w:left="500"/>
              <w:spacing w:after="0"/>
              <w:rPr>
                <w:sz w:val="20"/>
                <w:szCs w:val="20"/>
                <w:color w:val="auto"/>
              </w:rPr>
            </w:pPr>
            <w:r>
              <w:rPr>
                <w:rFonts w:ascii="Arial" w:cs="Arial" w:eastAsia="Arial" w:hAnsi="Arial"/>
                <w:sz w:val="12"/>
                <w:szCs w:val="12"/>
                <w:color w:val="auto"/>
              </w:rPr>
              <w:t>Balance at December 31, 2019</w:t>
            </w:r>
          </w:p>
        </w:tc>
        <w:tc>
          <w:tcPr>
            <w:tcW w:w="64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259"/>
              <w:spacing w:after="0"/>
              <w:rPr>
                <w:sz w:val="20"/>
                <w:szCs w:val="20"/>
                <w:color w:val="auto"/>
              </w:rPr>
            </w:pPr>
            <w:r>
              <w:rPr>
                <w:rFonts w:ascii="Arial" w:cs="Arial" w:eastAsia="Arial" w:hAnsi="Arial"/>
                <w:sz w:val="12"/>
                <w:szCs w:val="12"/>
                <w:color w:val="auto"/>
              </w:rPr>
              <w:t>235,177</w:t>
            </w:r>
          </w:p>
        </w:tc>
        <w:tc>
          <w:tcPr>
            <w:tcW w:w="46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259"/>
              <w:spacing w:after="0"/>
              <w:rPr>
                <w:sz w:val="20"/>
                <w:szCs w:val="20"/>
                <w:color w:val="auto"/>
              </w:rPr>
            </w:pPr>
            <w:r>
              <w:rPr>
                <w:rFonts w:ascii="Arial" w:cs="Arial" w:eastAsia="Arial" w:hAnsi="Arial"/>
                <w:sz w:val="12"/>
                <w:szCs w:val="12"/>
                <w:color w:val="auto"/>
              </w:rPr>
              <w:t>—</w:t>
            </w:r>
          </w:p>
        </w:tc>
        <w:tc>
          <w:tcPr>
            <w:tcW w:w="44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rPr>
              <w:t>$</w:t>
            </w:r>
          </w:p>
        </w:tc>
        <w:tc>
          <w:tcPr>
            <w:tcW w:w="1200" w:type="dxa"/>
            <w:vAlign w:val="bottom"/>
            <w:shd w:val="clear" w:color="auto" w:fill="DBDBDB"/>
          </w:tcPr>
          <w:p>
            <w:pPr>
              <w:jc w:val="right"/>
              <w:ind w:right="239"/>
              <w:spacing w:after="0"/>
              <w:rPr>
                <w:sz w:val="20"/>
                <w:szCs w:val="20"/>
                <w:color w:val="auto"/>
              </w:rPr>
            </w:pPr>
            <w:r>
              <w:rPr>
                <w:rFonts w:ascii="Arial" w:cs="Arial" w:eastAsia="Arial" w:hAnsi="Arial"/>
                <w:sz w:val="12"/>
                <w:szCs w:val="12"/>
                <w:color w:val="auto"/>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320" w:type="dxa"/>
            <w:vAlign w:val="bottom"/>
            <w:shd w:val="clear" w:color="auto" w:fill="DBDBDB"/>
          </w:tcPr>
          <w:p>
            <w:pPr>
              <w:jc w:val="right"/>
              <w:ind w:right="279"/>
              <w:spacing w:after="0"/>
              <w:rPr>
                <w:sz w:val="20"/>
                <w:szCs w:val="20"/>
                <w:color w:val="auto"/>
              </w:rPr>
            </w:pPr>
            <w:r>
              <w:rPr>
                <w:rFonts w:ascii="Arial" w:cs="Arial" w:eastAsia="Arial" w:hAnsi="Arial"/>
                <w:sz w:val="12"/>
                <w:szCs w:val="12"/>
                <w:color w:val="auto"/>
              </w:rPr>
              <w:t>—</w:t>
            </w:r>
          </w:p>
        </w:tc>
        <w:tc>
          <w:tcPr>
            <w:tcW w:w="54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235,177</w:t>
            </w:r>
          </w:p>
        </w:tc>
      </w:tr>
      <w:tr>
        <w:trPr>
          <w:trHeight w:val="159"/>
        </w:trPr>
        <w:tc>
          <w:tcPr>
            <w:tcW w:w="2880" w:type="dxa"/>
            <w:vAlign w:val="bottom"/>
          </w:tcPr>
          <w:p>
            <w:pPr>
              <w:ind w:left="660"/>
              <w:spacing w:after="0"/>
              <w:rPr>
                <w:sz w:val="20"/>
                <w:szCs w:val="20"/>
                <w:color w:val="auto"/>
              </w:rPr>
            </w:pPr>
            <w:r>
              <w:rPr>
                <w:rFonts w:ascii="Arial" w:cs="Arial" w:eastAsia="Arial" w:hAnsi="Arial"/>
                <w:sz w:val="12"/>
                <w:szCs w:val="12"/>
                <w:color w:val="auto"/>
              </w:rPr>
              <w:t>Acquisition of Mobile Mini</w:t>
            </w:r>
          </w:p>
        </w:tc>
        <w:tc>
          <w:tcPr>
            <w:tcW w:w="640" w:type="dxa"/>
            <w:vAlign w:val="bottom"/>
          </w:tcPr>
          <w:p>
            <w:pPr>
              <w:spacing w:after="0"/>
              <w:rPr>
                <w:sz w:val="13"/>
                <w:szCs w:val="13"/>
                <w:color w:val="auto"/>
              </w:rPr>
            </w:pPr>
          </w:p>
        </w:tc>
        <w:tc>
          <w:tcPr>
            <w:tcW w:w="1240" w:type="dxa"/>
            <w:vAlign w:val="bottom"/>
          </w:tcPr>
          <w:p>
            <w:pPr>
              <w:jc w:val="right"/>
              <w:ind w:right="259"/>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1240" w:type="dxa"/>
            <w:vAlign w:val="bottom"/>
          </w:tcPr>
          <w:p>
            <w:pPr>
              <w:jc w:val="right"/>
              <w:ind w:right="259"/>
              <w:spacing w:after="0"/>
              <w:rPr>
                <w:sz w:val="20"/>
                <w:szCs w:val="20"/>
                <w:color w:val="auto"/>
              </w:rPr>
            </w:pPr>
            <w:r>
              <w:rPr>
                <w:rFonts w:ascii="Arial" w:cs="Arial" w:eastAsia="Arial" w:hAnsi="Arial"/>
                <w:sz w:val="12"/>
                <w:szCs w:val="12"/>
                <w:color w:val="auto"/>
              </w:rPr>
              <w:t>726,529</w:t>
            </w:r>
          </w:p>
        </w:tc>
        <w:tc>
          <w:tcPr>
            <w:tcW w:w="440" w:type="dxa"/>
            <w:vAlign w:val="bottom"/>
          </w:tcPr>
          <w:p>
            <w:pPr>
              <w:spacing w:after="0"/>
              <w:rPr>
                <w:sz w:val="13"/>
                <w:szCs w:val="13"/>
                <w:color w:val="auto"/>
              </w:rPr>
            </w:pPr>
          </w:p>
        </w:tc>
        <w:tc>
          <w:tcPr>
            <w:tcW w:w="1200" w:type="dxa"/>
            <w:vAlign w:val="bottom"/>
          </w:tcPr>
          <w:p>
            <w:pPr>
              <w:jc w:val="right"/>
              <w:ind w:right="239"/>
              <w:spacing w:after="0"/>
              <w:rPr>
                <w:sz w:val="20"/>
                <w:szCs w:val="20"/>
                <w:color w:val="auto"/>
              </w:rPr>
            </w:pPr>
            <w:r>
              <w:rPr>
                <w:rFonts w:ascii="Arial" w:cs="Arial" w:eastAsia="Arial" w:hAnsi="Arial"/>
                <w:sz w:val="12"/>
                <w:szCs w:val="12"/>
                <w:color w:val="auto"/>
              </w:rPr>
              <w:t>59,183</w:t>
            </w:r>
          </w:p>
        </w:tc>
        <w:tc>
          <w:tcPr>
            <w:tcW w:w="400" w:type="dxa"/>
            <w:vAlign w:val="bottom"/>
          </w:tcPr>
          <w:p>
            <w:pPr>
              <w:spacing w:after="0"/>
              <w:rPr>
                <w:sz w:val="13"/>
                <w:szCs w:val="13"/>
                <w:color w:val="auto"/>
              </w:rPr>
            </w:pPr>
          </w:p>
        </w:tc>
        <w:tc>
          <w:tcPr>
            <w:tcW w:w="1320" w:type="dxa"/>
            <w:vAlign w:val="bottom"/>
          </w:tcPr>
          <w:p>
            <w:pPr>
              <w:jc w:val="right"/>
              <w:ind w:right="279"/>
              <w:spacing w:after="0"/>
              <w:rPr>
                <w:sz w:val="20"/>
                <w:szCs w:val="20"/>
                <w:color w:val="auto"/>
              </w:rPr>
            </w:pPr>
            <w:r>
              <w:rPr>
                <w:rFonts w:ascii="Arial" w:cs="Arial" w:eastAsia="Arial" w:hAnsi="Arial"/>
                <w:sz w:val="12"/>
                <w:szCs w:val="12"/>
                <w:color w:val="auto"/>
              </w:rPr>
              <w:t>143,262</w:t>
            </w:r>
          </w:p>
        </w:tc>
        <w:tc>
          <w:tcPr>
            <w:tcW w:w="5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928,974</w:t>
            </w:r>
          </w:p>
        </w:tc>
      </w:tr>
      <w:tr>
        <w:trPr>
          <w:trHeight w:val="135"/>
        </w:trPr>
        <w:tc>
          <w:tcPr>
            <w:tcW w:w="2880" w:type="dxa"/>
            <w:vAlign w:val="bottom"/>
            <w:shd w:val="clear" w:color="auto" w:fill="DBDBDB"/>
          </w:tcPr>
          <w:p>
            <w:pPr>
              <w:ind w:left="660"/>
              <w:spacing w:after="0" w:line="135" w:lineRule="exact"/>
              <w:rPr>
                <w:sz w:val="20"/>
                <w:szCs w:val="20"/>
                <w:color w:val="auto"/>
              </w:rPr>
            </w:pPr>
            <w:r>
              <w:rPr>
                <w:rFonts w:ascii="Arial" w:cs="Arial" w:eastAsia="Arial" w:hAnsi="Arial"/>
                <w:sz w:val="12"/>
                <w:szCs w:val="12"/>
                <w:color w:val="auto"/>
              </w:rPr>
              <w:t>Effects of movements in foreign</w:t>
            </w:r>
          </w:p>
        </w:tc>
        <w:tc>
          <w:tcPr>
            <w:tcW w:w="640" w:type="dxa"/>
            <w:vAlign w:val="bottom"/>
            <w:shd w:val="clear" w:color="auto" w:fill="DBDBDB"/>
          </w:tcPr>
          <w:p>
            <w:pPr>
              <w:spacing w:after="0"/>
              <w:rPr>
                <w:sz w:val="11"/>
                <w:szCs w:val="11"/>
                <w:color w:val="auto"/>
              </w:rPr>
            </w:pPr>
          </w:p>
        </w:tc>
        <w:tc>
          <w:tcPr>
            <w:tcW w:w="1240" w:type="dxa"/>
            <w:vAlign w:val="bottom"/>
            <w:shd w:val="clear" w:color="auto" w:fill="DBDBDB"/>
          </w:tcPr>
          <w:p>
            <w:pPr>
              <w:jc w:val="right"/>
              <w:ind w:right="259"/>
              <w:spacing w:after="0" w:line="135" w:lineRule="exact"/>
              <w:rPr>
                <w:sz w:val="20"/>
                <w:szCs w:val="20"/>
                <w:color w:val="auto"/>
              </w:rPr>
            </w:pPr>
            <w:r>
              <w:rPr>
                <w:rFonts w:ascii="Arial" w:cs="Arial" w:eastAsia="Arial" w:hAnsi="Arial"/>
                <w:sz w:val="12"/>
                <w:szCs w:val="12"/>
                <w:color w:val="auto"/>
              </w:rPr>
              <w:t>651</w:t>
            </w:r>
          </w:p>
        </w:tc>
        <w:tc>
          <w:tcPr>
            <w:tcW w:w="460" w:type="dxa"/>
            <w:vAlign w:val="bottom"/>
            <w:shd w:val="clear" w:color="auto" w:fill="DBDBDB"/>
          </w:tcPr>
          <w:p>
            <w:pPr>
              <w:spacing w:after="0"/>
              <w:rPr>
                <w:sz w:val="11"/>
                <w:szCs w:val="11"/>
                <w:color w:val="auto"/>
              </w:rPr>
            </w:pPr>
          </w:p>
        </w:tc>
        <w:tc>
          <w:tcPr>
            <w:tcW w:w="1240" w:type="dxa"/>
            <w:vAlign w:val="bottom"/>
            <w:shd w:val="clear" w:color="auto" w:fill="DBDBDB"/>
          </w:tcPr>
          <w:p>
            <w:pPr>
              <w:jc w:val="right"/>
              <w:ind w:right="259"/>
              <w:spacing w:after="0" w:line="135" w:lineRule="exact"/>
              <w:rPr>
                <w:sz w:val="20"/>
                <w:szCs w:val="20"/>
                <w:color w:val="auto"/>
              </w:rPr>
            </w:pPr>
            <w:r>
              <w:rPr>
                <w:rFonts w:ascii="Arial" w:cs="Arial" w:eastAsia="Arial" w:hAnsi="Arial"/>
                <w:sz w:val="12"/>
                <w:szCs w:val="12"/>
                <w:color w:val="auto"/>
              </w:rPr>
              <w:t>—</w:t>
            </w:r>
          </w:p>
        </w:tc>
        <w:tc>
          <w:tcPr>
            <w:tcW w:w="440" w:type="dxa"/>
            <w:vAlign w:val="bottom"/>
            <w:shd w:val="clear" w:color="auto" w:fill="DBDBDB"/>
          </w:tcPr>
          <w:p>
            <w:pPr>
              <w:spacing w:after="0"/>
              <w:rPr>
                <w:sz w:val="11"/>
                <w:szCs w:val="11"/>
                <w:color w:val="auto"/>
              </w:rPr>
            </w:pPr>
          </w:p>
        </w:tc>
        <w:tc>
          <w:tcPr>
            <w:tcW w:w="1200" w:type="dxa"/>
            <w:vAlign w:val="bottom"/>
            <w:shd w:val="clear" w:color="auto" w:fill="DBDBDB"/>
          </w:tcPr>
          <w:p>
            <w:pPr>
              <w:jc w:val="right"/>
              <w:ind w:right="239"/>
              <w:spacing w:after="0" w:line="135" w:lineRule="exact"/>
              <w:rPr>
                <w:sz w:val="20"/>
                <w:szCs w:val="20"/>
                <w:color w:val="auto"/>
              </w:rPr>
            </w:pPr>
            <w:r>
              <w:rPr>
                <w:rFonts w:ascii="Arial" w:cs="Arial" w:eastAsia="Arial" w:hAnsi="Arial"/>
                <w:sz w:val="12"/>
                <w:szCs w:val="12"/>
                <w:color w:val="auto"/>
              </w:rPr>
              <w:t>6,417</w:t>
            </w:r>
          </w:p>
        </w:tc>
        <w:tc>
          <w:tcPr>
            <w:tcW w:w="400" w:type="dxa"/>
            <w:vAlign w:val="bottom"/>
            <w:shd w:val="clear" w:color="auto" w:fill="DBDBDB"/>
          </w:tcPr>
          <w:p>
            <w:pPr>
              <w:spacing w:after="0"/>
              <w:rPr>
                <w:sz w:val="11"/>
                <w:szCs w:val="11"/>
                <w:color w:val="auto"/>
              </w:rPr>
            </w:pPr>
          </w:p>
        </w:tc>
        <w:tc>
          <w:tcPr>
            <w:tcW w:w="1320" w:type="dxa"/>
            <w:vAlign w:val="bottom"/>
            <w:shd w:val="clear" w:color="auto" w:fill="DBDBDB"/>
          </w:tcPr>
          <w:p>
            <w:pPr>
              <w:jc w:val="right"/>
              <w:ind w:right="279"/>
              <w:spacing w:after="0" w:line="135" w:lineRule="exact"/>
              <w:rPr>
                <w:sz w:val="20"/>
                <w:szCs w:val="20"/>
                <w:color w:val="auto"/>
              </w:rPr>
            </w:pPr>
            <w:r>
              <w:rPr>
                <w:rFonts w:ascii="Arial" w:cs="Arial" w:eastAsia="Arial" w:hAnsi="Arial"/>
                <w:sz w:val="12"/>
                <w:szCs w:val="12"/>
                <w:color w:val="auto"/>
              </w:rPr>
              <w:t>—</w:t>
            </w:r>
          </w:p>
        </w:tc>
        <w:tc>
          <w:tcPr>
            <w:tcW w:w="540" w:type="dxa"/>
            <w:vAlign w:val="bottom"/>
            <w:shd w:val="clear" w:color="auto" w:fill="DBDBDB"/>
          </w:tcPr>
          <w:p>
            <w:pPr>
              <w:spacing w:after="0"/>
              <w:rPr>
                <w:sz w:val="11"/>
                <w:szCs w:val="11"/>
                <w:color w:val="auto"/>
              </w:rPr>
            </w:pPr>
          </w:p>
        </w:tc>
        <w:tc>
          <w:tcPr>
            <w:tcW w:w="920" w:type="dxa"/>
            <w:vAlign w:val="bottom"/>
            <w:shd w:val="clear" w:color="auto" w:fill="DBDBDB"/>
          </w:tcPr>
          <w:p>
            <w:pPr>
              <w:jc w:val="right"/>
              <w:spacing w:after="0" w:line="135" w:lineRule="exact"/>
              <w:rPr>
                <w:sz w:val="20"/>
                <w:szCs w:val="20"/>
                <w:color w:val="auto"/>
              </w:rPr>
            </w:pPr>
            <w:r>
              <w:rPr>
                <w:rFonts w:ascii="Arial" w:cs="Arial" w:eastAsia="Arial" w:hAnsi="Arial"/>
                <w:sz w:val="12"/>
                <w:szCs w:val="12"/>
                <w:color w:val="auto"/>
              </w:rPr>
              <w:t>7,068</w:t>
            </w:r>
          </w:p>
        </w:tc>
      </w:tr>
      <w:tr>
        <w:trPr>
          <w:trHeight w:val="150"/>
        </w:trPr>
        <w:tc>
          <w:tcPr>
            <w:tcW w:w="28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exchange rates</w:t>
            </w:r>
          </w:p>
        </w:tc>
        <w:tc>
          <w:tcPr>
            <w:tcW w:w="640" w:type="dxa"/>
            <w:vAlign w:val="bottom"/>
            <w:tcBorders>
              <w:bottom w:val="single" w:sz="8" w:color="auto"/>
            </w:tcBorders>
            <w:shd w:val="clear" w:color="auto" w:fill="DBDBDB"/>
          </w:tcPr>
          <w:p>
            <w:pPr>
              <w:spacing w:after="0"/>
              <w:rPr>
                <w:sz w:val="13"/>
                <w:szCs w:val="13"/>
                <w:color w:val="auto"/>
              </w:rPr>
            </w:pPr>
          </w:p>
        </w:tc>
        <w:tc>
          <w:tcPr>
            <w:tcW w:w="1240" w:type="dxa"/>
            <w:vAlign w:val="bottom"/>
            <w:tcBorders>
              <w:bottom w:val="single" w:sz="8" w:color="auto"/>
            </w:tcBorders>
            <w:shd w:val="clear" w:color="auto" w:fill="DBDBDB"/>
          </w:tcPr>
          <w:p>
            <w:pPr>
              <w:spacing w:after="0"/>
              <w:rPr>
                <w:sz w:val="13"/>
                <w:szCs w:val="13"/>
                <w:color w:val="auto"/>
              </w:rPr>
            </w:pPr>
          </w:p>
        </w:tc>
        <w:tc>
          <w:tcPr>
            <w:tcW w:w="460" w:type="dxa"/>
            <w:vAlign w:val="bottom"/>
            <w:tcBorders>
              <w:bottom w:val="single" w:sz="8" w:color="auto"/>
            </w:tcBorders>
            <w:shd w:val="clear" w:color="auto" w:fill="DBDBDB"/>
          </w:tcPr>
          <w:p>
            <w:pPr>
              <w:spacing w:after="0"/>
              <w:rPr>
                <w:sz w:val="13"/>
                <w:szCs w:val="13"/>
                <w:color w:val="auto"/>
              </w:rPr>
            </w:pPr>
          </w:p>
        </w:tc>
        <w:tc>
          <w:tcPr>
            <w:tcW w:w="1240" w:type="dxa"/>
            <w:vAlign w:val="bottom"/>
            <w:tcBorders>
              <w:bottom w:val="single" w:sz="8" w:color="auto"/>
            </w:tcBorders>
            <w:shd w:val="clear" w:color="auto" w:fill="DBDBDB"/>
          </w:tcPr>
          <w:p>
            <w:pPr>
              <w:spacing w:after="0"/>
              <w:rPr>
                <w:sz w:val="13"/>
                <w:szCs w:val="13"/>
                <w:color w:val="auto"/>
              </w:rPr>
            </w:pPr>
          </w:p>
        </w:tc>
        <w:tc>
          <w:tcPr>
            <w:tcW w:w="440" w:type="dxa"/>
            <w:vAlign w:val="bottom"/>
            <w:tcBorders>
              <w:bottom w:val="single" w:sz="8" w:color="auto"/>
            </w:tcBorders>
            <w:shd w:val="clear" w:color="auto" w:fill="DBDBDB"/>
          </w:tcPr>
          <w:p>
            <w:pPr>
              <w:spacing w:after="0"/>
              <w:rPr>
                <w:sz w:val="13"/>
                <w:szCs w:val="13"/>
                <w:color w:val="auto"/>
              </w:rPr>
            </w:pPr>
          </w:p>
        </w:tc>
        <w:tc>
          <w:tcPr>
            <w:tcW w:w="1200" w:type="dxa"/>
            <w:vAlign w:val="bottom"/>
            <w:tcBorders>
              <w:bottom w:val="single" w:sz="8" w:color="auto"/>
            </w:tcBorders>
            <w:shd w:val="clear" w:color="auto" w:fill="DBDBDB"/>
          </w:tcPr>
          <w:p>
            <w:pPr>
              <w:spacing w:after="0"/>
              <w:rPr>
                <w:sz w:val="13"/>
                <w:szCs w:val="13"/>
                <w:color w:val="auto"/>
              </w:rPr>
            </w:pPr>
          </w:p>
        </w:tc>
        <w:tc>
          <w:tcPr>
            <w:tcW w:w="400" w:type="dxa"/>
            <w:vAlign w:val="bottom"/>
            <w:tcBorders>
              <w:bottom w:val="single" w:sz="8" w:color="auto"/>
            </w:tcBorders>
            <w:shd w:val="clear" w:color="auto" w:fill="DBDBDB"/>
          </w:tcPr>
          <w:p>
            <w:pPr>
              <w:spacing w:after="0"/>
              <w:rPr>
                <w:sz w:val="13"/>
                <w:szCs w:val="13"/>
                <w:color w:val="auto"/>
              </w:rPr>
            </w:pPr>
          </w:p>
        </w:tc>
        <w:tc>
          <w:tcPr>
            <w:tcW w:w="1320" w:type="dxa"/>
            <w:vAlign w:val="bottom"/>
            <w:tcBorders>
              <w:bottom w:val="single" w:sz="8" w:color="auto"/>
            </w:tcBorders>
            <w:shd w:val="clear" w:color="auto" w:fill="DBDBDB"/>
          </w:tcPr>
          <w:p>
            <w:pPr>
              <w:spacing w:after="0"/>
              <w:rPr>
                <w:sz w:val="13"/>
                <w:szCs w:val="13"/>
                <w:color w:val="auto"/>
              </w:rPr>
            </w:pPr>
          </w:p>
        </w:tc>
        <w:tc>
          <w:tcPr>
            <w:tcW w:w="540" w:type="dxa"/>
            <w:vAlign w:val="bottom"/>
            <w:tcBorders>
              <w:bottom w:val="single" w:sz="8" w:color="auto"/>
            </w:tcBorders>
            <w:shd w:val="clear" w:color="auto" w:fill="DBDBDB"/>
          </w:tcPr>
          <w:p>
            <w:pPr>
              <w:spacing w:after="0"/>
              <w:rPr>
                <w:sz w:val="13"/>
                <w:szCs w:val="13"/>
                <w:color w:val="auto"/>
              </w:rPr>
            </w:pPr>
          </w:p>
        </w:tc>
        <w:tc>
          <w:tcPr>
            <w:tcW w:w="920" w:type="dxa"/>
            <w:vAlign w:val="bottom"/>
            <w:tcBorders>
              <w:bottom w:val="single" w:sz="8" w:color="auto"/>
            </w:tcBorders>
            <w:shd w:val="clear" w:color="auto" w:fill="DBDBDB"/>
          </w:tcPr>
          <w:p>
            <w:pPr>
              <w:spacing w:after="0"/>
              <w:rPr>
                <w:sz w:val="13"/>
                <w:szCs w:val="13"/>
                <w:color w:val="auto"/>
              </w:rPr>
            </w:pPr>
          </w:p>
        </w:tc>
      </w:tr>
      <w:tr>
        <w:trPr>
          <w:trHeight w:val="149"/>
        </w:trPr>
        <w:tc>
          <w:tcPr>
            <w:tcW w:w="2880" w:type="dxa"/>
            <w:vAlign w:val="bottom"/>
          </w:tcPr>
          <w:p>
            <w:pPr>
              <w:ind w:left="500"/>
              <w:spacing w:after="0"/>
              <w:rPr>
                <w:sz w:val="20"/>
                <w:szCs w:val="20"/>
                <w:color w:val="auto"/>
              </w:rPr>
            </w:pPr>
            <w:r>
              <w:rPr>
                <w:rFonts w:ascii="Arial" w:cs="Arial" w:eastAsia="Arial" w:hAnsi="Arial"/>
                <w:sz w:val="12"/>
                <w:szCs w:val="12"/>
                <w:color w:val="auto"/>
              </w:rPr>
              <w:t>Balance at December 31, 2020</w:t>
            </w:r>
          </w:p>
        </w:tc>
        <w:tc>
          <w:tcPr>
            <w:tcW w:w="640" w:type="dxa"/>
            <w:vAlign w:val="bottom"/>
          </w:tcPr>
          <w:p>
            <w:pPr>
              <w:spacing w:after="0"/>
              <w:rPr>
                <w:sz w:val="12"/>
                <w:szCs w:val="12"/>
                <w:color w:val="auto"/>
              </w:rPr>
            </w:pPr>
          </w:p>
        </w:tc>
        <w:tc>
          <w:tcPr>
            <w:tcW w:w="1240" w:type="dxa"/>
            <w:vAlign w:val="bottom"/>
          </w:tcPr>
          <w:p>
            <w:pPr>
              <w:jc w:val="right"/>
              <w:ind w:right="259"/>
              <w:spacing w:after="0"/>
              <w:rPr>
                <w:sz w:val="20"/>
                <w:szCs w:val="20"/>
                <w:color w:val="auto"/>
              </w:rPr>
            </w:pPr>
            <w:r>
              <w:rPr>
                <w:rFonts w:ascii="Arial" w:cs="Arial" w:eastAsia="Arial" w:hAnsi="Arial"/>
                <w:sz w:val="12"/>
                <w:szCs w:val="12"/>
                <w:color w:val="auto"/>
              </w:rPr>
              <w:t>235,828</w:t>
            </w:r>
          </w:p>
        </w:tc>
        <w:tc>
          <w:tcPr>
            <w:tcW w:w="460" w:type="dxa"/>
            <w:vAlign w:val="bottom"/>
          </w:tcPr>
          <w:p>
            <w:pPr>
              <w:spacing w:after="0"/>
              <w:rPr>
                <w:sz w:val="12"/>
                <w:szCs w:val="12"/>
                <w:color w:val="auto"/>
              </w:rPr>
            </w:pPr>
          </w:p>
        </w:tc>
        <w:tc>
          <w:tcPr>
            <w:tcW w:w="1240" w:type="dxa"/>
            <w:vAlign w:val="bottom"/>
          </w:tcPr>
          <w:p>
            <w:pPr>
              <w:jc w:val="right"/>
              <w:ind w:right="259"/>
              <w:spacing w:after="0"/>
              <w:rPr>
                <w:sz w:val="20"/>
                <w:szCs w:val="20"/>
                <w:color w:val="auto"/>
              </w:rPr>
            </w:pPr>
            <w:r>
              <w:rPr>
                <w:rFonts w:ascii="Arial" w:cs="Arial" w:eastAsia="Arial" w:hAnsi="Arial"/>
                <w:sz w:val="12"/>
                <w:szCs w:val="12"/>
                <w:color w:val="auto"/>
              </w:rPr>
              <w:t>726,529</w:t>
            </w:r>
          </w:p>
        </w:tc>
        <w:tc>
          <w:tcPr>
            <w:tcW w:w="440" w:type="dxa"/>
            <w:vAlign w:val="bottom"/>
          </w:tcPr>
          <w:p>
            <w:pPr>
              <w:spacing w:after="0"/>
              <w:rPr>
                <w:sz w:val="12"/>
                <w:szCs w:val="12"/>
                <w:color w:val="auto"/>
              </w:rPr>
            </w:pPr>
          </w:p>
        </w:tc>
        <w:tc>
          <w:tcPr>
            <w:tcW w:w="1200" w:type="dxa"/>
            <w:vAlign w:val="bottom"/>
          </w:tcPr>
          <w:p>
            <w:pPr>
              <w:jc w:val="right"/>
              <w:ind w:right="239"/>
              <w:spacing w:after="0"/>
              <w:rPr>
                <w:sz w:val="20"/>
                <w:szCs w:val="20"/>
                <w:color w:val="auto"/>
              </w:rPr>
            </w:pPr>
            <w:r>
              <w:rPr>
                <w:rFonts w:ascii="Arial" w:cs="Arial" w:eastAsia="Arial" w:hAnsi="Arial"/>
                <w:sz w:val="12"/>
                <w:szCs w:val="12"/>
                <w:color w:val="auto"/>
              </w:rPr>
              <w:t>65,600</w:t>
            </w:r>
          </w:p>
        </w:tc>
        <w:tc>
          <w:tcPr>
            <w:tcW w:w="400" w:type="dxa"/>
            <w:vAlign w:val="bottom"/>
          </w:tcPr>
          <w:p>
            <w:pPr>
              <w:spacing w:after="0"/>
              <w:rPr>
                <w:sz w:val="12"/>
                <w:szCs w:val="12"/>
                <w:color w:val="auto"/>
              </w:rPr>
            </w:pPr>
          </w:p>
        </w:tc>
        <w:tc>
          <w:tcPr>
            <w:tcW w:w="1320" w:type="dxa"/>
            <w:vAlign w:val="bottom"/>
          </w:tcPr>
          <w:p>
            <w:pPr>
              <w:jc w:val="right"/>
              <w:ind w:right="279"/>
              <w:spacing w:after="0"/>
              <w:rPr>
                <w:sz w:val="20"/>
                <w:szCs w:val="20"/>
                <w:color w:val="auto"/>
              </w:rPr>
            </w:pPr>
            <w:r>
              <w:rPr>
                <w:rFonts w:ascii="Arial" w:cs="Arial" w:eastAsia="Arial" w:hAnsi="Arial"/>
                <w:sz w:val="12"/>
                <w:szCs w:val="12"/>
                <w:color w:val="auto"/>
              </w:rPr>
              <w:t>143,262</w:t>
            </w:r>
          </w:p>
        </w:tc>
        <w:tc>
          <w:tcPr>
            <w:tcW w:w="5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1,171,219</w:t>
            </w:r>
          </w:p>
        </w:tc>
      </w:tr>
      <w:tr>
        <w:trPr>
          <w:trHeight w:val="135"/>
        </w:trPr>
        <w:tc>
          <w:tcPr>
            <w:tcW w:w="2880" w:type="dxa"/>
            <w:vAlign w:val="bottom"/>
            <w:shd w:val="clear" w:color="auto" w:fill="DBDBDB"/>
          </w:tcPr>
          <w:p>
            <w:pPr>
              <w:ind w:left="660"/>
              <w:spacing w:after="0" w:line="135" w:lineRule="exact"/>
              <w:rPr>
                <w:sz w:val="20"/>
                <w:szCs w:val="20"/>
                <w:color w:val="auto"/>
              </w:rPr>
            </w:pPr>
            <w:r>
              <w:rPr>
                <w:rFonts w:ascii="Arial" w:cs="Arial" w:eastAsia="Arial" w:hAnsi="Arial"/>
                <w:sz w:val="12"/>
                <w:szCs w:val="12"/>
                <w:color w:val="auto"/>
              </w:rPr>
              <w:t>Changes to Mobile Mini purchase</w:t>
            </w:r>
          </w:p>
        </w:tc>
        <w:tc>
          <w:tcPr>
            <w:tcW w:w="640" w:type="dxa"/>
            <w:vAlign w:val="bottom"/>
            <w:shd w:val="clear" w:color="auto" w:fill="DBDBDB"/>
          </w:tcPr>
          <w:p>
            <w:pPr>
              <w:spacing w:after="0"/>
              <w:rPr>
                <w:sz w:val="11"/>
                <w:szCs w:val="11"/>
                <w:color w:val="auto"/>
              </w:rPr>
            </w:pPr>
          </w:p>
        </w:tc>
        <w:tc>
          <w:tcPr>
            <w:tcW w:w="1240" w:type="dxa"/>
            <w:vAlign w:val="bottom"/>
            <w:shd w:val="clear" w:color="auto" w:fill="DBDBDB"/>
          </w:tcPr>
          <w:p>
            <w:pPr>
              <w:spacing w:after="0"/>
              <w:rPr>
                <w:sz w:val="11"/>
                <w:szCs w:val="11"/>
                <w:color w:val="auto"/>
              </w:rPr>
            </w:pPr>
          </w:p>
        </w:tc>
        <w:tc>
          <w:tcPr>
            <w:tcW w:w="460" w:type="dxa"/>
            <w:vAlign w:val="bottom"/>
            <w:shd w:val="clear" w:color="auto" w:fill="DBDBDB"/>
          </w:tcPr>
          <w:p>
            <w:pPr>
              <w:spacing w:after="0"/>
              <w:rPr>
                <w:sz w:val="11"/>
                <w:szCs w:val="11"/>
                <w:color w:val="auto"/>
              </w:rPr>
            </w:pPr>
          </w:p>
        </w:tc>
        <w:tc>
          <w:tcPr>
            <w:tcW w:w="1240" w:type="dxa"/>
            <w:vAlign w:val="bottom"/>
            <w:shd w:val="clear" w:color="auto" w:fill="DBDBDB"/>
          </w:tcPr>
          <w:p>
            <w:pPr>
              <w:spacing w:after="0"/>
              <w:rPr>
                <w:sz w:val="11"/>
                <w:szCs w:val="11"/>
                <w:color w:val="auto"/>
              </w:rPr>
            </w:pPr>
          </w:p>
        </w:tc>
        <w:tc>
          <w:tcPr>
            <w:tcW w:w="440" w:type="dxa"/>
            <w:vAlign w:val="bottom"/>
            <w:shd w:val="clear" w:color="auto" w:fill="DBDBDB"/>
          </w:tcPr>
          <w:p>
            <w:pPr>
              <w:spacing w:after="0"/>
              <w:rPr>
                <w:sz w:val="11"/>
                <w:szCs w:val="11"/>
                <w:color w:val="auto"/>
              </w:rPr>
            </w:pPr>
          </w:p>
        </w:tc>
        <w:tc>
          <w:tcPr>
            <w:tcW w:w="1200" w:type="dxa"/>
            <w:vAlign w:val="bottom"/>
            <w:shd w:val="clear" w:color="auto" w:fill="DBDBDB"/>
          </w:tcPr>
          <w:p>
            <w:pPr>
              <w:spacing w:after="0"/>
              <w:rPr>
                <w:sz w:val="11"/>
                <w:szCs w:val="11"/>
                <w:color w:val="auto"/>
              </w:rPr>
            </w:pPr>
          </w:p>
        </w:tc>
        <w:tc>
          <w:tcPr>
            <w:tcW w:w="400" w:type="dxa"/>
            <w:vAlign w:val="bottom"/>
            <w:shd w:val="clear" w:color="auto" w:fill="DBDBDB"/>
          </w:tcPr>
          <w:p>
            <w:pPr>
              <w:spacing w:after="0"/>
              <w:rPr>
                <w:sz w:val="11"/>
                <w:szCs w:val="11"/>
                <w:color w:val="auto"/>
              </w:rPr>
            </w:pPr>
          </w:p>
        </w:tc>
        <w:tc>
          <w:tcPr>
            <w:tcW w:w="1320" w:type="dxa"/>
            <w:vAlign w:val="bottom"/>
            <w:shd w:val="clear" w:color="auto" w:fill="DBDBDB"/>
          </w:tcPr>
          <w:p>
            <w:pPr>
              <w:spacing w:after="0"/>
              <w:rPr>
                <w:sz w:val="11"/>
                <w:szCs w:val="11"/>
                <w:color w:val="auto"/>
              </w:rPr>
            </w:pPr>
          </w:p>
        </w:tc>
        <w:tc>
          <w:tcPr>
            <w:tcW w:w="540" w:type="dxa"/>
            <w:vAlign w:val="bottom"/>
            <w:shd w:val="clear" w:color="auto" w:fill="DBDBDB"/>
          </w:tcPr>
          <w:p>
            <w:pPr>
              <w:spacing w:after="0"/>
              <w:rPr>
                <w:sz w:val="11"/>
                <w:szCs w:val="11"/>
                <w:color w:val="auto"/>
              </w:rPr>
            </w:pPr>
          </w:p>
        </w:tc>
        <w:tc>
          <w:tcPr>
            <w:tcW w:w="920" w:type="dxa"/>
            <w:vAlign w:val="bottom"/>
            <w:shd w:val="clear" w:color="auto" w:fill="DBDBDB"/>
          </w:tcPr>
          <w:p>
            <w:pPr>
              <w:spacing w:after="0"/>
              <w:rPr>
                <w:sz w:val="11"/>
                <w:szCs w:val="11"/>
                <w:color w:val="auto"/>
              </w:rPr>
            </w:pPr>
          </w:p>
        </w:tc>
      </w:tr>
      <w:tr>
        <w:trPr>
          <w:trHeight w:val="150"/>
        </w:trPr>
        <w:tc>
          <w:tcPr>
            <w:tcW w:w="28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accounting</w:t>
            </w:r>
          </w:p>
        </w:tc>
        <w:tc>
          <w:tcPr>
            <w:tcW w:w="640" w:type="dxa"/>
            <w:vAlign w:val="bottom"/>
            <w:shd w:val="clear" w:color="auto" w:fill="DBDBDB"/>
          </w:tcPr>
          <w:p>
            <w:pPr>
              <w:spacing w:after="0"/>
              <w:rPr>
                <w:sz w:val="13"/>
                <w:szCs w:val="13"/>
                <w:color w:val="auto"/>
              </w:rPr>
            </w:pPr>
          </w:p>
        </w:tc>
        <w:tc>
          <w:tcPr>
            <w:tcW w:w="1240" w:type="dxa"/>
            <w:vAlign w:val="bottom"/>
            <w:shd w:val="clear" w:color="auto" w:fill="DBDBDB"/>
          </w:tcPr>
          <w:p>
            <w:pPr>
              <w:jc w:val="right"/>
              <w:ind w:right="259"/>
              <w:spacing w:after="0"/>
              <w:rPr>
                <w:sz w:val="20"/>
                <w:szCs w:val="20"/>
                <w:color w:val="auto"/>
              </w:rPr>
            </w:pPr>
            <w:r>
              <w:rPr>
                <w:rFonts w:ascii="Arial" w:cs="Arial" w:eastAsia="Arial" w:hAnsi="Arial"/>
                <w:sz w:val="12"/>
                <w:szCs w:val="12"/>
                <w:color w:val="auto"/>
              </w:rPr>
              <w:t>285,000</w:t>
            </w:r>
          </w:p>
        </w:tc>
        <w:tc>
          <w:tcPr>
            <w:tcW w:w="460" w:type="dxa"/>
            <w:vAlign w:val="bottom"/>
            <w:shd w:val="clear" w:color="auto" w:fill="DBDBDB"/>
          </w:tcPr>
          <w:p>
            <w:pPr>
              <w:spacing w:after="0"/>
              <w:rPr>
                <w:sz w:val="13"/>
                <w:szCs w:val="13"/>
                <w:color w:val="auto"/>
              </w:rPr>
            </w:pPr>
          </w:p>
        </w:tc>
        <w:tc>
          <w:tcPr>
            <w:tcW w:w="1240" w:type="dxa"/>
            <w:vAlign w:val="bottom"/>
            <w:shd w:val="clear" w:color="auto" w:fill="DBDBDB"/>
          </w:tcPr>
          <w:p>
            <w:pPr>
              <w:jc w:val="right"/>
              <w:ind w:right="219"/>
              <w:spacing w:after="0"/>
              <w:rPr>
                <w:sz w:val="20"/>
                <w:szCs w:val="20"/>
                <w:color w:val="auto"/>
              </w:rPr>
            </w:pPr>
            <w:r>
              <w:rPr>
                <w:rFonts w:ascii="Arial" w:cs="Arial" w:eastAsia="Arial" w:hAnsi="Arial"/>
                <w:sz w:val="12"/>
                <w:szCs w:val="12"/>
                <w:color w:val="auto"/>
              </w:rPr>
              <w:t>(233,666)</w:t>
            </w:r>
          </w:p>
        </w:tc>
        <w:tc>
          <w:tcPr>
            <w:tcW w:w="44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239"/>
              <w:spacing w:after="0"/>
              <w:rPr>
                <w:sz w:val="20"/>
                <w:szCs w:val="20"/>
                <w:color w:val="auto"/>
              </w:rPr>
            </w:pPr>
            <w:r>
              <w:rPr>
                <w:rFonts w:ascii="Arial" w:cs="Arial" w:eastAsia="Arial" w:hAnsi="Arial"/>
                <w:sz w:val="12"/>
                <w:szCs w:val="12"/>
                <w:color w:val="auto"/>
              </w:rPr>
              <w:t>—</w:t>
            </w:r>
          </w:p>
        </w:tc>
        <w:tc>
          <w:tcPr>
            <w:tcW w:w="400" w:type="dxa"/>
            <w:vAlign w:val="bottom"/>
            <w:shd w:val="clear" w:color="auto" w:fill="DBDBDB"/>
          </w:tcPr>
          <w:p>
            <w:pPr>
              <w:spacing w:after="0"/>
              <w:rPr>
                <w:sz w:val="13"/>
                <w:szCs w:val="13"/>
                <w:color w:val="auto"/>
              </w:rPr>
            </w:pPr>
          </w:p>
        </w:tc>
        <w:tc>
          <w:tcPr>
            <w:tcW w:w="1320" w:type="dxa"/>
            <w:vAlign w:val="bottom"/>
            <w:shd w:val="clear" w:color="auto" w:fill="DBDBDB"/>
          </w:tcPr>
          <w:p>
            <w:pPr>
              <w:jc w:val="right"/>
              <w:ind w:right="239"/>
              <w:spacing w:after="0"/>
              <w:rPr>
                <w:sz w:val="20"/>
                <w:szCs w:val="20"/>
                <w:color w:val="auto"/>
              </w:rPr>
            </w:pPr>
            <w:r>
              <w:rPr>
                <w:rFonts w:ascii="Arial" w:cs="Arial" w:eastAsia="Arial" w:hAnsi="Arial"/>
                <w:sz w:val="12"/>
                <w:szCs w:val="12"/>
                <w:color w:val="auto"/>
              </w:rPr>
              <w:t>(43,173)</w:t>
            </w:r>
          </w:p>
        </w:tc>
        <w:tc>
          <w:tcPr>
            <w:tcW w:w="540" w:type="dxa"/>
            <w:vAlign w:val="bottom"/>
            <w:shd w:val="clear" w:color="auto" w:fill="DBDBDB"/>
          </w:tcPr>
          <w:p>
            <w:pPr>
              <w:spacing w:after="0"/>
              <w:rPr>
                <w:sz w:val="13"/>
                <w:szCs w:val="13"/>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8,161</w:t>
            </w:r>
          </w:p>
        </w:tc>
      </w:tr>
      <w:tr>
        <w:trPr>
          <w:trHeight w:val="133"/>
        </w:trPr>
        <w:tc>
          <w:tcPr>
            <w:tcW w:w="2880" w:type="dxa"/>
            <w:vAlign w:val="bottom"/>
          </w:tcPr>
          <w:p>
            <w:pPr>
              <w:ind w:left="660"/>
              <w:spacing w:after="0" w:line="133" w:lineRule="exact"/>
              <w:rPr>
                <w:sz w:val="20"/>
                <w:szCs w:val="20"/>
                <w:color w:val="auto"/>
              </w:rPr>
            </w:pPr>
            <w:r>
              <w:rPr>
                <w:rFonts w:ascii="Arial" w:cs="Arial" w:eastAsia="Arial" w:hAnsi="Arial"/>
                <w:sz w:val="12"/>
                <w:szCs w:val="12"/>
                <w:color w:val="auto"/>
              </w:rPr>
              <w:t>Effects of movements in foreign</w:t>
            </w:r>
          </w:p>
        </w:tc>
        <w:tc>
          <w:tcPr>
            <w:tcW w:w="640" w:type="dxa"/>
            <w:vAlign w:val="bottom"/>
          </w:tcPr>
          <w:p>
            <w:pPr>
              <w:spacing w:after="0"/>
              <w:rPr>
                <w:sz w:val="11"/>
                <w:szCs w:val="11"/>
                <w:color w:val="auto"/>
              </w:rPr>
            </w:pPr>
          </w:p>
        </w:tc>
        <w:tc>
          <w:tcPr>
            <w:tcW w:w="1240" w:type="dxa"/>
            <w:vAlign w:val="bottom"/>
          </w:tcPr>
          <w:p>
            <w:pPr>
              <w:jc w:val="right"/>
              <w:ind w:right="259"/>
              <w:spacing w:after="0" w:line="133" w:lineRule="exact"/>
              <w:rPr>
                <w:sz w:val="20"/>
                <w:szCs w:val="20"/>
                <w:color w:val="auto"/>
              </w:rPr>
            </w:pPr>
            <w:r>
              <w:rPr>
                <w:rFonts w:ascii="Arial" w:cs="Arial" w:eastAsia="Arial" w:hAnsi="Arial"/>
                <w:sz w:val="12"/>
                <w:szCs w:val="12"/>
                <w:color w:val="auto"/>
              </w:rPr>
              <w:t>842</w:t>
            </w:r>
          </w:p>
        </w:tc>
        <w:tc>
          <w:tcPr>
            <w:tcW w:w="460" w:type="dxa"/>
            <w:vAlign w:val="bottom"/>
          </w:tcPr>
          <w:p>
            <w:pPr>
              <w:spacing w:after="0"/>
              <w:rPr>
                <w:sz w:val="11"/>
                <w:szCs w:val="11"/>
                <w:color w:val="auto"/>
              </w:rPr>
            </w:pPr>
          </w:p>
        </w:tc>
        <w:tc>
          <w:tcPr>
            <w:tcW w:w="1240" w:type="dxa"/>
            <w:vAlign w:val="bottom"/>
          </w:tcPr>
          <w:p>
            <w:pPr>
              <w:jc w:val="right"/>
              <w:ind w:right="219"/>
              <w:spacing w:after="0" w:line="133" w:lineRule="exact"/>
              <w:rPr>
                <w:sz w:val="20"/>
                <w:szCs w:val="20"/>
                <w:color w:val="auto"/>
              </w:rPr>
            </w:pPr>
            <w:r>
              <w:rPr>
                <w:rFonts w:ascii="Arial" w:cs="Arial" w:eastAsia="Arial" w:hAnsi="Arial"/>
                <w:sz w:val="12"/>
                <w:szCs w:val="12"/>
                <w:color w:val="auto"/>
              </w:rPr>
              <w:t>(293)</w:t>
            </w:r>
          </w:p>
        </w:tc>
        <w:tc>
          <w:tcPr>
            <w:tcW w:w="440" w:type="dxa"/>
            <w:vAlign w:val="bottom"/>
          </w:tcPr>
          <w:p>
            <w:pPr>
              <w:spacing w:after="0"/>
              <w:rPr>
                <w:sz w:val="11"/>
                <w:szCs w:val="11"/>
                <w:color w:val="auto"/>
              </w:rPr>
            </w:pPr>
          </w:p>
        </w:tc>
        <w:tc>
          <w:tcPr>
            <w:tcW w:w="1200" w:type="dxa"/>
            <w:vAlign w:val="bottom"/>
          </w:tcPr>
          <w:p>
            <w:pPr>
              <w:jc w:val="right"/>
              <w:ind w:right="239"/>
              <w:spacing w:after="0" w:line="133" w:lineRule="exact"/>
              <w:rPr>
                <w:sz w:val="20"/>
                <w:szCs w:val="20"/>
                <w:color w:val="auto"/>
              </w:rPr>
            </w:pPr>
            <w:r>
              <w:rPr>
                <w:rFonts w:ascii="Arial" w:cs="Arial" w:eastAsia="Arial" w:hAnsi="Arial"/>
                <w:sz w:val="12"/>
                <w:szCs w:val="12"/>
                <w:color w:val="auto"/>
              </w:rPr>
              <w:t>808</w:t>
            </w:r>
          </w:p>
        </w:tc>
        <w:tc>
          <w:tcPr>
            <w:tcW w:w="400" w:type="dxa"/>
            <w:vAlign w:val="bottom"/>
          </w:tcPr>
          <w:p>
            <w:pPr>
              <w:spacing w:after="0"/>
              <w:rPr>
                <w:sz w:val="11"/>
                <w:szCs w:val="11"/>
                <w:color w:val="auto"/>
              </w:rPr>
            </w:pPr>
          </w:p>
        </w:tc>
        <w:tc>
          <w:tcPr>
            <w:tcW w:w="1320" w:type="dxa"/>
            <w:vAlign w:val="bottom"/>
          </w:tcPr>
          <w:p>
            <w:pPr>
              <w:jc w:val="right"/>
              <w:ind w:right="279"/>
              <w:spacing w:after="0" w:line="133" w:lineRule="exact"/>
              <w:rPr>
                <w:sz w:val="20"/>
                <w:szCs w:val="20"/>
                <w:color w:val="auto"/>
              </w:rPr>
            </w:pPr>
            <w:r>
              <w:rPr>
                <w:rFonts w:ascii="Arial" w:cs="Arial" w:eastAsia="Arial" w:hAnsi="Arial"/>
                <w:sz w:val="12"/>
                <w:szCs w:val="12"/>
                <w:color w:val="auto"/>
              </w:rPr>
              <w:t>—</w:t>
            </w:r>
          </w:p>
        </w:tc>
        <w:tc>
          <w:tcPr>
            <w:tcW w:w="54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1,357</w:t>
            </w:r>
          </w:p>
        </w:tc>
      </w:tr>
      <w:tr>
        <w:trPr>
          <w:trHeight w:val="148"/>
        </w:trPr>
        <w:tc>
          <w:tcPr>
            <w:tcW w:w="2880" w:type="dxa"/>
            <w:vAlign w:val="bottom"/>
            <w:tcBorders>
              <w:bottom w:val="single" w:sz="8" w:color="DBDBDB"/>
            </w:tcBorders>
          </w:tcPr>
          <w:p>
            <w:pPr>
              <w:ind w:left="180"/>
              <w:spacing w:after="0"/>
              <w:rPr>
                <w:sz w:val="20"/>
                <w:szCs w:val="20"/>
                <w:color w:val="auto"/>
              </w:rPr>
            </w:pPr>
            <w:r>
              <w:rPr>
                <w:rFonts w:ascii="Arial" w:cs="Arial" w:eastAsia="Arial" w:hAnsi="Arial"/>
                <w:sz w:val="12"/>
                <w:szCs w:val="12"/>
                <w:color w:val="auto"/>
              </w:rPr>
              <w:t>exchange rates</w:t>
            </w:r>
          </w:p>
        </w:tc>
        <w:tc>
          <w:tcPr>
            <w:tcW w:w="6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76"/>
        </w:trPr>
        <w:tc>
          <w:tcPr>
            <w:tcW w:w="2880" w:type="dxa"/>
            <w:vAlign w:val="bottom"/>
            <w:tcBorders>
              <w:bottom w:val="single" w:sz="8" w:color="DBDBDB"/>
            </w:tcBorders>
            <w:shd w:val="clear" w:color="auto" w:fill="DBDBDB"/>
          </w:tcPr>
          <w:p>
            <w:pPr>
              <w:ind w:left="500"/>
              <w:spacing w:after="0"/>
              <w:rPr>
                <w:sz w:val="20"/>
                <w:szCs w:val="20"/>
                <w:color w:val="auto"/>
              </w:rPr>
            </w:pPr>
            <w:r>
              <w:rPr>
                <w:rFonts w:ascii="Arial" w:cs="Arial" w:eastAsia="Arial" w:hAnsi="Arial"/>
                <w:sz w:val="12"/>
                <w:szCs w:val="12"/>
                <w:color w:val="auto"/>
              </w:rPr>
              <w:t>Balance at June 30, 2021</w:t>
            </w:r>
          </w:p>
        </w:tc>
        <w:tc>
          <w:tcPr>
            <w:tcW w:w="64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shd w:val="clear" w:color="auto" w:fill="DBDBDB"/>
          </w:tcPr>
          <w:p>
            <w:pPr>
              <w:jc w:val="right"/>
              <w:ind w:right="259"/>
              <w:spacing w:after="0"/>
              <w:rPr>
                <w:sz w:val="20"/>
                <w:szCs w:val="20"/>
                <w:color w:val="auto"/>
              </w:rPr>
            </w:pPr>
            <w:r>
              <w:rPr>
                <w:rFonts w:ascii="Arial" w:cs="Arial" w:eastAsia="Arial" w:hAnsi="Arial"/>
                <w:sz w:val="12"/>
                <w:szCs w:val="12"/>
                <w:color w:val="auto"/>
              </w:rPr>
              <w:t>521,670</w:t>
            </w:r>
          </w:p>
        </w:tc>
        <w:tc>
          <w:tcPr>
            <w:tcW w:w="46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shd w:val="clear" w:color="auto" w:fill="DBDBDB"/>
          </w:tcPr>
          <w:p>
            <w:pPr>
              <w:jc w:val="right"/>
              <w:ind w:right="259"/>
              <w:spacing w:after="0"/>
              <w:rPr>
                <w:sz w:val="20"/>
                <w:szCs w:val="20"/>
                <w:color w:val="auto"/>
              </w:rPr>
            </w:pPr>
            <w:r>
              <w:rPr>
                <w:rFonts w:ascii="Arial" w:cs="Arial" w:eastAsia="Arial" w:hAnsi="Arial"/>
                <w:sz w:val="12"/>
                <w:szCs w:val="12"/>
                <w:color w:val="auto"/>
              </w:rPr>
              <w:t>492,570</w:t>
            </w:r>
          </w:p>
        </w:tc>
        <w:tc>
          <w:tcPr>
            <w:tcW w:w="44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2"/>
                <w:szCs w:val="12"/>
                <w:color w:val="auto"/>
              </w:rPr>
              <w:t>66,408</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shd w:val="clear" w:color="auto" w:fill="DBDBDB"/>
          </w:tcPr>
          <w:p>
            <w:pPr>
              <w:jc w:val="right"/>
              <w:ind w:right="279"/>
              <w:spacing w:after="0"/>
              <w:rPr>
                <w:sz w:val="20"/>
                <w:szCs w:val="20"/>
                <w:color w:val="auto"/>
              </w:rPr>
            </w:pPr>
            <w:r>
              <w:rPr>
                <w:rFonts w:ascii="Arial" w:cs="Arial" w:eastAsia="Arial" w:hAnsi="Arial"/>
                <w:sz w:val="12"/>
                <w:szCs w:val="12"/>
                <w:color w:val="auto"/>
              </w:rPr>
              <w:t>100,089</w:t>
            </w:r>
          </w:p>
        </w:tc>
        <w:tc>
          <w:tcPr>
            <w:tcW w:w="54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1,180,737</w:t>
            </w:r>
          </w:p>
        </w:tc>
      </w:tr>
      <w:tr>
        <w:trPr>
          <w:trHeight w:val="20"/>
        </w:trPr>
        <w:tc>
          <w:tcPr>
            <w:tcW w:w="288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Company had no goodwill impairment during the six months ended June 30, 2021 or the year ended December 31, 2020. Changes to Mobile Mini purchase accounting are largely the result of the finalization of the assignment of goodwill to the reporting units during the measurement period.</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1D2758"/>
        </w:rPr>
        <w:t>NOTE 8 - Intangibles</w:t>
      </w:r>
    </w:p>
    <w:p>
      <w:pPr>
        <w:spacing w:after="0" w:line="8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Intangible assets other than goodwill at the respective balance sheet dates consisted of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shd w:val="clear" w:color="auto" w:fill="1D2758"/>
          </w:tcPr>
          <w:p>
            <w:pPr>
              <w:spacing w:after="0"/>
              <w:rPr>
                <w:sz w:val="14"/>
                <w:szCs w:val="14"/>
                <w:color w:val="auto"/>
              </w:rPr>
            </w:pPr>
          </w:p>
        </w:tc>
        <w:tc>
          <w:tcPr>
            <w:tcW w:w="1560" w:type="dxa"/>
            <w:vAlign w:val="bottom"/>
            <w:shd w:val="clear" w:color="auto" w:fill="1D2758"/>
          </w:tcPr>
          <w:p>
            <w:pPr>
              <w:spacing w:after="0"/>
              <w:rPr>
                <w:sz w:val="14"/>
                <w:szCs w:val="14"/>
                <w:color w:val="auto"/>
              </w:rPr>
            </w:pPr>
          </w:p>
        </w:tc>
        <w:tc>
          <w:tcPr>
            <w:tcW w:w="520" w:type="dxa"/>
            <w:vAlign w:val="bottom"/>
            <w:shd w:val="clear" w:color="auto" w:fill="1D2758"/>
          </w:tcPr>
          <w:p>
            <w:pPr>
              <w:spacing w:after="0"/>
              <w:rPr>
                <w:sz w:val="14"/>
                <w:szCs w:val="14"/>
                <w:color w:val="auto"/>
              </w:rPr>
            </w:pPr>
          </w:p>
        </w:tc>
        <w:tc>
          <w:tcPr>
            <w:tcW w:w="1400" w:type="dxa"/>
            <w:vAlign w:val="bottom"/>
            <w:gridSpan w:val="3"/>
            <w:shd w:val="clear" w:color="auto" w:fill="1D2758"/>
          </w:tcPr>
          <w:p>
            <w:pPr>
              <w:jc w:val="center"/>
              <w:ind w:left="539"/>
              <w:spacing w:after="0"/>
              <w:rPr>
                <w:sz w:val="20"/>
                <w:szCs w:val="20"/>
                <w:color w:val="auto"/>
              </w:rPr>
            </w:pPr>
            <w:r>
              <w:rPr>
                <w:rFonts w:ascii="Arial" w:cs="Arial" w:eastAsia="Arial" w:hAnsi="Arial"/>
                <w:sz w:val="12"/>
                <w:szCs w:val="12"/>
                <w:b w:val="1"/>
                <w:bCs w:val="1"/>
                <w:color w:val="FFFFFF"/>
              </w:rPr>
              <w:t>June 30, 2021</w:t>
            </w:r>
          </w:p>
        </w:tc>
        <w:tc>
          <w:tcPr>
            <w:tcW w:w="112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200" w:type="dxa"/>
            <w:vAlign w:val="bottom"/>
            <w:shd w:val="clear" w:color="auto" w:fill="1D2758"/>
          </w:tcPr>
          <w:p>
            <w:pPr>
              <w:spacing w:after="0"/>
              <w:rPr>
                <w:sz w:val="14"/>
                <w:szCs w:val="14"/>
                <w:color w:val="auto"/>
              </w:rPr>
            </w:pPr>
          </w:p>
        </w:tc>
        <w:tc>
          <w:tcPr>
            <w:tcW w:w="128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120" w:type="dxa"/>
            <w:vAlign w:val="bottom"/>
            <w:vMerge w:val="restart"/>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560" w:type="dxa"/>
            <w:vAlign w:val="bottom"/>
            <w:shd w:val="clear" w:color="auto" w:fill="1D2758"/>
          </w:tcPr>
          <w:p>
            <w:pPr>
              <w:jc w:val="center"/>
              <w:ind w:right="19"/>
              <w:spacing w:after="0" w:line="121" w:lineRule="exact"/>
              <w:rPr>
                <w:sz w:val="20"/>
                <w:szCs w:val="20"/>
                <w:color w:val="auto"/>
              </w:rPr>
            </w:pPr>
            <w:r>
              <w:rPr>
                <w:rFonts w:ascii="Arial" w:cs="Arial" w:eastAsia="Arial" w:hAnsi="Arial"/>
                <w:sz w:val="12"/>
                <w:szCs w:val="12"/>
                <w:b w:val="1"/>
                <w:bCs w:val="1"/>
                <w:color w:val="FFFFFF"/>
              </w:rPr>
              <w:t>Weighted average</w:t>
            </w:r>
          </w:p>
        </w:tc>
        <w:tc>
          <w:tcPr>
            <w:tcW w:w="1560" w:type="dxa"/>
            <w:vAlign w:val="bottom"/>
            <w:gridSpan w:val="3"/>
            <w:vMerge w:val="restart"/>
            <w:shd w:val="clear" w:color="auto" w:fill="1D2758"/>
          </w:tcPr>
          <w:p>
            <w:pPr>
              <w:ind w:left="80"/>
              <w:spacing w:after="0"/>
              <w:rPr>
                <w:sz w:val="20"/>
                <w:szCs w:val="20"/>
                <w:color w:val="auto"/>
              </w:rPr>
            </w:pPr>
            <w:r>
              <w:rPr>
                <w:rFonts w:ascii="Arial" w:cs="Arial" w:eastAsia="Arial" w:hAnsi="Arial"/>
                <w:sz w:val="12"/>
                <w:szCs w:val="12"/>
                <w:b w:val="1"/>
                <w:bCs w:val="1"/>
                <w:color w:val="FFFFFF"/>
              </w:rPr>
              <w:t>Gross carrying amount</w:t>
            </w:r>
          </w:p>
        </w:tc>
        <w:tc>
          <w:tcPr>
            <w:tcW w:w="360" w:type="dxa"/>
            <w:vAlign w:val="bottom"/>
            <w:shd w:val="clear" w:color="auto" w:fill="1D2758"/>
          </w:tcPr>
          <w:p>
            <w:pPr>
              <w:spacing w:after="0"/>
              <w:rPr>
                <w:sz w:val="10"/>
                <w:szCs w:val="10"/>
                <w:color w:val="auto"/>
              </w:rPr>
            </w:pPr>
          </w:p>
        </w:tc>
        <w:tc>
          <w:tcPr>
            <w:tcW w:w="1200" w:type="dxa"/>
            <w:vAlign w:val="bottom"/>
            <w:gridSpan w:val="2"/>
            <w:shd w:val="clear" w:color="auto" w:fill="1D2758"/>
          </w:tcPr>
          <w:p>
            <w:pPr>
              <w:jc w:val="center"/>
              <w:ind w:right="440"/>
              <w:spacing w:after="0" w:line="121" w:lineRule="exact"/>
              <w:rPr>
                <w:sz w:val="20"/>
                <w:szCs w:val="20"/>
                <w:color w:val="auto"/>
              </w:rPr>
            </w:pPr>
            <w:r>
              <w:rPr>
                <w:rFonts w:ascii="Arial" w:cs="Arial" w:eastAsia="Arial" w:hAnsi="Arial"/>
                <w:sz w:val="12"/>
                <w:szCs w:val="12"/>
                <w:b w:val="1"/>
                <w:bCs w:val="1"/>
                <w:color w:val="FFFFFF"/>
              </w:rPr>
              <w:t>Accumulated</w:t>
            </w:r>
          </w:p>
        </w:tc>
        <w:tc>
          <w:tcPr>
            <w:tcW w:w="200" w:type="dxa"/>
            <w:vAlign w:val="bottom"/>
            <w:shd w:val="clear" w:color="auto" w:fill="1D2758"/>
          </w:tcPr>
          <w:p>
            <w:pPr>
              <w:spacing w:after="0"/>
              <w:rPr>
                <w:sz w:val="10"/>
                <w:szCs w:val="10"/>
                <w:color w:val="auto"/>
              </w:rPr>
            </w:pPr>
          </w:p>
        </w:tc>
        <w:tc>
          <w:tcPr>
            <w:tcW w:w="1280" w:type="dxa"/>
            <w:vAlign w:val="bottom"/>
            <w:vMerge w:val="restart"/>
            <w:shd w:val="clear" w:color="auto" w:fill="1D2758"/>
          </w:tcPr>
          <w:p>
            <w:pPr>
              <w:jc w:val="right"/>
              <w:ind w:right="239"/>
              <w:spacing w:after="0"/>
              <w:rPr>
                <w:sz w:val="20"/>
                <w:szCs w:val="20"/>
                <w:color w:val="auto"/>
              </w:rPr>
            </w:pPr>
            <w:r>
              <w:rPr>
                <w:rFonts w:ascii="Arial" w:cs="Arial" w:eastAsia="Arial" w:hAnsi="Arial"/>
                <w:sz w:val="12"/>
                <w:szCs w:val="12"/>
                <w:b w:val="1"/>
                <w:bCs w:val="1"/>
                <w:color w:val="FFFFFF"/>
              </w:rPr>
              <w:t>Net book value</w:t>
            </w:r>
          </w:p>
        </w:tc>
        <w:tc>
          <w:tcPr>
            <w:tcW w:w="0" w:type="dxa"/>
            <w:vAlign w:val="bottom"/>
          </w:tcPr>
          <w:p>
            <w:pPr>
              <w:spacing w:after="0"/>
              <w:rPr>
                <w:sz w:val="1"/>
                <w:szCs w:val="1"/>
                <w:color w:val="auto"/>
              </w:rPr>
            </w:pPr>
          </w:p>
        </w:tc>
      </w:tr>
      <w:tr>
        <w:trPr>
          <w:trHeight w:val="161"/>
        </w:trPr>
        <w:tc>
          <w:tcPr>
            <w:tcW w:w="5120" w:type="dxa"/>
            <w:vAlign w:val="bottom"/>
            <w:vMerge w:val="continue"/>
            <w:shd w:val="clear" w:color="auto" w:fill="1D2758"/>
          </w:tcPr>
          <w:p>
            <w:pPr>
              <w:spacing w:after="0"/>
              <w:rPr>
                <w:sz w:val="14"/>
                <w:szCs w:val="14"/>
                <w:color w:val="auto"/>
              </w:rPr>
            </w:pPr>
          </w:p>
        </w:tc>
        <w:tc>
          <w:tcPr>
            <w:tcW w:w="1560" w:type="dxa"/>
            <w:vAlign w:val="bottom"/>
            <w:shd w:val="clear" w:color="auto" w:fill="1D2758"/>
          </w:tcPr>
          <w:p>
            <w:pPr>
              <w:jc w:val="center"/>
              <w:ind w:right="19"/>
              <w:spacing w:after="0"/>
              <w:rPr>
                <w:sz w:val="20"/>
                <w:szCs w:val="20"/>
                <w:color w:val="auto"/>
              </w:rPr>
            </w:pPr>
            <w:r>
              <w:rPr>
                <w:rFonts w:ascii="Arial" w:cs="Arial" w:eastAsia="Arial" w:hAnsi="Arial"/>
                <w:sz w:val="12"/>
                <w:szCs w:val="12"/>
                <w:b w:val="1"/>
                <w:bCs w:val="1"/>
                <w:color w:val="FFFFFF"/>
              </w:rPr>
              <w:t>remaining life (in years)</w:t>
            </w:r>
          </w:p>
        </w:tc>
        <w:tc>
          <w:tcPr>
            <w:tcW w:w="1560" w:type="dxa"/>
            <w:vAlign w:val="bottom"/>
            <w:gridSpan w:val="3"/>
            <w:vMerge w:val="continue"/>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1200" w:type="dxa"/>
            <w:vAlign w:val="bottom"/>
            <w:gridSpan w:val="2"/>
            <w:shd w:val="clear" w:color="auto" w:fill="1D2758"/>
          </w:tcPr>
          <w:p>
            <w:pPr>
              <w:jc w:val="center"/>
              <w:ind w:right="440"/>
              <w:spacing w:after="0"/>
              <w:rPr>
                <w:sz w:val="20"/>
                <w:szCs w:val="20"/>
                <w:color w:val="auto"/>
              </w:rPr>
            </w:pPr>
            <w:r>
              <w:rPr>
                <w:rFonts w:ascii="Arial" w:cs="Arial" w:eastAsia="Arial" w:hAnsi="Arial"/>
                <w:sz w:val="12"/>
                <w:szCs w:val="12"/>
                <w:b w:val="1"/>
                <w:bCs w:val="1"/>
                <w:color w:val="FFFFFF"/>
              </w:rPr>
              <w:t>amortization</w:t>
            </w:r>
          </w:p>
        </w:tc>
        <w:tc>
          <w:tcPr>
            <w:tcW w:w="200" w:type="dxa"/>
            <w:vAlign w:val="bottom"/>
            <w:shd w:val="clear" w:color="auto" w:fill="1D2758"/>
          </w:tcPr>
          <w:p>
            <w:pPr>
              <w:spacing w:after="0"/>
              <w:rPr>
                <w:sz w:val="14"/>
                <w:szCs w:val="14"/>
                <w:color w:val="auto"/>
              </w:rPr>
            </w:pPr>
          </w:p>
        </w:tc>
        <w:tc>
          <w:tcPr>
            <w:tcW w:w="128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20" w:type="dxa"/>
            <w:vAlign w:val="bottom"/>
            <w:shd w:val="clear" w:color="auto" w:fill="DBDBDB"/>
          </w:tcPr>
          <w:p>
            <w:pPr>
              <w:ind w:left="20"/>
              <w:spacing w:after="0"/>
              <w:rPr>
                <w:sz w:val="20"/>
                <w:szCs w:val="20"/>
                <w:color w:val="auto"/>
              </w:rPr>
            </w:pPr>
            <w:r>
              <w:rPr>
                <w:rFonts w:ascii="Arial" w:cs="Arial" w:eastAsia="Arial" w:hAnsi="Arial"/>
                <w:sz w:val="12"/>
                <w:szCs w:val="12"/>
                <w:color w:val="auto"/>
              </w:rPr>
              <w:t>Intangible assets subject to amortization:</w:t>
            </w:r>
          </w:p>
        </w:tc>
        <w:tc>
          <w:tcPr>
            <w:tcW w:w="156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120" w:type="dxa"/>
            <w:vAlign w:val="bottom"/>
          </w:tcPr>
          <w:p>
            <w:pPr>
              <w:ind w:left="180"/>
              <w:spacing w:after="0"/>
              <w:rPr>
                <w:sz w:val="20"/>
                <w:szCs w:val="20"/>
                <w:color w:val="auto"/>
              </w:rPr>
            </w:pPr>
            <w:r>
              <w:rPr>
                <w:rFonts w:ascii="Arial" w:cs="Arial" w:eastAsia="Arial" w:hAnsi="Arial"/>
                <w:sz w:val="12"/>
                <w:szCs w:val="12"/>
                <w:color w:val="auto"/>
              </w:rPr>
              <w:t>Trade name - ModSpace</w:t>
            </w:r>
          </w:p>
        </w:tc>
        <w:tc>
          <w:tcPr>
            <w:tcW w:w="1560" w:type="dxa"/>
            <w:vAlign w:val="bottom"/>
          </w:tcPr>
          <w:p>
            <w:pPr>
              <w:jc w:val="center"/>
              <w:ind w:right="19"/>
              <w:spacing w:after="0"/>
              <w:rPr>
                <w:sz w:val="20"/>
                <w:szCs w:val="20"/>
                <w:color w:val="auto"/>
              </w:rPr>
            </w:pPr>
            <w:r>
              <w:rPr>
                <w:rFonts w:ascii="Arial" w:cs="Arial" w:eastAsia="Arial" w:hAnsi="Arial"/>
                <w:sz w:val="12"/>
                <w:szCs w:val="12"/>
                <w:color w:val="auto"/>
                <w:w w:val="95"/>
              </w:rPr>
              <w:t>0.2</w:t>
            </w:r>
          </w:p>
        </w:tc>
        <w:tc>
          <w:tcPr>
            <w:tcW w:w="520" w:type="dxa"/>
            <w:vAlign w:val="bottom"/>
          </w:tcPr>
          <w:p>
            <w:pPr>
              <w:jc w:val="right"/>
              <w:ind w:right="379"/>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3,000</w:t>
            </w:r>
          </w:p>
        </w:tc>
        <w:tc>
          <w:tcPr>
            <w:tcW w:w="80" w:type="dxa"/>
            <w:vAlign w:val="bottom"/>
          </w:tcPr>
          <w:p>
            <w:pPr>
              <w:spacing w:after="0"/>
              <w:rPr>
                <w:sz w:val="13"/>
                <w:szCs w:val="13"/>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(2,875)</w:t>
            </w:r>
          </w:p>
        </w:tc>
        <w:tc>
          <w:tcPr>
            <w:tcW w:w="80" w:type="dxa"/>
            <w:vAlign w:val="bottom"/>
          </w:tcPr>
          <w:p>
            <w:pPr>
              <w:spacing w:after="0"/>
              <w:rPr>
                <w:sz w:val="13"/>
                <w:szCs w:val="13"/>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174"/>
        </w:trPr>
        <w:tc>
          <w:tcPr>
            <w:tcW w:w="5120" w:type="dxa"/>
            <w:vAlign w:val="bottom"/>
            <w:shd w:val="clear" w:color="auto" w:fill="DBDBDB"/>
          </w:tcPr>
          <w:p>
            <w:pPr>
              <w:ind w:left="180"/>
              <w:spacing w:after="0"/>
              <w:rPr>
                <w:sz w:val="20"/>
                <w:szCs w:val="20"/>
                <w:color w:val="auto"/>
              </w:rPr>
            </w:pPr>
            <w:r>
              <w:rPr>
                <w:rFonts w:ascii="Arial" w:cs="Arial" w:eastAsia="Arial" w:hAnsi="Arial"/>
                <w:sz w:val="12"/>
                <w:szCs w:val="12"/>
                <w:color w:val="auto"/>
              </w:rPr>
              <w:t>Mobile Mini customer relationships</w:t>
            </w:r>
          </w:p>
        </w:tc>
        <w:tc>
          <w:tcPr>
            <w:tcW w:w="1560" w:type="dxa"/>
            <w:vAlign w:val="bottom"/>
            <w:shd w:val="clear" w:color="auto" w:fill="DBDBDB"/>
          </w:tcPr>
          <w:p>
            <w:pPr>
              <w:jc w:val="center"/>
              <w:ind w:right="19"/>
              <w:spacing w:after="0"/>
              <w:rPr>
                <w:sz w:val="20"/>
                <w:szCs w:val="20"/>
                <w:color w:val="auto"/>
              </w:rPr>
            </w:pPr>
            <w:r>
              <w:rPr>
                <w:rFonts w:ascii="Arial" w:cs="Arial" w:eastAsia="Arial" w:hAnsi="Arial"/>
                <w:sz w:val="12"/>
                <w:szCs w:val="12"/>
                <w:color w:val="auto"/>
                <w:w w:val="95"/>
              </w:rPr>
              <w:t>7.1</w:t>
            </w:r>
          </w:p>
        </w:tc>
        <w:tc>
          <w:tcPr>
            <w:tcW w:w="52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209,000</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(25,048)</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183,952</w:t>
            </w:r>
          </w:p>
        </w:tc>
        <w:tc>
          <w:tcPr>
            <w:tcW w:w="0" w:type="dxa"/>
            <w:vAlign w:val="bottom"/>
          </w:tcPr>
          <w:p>
            <w:pPr>
              <w:spacing w:after="0"/>
              <w:rPr>
                <w:sz w:val="1"/>
                <w:szCs w:val="1"/>
                <w:color w:val="auto"/>
              </w:rPr>
            </w:pPr>
          </w:p>
        </w:tc>
      </w:tr>
      <w:tr>
        <w:trPr>
          <w:trHeight w:val="159"/>
        </w:trPr>
        <w:tc>
          <w:tcPr>
            <w:tcW w:w="5120" w:type="dxa"/>
            <w:vAlign w:val="bottom"/>
          </w:tcPr>
          <w:p>
            <w:pPr>
              <w:ind w:left="180"/>
              <w:spacing w:after="0"/>
              <w:rPr>
                <w:sz w:val="20"/>
                <w:szCs w:val="20"/>
                <w:color w:val="auto"/>
              </w:rPr>
            </w:pPr>
            <w:r>
              <w:rPr>
                <w:rFonts w:ascii="Arial" w:cs="Arial" w:eastAsia="Arial" w:hAnsi="Arial"/>
                <w:sz w:val="12"/>
                <w:szCs w:val="12"/>
                <w:color w:val="auto"/>
              </w:rPr>
              <w:t>Technology</w:t>
            </w:r>
          </w:p>
        </w:tc>
        <w:tc>
          <w:tcPr>
            <w:tcW w:w="1560" w:type="dxa"/>
            <w:vAlign w:val="bottom"/>
          </w:tcPr>
          <w:p>
            <w:pPr>
              <w:jc w:val="center"/>
              <w:ind w:right="19"/>
              <w:spacing w:after="0"/>
              <w:rPr>
                <w:sz w:val="20"/>
                <w:szCs w:val="20"/>
                <w:color w:val="auto"/>
              </w:rPr>
            </w:pPr>
            <w:r>
              <w:rPr>
                <w:rFonts w:ascii="Arial" w:cs="Arial" w:eastAsia="Arial" w:hAnsi="Arial"/>
                <w:sz w:val="12"/>
                <w:szCs w:val="12"/>
                <w:color w:val="auto"/>
                <w:w w:val="95"/>
              </w:rPr>
              <w:t>5.0</w:t>
            </w: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1,500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(250)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1,250</w:t>
            </w:r>
          </w:p>
        </w:tc>
        <w:tc>
          <w:tcPr>
            <w:tcW w:w="0" w:type="dxa"/>
            <w:vAlign w:val="bottom"/>
          </w:tcPr>
          <w:p>
            <w:pPr>
              <w:spacing w:after="0"/>
              <w:rPr>
                <w:sz w:val="1"/>
                <w:szCs w:val="1"/>
                <w:color w:val="auto"/>
              </w:rPr>
            </w:pPr>
          </w:p>
        </w:tc>
      </w:tr>
      <w:tr>
        <w:trPr>
          <w:trHeight w:val="174"/>
        </w:trPr>
        <w:tc>
          <w:tcPr>
            <w:tcW w:w="5120" w:type="dxa"/>
            <w:vAlign w:val="bottom"/>
            <w:shd w:val="clear" w:color="auto" w:fill="DBDBDB"/>
          </w:tcPr>
          <w:p>
            <w:pPr>
              <w:ind w:left="20"/>
              <w:spacing w:after="0"/>
              <w:rPr>
                <w:sz w:val="20"/>
                <w:szCs w:val="20"/>
                <w:color w:val="auto"/>
              </w:rPr>
            </w:pPr>
            <w:r>
              <w:rPr>
                <w:rFonts w:ascii="Arial" w:cs="Arial" w:eastAsia="Arial" w:hAnsi="Arial"/>
                <w:sz w:val="12"/>
                <w:szCs w:val="12"/>
                <w:color w:val="auto"/>
              </w:rPr>
              <w:t>Indefinite-lived intangible assets:</w:t>
            </w:r>
          </w:p>
        </w:tc>
        <w:tc>
          <w:tcPr>
            <w:tcW w:w="156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120" w:type="dxa"/>
            <w:vAlign w:val="bottom"/>
          </w:tcPr>
          <w:p>
            <w:pPr>
              <w:ind w:left="180"/>
              <w:spacing w:after="0"/>
              <w:rPr>
                <w:sz w:val="20"/>
                <w:szCs w:val="20"/>
                <w:color w:val="auto"/>
              </w:rPr>
            </w:pPr>
            <w:r>
              <w:rPr>
                <w:rFonts w:ascii="Arial" w:cs="Arial" w:eastAsia="Arial" w:hAnsi="Arial"/>
                <w:sz w:val="12"/>
                <w:szCs w:val="12"/>
                <w:color w:val="auto"/>
              </w:rPr>
              <w:t>Trade name - Mobile Mini</w:t>
            </w:r>
          </w:p>
        </w:tc>
        <w:tc>
          <w:tcPr>
            <w:tcW w:w="1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164,000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164,000</w:t>
            </w:r>
          </w:p>
        </w:tc>
        <w:tc>
          <w:tcPr>
            <w:tcW w:w="0" w:type="dxa"/>
            <w:vAlign w:val="bottom"/>
          </w:tcPr>
          <w:p>
            <w:pPr>
              <w:spacing w:after="0"/>
              <w:rPr>
                <w:sz w:val="1"/>
                <w:szCs w:val="1"/>
                <w:color w:val="auto"/>
              </w:rPr>
            </w:pPr>
          </w:p>
        </w:tc>
      </w:tr>
      <w:tr>
        <w:trPr>
          <w:trHeight w:val="173"/>
        </w:trPr>
        <w:tc>
          <w:tcPr>
            <w:tcW w:w="5120" w:type="dxa"/>
            <w:vAlign w:val="bottom"/>
            <w:shd w:val="clear" w:color="auto" w:fill="DBDBDB"/>
          </w:tcPr>
          <w:p>
            <w:pPr>
              <w:ind w:left="180"/>
              <w:spacing w:after="0"/>
              <w:rPr>
                <w:sz w:val="20"/>
                <w:szCs w:val="20"/>
                <w:color w:val="auto"/>
              </w:rPr>
            </w:pPr>
            <w:r>
              <w:rPr>
                <w:rFonts w:ascii="Arial" w:cs="Arial" w:eastAsia="Arial" w:hAnsi="Arial"/>
                <w:sz w:val="12"/>
                <w:szCs w:val="12"/>
                <w:color w:val="auto"/>
              </w:rPr>
              <w:t>Trade name - WillScot</w:t>
            </w:r>
          </w:p>
        </w:tc>
        <w:tc>
          <w:tcPr>
            <w:tcW w:w="156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125,000</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125,000</w:t>
            </w:r>
          </w:p>
        </w:tc>
        <w:tc>
          <w:tcPr>
            <w:tcW w:w="0" w:type="dxa"/>
            <w:vAlign w:val="bottom"/>
          </w:tcPr>
          <w:p>
            <w:pPr>
              <w:spacing w:after="0"/>
              <w:rPr>
                <w:sz w:val="1"/>
                <w:szCs w:val="1"/>
                <w:color w:val="auto"/>
              </w:rPr>
            </w:pPr>
          </w:p>
        </w:tc>
      </w:tr>
      <w:tr>
        <w:trPr>
          <w:trHeight w:val="152"/>
        </w:trPr>
        <w:tc>
          <w:tcPr>
            <w:tcW w:w="5120" w:type="dxa"/>
            <w:vAlign w:val="bottom"/>
          </w:tcPr>
          <w:p>
            <w:pPr>
              <w:ind w:left="20"/>
              <w:spacing w:after="0"/>
              <w:rPr>
                <w:sz w:val="20"/>
                <w:szCs w:val="20"/>
                <w:color w:val="auto"/>
              </w:rPr>
            </w:pPr>
            <w:r>
              <w:rPr>
                <w:rFonts w:ascii="Arial" w:cs="Arial" w:eastAsia="Arial" w:hAnsi="Arial"/>
                <w:sz w:val="12"/>
                <w:szCs w:val="12"/>
                <w:color w:val="auto"/>
              </w:rPr>
              <w:t>Total intangible assets other than goodwill</w:t>
            </w:r>
          </w:p>
        </w:tc>
        <w:tc>
          <w:tcPr>
            <w:tcW w:w="156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502,500</w:t>
            </w: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(28,173)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474,327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0" w:type="dxa"/>
            <w:vAlign w:val="bottom"/>
            <w:gridSpan w:val="5"/>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120" w:type="dxa"/>
            <w:vAlign w:val="bottom"/>
            <w:shd w:val="clear" w:color="auto" w:fill="1D2758"/>
          </w:tcPr>
          <w:p>
            <w:pPr>
              <w:spacing w:after="0"/>
              <w:rPr>
                <w:sz w:val="13"/>
                <w:szCs w:val="13"/>
                <w:color w:val="auto"/>
              </w:rPr>
            </w:pPr>
          </w:p>
        </w:tc>
        <w:tc>
          <w:tcPr>
            <w:tcW w:w="1560" w:type="dxa"/>
            <w:vAlign w:val="bottom"/>
            <w:shd w:val="clear" w:color="auto" w:fill="1D2758"/>
          </w:tcPr>
          <w:p>
            <w:pPr>
              <w:spacing w:after="0"/>
              <w:rPr>
                <w:sz w:val="13"/>
                <w:szCs w:val="13"/>
                <w:color w:val="auto"/>
              </w:rPr>
            </w:pPr>
          </w:p>
        </w:tc>
        <w:tc>
          <w:tcPr>
            <w:tcW w:w="520" w:type="dxa"/>
            <w:vAlign w:val="bottom"/>
            <w:shd w:val="clear" w:color="auto" w:fill="1D2758"/>
          </w:tcPr>
          <w:p>
            <w:pPr>
              <w:spacing w:after="0"/>
              <w:rPr>
                <w:sz w:val="13"/>
                <w:szCs w:val="13"/>
                <w:color w:val="auto"/>
              </w:rPr>
            </w:pPr>
          </w:p>
        </w:tc>
        <w:tc>
          <w:tcPr>
            <w:tcW w:w="2600" w:type="dxa"/>
            <w:vAlign w:val="bottom"/>
            <w:gridSpan w:val="5"/>
            <w:shd w:val="clear" w:color="auto" w:fill="1D2758"/>
          </w:tcPr>
          <w:p>
            <w:pPr>
              <w:jc w:val="center"/>
              <w:ind w:right="600"/>
              <w:spacing w:after="0"/>
              <w:rPr>
                <w:sz w:val="20"/>
                <w:szCs w:val="20"/>
                <w:color w:val="auto"/>
              </w:rPr>
            </w:pPr>
            <w:r>
              <w:rPr>
                <w:rFonts w:ascii="Arial" w:cs="Arial" w:eastAsia="Arial" w:hAnsi="Arial"/>
                <w:sz w:val="12"/>
                <w:szCs w:val="12"/>
                <w:b w:val="1"/>
                <w:bCs w:val="1"/>
                <w:color w:val="FFFFFF"/>
                <w:w w:val="99"/>
              </w:rPr>
              <w:t>December 31, 2020</w:t>
            </w:r>
          </w:p>
        </w:tc>
        <w:tc>
          <w:tcPr>
            <w:tcW w:w="200" w:type="dxa"/>
            <w:vAlign w:val="bottom"/>
            <w:shd w:val="clear" w:color="auto" w:fill="1D2758"/>
          </w:tcPr>
          <w:p>
            <w:pPr>
              <w:spacing w:after="0"/>
              <w:rPr>
                <w:sz w:val="13"/>
                <w:szCs w:val="13"/>
                <w:color w:val="auto"/>
              </w:rPr>
            </w:pPr>
          </w:p>
        </w:tc>
        <w:tc>
          <w:tcPr>
            <w:tcW w:w="128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120" w:type="dxa"/>
            <w:vAlign w:val="bottom"/>
            <w:vMerge w:val="restart"/>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560" w:type="dxa"/>
            <w:vAlign w:val="bottom"/>
            <w:shd w:val="clear" w:color="auto" w:fill="1D2758"/>
          </w:tcPr>
          <w:p>
            <w:pPr>
              <w:jc w:val="center"/>
              <w:ind w:right="19"/>
              <w:spacing w:after="0" w:line="123" w:lineRule="exact"/>
              <w:rPr>
                <w:sz w:val="20"/>
                <w:szCs w:val="20"/>
                <w:color w:val="auto"/>
              </w:rPr>
            </w:pPr>
            <w:r>
              <w:rPr>
                <w:rFonts w:ascii="Arial" w:cs="Arial" w:eastAsia="Arial" w:hAnsi="Arial"/>
                <w:sz w:val="12"/>
                <w:szCs w:val="12"/>
                <w:b w:val="1"/>
                <w:bCs w:val="1"/>
                <w:color w:val="FFFFFF"/>
              </w:rPr>
              <w:t>Weighted average</w:t>
            </w:r>
          </w:p>
        </w:tc>
        <w:tc>
          <w:tcPr>
            <w:tcW w:w="1560" w:type="dxa"/>
            <w:vAlign w:val="bottom"/>
            <w:gridSpan w:val="3"/>
            <w:vMerge w:val="restart"/>
            <w:shd w:val="clear" w:color="auto" w:fill="1D2758"/>
          </w:tcPr>
          <w:p>
            <w:pPr>
              <w:ind w:left="80"/>
              <w:spacing w:after="0"/>
              <w:rPr>
                <w:sz w:val="20"/>
                <w:szCs w:val="20"/>
                <w:color w:val="auto"/>
              </w:rPr>
            </w:pPr>
            <w:r>
              <w:rPr>
                <w:rFonts w:ascii="Arial" w:cs="Arial" w:eastAsia="Arial" w:hAnsi="Arial"/>
                <w:sz w:val="12"/>
                <w:szCs w:val="12"/>
                <w:b w:val="1"/>
                <w:bCs w:val="1"/>
                <w:color w:val="FFFFFF"/>
              </w:rPr>
              <w:t>Gross carrying amount</w:t>
            </w:r>
          </w:p>
        </w:tc>
        <w:tc>
          <w:tcPr>
            <w:tcW w:w="360" w:type="dxa"/>
            <w:vAlign w:val="bottom"/>
            <w:shd w:val="clear" w:color="auto" w:fill="1D2758"/>
          </w:tcPr>
          <w:p>
            <w:pPr>
              <w:spacing w:after="0"/>
              <w:rPr>
                <w:sz w:val="10"/>
                <w:szCs w:val="10"/>
                <w:color w:val="auto"/>
              </w:rPr>
            </w:pPr>
          </w:p>
        </w:tc>
        <w:tc>
          <w:tcPr>
            <w:tcW w:w="1200" w:type="dxa"/>
            <w:vAlign w:val="bottom"/>
            <w:gridSpan w:val="2"/>
            <w:shd w:val="clear" w:color="auto" w:fill="1D2758"/>
          </w:tcPr>
          <w:p>
            <w:pPr>
              <w:jc w:val="center"/>
              <w:ind w:right="440"/>
              <w:spacing w:after="0" w:line="123" w:lineRule="exact"/>
              <w:rPr>
                <w:sz w:val="20"/>
                <w:szCs w:val="20"/>
                <w:color w:val="auto"/>
              </w:rPr>
            </w:pPr>
            <w:r>
              <w:rPr>
                <w:rFonts w:ascii="Arial" w:cs="Arial" w:eastAsia="Arial" w:hAnsi="Arial"/>
                <w:sz w:val="12"/>
                <w:szCs w:val="12"/>
                <w:b w:val="1"/>
                <w:bCs w:val="1"/>
                <w:color w:val="FFFFFF"/>
              </w:rPr>
              <w:t>Accumulated</w:t>
            </w:r>
          </w:p>
        </w:tc>
        <w:tc>
          <w:tcPr>
            <w:tcW w:w="200" w:type="dxa"/>
            <w:vAlign w:val="bottom"/>
            <w:shd w:val="clear" w:color="auto" w:fill="1D2758"/>
          </w:tcPr>
          <w:p>
            <w:pPr>
              <w:spacing w:after="0"/>
              <w:rPr>
                <w:sz w:val="10"/>
                <w:szCs w:val="10"/>
                <w:color w:val="auto"/>
              </w:rPr>
            </w:pPr>
          </w:p>
        </w:tc>
        <w:tc>
          <w:tcPr>
            <w:tcW w:w="1280" w:type="dxa"/>
            <w:vAlign w:val="bottom"/>
            <w:vMerge w:val="restart"/>
            <w:shd w:val="clear" w:color="auto" w:fill="1D2758"/>
          </w:tcPr>
          <w:p>
            <w:pPr>
              <w:jc w:val="right"/>
              <w:ind w:right="239"/>
              <w:spacing w:after="0"/>
              <w:rPr>
                <w:sz w:val="20"/>
                <w:szCs w:val="20"/>
                <w:color w:val="auto"/>
              </w:rPr>
            </w:pPr>
            <w:r>
              <w:rPr>
                <w:rFonts w:ascii="Arial" w:cs="Arial" w:eastAsia="Arial" w:hAnsi="Arial"/>
                <w:sz w:val="12"/>
                <w:szCs w:val="12"/>
                <w:b w:val="1"/>
                <w:bCs w:val="1"/>
                <w:color w:val="FFFFFF"/>
              </w:rPr>
              <w:t>Net book value</w:t>
            </w:r>
          </w:p>
        </w:tc>
        <w:tc>
          <w:tcPr>
            <w:tcW w:w="0" w:type="dxa"/>
            <w:vAlign w:val="bottom"/>
          </w:tcPr>
          <w:p>
            <w:pPr>
              <w:spacing w:after="0"/>
              <w:rPr>
                <w:sz w:val="1"/>
                <w:szCs w:val="1"/>
                <w:color w:val="auto"/>
              </w:rPr>
            </w:pPr>
          </w:p>
        </w:tc>
      </w:tr>
      <w:tr>
        <w:trPr>
          <w:trHeight w:val="161"/>
        </w:trPr>
        <w:tc>
          <w:tcPr>
            <w:tcW w:w="5120" w:type="dxa"/>
            <w:vAlign w:val="bottom"/>
            <w:vMerge w:val="continue"/>
            <w:shd w:val="clear" w:color="auto" w:fill="1D2758"/>
          </w:tcPr>
          <w:p>
            <w:pPr>
              <w:spacing w:after="0"/>
              <w:rPr>
                <w:sz w:val="14"/>
                <w:szCs w:val="14"/>
                <w:color w:val="auto"/>
              </w:rPr>
            </w:pPr>
          </w:p>
        </w:tc>
        <w:tc>
          <w:tcPr>
            <w:tcW w:w="1560" w:type="dxa"/>
            <w:vAlign w:val="bottom"/>
            <w:shd w:val="clear" w:color="auto" w:fill="1D2758"/>
          </w:tcPr>
          <w:p>
            <w:pPr>
              <w:jc w:val="center"/>
              <w:ind w:right="19"/>
              <w:spacing w:after="0"/>
              <w:rPr>
                <w:sz w:val="20"/>
                <w:szCs w:val="20"/>
                <w:color w:val="auto"/>
              </w:rPr>
            </w:pPr>
            <w:r>
              <w:rPr>
                <w:rFonts w:ascii="Arial" w:cs="Arial" w:eastAsia="Arial" w:hAnsi="Arial"/>
                <w:sz w:val="12"/>
                <w:szCs w:val="12"/>
                <w:b w:val="1"/>
                <w:bCs w:val="1"/>
                <w:color w:val="FFFFFF"/>
              </w:rPr>
              <w:t>remaining life (in years)</w:t>
            </w:r>
          </w:p>
        </w:tc>
        <w:tc>
          <w:tcPr>
            <w:tcW w:w="1560" w:type="dxa"/>
            <w:vAlign w:val="bottom"/>
            <w:gridSpan w:val="3"/>
            <w:vMerge w:val="continue"/>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1200" w:type="dxa"/>
            <w:vAlign w:val="bottom"/>
            <w:gridSpan w:val="2"/>
            <w:shd w:val="clear" w:color="auto" w:fill="1D2758"/>
          </w:tcPr>
          <w:p>
            <w:pPr>
              <w:jc w:val="center"/>
              <w:ind w:right="440"/>
              <w:spacing w:after="0"/>
              <w:rPr>
                <w:sz w:val="20"/>
                <w:szCs w:val="20"/>
                <w:color w:val="auto"/>
              </w:rPr>
            </w:pPr>
            <w:r>
              <w:rPr>
                <w:rFonts w:ascii="Arial" w:cs="Arial" w:eastAsia="Arial" w:hAnsi="Arial"/>
                <w:sz w:val="12"/>
                <w:szCs w:val="12"/>
                <w:b w:val="1"/>
                <w:bCs w:val="1"/>
                <w:color w:val="FFFFFF"/>
              </w:rPr>
              <w:t>amortization</w:t>
            </w:r>
          </w:p>
        </w:tc>
        <w:tc>
          <w:tcPr>
            <w:tcW w:w="200" w:type="dxa"/>
            <w:vAlign w:val="bottom"/>
            <w:shd w:val="clear" w:color="auto" w:fill="1D2758"/>
          </w:tcPr>
          <w:p>
            <w:pPr>
              <w:spacing w:after="0"/>
              <w:rPr>
                <w:sz w:val="14"/>
                <w:szCs w:val="14"/>
                <w:color w:val="auto"/>
              </w:rPr>
            </w:pPr>
          </w:p>
        </w:tc>
        <w:tc>
          <w:tcPr>
            <w:tcW w:w="128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20" w:type="dxa"/>
            <w:vAlign w:val="bottom"/>
            <w:shd w:val="clear" w:color="auto" w:fill="DBDBDB"/>
          </w:tcPr>
          <w:p>
            <w:pPr>
              <w:ind w:left="20"/>
              <w:spacing w:after="0"/>
              <w:rPr>
                <w:sz w:val="20"/>
                <w:szCs w:val="20"/>
                <w:color w:val="auto"/>
              </w:rPr>
            </w:pPr>
            <w:r>
              <w:rPr>
                <w:rFonts w:ascii="Arial" w:cs="Arial" w:eastAsia="Arial" w:hAnsi="Arial"/>
                <w:sz w:val="12"/>
                <w:szCs w:val="12"/>
                <w:color w:val="auto"/>
              </w:rPr>
              <w:t>Intangible assets subject to amortization:</w:t>
            </w:r>
          </w:p>
        </w:tc>
        <w:tc>
          <w:tcPr>
            <w:tcW w:w="156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120" w:type="dxa"/>
            <w:vAlign w:val="bottom"/>
          </w:tcPr>
          <w:p>
            <w:pPr>
              <w:ind w:left="180"/>
              <w:spacing w:after="0"/>
              <w:rPr>
                <w:sz w:val="20"/>
                <w:szCs w:val="20"/>
                <w:color w:val="auto"/>
              </w:rPr>
            </w:pPr>
            <w:r>
              <w:rPr>
                <w:rFonts w:ascii="Arial" w:cs="Arial" w:eastAsia="Arial" w:hAnsi="Arial"/>
                <w:sz w:val="12"/>
                <w:szCs w:val="12"/>
                <w:color w:val="auto"/>
              </w:rPr>
              <w:t>Trade name - ModSpace</w:t>
            </w:r>
          </w:p>
        </w:tc>
        <w:tc>
          <w:tcPr>
            <w:tcW w:w="1560" w:type="dxa"/>
            <w:vAlign w:val="bottom"/>
          </w:tcPr>
          <w:p>
            <w:pPr>
              <w:jc w:val="center"/>
              <w:ind w:right="19"/>
              <w:spacing w:after="0"/>
              <w:rPr>
                <w:sz w:val="20"/>
                <w:szCs w:val="20"/>
                <w:color w:val="auto"/>
              </w:rPr>
            </w:pPr>
            <w:r>
              <w:rPr>
                <w:rFonts w:ascii="Arial" w:cs="Arial" w:eastAsia="Arial" w:hAnsi="Arial"/>
                <w:sz w:val="12"/>
                <w:szCs w:val="12"/>
                <w:color w:val="auto"/>
                <w:w w:val="95"/>
              </w:rPr>
              <w:t>0.7</w:t>
            </w:r>
          </w:p>
        </w:tc>
        <w:tc>
          <w:tcPr>
            <w:tcW w:w="520" w:type="dxa"/>
            <w:vAlign w:val="bottom"/>
          </w:tcPr>
          <w:p>
            <w:pPr>
              <w:jc w:val="right"/>
              <w:ind w:right="379"/>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3,000</w:t>
            </w:r>
          </w:p>
        </w:tc>
        <w:tc>
          <w:tcPr>
            <w:tcW w:w="80" w:type="dxa"/>
            <w:vAlign w:val="bottom"/>
          </w:tcPr>
          <w:p>
            <w:pPr>
              <w:spacing w:after="0"/>
              <w:rPr>
                <w:sz w:val="13"/>
                <w:szCs w:val="13"/>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(2,375)</w:t>
            </w:r>
          </w:p>
        </w:tc>
        <w:tc>
          <w:tcPr>
            <w:tcW w:w="80" w:type="dxa"/>
            <w:vAlign w:val="bottom"/>
          </w:tcPr>
          <w:p>
            <w:pPr>
              <w:spacing w:after="0"/>
              <w:rPr>
                <w:sz w:val="13"/>
                <w:szCs w:val="13"/>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625</w:t>
            </w:r>
          </w:p>
        </w:tc>
        <w:tc>
          <w:tcPr>
            <w:tcW w:w="0" w:type="dxa"/>
            <w:vAlign w:val="bottom"/>
          </w:tcPr>
          <w:p>
            <w:pPr>
              <w:spacing w:after="0"/>
              <w:rPr>
                <w:sz w:val="1"/>
                <w:szCs w:val="1"/>
                <w:color w:val="auto"/>
              </w:rPr>
            </w:pPr>
          </w:p>
        </w:tc>
      </w:tr>
      <w:tr>
        <w:trPr>
          <w:trHeight w:val="174"/>
        </w:trPr>
        <w:tc>
          <w:tcPr>
            <w:tcW w:w="5120" w:type="dxa"/>
            <w:vAlign w:val="bottom"/>
            <w:shd w:val="clear" w:color="auto" w:fill="DBDBDB"/>
          </w:tcPr>
          <w:p>
            <w:pPr>
              <w:ind w:left="180"/>
              <w:spacing w:after="0"/>
              <w:rPr>
                <w:sz w:val="20"/>
                <w:szCs w:val="20"/>
                <w:color w:val="auto"/>
              </w:rPr>
            </w:pPr>
            <w:r>
              <w:rPr>
                <w:rFonts w:ascii="Arial" w:cs="Arial" w:eastAsia="Arial" w:hAnsi="Arial"/>
                <w:sz w:val="12"/>
                <w:szCs w:val="12"/>
                <w:color w:val="auto"/>
              </w:rPr>
              <w:t>Mobile Mini customer relationships</w:t>
            </w:r>
          </w:p>
        </w:tc>
        <w:tc>
          <w:tcPr>
            <w:tcW w:w="1560" w:type="dxa"/>
            <w:vAlign w:val="bottom"/>
            <w:shd w:val="clear" w:color="auto" w:fill="DBDBDB"/>
          </w:tcPr>
          <w:p>
            <w:pPr>
              <w:jc w:val="center"/>
              <w:ind w:right="19"/>
              <w:spacing w:after="0"/>
              <w:rPr>
                <w:sz w:val="20"/>
                <w:szCs w:val="20"/>
                <w:color w:val="auto"/>
              </w:rPr>
            </w:pPr>
            <w:r>
              <w:rPr>
                <w:rFonts w:ascii="Arial" w:cs="Arial" w:eastAsia="Arial" w:hAnsi="Arial"/>
                <w:sz w:val="12"/>
                <w:szCs w:val="12"/>
                <w:color w:val="auto"/>
                <w:w w:val="95"/>
              </w:rPr>
              <w:t>8.0</w:t>
            </w:r>
          </w:p>
        </w:tc>
        <w:tc>
          <w:tcPr>
            <w:tcW w:w="52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217,000</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(12,053)</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204,947</w:t>
            </w:r>
          </w:p>
        </w:tc>
        <w:tc>
          <w:tcPr>
            <w:tcW w:w="0" w:type="dxa"/>
            <w:vAlign w:val="bottom"/>
          </w:tcPr>
          <w:p>
            <w:pPr>
              <w:spacing w:after="0"/>
              <w:rPr>
                <w:sz w:val="1"/>
                <w:szCs w:val="1"/>
                <w:color w:val="auto"/>
              </w:rPr>
            </w:pPr>
          </w:p>
        </w:tc>
      </w:tr>
      <w:tr>
        <w:trPr>
          <w:trHeight w:val="159"/>
        </w:trPr>
        <w:tc>
          <w:tcPr>
            <w:tcW w:w="5120" w:type="dxa"/>
            <w:vAlign w:val="bottom"/>
          </w:tcPr>
          <w:p>
            <w:pPr>
              <w:ind w:left="180"/>
              <w:spacing w:after="0"/>
              <w:rPr>
                <w:sz w:val="20"/>
                <w:szCs w:val="20"/>
                <w:color w:val="auto"/>
              </w:rPr>
            </w:pPr>
            <w:r>
              <w:rPr>
                <w:rFonts w:ascii="Arial" w:cs="Arial" w:eastAsia="Arial" w:hAnsi="Arial"/>
                <w:sz w:val="12"/>
                <w:szCs w:val="12"/>
                <w:color w:val="auto"/>
              </w:rPr>
              <w:t>Technology</w:t>
            </w:r>
          </w:p>
        </w:tc>
        <w:tc>
          <w:tcPr>
            <w:tcW w:w="1560" w:type="dxa"/>
            <w:vAlign w:val="bottom"/>
          </w:tcPr>
          <w:p>
            <w:pPr>
              <w:jc w:val="center"/>
              <w:ind w:right="19"/>
              <w:spacing w:after="0"/>
              <w:rPr>
                <w:sz w:val="20"/>
                <w:szCs w:val="20"/>
                <w:color w:val="auto"/>
              </w:rPr>
            </w:pPr>
            <w:r>
              <w:rPr>
                <w:rFonts w:ascii="Arial" w:cs="Arial" w:eastAsia="Arial" w:hAnsi="Arial"/>
                <w:sz w:val="12"/>
                <w:szCs w:val="12"/>
                <w:color w:val="auto"/>
                <w:w w:val="95"/>
              </w:rPr>
              <w:t>5.5</w:t>
            </w: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1,500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1,375</w:t>
            </w:r>
          </w:p>
        </w:tc>
        <w:tc>
          <w:tcPr>
            <w:tcW w:w="0" w:type="dxa"/>
            <w:vAlign w:val="bottom"/>
          </w:tcPr>
          <w:p>
            <w:pPr>
              <w:spacing w:after="0"/>
              <w:rPr>
                <w:sz w:val="1"/>
                <w:szCs w:val="1"/>
                <w:color w:val="auto"/>
              </w:rPr>
            </w:pPr>
          </w:p>
        </w:tc>
      </w:tr>
      <w:tr>
        <w:trPr>
          <w:trHeight w:val="174"/>
        </w:trPr>
        <w:tc>
          <w:tcPr>
            <w:tcW w:w="5120" w:type="dxa"/>
            <w:vAlign w:val="bottom"/>
            <w:shd w:val="clear" w:color="auto" w:fill="DBDBDB"/>
          </w:tcPr>
          <w:p>
            <w:pPr>
              <w:ind w:left="20"/>
              <w:spacing w:after="0"/>
              <w:rPr>
                <w:sz w:val="20"/>
                <w:szCs w:val="20"/>
                <w:color w:val="auto"/>
              </w:rPr>
            </w:pPr>
            <w:r>
              <w:rPr>
                <w:rFonts w:ascii="Arial" w:cs="Arial" w:eastAsia="Arial" w:hAnsi="Arial"/>
                <w:sz w:val="12"/>
                <w:szCs w:val="12"/>
                <w:color w:val="auto"/>
              </w:rPr>
              <w:t>Indefinite-lived intangible assets:</w:t>
            </w:r>
          </w:p>
        </w:tc>
        <w:tc>
          <w:tcPr>
            <w:tcW w:w="156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120" w:type="dxa"/>
            <w:vAlign w:val="bottom"/>
          </w:tcPr>
          <w:p>
            <w:pPr>
              <w:ind w:left="180"/>
              <w:spacing w:after="0"/>
              <w:rPr>
                <w:sz w:val="20"/>
                <w:szCs w:val="20"/>
                <w:color w:val="auto"/>
              </w:rPr>
            </w:pPr>
            <w:r>
              <w:rPr>
                <w:rFonts w:ascii="Arial" w:cs="Arial" w:eastAsia="Arial" w:hAnsi="Arial"/>
                <w:sz w:val="12"/>
                <w:szCs w:val="12"/>
                <w:color w:val="auto"/>
              </w:rPr>
              <w:t>Trade name - Mobile Mini</w:t>
            </w:r>
          </w:p>
        </w:tc>
        <w:tc>
          <w:tcPr>
            <w:tcW w:w="1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164,000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164,000</w:t>
            </w:r>
          </w:p>
        </w:tc>
        <w:tc>
          <w:tcPr>
            <w:tcW w:w="0" w:type="dxa"/>
            <w:vAlign w:val="bottom"/>
          </w:tcPr>
          <w:p>
            <w:pPr>
              <w:spacing w:after="0"/>
              <w:rPr>
                <w:sz w:val="1"/>
                <w:szCs w:val="1"/>
                <w:color w:val="auto"/>
              </w:rPr>
            </w:pPr>
          </w:p>
        </w:tc>
      </w:tr>
      <w:tr>
        <w:trPr>
          <w:trHeight w:val="173"/>
        </w:trPr>
        <w:tc>
          <w:tcPr>
            <w:tcW w:w="5120" w:type="dxa"/>
            <w:vAlign w:val="bottom"/>
            <w:shd w:val="clear" w:color="auto" w:fill="DBDBDB"/>
          </w:tcPr>
          <w:p>
            <w:pPr>
              <w:ind w:left="180"/>
              <w:spacing w:after="0"/>
              <w:rPr>
                <w:sz w:val="20"/>
                <w:szCs w:val="20"/>
                <w:color w:val="auto"/>
              </w:rPr>
            </w:pPr>
            <w:r>
              <w:rPr>
                <w:rFonts w:ascii="Arial" w:cs="Arial" w:eastAsia="Arial" w:hAnsi="Arial"/>
                <w:sz w:val="12"/>
                <w:szCs w:val="12"/>
                <w:color w:val="auto"/>
              </w:rPr>
              <w:t>Trade name - WillScot</w:t>
            </w:r>
          </w:p>
        </w:tc>
        <w:tc>
          <w:tcPr>
            <w:tcW w:w="156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125,000</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125,000</w:t>
            </w:r>
          </w:p>
        </w:tc>
        <w:tc>
          <w:tcPr>
            <w:tcW w:w="0" w:type="dxa"/>
            <w:vAlign w:val="bottom"/>
          </w:tcPr>
          <w:p>
            <w:pPr>
              <w:spacing w:after="0"/>
              <w:rPr>
                <w:sz w:val="1"/>
                <w:szCs w:val="1"/>
                <w:color w:val="auto"/>
              </w:rPr>
            </w:pPr>
          </w:p>
        </w:tc>
      </w:tr>
      <w:tr>
        <w:trPr>
          <w:trHeight w:val="152"/>
        </w:trPr>
        <w:tc>
          <w:tcPr>
            <w:tcW w:w="5120" w:type="dxa"/>
            <w:vAlign w:val="bottom"/>
          </w:tcPr>
          <w:p>
            <w:pPr>
              <w:ind w:left="20"/>
              <w:spacing w:after="0"/>
              <w:rPr>
                <w:sz w:val="20"/>
                <w:szCs w:val="20"/>
                <w:color w:val="auto"/>
              </w:rPr>
            </w:pPr>
            <w:r>
              <w:rPr>
                <w:rFonts w:ascii="Arial" w:cs="Arial" w:eastAsia="Arial" w:hAnsi="Arial"/>
                <w:sz w:val="12"/>
                <w:szCs w:val="12"/>
                <w:color w:val="auto"/>
              </w:rPr>
              <w:t>Total intangible assets other than goodwill</w:t>
            </w:r>
          </w:p>
        </w:tc>
        <w:tc>
          <w:tcPr>
            <w:tcW w:w="156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510,500</w:t>
            </w: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(14,553)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495,947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Amortization expense related to intangible assets was $6.8 million and $0.3 million for the three months ended June 30, 2021 and 2020, respectively, and $13.8 million and $0.5 million for the six months ended June 30, 2021 and 2020, respectively.</w:t>
      </w:r>
    </w:p>
    <w:p>
      <w:pPr>
        <w:spacing w:after="0" w:line="26"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As discussed in Note 2, the Company acquired Mobile Mini on July 1, 2020. The Company recorded $164.0 million to indefinite-lived intangible assets and $210.5 million of intangibles subject to amortization related to Mobile Mini customer relationships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515620</wp:posOffset>
            </wp:positionV>
            <wp:extent cx="719264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9"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6"/>
        </w:trPr>
        <w:tc>
          <w:tcPr>
            <w:tcW w:w="8820" w:type="dxa"/>
            <w:vAlign w:val="bottom"/>
          </w:tcPr>
          <w:p>
            <w:pPr>
              <w:ind w:left="480"/>
              <w:spacing w:after="0"/>
              <w:rPr>
                <w:sz w:val="20"/>
                <w:szCs w:val="20"/>
                <w:color w:val="auto"/>
              </w:rPr>
            </w:pPr>
            <w:r>
              <w:rPr>
                <w:rFonts w:ascii="Arial" w:cs="Arial" w:eastAsia="Arial" w:hAnsi="Arial"/>
                <w:sz w:val="12"/>
                <w:szCs w:val="12"/>
                <w:color w:val="auto"/>
              </w:rPr>
              <w:t>Based on the carrying value at June 30, 2021, future amortization of intangible assets is expected to be as follows for the years ended December 31:</w:t>
            </w:r>
          </w:p>
        </w:tc>
        <w:tc>
          <w:tcPr>
            <w:tcW w:w="10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55"/>
        </w:trPr>
        <w:tc>
          <w:tcPr>
            <w:tcW w:w="8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161"/>
        </w:trPr>
        <w:tc>
          <w:tcPr>
            <w:tcW w:w="882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020" w:type="dxa"/>
            <w:vAlign w:val="bottom"/>
            <w:shd w:val="clear" w:color="auto" w:fill="1D2758"/>
          </w:tcPr>
          <w:p>
            <w:pPr>
              <w:spacing w:after="0"/>
              <w:rPr>
                <w:sz w:val="14"/>
                <w:szCs w:val="14"/>
                <w:color w:val="auto"/>
              </w:rPr>
            </w:pPr>
          </w:p>
        </w:tc>
        <w:tc>
          <w:tcPr>
            <w:tcW w:w="1440" w:type="dxa"/>
            <w:vAlign w:val="bottom"/>
            <w:shd w:val="clear" w:color="auto" w:fill="1D2758"/>
          </w:tcPr>
          <w:p>
            <w:pPr>
              <w:spacing w:after="0"/>
              <w:rPr>
                <w:sz w:val="14"/>
                <w:szCs w:val="14"/>
                <w:color w:val="auto"/>
              </w:rPr>
            </w:pPr>
          </w:p>
        </w:tc>
      </w:tr>
      <w:tr>
        <w:trPr>
          <w:trHeight w:val="159"/>
        </w:trPr>
        <w:tc>
          <w:tcPr>
            <w:tcW w:w="8820" w:type="dxa"/>
            <w:vAlign w:val="bottom"/>
          </w:tcPr>
          <w:p>
            <w:pPr>
              <w:ind w:left="20"/>
              <w:spacing w:after="0"/>
              <w:rPr>
                <w:sz w:val="20"/>
                <w:szCs w:val="20"/>
                <w:color w:val="auto"/>
              </w:rPr>
            </w:pPr>
            <w:r>
              <w:rPr>
                <w:rFonts w:ascii="Arial" w:cs="Arial" w:eastAsia="Arial" w:hAnsi="Arial"/>
                <w:sz w:val="12"/>
                <w:szCs w:val="12"/>
                <w:color w:val="auto"/>
              </w:rPr>
              <w:t>2021 (remaining)</w:t>
            </w:r>
          </w:p>
        </w:tc>
        <w:tc>
          <w:tcPr>
            <w:tcW w:w="1020" w:type="dxa"/>
            <w:vAlign w:val="bottom"/>
          </w:tcPr>
          <w:p>
            <w:pPr>
              <w:jc w:val="right"/>
              <w:ind w:right="879"/>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13,334</w:t>
            </w:r>
          </w:p>
        </w:tc>
      </w:tr>
      <w:tr>
        <w:trPr>
          <w:trHeight w:val="164"/>
        </w:trPr>
        <w:tc>
          <w:tcPr>
            <w:tcW w:w="8820" w:type="dxa"/>
            <w:vAlign w:val="bottom"/>
            <w:shd w:val="clear" w:color="auto" w:fill="DBDBDB"/>
          </w:tcPr>
          <w:p>
            <w:pPr>
              <w:ind w:left="20"/>
              <w:spacing w:after="0"/>
              <w:rPr>
                <w:sz w:val="20"/>
                <w:szCs w:val="20"/>
                <w:color w:val="auto"/>
              </w:rPr>
            </w:pPr>
            <w:r>
              <w:rPr>
                <w:rFonts w:ascii="Arial" w:cs="Arial" w:eastAsia="Arial" w:hAnsi="Arial"/>
                <w:sz w:val="12"/>
                <w:szCs w:val="12"/>
                <w:color w:val="auto"/>
              </w:rPr>
              <w:t>2022</w:t>
            </w:r>
          </w:p>
        </w:tc>
        <w:tc>
          <w:tcPr>
            <w:tcW w:w="1020" w:type="dxa"/>
            <w:vAlign w:val="bottom"/>
            <w:shd w:val="clear" w:color="auto" w:fill="DBDBDB"/>
          </w:tcPr>
          <w:p>
            <w:pPr>
              <w:spacing w:after="0"/>
              <w:rPr>
                <w:sz w:val="14"/>
                <w:szCs w:val="14"/>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26,416</w:t>
            </w:r>
          </w:p>
        </w:tc>
      </w:tr>
      <w:tr>
        <w:trPr>
          <w:trHeight w:val="159"/>
        </w:trPr>
        <w:tc>
          <w:tcPr>
            <w:tcW w:w="8820" w:type="dxa"/>
            <w:vAlign w:val="bottom"/>
          </w:tcPr>
          <w:p>
            <w:pPr>
              <w:ind w:left="20"/>
              <w:spacing w:after="0"/>
              <w:rPr>
                <w:sz w:val="20"/>
                <w:szCs w:val="20"/>
                <w:color w:val="auto"/>
              </w:rPr>
            </w:pPr>
            <w:r>
              <w:rPr>
                <w:rFonts w:ascii="Arial" w:cs="Arial" w:eastAsia="Arial" w:hAnsi="Arial"/>
                <w:sz w:val="12"/>
                <w:szCs w:val="12"/>
                <w:color w:val="auto"/>
              </w:rPr>
              <w:t>2023</w:t>
            </w:r>
          </w:p>
        </w:tc>
        <w:tc>
          <w:tcPr>
            <w:tcW w:w="10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26,416</w:t>
            </w:r>
          </w:p>
        </w:tc>
      </w:tr>
      <w:tr>
        <w:trPr>
          <w:trHeight w:val="164"/>
        </w:trPr>
        <w:tc>
          <w:tcPr>
            <w:tcW w:w="8820" w:type="dxa"/>
            <w:vAlign w:val="bottom"/>
            <w:shd w:val="clear" w:color="auto" w:fill="DBDBDB"/>
          </w:tcPr>
          <w:p>
            <w:pPr>
              <w:ind w:left="20"/>
              <w:spacing w:after="0"/>
              <w:rPr>
                <w:sz w:val="20"/>
                <w:szCs w:val="20"/>
                <w:color w:val="auto"/>
              </w:rPr>
            </w:pPr>
            <w:r>
              <w:rPr>
                <w:rFonts w:ascii="Arial" w:cs="Arial" w:eastAsia="Arial" w:hAnsi="Arial"/>
                <w:sz w:val="12"/>
                <w:szCs w:val="12"/>
                <w:color w:val="auto"/>
              </w:rPr>
              <w:t>2024</w:t>
            </w:r>
          </w:p>
        </w:tc>
        <w:tc>
          <w:tcPr>
            <w:tcW w:w="1020" w:type="dxa"/>
            <w:vAlign w:val="bottom"/>
            <w:shd w:val="clear" w:color="auto" w:fill="DBDBDB"/>
          </w:tcPr>
          <w:p>
            <w:pPr>
              <w:spacing w:after="0"/>
              <w:rPr>
                <w:sz w:val="14"/>
                <w:szCs w:val="14"/>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26,416</w:t>
            </w:r>
          </w:p>
        </w:tc>
      </w:tr>
      <w:tr>
        <w:trPr>
          <w:trHeight w:val="159"/>
        </w:trPr>
        <w:tc>
          <w:tcPr>
            <w:tcW w:w="8820" w:type="dxa"/>
            <w:vAlign w:val="bottom"/>
          </w:tcPr>
          <w:p>
            <w:pPr>
              <w:ind w:left="20"/>
              <w:spacing w:after="0"/>
              <w:rPr>
                <w:sz w:val="20"/>
                <w:szCs w:val="20"/>
                <w:color w:val="auto"/>
              </w:rPr>
            </w:pPr>
            <w:r>
              <w:rPr>
                <w:rFonts w:ascii="Arial" w:cs="Arial" w:eastAsia="Arial" w:hAnsi="Arial"/>
                <w:sz w:val="12"/>
                <w:szCs w:val="12"/>
                <w:color w:val="auto"/>
              </w:rPr>
              <w:t>2025</w:t>
            </w:r>
          </w:p>
        </w:tc>
        <w:tc>
          <w:tcPr>
            <w:tcW w:w="10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26,416</w:t>
            </w:r>
          </w:p>
        </w:tc>
      </w:tr>
      <w:tr>
        <w:trPr>
          <w:trHeight w:val="161"/>
        </w:trPr>
        <w:tc>
          <w:tcPr>
            <w:tcW w:w="8820" w:type="dxa"/>
            <w:vAlign w:val="bottom"/>
            <w:shd w:val="clear" w:color="auto" w:fill="DBDBDB"/>
          </w:tcPr>
          <w:p>
            <w:pPr>
              <w:ind w:left="20"/>
              <w:spacing w:after="0"/>
              <w:rPr>
                <w:sz w:val="20"/>
                <w:szCs w:val="20"/>
                <w:color w:val="auto"/>
              </w:rPr>
            </w:pPr>
            <w:r>
              <w:rPr>
                <w:rFonts w:ascii="Arial" w:cs="Arial" w:eastAsia="Arial" w:hAnsi="Arial"/>
                <w:sz w:val="12"/>
                <w:szCs w:val="12"/>
                <w:color w:val="auto"/>
              </w:rPr>
              <w:t>Thereafter</w:t>
            </w:r>
          </w:p>
        </w:tc>
        <w:tc>
          <w:tcPr>
            <w:tcW w:w="1020" w:type="dxa"/>
            <w:vAlign w:val="bottom"/>
            <w:tcBorders>
              <w:bottom w:val="single" w:sz="8" w:color="auto"/>
            </w:tcBorders>
            <w:shd w:val="clear" w:color="auto" w:fill="DBDBDB"/>
          </w:tcPr>
          <w:p>
            <w:pPr>
              <w:spacing w:after="0"/>
              <w:rPr>
                <w:sz w:val="14"/>
                <w:szCs w:val="14"/>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66,329</w:t>
            </w:r>
          </w:p>
        </w:tc>
      </w:tr>
      <w:tr>
        <w:trPr>
          <w:trHeight w:val="154"/>
        </w:trPr>
        <w:tc>
          <w:tcPr>
            <w:tcW w:w="8820" w:type="dxa"/>
            <w:vAlign w:val="bottom"/>
          </w:tcPr>
          <w:p>
            <w:pPr>
              <w:ind w:left="100"/>
              <w:spacing w:after="0"/>
              <w:rPr>
                <w:sz w:val="20"/>
                <w:szCs w:val="20"/>
                <w:color w:val="auto"/>
              </w:rPr>
            </w:pPr>
            <w:r>
              <w:rPr>
                <w:rFonts w:ascii="Arial" w:cs="Arial" w:eastAsia="Arial" w:hAnsi="Arial"/>
                <w:sz w:val="12"/>
                <w:szCs w:val="12"/>
                <w:color w:val="auto"/>
              </w:rPr>
              <w:t>Total</w:t>
            </w:r>
          </w:p>
        </w:tc>
        <w:tc>
          <w:tcPr>
            <w:tcW w:w="1020" w:type="dxa"/>
            <w:vAlign w:val="bottom"/>
            <w:tcBorders>
              <w:bottom w:val="single" w:sz="8" w:color="auto"/>
            </w:tcBorders>
          </w:tcPr>
          <w:p>
            <w:pPr>
              <w:jc w:val="right"/>
              <w:ind w:right="879"/>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185,327</w:t>
            </w:r>
          </w:p>
        </w:tc>
      </w:tr>
      <w:tr>
        <w:trPr>
          <w:trHeight w:val="20"/>
        </w:trPr>
        <w:tc>
          <w:tcPr>
            <w:tcW w:w="8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1D2758"/>
        </w:rPr>
        <w:t>NOTE 9 - Debt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220" w:type="dxa"/>
            <w:vAlign w:val="bottom"/>
            <w:gridSpan w:val="2"/>
          </w:tcPr>
          <w:p>
            <w:pPr>
              <w:ind w:left="480"/>
              <w:spacing w:after="0"/>
              <w:rPr>
                <w:sz w:val="20"/>
                <w:szCs w:val="20"/>
                <w:color w:val="auto"/>
              </w:rPr>
            </w:pPr>
            <w:r>
              <w:rPr>
                <w:rFonts w:ascii="Arial" w:cs="Arial" w:eastAsia="Arial" w:hAnsi="Arial"/>
                <w:sz w:val="12"/>
                <w:szCs w:val="12"/>
                <w:color w:val="auto"/>
              </w:rPr>
              <w:t>The carrying value of debt outstanding at the respective balance sheet dates consisted of the following:</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95"/>
        </w:trPr>
        <w:tc>
          <w:tcPr>
            <w:tcW w:w="34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61"/>
        </w:trPr>
        <w:tc>
          <w:tcPr>
            <w:tcW w:w="342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rates)</w:t>
            </w:r>
          </w:p>
        </w:tc>
        <w:tc>
          <w:tcPr>
            <w:tcW w:w="2800" w:type="dxa"/>
            <w:vAlign w:val="bottom"/>
            <w:shd w:val="clear" w:color="auto" w:fill="1D2758"/>
          </w:tcPr>
          <w:p>
            <w:pPr>
              <w:jc w:val="center"/>
              <w:ind w:left="519"/>
              <w:spacing w:after="0"/>
              <w:rPr>
                <w:sz w:val="20"/>
                <w:szCs w:val="20"/>
                <w:color w:val="auto"/>
              </w:rPr>
            </w:pPr>
            <w:r>
              <w:rPr>
                <w:rFonts w:ascii="Arial" w:cs="Arial" w:eastAsia="Arial" w:hAnsi="Arial"/>
                <w:sz w:val="12"/>
                <w:szCs w:val="12"/>
                <w:b w:val="1"/>
                <w:bCs w:val="1"/>
                <w:color w:val="FFFFFF"/>
              </w:rPr>
              <w:t>Interest rate</w:t>
            </w:r>
          </w:p>
        </w:tc>
        <w:tc>
          <w:tcPr>
            <w:tcW w:w="1600" w:type="dxa"/>
            <w:vAlign w:val="bottom"/>
            <w:shd w:val="clear" w:color="auto" w:fill="1D2758"/>
          </w:tcPr>
          <w:p>
            <w:pPr>
              <w:jc w:val="center"/>
              <w:ind w:right="199"/>
              <w:spacing w:after="0"/>
              <w:rPr>
                <w:sz w:val="20"/>
                <w:szCs w:val="20"/>
                <w:color w:val="auto"/>
              </w:rPr>
            </w:pPr>
            <w:r>
              <w:rPr>
                <w:rFonts w:ascii="Arial" w:cs="Arial" w:eastAsia="Arial" w:hAnsi="Arial"/>
                <w:sz w:val="12"/>
                <w:szCs w:val="12"/>
                <w:b w:val="1"/>
                <w:bCs w:val="1"/>
                <w:color w:val="FFFFFF"/>
                <w:w w:val="98"/>
              </w:rPr>
              <w:t>Year of maturity</w:t>
            </w:r>
          </w:p>
        </w:tc>
        <w:tc>
          <w:tcPr>
            <w:tcW w:w="260" w:type="dxa"/>
            <w:vAlign w:val="bottom"/>
            <w:shd w:val="clear" w:color="auto" w:fill="1D2758"/>
          </w:tcPr>
          <w:p>
            <w:pPr>
              <w:spacing w:after="0"/>
              <w:rPr>
                <w:sz w:val="14"/>
                <w:szCs w:val="14"/>
                <w:color w:val="auto"/>
              </w:rPr>
            </w:pPr>
          </w:p>
        </w:tc>
        <w:tc>
          <w:tcPr>
            <w:tcW w:w="1520" w:type="dxa"/>
            <w:vAlign w:val="bottom"/>
            <w:gridSpan w:val="2"/>
            <w:shd w:val="clear" w:color="auto" w:fill="1D2758"/>
          </w:tcPr>
          <w:p>
            <w:pPr>
              <w:ind w:left="200"/>
              <w:spacing w:after="0"/>
              <w:rPr>
                <w:sz w:val="20"/>
                <w:szCs w:val="20"/>
                <w:color w:val="auto"/>
              </w:rPr>
            </w:pPr>
            <w:r>
              <w:rPr>
                <w:rFonts w:ascii="Arial" w:cs="Arial" w:eastAsia="Arial" w:hAnsi="Arial"/>
                <w:sz w:val="12"/>
                <w:szCs w:val="12"/>
                <w:b w:val="1"/>
                <w:bCs w:val="1"/>
                <w:color w:val="FFFFFF"/>
              </w:rPr>
              <w:t>June 30, 2021</w:t>
            </w:r>
          </w:p>
        </w:tc>
        <w:tc>
          <w:tcPr>
            <w:tcW w:w="180" w:type="dxa"/>
            <w:vAlign w:val="bottom"/>
            <w:shd w:val="clear" w:color="auto" w:fill="1D2758"/>
          </w:tcPr>
          <w:p>
            <w:pPr>
              <w:spacing w:after="0"/>
              <w:rPr>
                <w:sz w:val="14"/>
                <w:szCs w:val="14"/>
                <w:color w:val="auto"/>
              </w:rPr>
            </w:pPr>
          </w:p>
        </w:tc>
        <w:tc>
          <w:tcPr>
            <w:tcW w:w="1500" w:type="dxa"/>
            <w:vAlign w:val="bottom"/>
            <w:shd w:val="clear" w:color="auto" w:fill="1D2758"/>
          </w:tcPr>
          <w:p>
            <w:pPr>
              <w:jc w:val="right"/>
              <w:ind w:right="239"/>
              <w:spacing w:after="0"/>
              <w:rPr>
                <w:sz w:val="20"/>
                <w:szCs w:val="20"/>
                <w:color w:val="auto"/>
              </w:rPr>
            </w:pPr>
            <w:r>
              <w:rPr>
                <w:rFonts w:ascii="Arial" w:cs="Arial" w:eastAsia="Arial" w:hAnsi="Arial"/>
                <w:sz w:val="12"/>
                <w:szCs w:val="12"/>
                <w:b w:val="1"/>
                <w:bCs w:val="1"/>
                <w:color w:val="FFFFFF"/>
              </w:rPr>
              <w:t>December 31, 2020</w:t>
            </w:r>
          </w:p>
        </w:tc>
      </w:tr>
      <w:tr>
        <w:trPr>
          <w:trHeight w:val="161"/>
        </w:trPr>
        <w:tc>
          <w:tcPr>
            <w:tcW w:w="3420" w:type="dxa"/>
            <w:vAlign w:val="bottom"/>
            <w:shd w:val="clear" w:color="auto" w:fill="DBDBDB"/>
          </w:tcPr>
          <w:p>
            <w:pPr>
              <w:ind w:left="20"/>
              <w:spacing w:after="0"/>
              <w:rPr>
                <w:sz w:val="20"/>
                <w:szCs w:val="20"/>
                <w:color w:val="auto"/>
              </w:rPr>
            </w:pPr>
            <w:r>
              <w:rPr>
                <w:rFonts w:ascii="Arial" w:cs="Arial" w:eastAsia="Arial" w:hAnsi="Arial"/>
                <w:sz w:val="12"/>
                <w:szCs w:val="12"/>
                <w:color w:val="auto"/>
              </w:rPr>
              <w:t>2025 Secured Notes</w:t>
            </w:r>
          </w:p>
        </w:tc>
        <w:tc>
          <w:tcPr>
            <w:tcW w:w="2800" w:type="dxa"/>
            <w:vAlign w:val="bottom"/>
            <w:shd w:val="clear" w:color="auto" w:fill="DBDBDB"/>
          </w:tcPr>
          <w:p>
            <w:pPr>
              <w:jc w:val="center"/>
              <w:ind w:left="519"/>
              <w:spacing w:after="0"/>
              <w:rPr>
                <w:sz w:val="20"/>
                <w:szCs w:val="20"/>
                <w:color w:val="auto"/>
              </w:rPr>
            </w:pPr>
            <w:r>
              <w:rPr>
                <w:rFonts w:ascii="Arial" w:cs="Arial" w:eastAsia="Arial" w:hAnsi="Arial"/>
                <w:sz w:val="12"/>
                <w:szCs w:val="12"/>
                <w:color w:val="auto"/>
              </w:rPr>
              <w:t>6.125%</w:t>
            </w:r>
          </w:p>
        </w:tc>
        <w:tc>
          <w:tcPr>
            <w:tcW w:w="1600" w:type="dxa"/>
            <w:vAlign w:val="bottom"/>
            <w:shd w:val="clear" w:color="auto" w:fill="DBDBDB"/>
          </w:tcPr>
          <w:p>
            <w:pPr>
              <w:jc w:val="center"/>
              <w:ind w:right="199"/>
              <w:spacing w:after="0"/>
              <w:rPr>
                <w:sz w:val="20"/>
                <w:szCs w:val="20"/>
                <w:color w:val="auto"/>
              </w:rPr>
            </w:pPr>
            <w:r>
              <w:rPr>
                <w:rFonts w:ascii="Arial" w:cs="Arial" w:eastAsia="Arial" w:hAnsi="Arial"/>
                <w:sz w:val="12"/>
                <w:szCs w:val="12"/>
                <w:color w:val="auto"/>
                <w:w w:val="97"/>
              </w:rPr>
              <w:t>2025</w:t>
            </w:r>
          </w:p>
        </w:tc>
        <w:tc>
          <w:tcPr>
            <w:tcW w:w="26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517,054</w:t>
            </w:r>
          </w:p>
        </w:tc>
        <w:tc>
          <w:tcPr>
            <w:tcW w:w="80" w:type="dxa"/>
            <w:vAlign w:val="bottom"/>
            <w:shd w:val="clear" w:color="auto" w:fill="DBDBDB"/>
          </w:tcPr>
          <w:p>
            <w:pPr>
              <w:spacing w:after="0"/>
              <w:rPr>
                <w:sz w:val="14"/>
                <w:szCs w:val="14"/>
                <w:color w:val="auto"/>
              </w:rPr>
            </w:pPr>
          </w:p>
        </w:tc>
        <w:tc>
          <w:tcPr>
            <w:tcW w:w="180" w:type="dxa"/>
            <w:vAlign w:val="bottom"/>
            <w:shd w:val="clear" w:color="auto" w:fill="DBDBDB"/>
          </w:tcPr>
          <w:p>
            <w:pPr>
              <w:jc w:val="right"/>
              <w:ind w:right="39"/>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637,068</w:t>
            </w:r>
          </w:p>
        </w:tc>
      </w:tr>
      <w:tr>
        <w:trPr>
          <w:trHeight w:val="161"/>
        </w:trPr>
        <w:tc>
          <w:tcPr>
            <w:tcW w:w="3420" w:type="dxa"/>
            <w:vAlign w:val="bottom"/>
          </w:tcPr>
          <w:p>
            <w:pPr>
              <w:ind w:left="20"/>
              <w:spacing w:after="0" w:line="161" w:lineRule="exact"/>
              <w:rPr>
                <w:sz w:val="20"/>
                <w:szCs w:val="20"/>
                <w:color w:val="auto"/>
              </w:rPr>
            </w:pPr>
            <w:r>
              <w:rPr>
                <w:rFonts w:ascii="Arial" w:cs="Arial" w:eastAsia="Arial" w:hAnsi="Arial"/>
                <w:sz w:val="12"/>
                <w:szCs w:val="12"/>
                <w:color w:val="auto"/>
              </w:rPr>
              <w:t>ABL Facility</w:t>
            </w:r>
            <w:r>
              <w:rPr>
                <w:rFonts w:ascii="Arial" w:cs="Arial" w:eastAsia="Arial" w:hAnsi="Arial"/>
                <w:sz w:val="15"/>
                <w:szCs w:val="15"/>
                <w:color w:val="auto"/>
                <w:vertAlign w:val="superscript"/>
              </w:rPr>
              <w:t>(a)</w:t>
            </w:r>
          </w:p>
        </w:tc>
        <w:tc>
          <w:tcPr>
            <w:tcW w:w="2800" w:type="dxa"/>
            <w:vAlign w:val="bottom"/>
          </w:tcPr>
          <w:p>
            <w:pPr>
              <w:jc w:val="center"/>
              <w:ind w:left="519"/>
              <w:spacing w:after="0"/>
              <w:rPr>
                <w:sz w:val="20"/>
                <w:szCs w:val="20"/>
                <w:color w:val="auto"/>
              </w:rPr>
            </w:pPr>
            <w:r>
              <w:rPr>
                <w:rFonts w:ascii="Arial" w:cs="Arial" w:eastAsia="Arial" w:hAnsi="Arial"/>
                <w:sz w:val="12"/>
                <w:szCs w:val="12"/>
                <w:color w:val="auto"/>
                <w:w w:val="99"/>
              </w:rPr>
              <w:t>Varies</w:t>
            </w:r>
          </w:p>
        </w:tc>
        <w:tc>
          <w:tcPr>
            <w:tcW w:w="1600" w:type="dxa"/>
            <w:vAlign w:val="bottom"/>
          </w:tcPr>
          <w:p>
            <w:pPr>
              <w:jc w:val="center"/>
              <w:ind w:right="199"/>
              <w:spacing w:after="0"/>
              <w:rPr>
                <w:sz w:val="20"/>
                <w:szCs w:val="20"/>
                <w:color w:val="auto"/>
              </w:rPr>
            </w:pPr>
            <w:r>
              <w:rPr>
                <w:rFonts w:ascii="Arial" w:cs="Arial" w:eastAsia="Arial" w:hAnsi="Arial"/>
                <w:sz w:val="12"/>
                <w:szCs w:val="12"/>
                <w:color w:val="auto"/>
                <w:w w:val="97"/>
              </w:rPr>
              <w:t>2025</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1,432,252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1,263,833</w:t>
            </w:r>
          </w:p>
        </w:tc>
      </w:tr>
      <w:tr>
        <w:trPr>
          <w:trHeight w:val="161"/>
        </w:trPr>
        <w:tc>
          <w:tcPr>
            <w:tcW w:w="3420" w:type="dxa"/>
            <w:vAlign w:val="bottom"/>
            <w:shd w:val="clear" w:color="auto" w:fill="DBDBDB"/>
          </w:tcPr>
          <w:p>
            <w:pPr>
              <w:ind w:left="20"/>
              <w:spacing w:after="0"/>
              <w:rPr>
                <w:sz w:val="20"/>
                <w:szCs w:val="20"/>
                <w:color w:val="auto"/>
              </w:rPr>
            </w:pPr>
            <w:r>
              <w:rPr>
                <w:rFonts w:ascii="Arial" w:cs="Arial" w:eastAsia="Arial" w:hAnsi="Arial"/>
                <w:sz w:val="12"/>
                <w:szCs w:val="12"/>
                <w:color w:val="auto"/>
              </w:rPr>
              <w:t>2028 Secured Notes</w:t>
            </w:r>
          </w:p>
        </w:tc>
        <w:tc>
          <w:tcPr>
            <w:tcW w:w="2800" w:type="dxa"/>
            <w:vAlign w:val="bottom"/>
            <w:shd w:val="clear" w:color="auto" w:fill="DBDBDB"/>
          </w:tcPr>
          <w:p>
            <w:pPr>
              <w:jc w:val="center"/>
              <w:ind w:left="519"/>
              <w:spacing w:after="0"/>
              <w:rPr>
                <w:sz w:val="20"/>
                <w:szCs w:val="20"/>
                <w:color w:val="auto"/>
              </w:rPr>
            </w:pPr>
            <w:r>
              <w:rPr>
                <w:rFonts w:ascii="Arial" w:cs="Arial" w:eastAsia="Arial" w:hAnsi="Arial"/>
                <w:sz w:val="12"/>
                <w:szCs w:val="12"/>
                <w:color w:val="auto"/>
              </w:rPr>
              <w:t>4.625%</w:t>
            </w:r>
          </w:p>
        </w:tc>
        <w:tc>
          <w:tcPr>
            <w:tcW w:w="1600" w:type="dxa"/>
            <w:vAlign w:val="bottom"/>
            <w:shd w:val="clear" w:color="auto" w:fill="DBDBDB"/>
          </w:tcPr>
          <w:p>
            <w:pPr>
              <w:jc w:val="center"/>
              <w:ind w:right="199"/>
              <w:spacing w:after="0"/>
              <w:rPr>
                <w:sz w:val="20"/>
                <w:szCs w:val="20"/>
                <w:color w:val="auto"/>
              </w:rPr>
            </w:pPr>
            <w:r>
              <w:rPr>
                <w:rFonts w:ascii="Arial" w:cs="Arial" w:eastAsia="Arial" w:hAnsi="Arial"/>
                <w:sz w:val="12"/>
                <w:szCs w:val="12"/>
                <w:color w:val="auto"/>
                <w:w w:val="97"/>
              </w:rPr>
              <w:t>2028</w:t>
            </w:r>
          </w:p>
        </w:tc>
        <w:tc>
          <w:tcPr>
            <w:tcW w:w="260" w:type="dxa"/>
            <w:vAlign w:val="bottom"/>
            <w:shd w:val="clear" w:color="auto" w:fill="DBDBDB"/>
          </w:tcPr>
          <w:p>
            <w:pPr>
              <w:spacing w:after="0"/>
              <w:rPr>
                <w:sz w:val="14"/>
                <w:szCs w:val="14"/>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492,017</w:t>
            </w:r>
          </w:p>
        </w:tc>
        <w:tc>
          <w:tcPr>
            <w:tcW w:w="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491,555</w:t>
            </w:r>
          </w:p>
        </w:tc>
      </w:tr>
      <w:tr>
        <w:trPr>
          <w:trHeight w:val="159"/>
        </w:trPr>
        <w:tc>
          <w:tcPr>
            <w:tcW w:w="342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Finance Leases</w:t>
            </w:r>
          </w:p>
        </w:tc>
        <w:tc>
          <w:tcPr>
            <w:tcW w:w="2800" w:type="dxa"/>
            <w:vAlign w:val="bottom"/>
            <w:tcBorders>
              <w:bottom w:val="single" w:sz="8" w:color="DBDBDB"/>
            </w:tcBorders>
          </w:tcPr>
          <w:p>
            <w:pPr>
              <w:jc w:val="center"/>
              <w:ind w:left="519"/>
              <w:spacing w:after="0"/>
              <w:rPr>
                <w:sz w:val="20"/>
                <w:szCs w:val="20"/>
                <w:color w:val="auto"/>
              </w:rPr>
            </w:pPr>
            <w:r>
              <w:rPr>
                <w:rFonts w:ascii="Arial" w:cs="Arial" w:eastAsia="Arial" w:hAnsi="Arial"/>
                <w:sz w:val="12"/>
                <w:szCs w:val="12"/>
                <w:color w:val="auto"/>
                <w:w w:val="99"/>
              </w:rPr>
              <w:t>Varies</w:t>
            </w:r>
          </w:p>
        </w:tc>
        <w:tc>
          <w:tcPr>
            <w:tcW w:w="1600" w:type="dxa"/>
            <w:vAlign w:val="bottom"/>
            <w:tcBorders>
              <w:bottom w:val="single" w:sz="8" w:color="DBDBDB"/>
            </w:tcBorders>
          </w:tcPr>
          <w:p>
            <w:pPr>
              <w:jc w:val="center"/>
              <w:ind w:right="199"/>
              <w:spacing w:after="0"/>
              <w:rPr>
                <w:sz w:val="20"/>
                <w:szCs w:val="20"/>
                <w:color w:val="auto"/>
              </w:rPr>
            </w:pPr>
            <w:r>
              <w:rPr>
                <w:rFonts w:ascii="Arial" w:cs="Arial" w:eastAsia="Arial" w:hAnsi="Arial"/>
                <w:sz w:val="12"/>
                <w:szCs w:val="12"/>
                <w:color w:val="auto"/>
                <w:w w:val="99"/>
              </w:rPr>
              <w:t>Varies</w:t>
            </w: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81,529</w:t>
            </w:r>
          </w:p>
        </w:tc>
        <w:tc>
          <w:tcPr>
            <w:tcW w:w="80" w:type="dxa"/>
            <w:vAlign w:val="bottom"/>
            <w:tcBorders>
              <w:bottom w:val="single" w:sz="8" w:color="DBDBDB"/>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77,874</w:t>
            </w:r>
          </w:p>
        </w:tc>
      </w:tr>
      <w:tr>
        <w:trPr>
          <w:trHeight w:val="154"/>
        </w:trPr>
        <w:tc>
          <w:tcPr>
            <w:tcW w:w="3420" w:type="dxa"/>
            <w:vAlign w:val="bottom"/>
            <w:shd w:val="clear" w:color="auto" w:fill="DBDBDB"/>
          </w:tcPr>
          <w:p>
            <w:pPr>
              <w:ind w:left="180"/>
              <w:spacing w:after="0"/>
              <w:rPr>
                <w:sz w:val="20"/>
                <w:szCs w:val="20"/>
                <w:color w:val="auto"/>
              </w:rPr>
            </w:pPr>
            <w:r>
              <w:rPr>
                <w:rFonts w:ascii="Arial" w:cs="Arial" w:eastAsia="Arial" w:hAnsi="Arial"/>
                <w:sz w:val="12"/>
                <w:szCs w:val="12"/>
                <w:color w:val="auto"/>
              </w:rPr>
              <w:t>Total debt</w:t>
            </w:r>
          </w:p>
        </w:tc>
        <w:tc>
          <w:tcPr>
            <w:tcW w:w="2800" w:type="dxa"/>
            <w:vAlign w:val="bottom"/>
            <w:shd w:val="clear" w:color="auto" w:fill="DBDBDB"/>
          </w:tcPr>
          <w:p>
            <w:pPr>
              <w:spacing w:after="0"/>
              <w:rPr>
                <w:sz w:val="13"/>
                <w:szCs w:val="13"/>
                <w:color w:val="auto"/>
              </w:rPr>
            </w:pPr>
          </w:p>
        </w:tc>
        <w:tc>
          <w:tcPr>
            <w:tcW w:w="16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2,522,852</w:t>
            </w: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2,470,330</w:t>
            </w:r>
          </w:p>
        </w:tc>
      </w:tr>
      <w:tr>
        <w:trPr>
          <w:trHeight w:val="159"/>
        </w:trPr>
        <w:tc>
          <w:tcPr>
            <w:tcW w:w="342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Less: current portion of long-term debt</w:t>
            </w:r>
          </w:p>
        </w:tc>
        <w:tc>
          <w:tcPr>
            <w:tcW w:w="2800" w:type="dxa"/>
            <w:vAlign w:val="bottom"/>
            <w:tcBorders>
              <w:bottom w:val="single" w:sz="8" w:color="DBDBDB"/>
            </w:tcBorders>
          </w:tcPr>
          <w:p>
            <w:pPr>
              <w:spacing w:after="0"/>
              <w:rPr>
                <w:sz w:val="13"/>
                <w:szCs w:val="13"/>
                <w:color w:val="auto"/>
              </w:rPr>
            </w:pPr>
          </w:p>
        </w:tc>
        <w:tc>
          <w:tcPr>
            <w:tcW w:w="160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16,557</w:t>
            </w:r>
          </w:p>
        </w:tc>
        <w:tc>
          <w:tcPr>
            <w:tcW w:w="80" w:type="dxa"/>
            <w:vAlign w:val="bottom"/>
            <w:tcBorders>
              <w:bottom w:val="single" w:sz="8" w:color="DBDBDB"/>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16,521</w:t>
            </w:r>
          </w:p>
        </w:tc>
      </w:tr>
      <w:tr>
        <w:trPr>
          <w:trHeight w:val="176"/>
        </w:trPr>
        <w:tc>
          <w:tcPr>
            <w:tcW w:w="342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2"/>
                <w:szCs w:val="12"/>
                <w:color w:val="auto"/>
              </w:rPr>
              <w:t>Total long-term debt</w:t>
            </w:r>
          </w:p>
        </w:tc>
        <w:tc>
          <w:tcPr>
            <w:tcW w:w="2800" w:type="dxa"/>
            <w:vAlign w:val="bottom"/>
            <w:tcBorders>
              <w:bottom w:val="single" w:sz="8" w:color="DBDBDB"/>
            </w:tcBorders>
            <w:shd w:val="clear" w:color="auto" w:fill="DBDBDB"/>
          </w:tcPr>
          <w:p>
            <w:pPr>
              <w:spacing w:after="0"/>
              <w:rPr>
                <w:sz w:val="14"/>
                <w:szCs w:val="14"/>
                <w:color w:val="auto"/>
              </w:rPr>
            </w:pPr>
          </w:p>
        </w:tc>
        <w:tc>
          <w:tcPr>
            <w:tcW w:w="160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2,506,295</w:t>
            </w:r>
          </w:p>
        </w:tc>
        <w:tc>
          <w:tcPr>
            <w:tcW w:w="8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2,453,809</w:t>
            </w:r>
          </w:p>
        </w:tc>
      </w:tr>
      <w:tr>
        <w:trPr>
          <w:trHeight w:val="20"/>
        </w:trPr>
        <w:tc>
          <w:tcPr>
            <w:tcW w:w="3420" w:type="dxa"/>
            <w:vAlign w:val="bottom"/>
            <w:tcBorders>
              <w:top w:val="single" w:sz="8" w:color="DBDBDB"/>
            </w:tcBorders>
          </w:tcPr>
          <w:p>
            <w:pPr>
              <w:spacing w:after="0" w:line="20" w:lineRule="exact"/>
              <w:rPr>
                <w:sz w:val="1"/>
                <w:szCs w:val="1"/>
                <w:color w:val="auto"/>
              </w:rPr>
            </w:pPr>
          </w:p>
        </w:tc>
        <w:tc>
          <w:tcPr>
            <w:tcW w:w="280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1"/>
        <w:spacing w:after="0" w:line="234" w:lineRule="auto"/>
        <w:tabs>
          <w:tab w:leader="none" w:pos="169" w:val="left"/>
        </w:tabs>
        <w:numPr>
          <w:ilvl w:val="0"/>
          <w:numId w:val="8"/>
        </w:numPr>
        <w:rPr>
          <w:rFonts w:ascii="Arial" w:cs="Arial" w:eastAsia="Arial" w:hAnsi="Arial"/>
          <w:sz w:val="11"/>
          <w:szCs w:val="11"/>
          <w:color w:val="auto"/>
        </w:rPr>
      </w:pPr>
      <w:r>
        <w:rPr>
          <w:rFonts w:ascii="Arial" w:cs="Arial" w:eastAsia="Arial" w:hAnsi="Arial"/>
          <w:sz w:val="11"/>
          <w:szCs w:val="11"/>
          <w:color w:val="auto"/>
        </w:rPr>
        <w:t>As of both June 30, 2021 and December 31, 2020, the Company had no outstanding principal borrowings on the Multicurrency Facility and $7.2 million and $7.9 million, respectively, of related debt issuance costs. No related debt issuance costs were recorded as a direct offset against the principal borrowings on the Multicurrency Facility, and the $7.2 million and $7.9 million in excess of principal was included in other non-current assets on the condensed consolidated balance sheets.</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 Backed Lending Facilities ("ABL Facility")</w:t>
      </w:r>
    </w:p>
    <w:p>
      <w:pPr>
        <w:spacing w:after="0" w:line="111" w:lineRule="exact"/>
        <w:rPr>
          <w:sz w:val="20"/>
          <w:szCs w:val="20"/>
          <w:color w:val="auto"/>
        </w:rPr>
      </w:pPr>
    </w:p>
    <w:p>
      <w:pPr>
        <w:jc w:val="both"/>
        <w:ind w:firstLine="484"/>
        <w:spacing w:after="0" w:line="248" w:lineRule="auto"/>
        <w:rPr>
          <w:sz w:val="20"/>
          <w:szCs w:val="20"/>
          <w:color w:val="auto"/>
        </w:rPr>
      </w:pPr>
      <w:r>
        <w:rPr>
          <w:rFonts w:ascii="Arial" w:cs="Arial" w:eastAsia="Arial" w:hAnsi="Arial"/>
          <w:sz w:val="12"/>
          <w:szCs w:val="12"/>
          <w:color w:val="auto"/>
        </w:rPr>
        <w:t>On November 29, 2017, Williams Scotsman Holdings Corp ("Holdings"), Williams Scotsman International, Inc. ("WSII") and certain of its subsidiaries entered into an ABL credit agreement (the “2017 ABL Facility”), as amended, that provided a senior secured revolving credit facility that matured on May 29, 2022. The 2017 ABL Facility consisted of (i) a $1.3 billion asset-backed revolving credit facility for WSII and certain of its domestic subsidiaries (the "2017 US ABL Facility"), (ii) a $140.0 million asset-based revolving credit facility (the "2017 Canadian ABL Facility") for certain Canadian subsidiaries of WSII, and (iii) an accordion feature that permitted the borrowers to increase the lenders’ commitments in an aggregate amount not to exceed $375.0 million, subject to the satisfaction of customary conditions and lender approval, plus any voluntary prepayments that are accompanied by permanent commitment reductions under the 2017 ABL Facility.</w:t>
      </w:r>
    </w:p>
    <w:p>
      <w:pPr>
        <w:spacing w:after="0" w:line="33" w:lineRule="exact"/>
        <w:rPr>
          <w:sz w:val="20"/>
          <w:szCs w:val="20"/>
          <w:color w:val="auto"/>
        </w:rPr>
      </w:pPr>
    </w:p>
    <w:p>
      <w:pPr>
        <w:jc w:val="both"/>
        <w:ind w:firstLine="484"/>
        <w:spacing w:after="0" w:line="247" w:lineRule="auto"/>
        <w:rPr>
          <w:sz w:val="20"/>
          <w:szCs w:val="20"/>
          <w:color w:val="auto"/>
        </w:rPr>
      </w:pPr>
      <w:r>
        <w:rPr>
          <w:rFonts w:ascii="Arial" w:cs="Arial" w:eastAsia="Arial" w:hAnsi="Arial"/>
          <w:sz w:val="12"/>
          <w:szCs w:val="12"/>
          <w:color w:val="auto"/>
        </w:rPr>
        <w:t>On July 1, 2020, in connection with the completion of the Merger, Holdings, WSII, and certain of its subsidiaries, entered into a new asset-based credit agreement, that provides for revolving credit facilities in the aggregate principal amount of up to $2.4 billion, consisting of: (i) a senior secured asset-based US dollar revolving credit facility in the aggregate principal amount of $2.0 billion (the “US Facility”), available to WSII and certain of its subsidiaries (collectively, the “US Borrowers”), and (ii) a $400 million senior secured asset-based multicurrency revolving credit facility (the "Multicurrency Facility" together with the US Facility, the “2020 ABL Facility”), available to be drawn in US Dollars, Canadian Dollars, British Pounds Sterling or Euros by the US Borrowers, and certain of WSII’s wholly-owned subsidiaries organized in Canada and in the UK. On July 1, 2020, in connection with the completion of the Merger, approximately $1.5 billion of proceeds from the 2020 ABL Facility were used to repay the 2017 ABL Facility and the asset-backed lending facility assumed in the transaction with Mobile Mini, as well as to pay fees and expenses related to the Merger and the debt financing transactions. In connection with the repayment of the 2017 ABL facility, the Company wrote off $4.4 million of deferred financing costs to loss on extinguishment of debt in the third quarter of 2020. The 2020 ABL Facility matures July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520700</wp:posOffset>
            </wp:positionV>
            <wp:extent cx="719264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18" w:name="page19"/>
    <w:bookmarkEnd w:id="18"/>
    <w:p>
      <w:pPr>
        <w:jc w:val="both"/>
        <w:ind w:firstLine="484"/>
        <w:spacing w:after="0" w:line="248" w:lineRule="auto"/>
        <w:rPr>
          <w:sz w:val="20"/>
          <w:szCs w:val="20"/>
          <w:color w:val="auto"/>
        </w:rPr>
      </w:pPr>
      <w:r>
        <w:rPr>
          <w:rFonts w:ascii="Arial" w:cs="Arial" w:eastAsia="Arial" w:hAnsi="Arial"/>
          <w:sz w:val="12"/>
          <w:szCs w:val="12"/>
          <w:color w:val="auto"/>
        </w:rPr>
        <w:t>Borrowings under the 2020 ABL Facility initially bear interest at (i) in the case of US Dollars, at WSII’s option, either an adjusted LIBOR rate plus 1.875% or an alternative base rate plus 0.875%, (ii) in the case of Canadian Dollars, at WSII’s option, either a Canadian BA rate plus 1.875% or Canadian prime rate plus 0.875%, and (iii) in the case of Euros and British Pounds Sterling, an adjusted LIBOR rate plus 1.875%. The 2020 ABL Facility requires the payment of an annual commitment fee on the unused available borrowings of 0.225% per annum. At June 30, 2021, the weighted average interest rate for borrowings under the 2020 ABL Facility was 1.96%. The weighted average interest rate on the balance outstanding as of June 30, 2021, as adjusted for the effects of the interest rate swap agreements, was 2.77%. Refer to Note 16 for a more detailed discussion on interest rate management.</w:t>
      </w:r>
    </w:p>
    <w:p>
      <w:pPr>
        <w:spacing w:after="0" w:line="33"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Borrowing availability under the US Facility and the Multicurrency Facility is equal to the lesser of (i) the aggregate Revolver Commitments and (ii) the Line Cap. At June 30, 2021, the Line Cap was $2.4 billion and the Borrowers had $917.4 million of available borrowing capacity under the 2020 ABL Facility, including $517.4 million under the US Facility and $400.0 million under the Multicurrency Facility. Borrowing capacity under the 2020 ABL Facility is made available for up to $205.9 million of letters of credit and up to $170.0 million of swingline loans. At June 30, 2021, letters of credit and bank guarantees carried fees of 2.00%. The Company had issued $14.1 million of standby letters of credit under the 2020 ABL Facility at June 30, 2021.</w:t>
      </w:r>
    </w:p>
    <w:p>
      <w:pPr>
        <w:spacing w:after="0" w:line="33"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Company had $1.5 billion outstanding principal under the 2020 ABL Facility at June 30, 2021. Debt issuance costs of $36.2 million were included in the carrying value of the 2020 ABL Facility at June 30, 2021.</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2022 Senior Secured Notes</w:t>
      </w:r>
    </w:p>
    <w:p>
      <w:pPr>
        <w:spacing w:after="0" w:line="70"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WSII had $270.0 million aggregate principal amount of 7.875% senior secured notes due December 15, 2022 (the “2022 Secured Notes”). In connection with the Merger and related financing transactions in the third quarter of 2020, using proceeds from the 2025 Secured Notes discussed below, the Company redeemed all of its 2022 Secured Notes.</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2023 Senior Secured Notes</w:t>
      </w:r>
    </w:p>
    <w:p>
      <w:pPr>
        <w:spacing w:after="0" w:line="70"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WSII had $490.0 million of 6.875% senior secured notes due August 15, 2023 (the “2023 Secured Notes”). On August 11, 2020, WSII redeemed 10% of the outstanding principal amount of the 2023 Secured Notes, $49.0 million. On August 25, 2020, the Company completed a private offering of its 2028 Secured Notes, discussed below, and used the offering proceeds to repay, along with expenses, the $441.0 million outstanding principal amount of its 2023 Secured Notes.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2025 Senior Secured Notes</w:t>
      </w:r>
    </w:p>
    <w:p>
      <w:pPr>
        <w:spacing w:after="0" w:line="70"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In anticipation of the Merger, on June 15, 2020, Picasso Finance Sub, Inc., a newly-formed indirect finance subsidiary (the “Finance Sub”) of the Company, completed a private offering of $650.0 million in aggregate principal amount of its 6.125% senior secured notes due 2025 (the “2025 Secured Notes”). Finance Sub was merged into WSII on July 1, 2020. The offering proceeds were used to repay the 2022 Secured Notes, repay Mobile Mini senior notes assumed in the acquisition and pay certain fees and expenses related to the Merger and the related financing transactions.</w:t>
      </w:r>
    </w:p>
    <w:p>
      <w:pPr>
        <w:spacing w:after="0" w:line="29"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On March 26, 2021, using cash on hand and borrowings on the 2020 ABL Facility, the Company redeemed 10% of the outstanding principal, or $65.0 million, of its 2025 Secured Notes and recorded a loss on extinguishment of debt in the condensed consolidated statement of operations of $3.2 million comprised of a redemption premium of $1.9 million and write- off of unamortized deferred financing fees of $1.3 million in the first quarter of 2021.</w:t>
      </w:r>
    </w:p>
    <w:p>
      <w:pPr>
        <w:spacing w:after="0" w:line="29"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On June 16, 2021, using cash on hand and borrowings on the 2020 ABL Facility, the Company redeemed 10% of the outstanding principal, or $58.5 million, of its 2025 Secured Notes and recorded a loss on extinguishment of debt in the condensed consolidated statement of operations of $2.8 million comprised of a redemption premium of $1.8 million and write-off of unamortized deferred financing fees of $1.0 million in the second quarter of 2021.</w:t>
      </w:r>
    </w:p>
    <w:p>
      <w:pPr>
        <w:spacing w:after="0" w:line="29"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2025 Secured Notes mature on June 15, 2025 and bear interest at a rate of 6.125% per annum. Interest is payable semi-annually on June 15 and December 15 of each year, beginning December 15, 2020. Unamortized deferred financing costs pertaining to the 2025 Secured Notes were $9.5 million as of June 30, 2021.</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2028 Senior Secured Notes</w:t>
      </w:r>
    </w:p>
    <w:p>
      <w:pPr>
        <w:spacing w:after="0" w:line="70"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On August 25, 2020, the Company, completed a private offering of $500.0 million in aggregate principal amount of 4.625% senior secured notes due 2028 (the “2028 Secured Notes”). The 2028 Secured Notes mature on August 15, 2028. They bear interest at a rate of 4.625% per annum. Interest is payable semi-annually on August 15 and February 15 of each year, beginning February 15, 2021. Unamortized deferred financing cost pertaining to the 2028 Secured Notes were $8.0 million as of June 30, 2021.</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Company is in compliance with all debt covenants and restrictions for the aforementioned debt instruments as of June 30, 2021 and December 31, 2020.</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Finance Leases</w:t>
      </w:r>
    </w:p>
    <w:p>
      <w:pPr>
        <w:spacing w:after="0" w:line="70"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Company maintains finance leases primarily related to transportation equipment. At June 30, 2021 and December 31, 2020, obligations under finance leases for certain real property and transportation related equipment were $81.5 million and $77.9 million, respectively. Refer to Note 4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681990</wp:posOffset>
            </wp:positionV>
            <wp:extent cx="719264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1D2758"/>
        </w:rPr>
        <w:t>NOTE 10 – Equity</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Common Stock</w:t>
      </w:r>
    </w:p>
    <w:p>
      <w:pPr>
        <w:spacing w:after="0" w:line="70" w:lineRule="exact"/>
        <w:rPr>
          <w:sz w:val="20"/>
          <w:szCs w:val="20"/>
          <w:color w:val="auto"/>
        </w:rPr>
      </w:pPr>
    </w:p>
    <w:p>
      <w:pPr>
        <w:jc w:val="both"/>
        <w:ind w:firstLine="484"/>
        <w:spacing w:after="0" w:line="247" w:lineRule="auto"/>
        <w:rPr>
          <w:sz w:val="20"/>
          <w:szCs w:val="20"/>
          <w:color w:val="auto"/>
        </w:rPr>
      </w:pPr>
      <w:r>
        <w:rPr>
          <w:rFonts w:ascii="Arial" w:cs="Arial" w:eastAsia="Arial" w:hAnsi="Arial"/>
          <w:sz w:val="12"/>
          <w:szCs w:val="12"/>
          <w:color w:val="auto"/>
        </w:rPr>
        <w:t>On June 30, 2020, as contemplated by the Merger Agreement, Sapphire Holding S.à r.l. ("Sapphire Holdings"), an affiliate of TDR Capital LLP (“TDR Capital”), exchanged each of its shares of common stock of Holdings for 1.3261 shares of newly issued WillScot Class A Common Stock (the "Sapphire Exchange"). As a result of the Sapphire Exchange, all issued and outstanding shares of WillScot’s Class B Common Stock, par value $0.0001 per share (the "Class B Common Stock"), were automatically canceled for no consideration and the existing exchange agreement was automatically terminated. As a result of the Sapphire Exchange, Holdings became a wholly-owned subsidiary of WillScot. Sapphire Holdings received 10,641,182 shares of Common Stock of WillScot in the Sapphire Exchange. Prior to the Sapphire Exchange, Sapphire Holdings' ownership of Holdings was recorded as a non-controlling interest in the condensed consolidated financial statements. Subsequent to the Sapphire Exchange, the Company's subsidiaries are each wholly owned and there is no non-controlling interest. As a result of the Sapphire Exchange, non-controlling interest of $63.9 million was reclassified to $66.9 million of additional paid-in-capital and $3.0 million to accumulated other comprehensive loss, on the condensed consolidated balance sheet.</w:t>
      </w:r>
    </w:p>
    <w:p>
      <w:pPr>
        <w:spacing w:after="0" w:line="35"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In connection with the Merger on July 1, 2020, the Company issued 106,426,722 shares of Class A Common Stock in exchange for Mobile Mini Common Stock outstanding and subsequently filed an amended and restated certificate of incorporation, which reclassified all outstanding shares of the Class A Common Stock and converted such shares into shares of Common Stock, par value $0.0001 per share, of WillScot Mobile Mini.</w:t>
      </w:r>
    </w:p>
    <w:p>
      <w:pPr>
        <w:spacing w:after="0" w:line="29"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In connection with the stock compensation vesting events and stock option exercises described in Note 15, and the warrant exercises described below, the Company issued 4,687,881 shares of Common Stock during the six months ended June 30, 2021.</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Repurchase Program</w:t>
      </w:r>
    </w:p>
    <w:p>
      <w:pPr>
        <w:spacing w:after="0" w:line="111"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On August 7, 2020, the Company's Board of Directors approved a stock repurchase program that authorizes the Company to repurchase up to $250 million of its outstanding shares of Common Stock. On April 29, 2021, the Board of Directors approved an increase in repurchase authority to $500 million. The stock repurchase program does not obligate the Company to purchase any particular number of shares, and the timing and exact amount of any repurchases will depend on various factors, including market pricing and conditions, business, legal, accounting, and other considerations.</w:t>
      </w:r>
    </w:p>
    <w:p>
      <w:pPr>
        <w:spacing w:after="0" w:line="29"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The Company may repurchase its shares in open market transactions from time to time or through privately negotiated transactions in accordance with federal securities laws, at the Company's discretion. The repurchase program, which has no expiration date, may be increased, suspended, or terminated at any time. The program is expected to be implemented over the course of several years and is conducted subject to the covenants in the agreements governing the Company's indebtedness.</w:t>
      </w:r>
    </w:p>
    <w:p>
      <w:pPr>
        <w:spacing w:after="0" w:line="29"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During the six months ended June 30, 2021, the Company repurchased 7,901,657 shares of Common Stock and stock equivalents for $216.3 million. As of June 30, 2021, $249.2 million of the approved repurchase pool remained available.</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Accumulated Other Comprehensive Loss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changes in accumulated other comprehensive income (loss) ("AOCI"), net of tax, for the six months ended June 30, 2021 and 2020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40" w:type="dxa"/>
            <w:vAlign w:val="bottom"/>
            <w:vMerge w:val="restart"/>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880" w:type="dxa"/>
            <w:vAlign w:val="bottom"/>
            <w:gridSpan w:val="3"/>
            <w:vMerge w:val="restart"/>
            <w:shd w:val="clear" w:color="auto" w:fill="1D2758"/>
          </w:tcPr>
          <w:p>
            <w:pPr>
              <w:ind w:left="80"/>
              <w:spacing w:after="0"/>
              <w:rPr>
                <w:sz w:val="20"/>
                <w:szCs w:val="20"/>
                <w:color w:val="auto"/>
              </w:rPr>
            </w:pPr>
            <w:r>
              <w:rPr>
                <w:rFonts w:ascii="Arial" w:cs="Arial" w:eastAsia="Arial" w:hAnsi="Arial"/>
                <w:sz w:val="12"/>
                <w:szCs w:val="12"/>
                <w:b w:val="1"/>
                <w:bCs w:val="1"/>
                <w:color w:val="FFFFFF"/>
              </w:rPr>
              <w:t>Foreign currency translation</w:t>
            </w:r>
          </w:p>
        </w:tc>
        <w:tc>
          <w:tcPr>
            <w:tcW w:w="1880" w:type="dxa"/>
            <w:vAlign w:val="bottom"/>
            <w:gridSpan w:val="3"/>
            <w:shd w:val="clear" w:color="auto" w:fill="1D2758"/>
          </w:tcPr>
          <w:p>
            <w:pPr>
              <w:jc w:val="center"/>
              <w:ind w:right="100"/>
              <w:spacing w:after="0"/>
              <w:rPr>
                <w:sz w:val="20"/>
                <w:szCs w:val="20"/>
                <w:color w:val="auto"/>
              </w:rPr>
            </w:pPr>
            <w:r>
              <w:rPr>
                <w:rFonts w:ascii="Arial" w:cs="Arial" w:eastAsia="Arial" w:hAnsi="Arial"/>
                <w:sz w:val="12"/>
                <w:szCs w:val="12"/>
                <w:b w:val="1"/>
                <w:bCs w:val="1"/>
                <w:color w:val="FFFFFF"/>
              </w:rPr>
              <w:t>Unrealized losses on hedging</w:t>
            </w:r>
          </w:p>
        </w:tc>
        <w:tc>
          <w:tcPr>
            <w:tcW w:w="420" w:type="dxa"/>
            <w:vAlign w:val="bottom"/>
            <w:shd w:val="clear" w:color="auto" w:fill="1D2758"/>
          </w:tcPr>
          <w:p>
            <w:pPr>
              <w:spacing w:after="0"/>
              <w:rPr>
                <w:sz w:val="12"/>
                <w:szCs w:val="12"/>
                <w:color w:val="auto"/>
              </w:rPr>
            </w:pPr>
          </w:p>
        </w:tc>
        <w:tc>
          <w:tcPr>
            <w:tcW w:w="1360" w:type="dxa"/>
            <w:vAlign w:val="bottom"/>
            <w:vMerge w:val="restart"/>
            <w:shd w:val="clear" w:color="auto" w:fill="1D2758"/>
          </w:tcPr>
          <w:p>
            <w:pPr>
              <w:jc w:val="right"/>
              <w:ind w:right="699"/>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61"/>
        </w:trPr>
        <w:tc>
          <w:tcPr>
            <w:tcW w:w="5740" w:type="dxa"/>
            <w:vAlign w:val="bottom"/>
            <w:vMerge w:val="continue"/>
            <w:shd w:val="clear" w:color="auto" w:fill="1D2758"/>
          </w:tcPr>
          <w:p>
            <w:pPr>
              <w:spacing w:after="0"/>
              <w:rPr>
                <w:sz w:val="14"/>
                <w:szCs w:val="14"/>
                <w:color w:val="auto"/>
              </w:rPr>
            </w:pPr>
          </w:p>
        </w:tc>
        <w:tc>
          <w:tcPr>
            <w:tcW w:w="1880" w:type="dxa"/>
            <w:vAlign w:val="bottom"/>
            <w:gridSpan w:val="3"/>
            <w:vMerge w:val="continue"/>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1520" w:type="dxa"/>
            <w:vAlign w:val="bottom"/>
            <w:gridSpan w:val="2"/>
            <w:shd w:val="clear" w:color="auto" w:fill="1D2758"/>
          </w:tcPr>
          <w:p>
            <w:pPr>
              <w:jc w:val="center"/>
              <w:ind w:right="440"/>
              <w:spacing w:after="0"/>
              <w:rPr>
                <w:sz w:val="20"/>
                <w:szCs w:val="20"/>
                <w:color w:val="auto"/>
              </w:rPr>
            </w:pPr>
            <w:r>
              <w:rPr>
                <w:rFonts w:ascii="Arial" w:cs="Arial" w:eastAsia="Arial" w:hAnsi="Arial"/>
                <w:sz w:val="12"/>
                <w:szCs w:val="12"/>
                <w:b w:val="1"/>
                <w:bCs w:val="1"/>
                <w:color w:val="FFFFFF"/>
              </w:rPr>
              <w:t>activities</w:t>
            </w:r>
          </w:p>
        </w:tc>
        <w:tc>
          <w:tcPr>
            <w:tcW w:w="420" w:type="dxa"/>
            <w:vAlign w:val="bottom"/>
            <w:shd w:val="clear" w:color="auto" w:fill="1D2758"/>
          </w:tcPr>
          <w:p>
            <w:pPr>
              <w:spacing w:after="0"/>
              <w:rPr>
                <w:sz w:val="14"/>
                <w:szCs w:val="14"/>
                <w:color w:val="auto"/>
              </w:rPr>
            </w:pPr>
          </w:p>
        </w:tc>
        <w:tc>
          <w:tcPr>
            <w:tcW w:w="136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40" w:type="dxa"/>
            <w:vAlign w:val="bottom"/>
            <w:shd w:val="clear" w:color="auto" w:fill="DBDBDB"/>
          </w:tcPr>
          <w:p>
            <w:pPr>
              <w:ind w:left="20"/>
              <w:spacing w:after="0"/>
              <w:rPr>
                <w:sz w:val="20"/>
                <w:szCs w:val="20"/>
                <w:color w:val="auto"/>
              </w:rPr>
            </w:pPr>
            <w:r>
              <w:rPr>
                <w:rFonts w:ascii="Arial" w:cs="Arial" w:eastAsia="Arial" w:hAnsi="Arial"/>
                <w:sz w:val="12"/>
                <w:szCs w:val="12"/>
                <w:color w:val="auto"/>
              </w:rPr>
              <w:t>Balance at December 31, 2020</w:t>
            </w:r>
          </w:p>
        </w:tc>
        <w:tc>
          <w:tcPr>
            <w:tcW w:w="700" w:type="dxa"/>
            <w:vAlign w:val="bottom"/>
            <w:shd w:val="clear" w:color="auto" w:fill="DBDBDB"/>
          </w:tcPr>
          <w:p>
            <w:pPr>
              <w:jc w:val="right"/>
              <w:ind w:right="559"/>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(24,694)</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19"/>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(12,513)</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jc w:val="right"/>
              <w:ind w:right="279"/>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(37,207)</w:t>
            </w:r>
          </w:p>
        </w:tc>
        <w:tc>
          <w:tcPr>
            <w:tcW w:w="0" w:type="dxa"/>
            <w:vAlign w:val="bottom"/>
          </w:tcPr>
          <w:p>
            <w:pPr>
              <w:spacing w:after="0"/>
              <w:rPr>
                <w:sz w:val="1"/>
                <w:szCs w:val="1"/>
                <w:color w:val="auto"/>
              </w:rPr>
            </w:pPr>
          </w:p>
        </w:tc>
      </w:tr>
      <w:tr>
        <w:trPr>
          <w:trHeight w:val="159"/>
        </w:trPr>
        <w:tc>
          <w:tcPr>
            <w:tcW w:w="5740" w:type="dxa"/>
            <w:vAlign w:val="bottom"/>
          </w:tcPr>
          <w:p>
            <w:pPr>
              <w:ind w:left="180"/>
              <w:spacing w:after="0"/>
              <w:rPr>
                <w:sz w:val="20"/>
                <w:szCs w:val="20"/>
                <w:color w:val="auto"/>
              </w:rPr>
            </w:pPr>
            <w:r>
              <w:rPr>
                <w:rFonts w:ascii="Arial" w:cs="Arial" w:eastAsia="Arial" w:hAnsi="Arial"/>
                <w:sz w:val="12"/>
                <w:szCs w:val="12"/>
                <w:color w:val="auto"/>
              </w:rPr>
              <w:t>Other comprehensive income (loss) before reclassifications</w:t>
            </w:r>
          </w:p>
        </w:tc>
        <w:tc>
          <w:tcPr>
            <w:tcW w:w="7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5,034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(760)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4,274</w:t>
            </w:r>
          </w:p>
        </w:tc>
        <w:tc>
          <w:tcPr>
            <w:tcW w:w="0" w:type="dxa"/>
            <w:vAlign w:val="bottom"/>
          </w:tcPr>
          <w:p>
            <w:pPr>
              <w:spacing w:after="0"/>
              <w:rPr>
                <w:sz w:val="1"/>
                <w:szCs w:val="1"/>
                <w:color w:val="auto"/>
              </w:rPr>
            </w:pPr>
          </w:p>
        </w:tc>
      </w:tr>
      <w:tr>
        <w:trPr>
          <w:trHeight w:val="164"/>
        </w:trPr>
        <w:tc>
          <w:tcPr>
            <w:tcW w:w="5740" w:type="dxa"/>
            <w:vAlign w:val="bottom"/>
            <w:shd w:val="clear" w:color="auto" w:fill="DBDBDB"/>
          </w:tcPr>
          <w:p>
            <w:pPr>
              <w:ind w:left="180"/>
              <w:spacing w:after="0"/>
              <w:rPr>
                <w:sz w:val="20"/>
                <w:szCs w:val="20"/>
                <w:color w:val="auto"/>
              </w:rPr>
            </w:pPr>
            <w:r>
              <w:rPr>
                <w:rFonts w:ascii="Arial" w:cs="Arial" w:eastAsia="Arial" w:hAnsi="Arial"/>
                <w:sz w:val="12"/>
                <w:szCs w:val="12"/>
                <w:color w:val="auto"/>
              </w:rPr>
              <w:t>Reclassifications from AOCI to income</w:t>
            </w:r>
          </w:p>
        </w:tc>
        <w:tc>
          <w:tcPr>
            <w:tcW w:w="700" w:type="dxa"/>
            <w:vAlign w:val="bottom"/>
            <w:shd w:val="clear" w:color="auto" w:fill="DBDBDB"/>
          </w:tcPr>
          <w:p>
            <w:pPr>
              <w:spacing w:after="0"/>
              <w:rPr>
                <w:sz w:val="14"/>
                <w:szCs w:val="14"/>
                <w:color w:val="auto"/>
              </w:rPr>
            </w:pPr>
          </w:p>
        </w:tc>
        <w:tc>
          <w:tcPr>
            <w:tcW w:w="118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DBDBDB"/>
          </w:tcPr>
          <w:p>
            <w:pPr>
              <w:spacing w:after="0"/>
              <w:rPr>
                <w:sz w:val="14"/>
                <w:szCs w:val="14"/>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2,937</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2,937</w:t>
            </w:r>
          </w:p>
        </w:tc>
        <w:tc>
          <w:tcPr>
            <w:tcW w:w="0" w:type="dxa"/>
            <w:vAlign w:val="bottom"/>
          </w:tcPr>
          <w:p>
            <w:pPr>
              <w:spacing w:after="0"/>
              <w:rPr>
                <w:sz w:val="1"/>
                <w:szCs w:val="1"/>
                <w:color w:val="auto"/>
              </w:rPr>
            </w:pPr>
          </w:p>
        </w:tc>
      </w:tr>
      <w:tr>
        <w:trPr>
          <w:trHeight w:val="149"/>
        </w:trPr>
        <w:tc>
          <w:tcPr>
            <w:tcW w:w="5740" w:type="dxa"/>
            <w:vAlign w:val="bottom"/>
          </w:tcPr>
          <w:p>
            <w:pPr>
              <w:ind w:left="20"/>
              <w:spacing w:after="0"/>
              <w:rPr>
                <w:sz w:val="20"/>
                <w:szCs w:val="20"/>
                <w:color w:val="auto"/>
              </w:rPr>
            </w:pPr>
            <w:r>
              <w:rPr>
                <w:rFonts w:ascii="Arial" w:cs="Arial" w:eastAsia="Arial" w:hAnsi="Arial"/>
                <w:sz w:val="12"/>
                <w:szCs w:val="12"/>
                <w:color w:val="auto"/>
              </w:rPr>
              <w:t>Balance at March 31, 2021</w:t>
            </w:r>
          </w:p>
        </w:tc>
        <w:tc>
          <w:tcPr>
            <w:tcW w:w="7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(19,660)</w:t>
            </w: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(10,336)</w:t>
            </w: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(29,996)</w:t>
            </w:r>
          </w:p>
        </w:tc>
        <w:tc>
          <w:tcPr>
            <w:tcW w:w="0" w:type="dxa"/>
            <w:vAlign w:val="bottom"/>
          </w:tcPr>
          <w:p>
            <w:pPr>
              <w:spacing w:after="0"/>
              <w:rPr>
                <w:sz w:val="1"/>
                <w:szCs w:val="1"/>
                <w:color w:val="auto"/>
              </w:rPr>
            </w:pPr>
          </w:p>
        </w:tc>
      </w:tr>
      <w:tr>
        <w:trPr>
          <w:trHeight w:val="164"/>
        </w:trPr>
        <w:tc>
          <w:tcPr>
            <w:tcW w:w="5740" w:type="dxa"/>
            <w:vAlign w:val="bottom"/>
            <w:shd w:val="clear" w:color="auto" w:fill="DBDBDB"/>
          </w:tcPr>
          <w:p>
            <w:pPr>
              <w:ind w:left="20"/>
              <w:spacing w:after="0"/>
              <w:rPr>
                <w:sz w:val="20"/>
                <w:szCs w:val="20"/>
                <w:color w:val="auto"/>
              </w:rPr>
            </w:pPr>
            <w:r>
              <w:rPr>
                <w:rFonts w:ascii="Arial" w:cs="Arial" w:eastAsia="Arial" w:hAnsi="Arial"/>
                <w:sz w:val="12"/>
                <w:szCs w:val="12"/>
                <w:color w:val="auto"/>
              </w:rPr>
              <w:t>Other comprehensive income (loss) before reclassifications</w:t>
            </w:r>
          </w:p>
        </w:tc>
        <w:tc>
          <w:tcPr>
            <w:tcW w:w="70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3,093</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(848)</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2,245</w:t>
            </w:r>
          </w:p>
        </w:tc>
        <w:tc>
          <w:tcPr>
            <w:tcW w:w="0" w:type="dxa"/>
            <w:vAlign w:val="bottom"/>
          </w:tcPr>
          <w:p>
            <w:pPr>
              <w:spacing w:after="0"/>
              <w:rPr>
                <w:sz w:val="1"/>
                <w:szCs w:val="1"/>
                <w:color w:val="auto"/>
              </w:rPr>
            </w:pPr>
          </w:p>
        </w:tc>
      </w:tr>
      <w:tr>
        <w:trPr>
          <w:trHeight w:val="159"/>
        </w:trPr>
        <w:tc>
          <w:tcPr>
            <w:tcW w:w="5740" w:type="dxa"/>
            <w:vAlign w:val="bottom"/>
          </w:tcPr>
          <w:p>
            <w:pPr>
              <w:ind w:left="20"/>
              <w:spacing w:after="0"/>
              <w:rPr>
                <w:sz w:val="20"/>
                <w:szCs w:val="20"/>
                <w:color w:val="auto"/>
              </w:rPr>
            </w:pPr>
            <w:r>
              <w:rPr>
                <w:rFonts w:ascii="Arial" w:cs="Arial" w:eastAsia="Arial" w:hAnsi="Arial"/>
                <w:sz w:val="12"/>
                <w:szCs w:val="12"/>
                <w:color w:val="auto"/>
              </w:rPr>
              <w:t>Reclassifications from AOCI to income</w:t>
            </w:r>
          </w:p>
        </w:tc>
        <w:tc>
          <w:tcPr>
            <w:tcW w:w="70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2,994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2,994</w:t>
            </w:r>
          </w:p>
        </w:tc>
        <w:tc>
          <w:tcPr>
            <w:tcW w:w="0" w:type="dxa"/>
            <w:vAlign w:val="bottom"/>
          </w:tcPr>
          <w:p>
            <w:pPr>
              <w:spacing w:after="0"/>
              <w:rPr>
                <w:sz w:val="1"/>
                <w:szCs w:val="1"/>
                <w:color w:val="auto"/>
              </w:rPr>
            </w:pPr>
          </w:p>
        </w:tc>
      </w:tr>
      <w:tr>
        <w:trPr>
          <w:trHeight w:val="176"/>
        </w:trPr>
        <w:tc>
          <w:tcPr>
            <w:tcW w:w="57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at June 30, 2021</w:t>
            </w:r>
          </w:p>
        </w:tc>
        <w:tc>
          <w:tcPr>
            <w:tcW w:w="700" w:type="dxa"/>
            <w:vAlign w:val="bottom"/>
            <w:tcBorders>
              <w:top w:val="single" w:sz="8" w:color="auto"/>
              <w:bottom w:val="single" w:sz="8" w:color="auto"/>
            </w:tcBorders>
            <w:shd w:val="clear" w:color="auto" w:fill="DBDBDB"/>
          </w:tcPr>
          <w:p>
            <w:pPr>
              <w:jc w:val="right"/>
              <w:ind w:right="559"/>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(16,567)</w:t>
            </w:r>
          </w:p>
        </w:tc>
        <w:tc>
          <w:tcPr>
            <w:tcW w:w="80" w:type="dxa"/>
            <w:vAlign w:val="bottom"/>
            <w:tcBorders>
              <w:top w:val="single" w:sz="8" w:color="DBDBDB"/>
              <w:bottom w:val="single" w:sz="8" w:color="DBDBDB"/>
            </w:tcBorders>
            <w:shd w:val="clear" w:color="auto" w:fill="DBDBDB"/>
          </w:tcPr>
          <w:p>
            <w:pPr>
              <w:spacing w:after="0"/>
              <w:rPr>
                <w:sz w:val="14"/>
                <w:szCs w:val="14"/>
                <w:color w:val="auto"/>
              </w:rPr>
            </w:pPr>
          </w:p>
        </w:tc>
        <w:tc>
          <w:tcPr>
            <w:tcW w:w="360" w:type="dxa"/>
            <w:vAlign w:val="bottom"/>
            <w:tcBorders>
              <w:top w:val="single" w:sz="8" w:color="auto"/>
              <w:bottom w:val="single" w:sz="8" w:color="auto"/>
            </w:tcBorders>
            <w:shd w:val="clear" w:color="auto" w:fill="DBDBDB"/>
          </w:tcPr>
          <w:p>
            <w:pPr>
              <w:jc w:val="right"/>
              <w:ind w:right="219"/>
              <w:spacing w:after="0"/>
              <w:rPr>
                <w:sz w:val="20"/>
                <w:szCs w:val="20"/>
                <w:color w:val="auto"/>
              </w:rPr>
            </w:pPr>
            <w:r>
              <w:rPr>
                <w:rFonts w:ascii="Arial" w:cs="Arial" w:eastAsia="Arial" w:hAnsi="Arial"/>
                <w:sz w:val="12"/>
                <w:szCs w:val="12"/>
                <w:color w:val="auto"/>
                <w:w w:val="89"/>
              </w:rPr>
              <w:t>$</w:t>
            </w:r>
          </w:p>
        </w:tc>
        <w:tc>
          <w:tcPr>
            <w:tcW w:w="14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(8,190)</w:t>
            </w:r>
          </w:p>
        </w:tc>
        <w:tc>
          <w:tcPr>
            <w:tcW w:w="80" w:type="dxa"/>
            <w:vAlign w:val="bottom"/>
            <w:tcBorders>
              <w:top w:val="single" w:sz="8" w:color="DBDBDB"/>
              <w:bottom w:val="single" w:sz="8" w:color="DBDBDB"/>
            </w:tcBorders>
            <w:shd w:val="clear" w:color="auto" w:fill="DBDBDB"/>
          </w:tcPr>
          <w:p>
            <w:pPr>
              <w:spacing w:after="0"/>
              <w:rPr>
                <w:sz w:val="14"/>
                <w:szCs w:val="14"/>
                <w:color w:val="auto"/>
              </w:rPr>
            </w:pPr>
          </w:p>
        </w:tc>
        <w:tc>
          <w:tcPr>
            <w:tcW w:w="420" w:type="dxa"/>
            <w:vAlign w:val="bottom"/>
            <w:tcBorders>
              <w:top w:val="single" w:sz="8" w:color="auto"/>
              <w:bottom w:val="single" w:sz="8" w:color="auto"/>
            </w:tcBorders>
            <w:shd w:val="clear" w:color="auto" w:fill="DBDBDB"/>
          </w:tcPr>
          <w:p>
            <w:pPr>
              <w:jc w:val="right"/>
              <w:ind w:right="279"/>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(24,757)</w:t>
            </w:r>
          </w:p>
        </w:tc>
        <w:tc>
          <w:tcPr>
            <w:tcW w:w="0" w:type="dxa"/>
            <w:vAlign w:val="bottom"/>
          </w:tcPr>
          <w:p>
            <w:pPr>
              <w:spacing w:after="0"/>
              <w:rPr>
                <w:sz w:val="1"/>
                <w:szCs w:val="1"/>
                <w:color w:val="auto"/>
              </w:rPr>
            </w:pPr>
          </w:p>
        </w:tc>
      </w:tr>
      <w:tr>
        <w:trPr>
          <w:trHeight w:val="20"/>
        </w:trPr>
        <w:tc>
          <w:tcPr>
            <w:tcW w:w="574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1"/>
        </w:trPr>
        <w:tc>
          <w:tcPr>
            <w:tcW w:w="5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869"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38"/>
        </w:trPr>
        <w:tc>
          <w:tcPr>
            <w:tcW w:w="5740" w:type="dxa"/>
            <w:vAlign w:val="bottom"/>
            <w:vMerge w:val="restart"/>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880" w:type="dxa"/>
            <w:vAlign w:val="bottom"/>
            <w:gridSpan w:val="3"/>
            <w:vMerge w:val="restart"/>
            <w:shd w:val="clear" w:color="auto" w:fill="1D2758"/>
          </w:tcPr>
          <w:p>
            <w:pPr>
              <w:ind w:left="80"/>
              <w:spacing w:after="0"/>
              <w:rPr>
                <w:sz w:val="20"/>
                <w:szCs w:val="20"/>
                <w:color w:val="auto"/>
              </w:rPr>
            </w:pPr>
            <w:r>
              <w:rPr>
                <w:rFonts w:ascii="Arial" w:cs="Arial" w:eastAsia="Arial" w:hAnsi="Arial"/>
                <w:sz w:val="12"/>
                <w:szCs w:val="12"/>
                <w:b w:val="1"/>
                <w:bCs w:val="1"/>
                <w:color w:val="FFFFFF"/>
              </w:rPr>
              <w:t>Foreign currency translation</w:t>
            </w:r>
          </w:p>
        </w:tc>
        <w:tc>
          <w:tcPr>
            <w:tcW w:w="1880" w:type="dxa"/>
            <w:vAlign w:val="bottom"/>
            <w:gridSpan w:val="3"/>
            <w:shd w:val="clear" w:color="auto" w:fill="1D2758"/>
          </w:tcPr>
          <w:p>
            <w:pPr>
              <w:jc w:val="center"/>
              <w:ind w:right="100"/>
              <w:spacing w:after="0"/>
              <w:rPr>
                <w:sz w:val="20"/>
                <w:szCs w:val="20"/>
                <w:color w:val="auto"/>
              </w:rPr>
            </w:pPr>
            <w:r>
              <w:rPr>
                <w:rFonts w:ascii="Arial" w:cs="Arial" w:eastAsia="Arial" w:hAnsi="Arial"/>
                <w:sz w:val="12"/>
                <w:szCs w:val="12"/>
                <w:b w:val="1"/>
                <w:bCs w:val="1"/>
                <w:color w:val="FFFFFF"/>
              </w:rPr>
              <w:t>Unrealized losses on hedging</w:t>
            </w:r>
          </w:p>
        </w:tc>
        <w:tc>
          <w:tcPr>
            <w:tcW w:w="420" w:type="dxa"/>
            <w:vAlign w:val="bottom"/>
            <w:shd w:val="clear" w:color="auto" w:fill="1D2758"/>
          </w:tcPr>
          <w:p>
            <w:pPr>
              <w:spacing w:after="0"/>
              <w:rPr>
                <w:sz w:val="12"/>
                <w:szCs w:val="12"/>
                <w:color w:val="auto"/>
              </w:rPr>
            </w:pPr>
          </w:p>
        </w:tc>
        <w:tc>
          <w:tcPr>
            <w:tcW w:w="1360" w:type="dxa"/>
            <w:vAlign w:val="bottom"/>
            <w:vMerge w:val="restart"/>
            <w:shd w:val="clear" w:color="auto" w:fill="1D2758"/>
          </w:tcPr>
          <w:p>
            <w:pPr>
              <w:jc w:val="right"/>
              <w:ind w:right="699"/>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61"/>
        </w:trPr>
        <w:tc>
          <w:tcPr>
            <w:tcW w:w="5740" w:type="dxa"/>
            <w:vAlign w:val="bottom"/>
            <w:vMerge w:val="continue"/>
            <w:shd w:val="clear" w:color="auto" w:fill="1D2758"/>
          </w:tcPr>
          <w:p>
            <w:pPr>
              <w:spacing w:after="0"/>
              <w:rPr>
                <w:sz w:val="14"/>
                <w:szCs w:val="14"/>
                <w:color w:val="auto"/>
              </w:rPr>
            </w:pPr>
          </w:p>
        </w:tc>
        <w:tc>
          <w:tcPr>
            <w:tcW w:w="1880" w:type="dxa"/>
            <w:vAlign w:val="bottom"/>
            <w:gridSpan w:val="3"/>
            <w:vMerge w:val="continue"/>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1520" w:type="dxa"/>
            <w:vAlign w:val="bottom"/>
            <w:gridSpan w:val="2"/>
            <w:shd w:val="clear" w:color="auto" w:fill="1D2758"/>
          </w:tcPr>
          <w:p>
            <w:pPr>
              <w:jc w:val="center"/>
              <w:ind w:right="440"/>
              <w:spacing w:after="0"/>
              <w:rPr>
                <w:sz w:val="20"/>
                <w:szCs w:val="20"/>
                <w:color w:val="auto"/>
              </w:rPr>
            </w:pPr>
            <w:r>
              <w:rPr>
                <w:rFonts w:ascii="Arial" w:cs="Arial" w:eastAsia="Arial" w:hAnsi="Arial"/>
                <w:sz w:val="12"/>
                <w:szCs w:val="12"/>
                <w:b w:val="1"/>
                <w:bCs w:val="1"/>
                <w:color w:val="FFFFFF"/>
              </w:rPr>
              <w:t>activities</w:t>
            </w:r>
          </w:p>
        </w:tc>
        <w:tc>
          <w:tcPr>
            <w:tcW w:w="420" w:type="dxa"/>
            <w:vAlign w:val="bottom"/>
            <w:shd w:val="clear" w:color="auto" w:fill="1D2758"/>
          </w:tcPr>
          <w:p>
            <w:pPr>
              <w:spacing w:after="0"/>
              <w:rPr>
                <w:sz w:val="14"/>
                <w:szCs w:val="14"/>
                <w:color w:val="auto"/>
              </w:rPr>
            </w:pPr>
          </w:p>
        </w:tc>
        <w:tc>
          <w:tcPr>
            <w:tcW w:w="136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40" w:type="dxa"/>
            <w:vAlign w:val="bottom"/>
            <w:shd w:val="clear" w:color="auto" w:fill="DBDBDB"/>
          </w:tcPr>
          <w:p>
            <w:pPr>
              <w:ind w:left="20"/>
              <w:spacing w:after="0"/>
              <w:rPr>
                <w:sz w:val="20"/>
                <w:szCs w:val="20"/>
                <w:color w:val="auto"/>
              </w:rPr>
            </w:pPr>
            <w:r>
              <w:rPr>
                <w:rFonts w:ascii="Arial" w:cs="Arial" w:eastAsia="Arial" w:hAnsi="Arial"/>
                <w:sz w:val="12"/>
                <w:szCs w:val="12"/>
                <w:color w:val="auto"/>
              </w:rPr>
              <w:t>Balance at December 31, 2019</w:t>
            </w:r>
          </w:p>
        </w:tc>
        <w:tc>
          <w:tcPr>
            <w:tcW w:w="700" w:type="dxa"/>
            <w:vAlign w:val="bottom"/>
            <w:shd w:val="clear" w:color="auto" w:fill="DBDBDB"/>
          </w:tcPr>
          <w:p>
            <w:pPr>
              <w:jc w:val="right"/>
              <w:ind w:right="559"/>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(52,982)</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19"/>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(9,793)</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jc w:val="right"/>
              <w:ind w:right="279"/>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(62,775)</w:t>
            </w:r>
          </w:p>
        </w:tc>
        <w:tc>
          <w:tcPr>
            <w:tcW w:w="0" w:type="dxa"/>
            <w:vAlign w:val="bottom"/>
          </w:tcPr>
          <w:p>
            <w:pPr>
              <w:spacing w:after="0"/>
              <w:rPr>
                <w:sz w:val="1"/>
                <w:szCs w:val="1"/>
                <w:color w:val="auto"/>
              </w:rPr>
            </w:pPr>
          </w:p>
        </w:tc>
      </w:tr>
      <w:tr>
        <w:trPr>
          <w:trHeight w:val="159"/>
        </w:trPr>
        <w:tc>
          <w:tcPr>
            <w:tcW w:w="5740" w:type="dxa"/>
            <w:vAlign w:val="bottom"/>
          </w:tcPr>
          <w:p>
            <w:pPr>
              <w:ind w:left="180"/>
              <w:spacing w:after="0"/>
              <w:rPr>
                <w:sz w:val="20"/>
                <w:szCs w:val="20"/>
                <w:color w:val="auto"/>
              </w:rPr>
            </w:pPr>
            <w:r>
              <w:rPr>
                <w:rFonts w:ascii="Arial" w:cs="Arial" w:eastAsia="Arial" w:hAnsi="Arial"/>
                <w:sz w:val="12"/>
                <w:szCs w:val="12"/>
                <w:color w:val="auto"/>
              </w:rPr>
              <w:t>Other comprehensive loss before reclassifications</w:t>
            </w:r>
          </w:p>
        </w:tc>
        <w:tc>
          <w:tcPr>
            <w:tcW w:w="7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(21,144)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(10,330)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(31,474)</w:t>
            </w:r>
          </w:p>
        </w:tc>
        <w:tc>
          <w:tcPr>
            <w:tcW w:w="0" w:type="dxa"/>
            <w:vAlign w:val="bottom"/>
          </w:tcPr>
          <w:p>
            <w:pPr>
              <w:spacing w:after="0"/>
              <w:rPr>
                <w:sz w:val="1"/>
                <w:szCs w:val="1"/>
                <w:color w:val="auto"/>
              </w:rPr>
            </w:pPr>
          </w:p>
        </w:tc>
      </w:tr>
      <w:tr>
        <w:trPr>
          <w:trHeight w:val="164"/>
        </w:trPr>
        <w:tc>
          <w:tcPr>
            <w:tcW w:w="5740" w:type="dxa"/>
            <w:vAlign w:val="bottom"/>
            <w:shd w:val="clear" w:color="auto" w:fill="DBDBDB"/>
          </w:tcPr>
          <w:p>
            <w:pPr>
              <w:ind w:left="180"/>
              <w:spacing w:after="0"/>
              <w:rPr>
                <w:sz w:val="20"/>
                <w:szCs w:val="20"/>
                <w:color w:val="auto"/>
              </w:rPr>
            </w:pPr>
            <w:r>
              <w:rPr>
                <w:rFonts w:ascii="Arial" w:cs="Arial" w:eastAsia="Arial" w:hAnsi="Arial"/>
                <w:sz w:val="12"/>
                <w:szCs w:val="12"/>
                <w:color w:val="auto"/>
              </w:rPr>
              <w:t>Reclassifications from AOCI to income</w:t>
            </w:r>
          </w:p>
        </w:tc>
        <w:tc>
          <w:tcPr>
            <w:tcW w:w="700" w:type="dxa"/>
            <w:vAlign w:val="bottom"/>
            <w:shd w:val="clear" w:color="auto" w:fill="DBDBDB"/>
          </w:tcPr>
          <w:p>
            <w:pPr>
              <w:spacing w:after="0"/>
              <w:rPr>
                <w:sz w:val="14"/>
                <w:szCs w:val="14"/>
                <w:color w:val="auto"/>
              </w:rPr>
            </w:pPr>
          </w:p>
        </w:tc>
        <w:tc>
          <w:tcPr>
            <w:tcW w:w="118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DBDBDB"/>
          </w:tcPr>
          <w:p>
            <w:pPr>
              <w:spacing w:after="0"/>
              <w:rPr>
                <w:sz w:val="14"/>
                <w:szCs w:val="14"/>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1,572</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1,572</w:t>
            </w:r>
          </w:p>
        </w:tc>
        <w:tc>
          <w:tcPr>
            <w:tcW w:w="0" w:type="dxa"/>
            <w:vAlign w:val="bottom"/>
          </w:tcPr>
          <w:p>
            <w:pPr>
              <w:spacing w:after="0"/>
              <w:rPr>
                <w:sz w:val="1"/>
                <w:szCs w:val="1"/>
                <w:color w:val="auto"/>
              </w:rPr>
            </w:pPr>
          </w:p>
        </w:tc>
      </w:tr>
      <w:tr>
        <w:trPr>
          <w:trHeight w:val="159"/>
        </w:trPr>
        <w:tc>
          <w:tcPr>
            <w:tcW w:w="5740" w:type="dxa"/>
            <w:vAlign w:val="bottom"/>
            <w:tcBorders>
              <w:bottom w:val="single" w:sz="8" w:color="DBDBDB"/>
            </w:tcBorders>
          </w:tcPr>
          <w:p>
            <w:pPr>
              <w:ind w:left="180"/>
              <w:spacing w:after="0"/>
              <w:rPr>
                <w:sz w:val="20"/>
                <w:szCs w:val="20"/>
                <w:color w:val="auto"/>
              </w:rPr>
            </w:pPr>
            <w:r>
              <w:rPr>
                <w:rFonts w:ascii="Arial" w:cs="Arial" w:eastAsia="Arial" w:hAnsi="Arial"/>
                <w:sz w:val="12"/>
                <w:szCs w:val="12"/>
                <w:color w:val="auto"/>
              </w:rPr>
              <w:t>Less other comprehensive loss attributable to non-controlling interest</w:t>
            </w:r>
          </w:p>
        </w:tc>
        <w:tc>
          <w:tcPr>
            <w:tcW w:w="7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1,913</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790</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2,703</w:t>
            </w:r>
          </w:p>
        </w:tc>
        <w:tc>
          <w:tcPr>
            <w:tcW w:w="0" w:type="dxa"/>
            <w:vAlign w:val="bottom"/>
          </w:tcPr>
          <w:p>
            <w:pPr>
              <w:spacing w:after="0"/>
              <w:rPr>
                <w:sz w:val="1"/>
                <w:szCs w:val="1"/>
                <w:color w:val="auto"/>
              </w:rPr>
            </w:pPr>
          </w:p>
        </w:tc>
      </w:tr>
      <w:tr>
        <w:trPr>
          <w:trHeight w:val="154"/>
        </w:trPr>
        <w:tc>
          <w:tcPr>
            <w:tcW w:w="5740" w:type="dxa"/>
            <w:vAlign w:val="bottom"/>
            <w:shd w:val="clear" w:color="auto" w:fill="DBDBDB"/>
          </w:tcPr>
          <w:p>
            <w:pPr>
              <w:ind w:left="20"/>
              <w:spacing w:after="0"/>
              <w:rPr>
                <w:sz w:val="20"/>
                <w:szCs w:val="20"/>
                <w:color w:val="auto"/>
              </w:rPr>
            </w:pPr>
            <w:r>
              <w:rPr>
                <w:rFonts w:ascii="Arial" w:cs="Arial" w:eastAsia="Arial" w:hAnsi="Arial"/>
                <w:sz w:val="12"/>
                <w:szCs w:val="12"/>
                <w:color w:val="auto"/>
              </w:rPr>
              <w:t>Balance at March 31, 2020</w:t>
            </w:r>
          </w:p>
        </w:tc>
        <w:tc>
          <w:tcPr>
            <w:tcW w:w="700" w:type="dxa"/>
            <w:vAlign w:val="bottom"/>
            <w:shd w:val="clear" w:color="auto" w:fill="DBDBDB"/>
          </w:tcPr>
          <w:p>
            <w:pPr>
              <w:spacing w:after="0"/>
              <w:rPr>
                <w:sz w:val="13"/>
                <w:szCs w:val="13"/>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(72,213)</w:t>
            </w: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(17,761)</w:t>
            </w:r>
          </w:p>
        </w:tc>
        <w:tc>
          <w:tcPr>
            <w:tcW w:w="8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(89,974)</w:t>
            </w:r>
          </w:p>
        </w:tc>
        <w:tc>
          <w:tcPr>
            <w:tcW w:w="0" w:type="dxa"/>
            <w:vAlign w:val="bottom"/>
          </w:tcPr>
          <w:p>
            <w:pPr>
              <w:spacing w:after="0"/>
              <w:rPr>
                <w:sz w:val="1"/>
                <w:szCs w:val="1"/>
                <w:color w:val="auto"/>
              </w:rPr>
            </w:pPr>
          </w:p>
        </w:tc>
      </w:tr>
      <w:tr>
        <w:trPr>
          <w:trHeight w:val="159"/>
        </w:trPr>
        <w:tc>
          <w:tcPr>
            <w:tcW w:w="5740" w:type="dxa"/>
            <w:vAlign w:val="bottom"/>
          </w:tcPr>
          <w:p>
            <w:pPr>
              <w:ind w:left="180"/>
              <w:spacing w:after="0"/>
              <w:rPr>
                <w:sz w:val="20"/>
                <w:szCs w:val="20"/>
                <w:color w:val="auto"/>
              </w:rPr>
            </w:pPr>
            <w:r>
              <w:rPr>
                <w:rFonts w:ascii="Arial" w:cs="Arial" w:eastAsia="Arial" w:hAnsi="Arial"/>
                <w:sz w:val="12"/>
                <w:szCs w:val="12"/>
                <w:color w:val="auto"/>
              </w:rPr>
              <w:t>Other comprehensive income (loss) before reclassifications</w:t>
            </w:r>
          </w:p>
        </w:tc>
        <w:tc>
          <w:tcPr>
            <w:tcW w:w="7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7,982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(1,642)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6,340</w:t>
            </w:r>
          </w:p>
        </w:tc>
        <w:tc>
          <w:tcPr>
            <w:tcW w:w="0" w:type="dxa"/>
            <w:vAlign w:val="bottom"/>
          </w:tcPr>
          <w:p>
            <w:pPr>
              <w:spacing w:after="0"/>
              <w:rPr>
                <w:sz w:val="1"/>
                <w:szCs w:val="1"/>
                <w:color w:val="auto"/>
              </w:rPr>
            </w:pPr>
          </w:p>
        </w:tc>
      </w:tr>
      <w:tr>
        <w:trPr>
          <w:trHeight w:val="164"/>
        </w:trPr>
        <w:tc>
          <w:tcPr>
            <w:tcW w:w="5740" w:type="dxa"/>
            <w:vAlign w:val="bottom"/>
            <w:shd w:val="clear" w:color="auto" w:fill="DBDBDB"/>
          </w:tcPr>
          <w:p>
            <w:pPr>
              <w:ind w:left="180"/>
              <w:spacing w:after="0"/>
              <w:rPr>
                <w:sz w:val="20"/>
                <w:szCs w:val="20"/>
                <w:color w:val="auto"/>
              </w:rPr>
            </w:pPr>
            <w:r>
              <w:rPr>
                <w:rFonts w:ascii="Arial" w:cs="Arial" w:eastAsia="Arial" w:hAnsi="Arial"/>
                <w:sz w:val="12"/>
                <w:szCs w:val="12"/>
                <w:color w:val="auto"/>
              </w:rPr>
              <w:t>Reclassifications from AOCI to income</w:t>
            </w:r>
          </w:p>
        </w:tc>
        <w:tc>
          <w:tcPr>
            <w:tcW w:w="700" w:type="dxa"/>
            <w:vAlign w:val="bottom"/>
            <w:shd w:val="clear" w:color="auto" w:fill="DBDBDB"/>
          </w:tcPr>
          <w:p>
            <w:pPr>
              <w:spacing w:after="0"/>
              <w:rPr>
                <w:sz w:val="14"/>
                <w:szCs w:val="14"/>
                <w:color w:val="auto"/>
              </w:rPr>
            </w:pPr>
          </w:p>
        </w:tc>
        <w:tc>
          <w:tcPr>
            <w:tcW w:w="118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DBDBDB"/>
          </w:tcPr>
          <w:p>
            <w:pPr>
              <w:spacing w:after="0"/>
              <w:rPr>
                <w:sz w:val="14"/>
                <w:szCs w:val="14"/>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2,617</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2,617</w:t>
            </w:r>
          </w:p>
        </w:tc>
        <w:tc>
          <w:tcPr>
            <w:tcW w:w="0" w:type="dxa"/>
            <w:vAlign w:val="bottom"/>
          </w:tcPr>
          <w:p>
            <w:pPr>
              <w:spacing w:after="0"/>
              <w:rPr>
                <w:sz w:val="1"/>
                <w:szCs w:val="1"/>
                <w:color w:val="auto"/>
              </w:rPr>
            </w:pPr>
          </w:p>
        </w:tc>
      </w:tr>
      <w:tr>
        <w:trPr>
          <w:trHeight w:val="159"/>
        </w:trPr>
        <w:tc>
          <w:tcPr>
            <w:tcW w:w="5740" w:type="dxa"/>
            <w:vAlign w:val="bottom"/>
          </w:tcPr>
          <w:p>
            <w:pPr>
              <w:ind w:left="180"/>
              <w:spacing w:after="0"/>
              <w:rPr>
                <w:sz w:val="20"/>
                <w:szCs w:val="20"/>
                <w:color w:val="auto"/>
              </w:rPr>
            </w:pPr>
            <w:r>
              <w:rPr>
                <w:rFonts w:ascii="Arial" w:cs="Arial" w:eastAsia="Arial" w:hAnsi="Arial"/>
                <w:sz w:val="12"/>
                <w:szCs w:val="12"/>
                <w:color w:val="auto"/>
              </w:rPr>
              <w:t>Less other comprehensive loss (income) attributable to non-controlling interest</w:t>
            </w:r>
          </w:p>
        </w:tc>
        <w:tc>
          <w:tcPr>
            <w:tcW w:w="7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(730)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(88)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(818)</w:t>
            </w:r>
          </w:p>
        </w:tc>
        <w:tc>
          <w:tcPr>
            <w:tcW w:w="0" w:type="dxa"/>
            <w:vAlign w:val="bottom"/>
          </w:tcPr>
          <w:p>
            <w:pPr>
              <w:spacing w:after="0"/>
              <w:rPr>
                <w:sz w:val="1"/>
                <w:szCs w:val="1"/>
                <w:color w:val="auto"/>
              </w:rPr>
            </w:pPr>
          </w:p>
        </w:tc>
      </w:tr>
      <w:tr>
        <w:trPr>
          <w:trHeight w:val="164"/>
        </w:trPr>
        <w:tc>
          <w:tcPr>
            <w:tcW w:w="5740" w:type="dxa"/>
            <w:vAlign w:val="bottom"/>
            <w:shd w:val="clear" w:color="auto" w:fill="DBDBDB"/>
          </w:tcPr>
          <w:p>
            <w:pPr>
              <w:ind w:left="180"/>
              <w:spacing w:after="0"/>
              <w:rPr>
                <w:sz w:val="20"/>
                <w:szCs w:val="20"/>
                <w:color w:val="auto"/>
              </w:rPr>
            </w:pPr>
            <w:r>
              <w:rPr>
                <w:rFonts w:ascii="Arial" w:cs="Arial" w:eastAsia="Arial" w:hAnsi="Arial"/>
                <w:sz w:val="12"/>
                <w:szCs w:val="12"/>
                <w:color w:val="auto"/>
              </w:rPr>
              <w:t>Impact of elimination of non-controlling interest on accumulated other comprehensive income</w:t>
            </w:r>
          </w:p>
        </w:tc>
        <w:tc>
          <w:tcPr>
            <w:tcW w:w="700" w:type="dxa"/>
            <w:vAlign w:val="bottom"/>
            <w:tcBorders>
              <w:bottom w:val="single" w:sz="8" w:color="auto"/>
            </w:tcBorders>
            <w:shd w:val="clear" w:color="auto" w:fill="DBDBDB"/>
          </w:tcPr>
          <w:p>
            <w:pPr>
              <w:spacing w:after="0"/>
              <w:rPr>
                <w:sz w:val="14"/>
                <w:szCs w:val="14"/>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(1,299)</w:t>
            </w:r>
          </w:p>
        </w:tc>
        <w:tc>
          <w:tcPr>
            <w:tcW w:w="80" w:type="dxa"/>
            <w:vAlign w:val="bottom"/>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spacing w:after="0"/>
              <w:rPr>
                <w:sz w:val="14"/>
                <w:szCs w:val="14"/>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(1,673)</w:t>
            </w:r>
          </w:p>
        </w:tc>
        <w:tc>
          <w:tcPr>
            <w:tcW w:w="80" w:type="dxa"/>
            <w:vAlign w:val="bottom"/>
            <w:shd w:val="clear" w:color="auto" w:fill="DBDBDB"/>
          </w:tcPr>
          <w:p>
            <w:pPr>
              <w:spacing w:after="0"/>
              <w:rPr>
                <w:sz w:val="14"/>
                <w:szCs w:val="14"/>
                <w:color w:val="auto"/>
              </w:rPr>
            </w:pPr>
          </w:p>
        </w:tc>
        <w:tc>
          <w:tcPr>
            <w:tcW w:w="420" w:type="dxa"/>
            <w:vAlign w:val="bottom"/>
            <w:tcBorders>
              <w:bottom w:val="single" w:sz="8" w:color="auto"/>
            </w:tcBorders>
            <w:shd w:val="clear" w:color="auto" w:fill="DBDBDB"/>
          </w:tcPr>
          <w:p>
            <w:pPr>
              <w:spacing w:after="0"/>
              <w:rPr>
                <w:sz w:val="14"/>
                <w:szCs w:val="14"/>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(2,972)</w:t>
            </w:r>
          </w:p>
        </w:tc>
        <w:tc>
          <w:tcPr>
            <w:tcW w:w="0" w:type="dxa"/>
            <w:vAlign w:val="bottom"/>
          </w:tcPr>
          <w:p>
            <w:pPr>
              <w:spacing w:after="0"/>
              <w:rPr>
                <w:sz w:val="1"/>
                <w:szCs w:val="1"/>
                <w:color w:val="auto"/>
              </w:rPr>
            </w:pPr>
          </w:p>
        </w:tc>
      </w:tr>
      <w:tr>
        <w:trPr>
          <w:trHeight w:val="149"/>
        </w:trPr>
        <w:tc>
          <w:tcPr>
            <w:tcW w:w="5740" w:type="dxa"/>
            <w:vAlign w:val="bottom"/>
          </w:tcPr>
          <w:p>
            <w:pPr>
              <w:ind w:left="20"/>
              <w:spacing w:after="0"/>
              <w:rPr>
                <w:sz w:val="20"/>
                <w:szCs w:val="20"/>
                <w:color w:val="auto"/>
              </w:rPr>
            </w:pPr>
            <w:r>
              <w:rPr>
                <w:rFonts w:ascii="Arial" w:cs="Arial" w:eastAsia="Arial" w:hAnsi="Arial"/>
                <w:sz w:val="12"/>
                <w:szCs w:val="12"/>
                <w:color w:val="auto"/>
              </w:rPr>
              <w:t>Balance at June 30, 2020</w:t>
            </w:r>
          </w:p>
        </w:tc>
        <w:tc>
          <w:tcPr>
            <w:tcW w:w="700" w:type="dxa"/>
            <w:vAlign w:val="bottom"/>
            <w:tcBorders>
              <w:bottom w:val="single" w:sz="8" w:color="auto"/>
            </w:tcBorders>
          </w:tcPr>
          <w:p>
            <w:pPr>
              <w:jc w:val="right"/>
              <w:ind w:right="559"/>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(66,260)</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(18,547)</w:t>
            </w: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(84,807)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For the six months ended June 30, 2021 and 2020, $5.9 million and $4.2 million, respectively, was reclassified from AOCI into the condensed consolidated statements of operations within interest expense related to the interest rate swaps discussed in Note 16. The Company recorded a tax expense of $0.7 million and $0 for the three months ended June 30, 2021 and 2020, respectively, and $1.3 million and $0 for the six months ended June 30, 2021 and 2020, respectively, associated with this reclassification.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1D2758"/>
        </w:rPr>
        <w:t>NOTE 11 – Warrants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Warrants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2015 Public Warrants</w:t>
      </w:r>
    </w:p>
    <w:p>
      <w:pPr>
        <w:spacing w:after="0" w:line="58"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WillScot was incorporated under the name Double Eagle Acquisition Corporation ("DEAC") on June 26, 2015. On November 29, 2017, DEAC acquired Williams Scotsman International, Inc. (“WSII”) from Algeco Scotsman Global S.à.r.l., which is majority owned by an investment fund managed by TDR Capital, and DEAC domesticated to Delaware and changed its name to WillScot Corporation.</w:t>
      </w:r>
    </w:p>
    <w:p>
      <w:pPr>
        <w:spacing w:after="0" w:line="26" w:lineRule="exact"/>
        <w:rPr>
          <w:sz w:val="20"/>
          <w:szCs w:val="20"/>
          <w:color w:val="auto"/>
        </w:rPr>
      </w:pPr>
    </w:p>
    <w:p>
      <w:pPr>
        <w:jc w:val="both"/>
        <w:ind w:firstLine="484"/>
        <w:spacing w:after="0" w:line="247" w:lineRule="auto"/>
        <w:rPr>
          <w:sz w:val="20"/>
          <w:szCs w:val="20"/>
          <w:color w:val="auto"/>
        </w:rPr>
      </w:pPr>
      <w:r>
        <w:rPr>
          <w:rFonts w:ascii="Arial" w:cs="Arial" w:eastAsia="Arial" w:hAnsi="Arial"/>
          <w:sz w:val="12"/>
          <w:szCs w:val="12"/>
          <w:color w:val="auto"/>
        </w:rPr>
        <w:t>As part of its initial public offering, DEAC issued warrants (the “2015 Public Warrants”). Each 2015 Public Warrant entitled the holder to purchase one-half of one share of Common Stock at a price of $5.75 per half share (or $11.50 per whole share), subject to adjustment. On January 24, 2020, the Company delivered a notice (the "Redemption Notice") to redeem all of its 2015 Public Warrants that remained unexercised on February 24, 2020. As further described in the Redemption Notice and permitted under the Warrant Agreement, holders of these warrants who exercised them following the date of the Redemption Notice were required to do so on a cashless basis. From January 1, 2020 through January 24, 2020, 796,610 warrants were exercised for cash, resulting in the Company receiving cash proceeds of $4.6 million and the Company issuing 398,305 shares of the Company's Class A Common Stock. After January 24, 2020 through February 24, 2020, 5,836,048 warrants were exercised on a cashless basis. An aggregate of 1,097,162 shares of the Company's Class A Common Stock was issued in connection with these exercises. On February 24, 2020, the Company completed the redemption of 38,509 remaining warrants under the Redemption Notice for $0.01 per warrant. No Public Warrants remain outstanding.</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2015 Private Warrants</w:t>
      </w:r>
    </w:p>
    <w:p>
      <w:pPr>
        <w:spacing w:after="0" w:line="58" w:lineRule="exact"/>
        <w:rPr>
          <w:sz w:val="20"/>
          <w:szCs w:val="20"/>
          <w:color w:val="auto"/>
        </w:rPr>
      </w:pPr>
    </w:p>
    <w:p>
      <w:pPr>
        <w:jc w:val="both"/>
        <w:ind w:firstLine="484"/>
        <w:spacing w:after="0" w:line="248" w:lineRule="auto"/>
        <w:rPr>
          <w:sz w:val="20"/>
          <w:szCs w:val="20"/>
          <w:color w:val="auto"/>
        </w:rPr>
      </w:pPr>
      <w:r>
        <w:rPr>
          <w:rFonts w:ascii="Arial" w:cs="Arial" w:eastAsia="Arial" w:hAnsi="Arial"/>
          <w:sz w:val="12"/>
          <w:szCs w:val="12"/>
          <w:color w:val="auto"/>
        </w:rPr>
        <w:t>DEAC also issued warrants to purchase its Common Stock in a private placement concurrently with its initial public offering (the “2015 Private Warrants”). Each 2015 Private Warrant entitled the holder to purchase one-half of one share of Common Stock at a price of $5.75 per half share (or $11.50 per whole share), subject to adjustment. Additionally, if held by certain original investors (or their permitted assignees), the 2015 Private Warrants could be exercised on a cashless basis and are not subject to redemption. During the six months ended June 30, 2021, 3,055,000 2015 Private Warrants were repurchased for $25.5 million and cancelled. In addition, during the six months ended June 30, 2021, 9,655,000 warrants were exercised on a cashless basis, resulting in the issuance of 2,939,898 shares of Common Stock. As a result of these transactions, no 2015 private warrants were outstanding 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545465</wp:posOffset>
            </wp:positionV>
            <wp:extent cx="719264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9" w:right="31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i w:val="1"/>
          <w:iCs w:val="1"/>
          <w:color w:val="1D2758"/>
        </w:rPr>
        <w:t>2018 Warrants</w:t>
      </w:r>
    </w:p>
    <w:p>
      <w:pPr>
        <w:spacing w:after="0" w:line="58"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In connection with the Modular Space Holdings ("ModSpace") acquisition in 2018, WillScot issued warrants to purchase approximately 10.0 million shares of Common Stock (the "2018 Warrants") to former shareholders of ModSpace. Each 2018 Warrant entitles the holder thereof to purchase one share of Common Stock at an exercise price of $15.50 per share, subject to potential adjustment. The 2018 Warrants expire on November 29, 2022. During the six months ended June 30, 2021, 218,135 of these 2018 Warrants were repurchased for $2.2 million and cancelled. In addition, during the six months ended June 30, 2021, 2,346,195 2018 Warrants were exercised on a cashless basis, resulting in the issuance of 1,091,066 shares of common stock. At June 30, 2021, 7,165,911 2018 Warrants were outstanding.</w:t>
      </w:r>
    </w:p>
    <w:p>
      <w:pPr>
        <w:spacing w:after="0" w:line="33"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The Company accounted for its warrants in the following ways: (i) the 2015 Public Warrants as liabilities through their final redemption in February 2020, (ii) the 2015 Private Warrants as liabilities through their final repurchase or exercise in May 2021, and (iii) the 2018 Warrants as liabilities until June 30, 2020, the date all issued and outstanding shares of the Company's Class B Common Stock were cancelled. Subsequent to June 30, 2020, the 2018 Warrants were equity classified.</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Company determined the following fair values for the outstanding common stock warrants recorded as liabilities: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40" w:type="dxa"/>
            <w:vAlign w:val="bottom"/>
            <w:tcBorders>
              <w:bottom w:val="single" w:sz="8" w:color="1D2758"/>
            </w:tcBorders>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4480" w:type="dxa"/>
            <w:vAlign w:val="bottom"/>
            <w:tcBorders>
              <w:bottom w:val="single" w:sz="8" w:color="1D2758"/>
            </w:tcBorders>
            <w:shd w:val="clear" w:color="auto" w:fill="1D2758"/>
          </w:tcPr>
          <w:p>
            <w:pPr>
              <w:jc w:val="right"/>
              <w:ind w:right="259"/>
              <w:spacing w:after="0"/>
              <w:rPr>
                <w:sz w:val="20"/>
                <w:szCs w:val="20"/>
                <w:color w:val="auto"/>
              </w:rPr>
            </w:pPr>
            <w:r>
              <w:rPr>
                <w:rFonts w:ascii="Arial" w:cs="Arial" w:eastAsia="Arial" w:hAnsi="Arial"/>
                <w:sz w:val="12"/>
                <w:szCs w:val="12"/>
                <w:b w:val="1"/>
                <w:bCs w:val="1"/>
                <w:color w:val="FFFFFF"/>
              </w:rPr>
              <w:t>June 30, 2021</w:t>
            </w:r>
          </w:p>
        </w:tc>
        <w:tc>
          <w:tcPr>
            <w:tcW w:w="980" w:type="dxa"/>
            <w:vAlign w:val="bottom"/>
            <w:tcBorders>
              <w:bottom w:val="single" w:sz="8" w:color="1D2758"/>
            </w:tcBorders>
            <w:shd w:val="clear" w:color="auto" w:fill="1D2758"/>
          </w:tcPr>
          <w:p>
            <w:pPr>
              <w:spacing w:after="0"/>
              <w:rPr>
                <w:sz w:val="18"/>
                <w:szCs w:val="18"/>
                <w:color w:val="auto"/>
              </w:rPr>
            </w:pPr>
          </w:p>
        </w:tc>
        <w:tc>
          <w:tcPr>
            <w:tcW w:w="2080" w:type="dxa"/>
            <w:vAlign w:val="bottom"/>
            <w:tcBorders>
              <w:bottom w:val="single" w:sz="8" w:color="1D2758"/>
            </w:tcBorders>
            <w:shd w:val="clear" w:color="auto" w:fill="1D2758"/>
          </w:tcPr>
          <w:p>
            <w:pPr>
              <w:jc w:val="right"/>
              <w:ind w:right="619"/>
              <w:spacing w:after="0"/>
              <w:rPr>
                <w:sz w:val="20"/>
                <w:szCs w:val="20"/>
                <w:color w:val="auto"/>
              </w:rPr>
            </w:pPr>
            <w:r>
              <w:rPr>
                <w:rFonts w:ascii="Arial" w:cs="Arial" w:eastAsia="Arial" w:hAnsi="Arial"/>
                <w:sz w:val="12"/>
                <w:szCs w:val="12"/>
                <w:b w:val="1"/>
                <w:bCs w:val="1"/>
                <w:color w:val="FFFFFF"/>
              </w:rPr>
              <w:t>December 31, 2020</w:t>
            </w:r>
          </w:p>
        </w:tc>
      </w:tr>
      <w:tr>
        <w:trPr>
          <w:trHeight w:val="161"/>
        </w:trPr>
        <w:tc>
          <w:tcPr>
            <w:tcW w:w="3740" w:type="dxa"/>
            <w:vAlign w:val="bottom"/>
            <w:shd w:val="clear" w:color="auto" w:fill="DBDBDB"/>
          </w:tcPr>
          <w:p>
            <w:pPr>
              <w:ind w:left="20"/>
              <w:spacing w:after="0"/>
              <w:rPr>
                <w:sz w:val="20"/>
                <w:szCs w:val="20"/>
                <w:color w:val="auto"/>
              </w:rPr>
            </w:pPr>
            <w:r>
              <w:rPr>
                <w:rFonts w:ascii="Arial" w:cs="Arial" w:eastAsia="Arial" w:hAnsi="Arial"/>
                <w:sz w:val="12"/>
                <w:szCs w:val="12"/>
                <w:color w:val="auto"/>
              </w:rPr>
              <w:t>2015 Private Warrants</w:t>
            </w:r>
          </w:p>
        </w:tc>
        <w:tc>
          <w:tcPr>
            <w:tcW w:w="4480" w:type="dxa"/>
            <w:vAlign w:val="bottom"/>
            <w:shd w:val="clear" w:color="auto" w:fill="DBDBDB"/>
          </w:tcPr>
          <w:p>
            <w:pPr>
              <w:jc w:val="right"/>
              <w:ind w:right="1819"/>
              <w:spacing w:after="0"/>
              <w:rPr>
                <w:sz w:val="20"/>
                <w:szCs w:val="20"/>
                <w:color w:val="auto"/>
              </w:rPr>
            </w:pPr>
            <w:r>
              <w:rPr>
                <w:rFonts w:ascii="Arial" w:cs="Arial" w:eastAsia="Arial" w:hAnsi="Arial"/>
                <w:sz w:val="12"/>
                <w:szCs w:val="12"/>
                <w:color w:val="auto"/>
              </w:rPr>
              <w:t>$</w:t>
            </w:r>
          </w:p>
        </w:tc>
        <w:tc>
          <w:tcPr>
            <w:tcW w:w="9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  $</w:t>
            </w:r>
          </w:p>
        </w:tc>
        <w:tc>
          <w:tcPr>
            <w:tcW w:w="2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77,404</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1D2758"/>
        </w:rPr>
        <w:t>NOTE 12 – Income Taxes</w:t>
      </w:r>
    </w:p>
    <w:p>
      <w:pPr>
        <w:spacing w:after="0" w:line="75" w:lineRule="exact"/>
        <w:rPr>
          <w:sz w:val="20"/>
          <w:szCs w:val="20"/>
          <w:color w:val="auto"/>
        </w:rPr>
      </w:pPr>
    </w:p>
    <w:p>
      <w:pPr>
        <w:jc w:val="both"/>
        <w:ind w:firstLine="484"/>
        <w:spacing w:after="0" w:line="224" w:lineRule="auto"/>
        <w:rPr>
          <w:sz w:val="20"/>
          <w:szCs w:val="20"/>
          <w:color w:val="auto"/>
        </w:rPr>
      </w:pPr>
      <w:r>
        <w:rPr>
          <w:rFonts w:ascii="Arial" w:cs="Arial" w:eastAsia="Arial" w:hAnsi="Arial"/>
          <w:sz w:val="12"/>
          <w:szCs w:val="12"/>
          <w:color w:val="auto"/>
        </w:rPr>
        <w:t>The Company recorded $18.8 million and $29.3 million of income tax expense for the three and six months ended June 30, 2021, respectively and $(0.3) million and $0.5 million of income tax (benefit) expense for the three and six months ended June 30, 2020, respectively. The Company’s effective tax rate for the three and six months ended June 30, 2021 was 48.0% and 54.2%, respectively. The Company's effective tax rate for the three and six months ended June 30, 2020 was 2.0% and 0.6%, respectively.</w:t>
      </w:r>
    </w:p>
    <w:p>
      <w:pPr>
        <w:spacing w:after="0" w:line="27"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The effective tax rate for the three and six months ended June 30, 2021 differs from the US federal statutory rate of 21% primarily due to the permanent add-backs related to the mark to market accounting on the Company’s warrants and the impact of the UK statutory rate increase. The effective tax rate for the three and six months ended June 30, 2020 is different form the US statutory rate of 21% primarily as a result of a benefit from the reversal of the Company's valuation allowance due to pre-tax income offset by a net increase in expense for certain discrete items recorded in the respective quarters.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1D2758"/>
        </w:rPr>
        <w:t>NOTE 13 - Fair Value Measures</w:t>
      </w:r>
    </w:p>
    <w:p>
      <w:pPr>
        <w:spacing w:after="0" w:line="8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fair value of financial assets and liabilities are included at the amount at which the instrument could be exchanged in a current transaction between willing parties, other than in a forced or liquidation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auto"/>
        </w:rPr>
        <w:t>sale.</w:t>
      </w:r>
    </w:p>
    <w:p>
      <w:pPr>
        <w:spacing w:after="0" w:line="4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Company utilizes the suggested accounting guidance for the three levels of inputs that may be used to measure fair value:</w:t>
      </w:r>
    </w:p>
    <w:p>
      <w:pPr>
        <w:sectPr>
          <w:pgSz w:w="11900" w:h="16838" w:orient="portrait"/>
          <w:cols w:equalWidth="0" w:num="1">
            <w:col w:w="11280"/>
          </w:cols>
          <w:pgMar w:left="300" w:top="853" w:right="319" w:bottom="1440" w:gutter="0" w:footer="0" w:header="0"/>
        </w:sectPr>
      </w:pPr>
    </w:p>
    <w:p>
      <w:pPr>
        <w:spacing w:after="0" w:line="33"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Level 1 -</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Observable inputs such as quoted prices in active markets for identical assets or liabilities;</w:t>
      </w:r>
    </w:p>
    <w:p>
      <w:pPr>
        <w:spacing w:after="0" w:line="23" w:lineRule="exact"/>
        <w:rPr>
          <w:sz w:val="20"/>
          <w:szCs w:val="20"/>
          <w:color w:val="auto"/>
        </w:rPr>
      </w:pPr>
    </w:p>
    <w:p>
      <w:pPr>
        <w:sectPr>
          <w:pgSz w:w="11900" w:h="16838" w:orient="portrait"/>
          <w:cols w:equalWidth="0" w:num="2">
            <w:col w:w="960" w:space="540"/>
            <w:col w:w="9780"/>
          </w:cols>
          <w:pgMar w:left="300" w:top="853" w:right="319" w:bottom="1440" w:gutter="0" w:footer="0" w:header="0"/>
          <w:type w:val="continuous"/>
        </w:sectPr>
      </w:pPr>
    </w:p>
    <w:p>
      <w:pPr>
        <w:jc w:val="center"/>
        <w:ind w:left="500"/>
        <w:spacing w:after="0"/>
        <w:rPr>
          <w:sz w:val="20"/>
          <w:szCs w:val="20"/>
          <w:color w:val="auto"/>
        </w:rPr>
      </w:pPr>
      <w:r>
        <w:rPr>
          <w:rFonts w:ascii="Arial" w:cs="Arial" w:eastAsia="Arial" w:hAnsi="Arial"/>
          <w:sz w:val="11"/>
          <w:szCs w:val="11"/>
          <w:color w:val="auto"/>
        </w:rPr>
        <w:t>Level 2 -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Observable inputs, other than Level 1 inputs in active markets, that are observable either directly or indirectly; and</w:t>
      </w:r>
    </w:p>
    <w:p>
      <w:pPr>
        <w:spacing w:after="0" w:line="23" w:lineRule="exact"/>
        <w:rPr>
          <w:sz w:val="20"/>
          <w:szCs w:val="20"/>
          <w:color w:val="auto"/>
        </w:rPr>
      </w:pPr>
    </w:p>
    <w:p>
      <w:pPr>
        <w:sectPr>
          <w:pgSz w:w="11900" w:h="16838" w:orient="portrait"/>
          <w:cols w:equalWidth="0" w:num="2">
            <w:col w:w="960" w:space="540"/>
            <w:col w:w="9780"/>
          </w:cols>
          <w:pgMar w:left="300" w:top="853" w:right="319" w:bottom="1440" w:gutter="0" w:footer="0" w:header="0"/>
          <w:type w:val="continuous"/>
        </w:sectPr>
      </w:pPr>
    </w:p>
    <w:p>
      <w:pPr>
        <w:jc w:val="center"/>
        <w:ind w:left="500"/>
        <w:spacing w:after="0"/>
        <w:rPr>
          <w:sz w:val="20"/>
          <w:szCs w:val="20"/>
          <w:color w:val="auto"/>
        </w:rPr>
      </w:pPr>
      <w:r>
        <w:rPr>
          <w:rFonts w:ascii="Arial" w:cs="Arial" w:eastAsia="Arial" w:hAnsi="Arial"/>
          <w:sz w:val="11"/>
          <w:szCs w:val="11"/>
          <w:color w:val="auto"/>
        </w:rPr>
        <w:t>Level 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Unobservable inputs for which there is little or no market data, which require the reporting entity to develop its own assumptions</w:t>
      </w:r>
    </w:p>
    <w:p>
      <w:pPr>
        <w:spacing w:after="0" w:line="155" w:lineRule="exact"/>
        <w:rPr>
          <w:sz w:val="20"/>
          <w:szCs w:val="20"/>
          <w:color w:val="auto"/>
        </w:rPr>
      </w:pPr>
    </w:p>
    <w:p>
      <w:pPr>
        <w:sectPr>
          <w:pgSz w:w="11900" w:h="16838" w:orient="portrait"/>
          <w:cols w:equalWidth="0" w:num="2">
            <w:col w:w="960" w:space="540"/>
            <w:col w:w="9780"/>
          </w:cols>
          <w:pgMar w:left="300" w:top="853" w:right="319" w:bottom="1440" w:gutter="0" w:footer="0" w:header="0"/>
          <w:type w:val="continuous"/>
        </w:sectPr>
      </w:pPr>
    </w:p>
    <w:p>
      <w:pPr>
        <w:jc w:val="both"/>
        <w:ind w:firstLine="484"/>
        <w:spacing w:after="0" w:line="258" w:lineRule="auto"/>
        <w:rPr>
          <w:sz w:val="20"/>
          <w:szCs w:val="20"/>
          <w:color w:val="auto"/>
        </w:rPr>
      </w:pPr>
      <w:r>
        <w:rPr>
          <w:rFonts w:ascii="Arial" w:cs="Arial" w:eastAsia="Arial" w:hAnsi="Arial"/>
          <w:sz w:val="12"/>
          <w:szCs w:val="12"/>
          <w:color w:val="auto"/>
        </w:rPr>
        <w:t>The Company has assessed that the fair value of cash and cash equivalents, trade receivables, trade payables, and other current liabilities approximate their carrying amounts. Based on the borrowing rates currently available for bank loans with similar terms and average maturities, the fair value of finance leases at June 30, 2021 approximate their respective book values.</w:t>
      </w:r>
    </w:p>
    <w:p>
      <w:pPr>
        <w:spacing w:after="0" w:line="26"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Prior to their redemption, the Company’s 2015 Public Warrants traded in active markets. When classified as liabilities, warrants traded in active markets with sufficient trading volume represent Level 1 financial instruments as they are publicly traded in active markets and thus have observable market prices which are used to estimate the fair value adjustments for the related common stock warrant liabilities. When classified as liabilities, warrants not traded in active markets, or traded with insufficient volume, represent Level 3 financial instruments that are valued using a Black-Scholes option-pricing model to estimate the fair value adjustments for the related common stock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519430</wp:posOffset>
            </wp:positionV>
            <wp:extent cx="719264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type w:val="continuous"/>
        </w:sectPr>
      </w:pPr>
    </w:p>
    <w:bookmarkStart w:id="22" w:name="page23"/>
    <w:bookmarkEnd w:id="22"/>
    <w:p>
      <w:pPr>
        <w:ind w:left="480"/>
        <w:spacing w:after="0"/>
        <w:rPr>
          <w:sz w:val="20"/>
          <w:szCs w:val="20"/>
          <w:color w:val="auto"/>
        </w:rPr>
      </w:pPr>
      <w:r>
        <w:rPr>
          <w:rFonts w:ascii="Arial" w:cs="Arial" w:eastAsia="Arial" w:hAnsi="Arial"/>
          <w:sz w:val="12"/>
          <w:szCs w:val="12"/>
          <w:color w:val="auto"/>
        </w:rPr>
        <w:t>The following table shows the carrying amounts and fair values of financial liabilities which are disclosed, but not measured, at fair value, including their levels in the fair value hierarchy: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940" w:type="dxa"/>
            <w:vAlign w:val="bottom"/>
            <w:shd w:val="clear" w:color="auto" w:fill="1D2758"/>
          </w:tcPr>
          <w:p>
            <w:pPr>
              <w:spacing w:after="0"/>
              <w:rPr>
                <w:sz w:val="13"/>
                <w:szCs w:val="13"/>
                <w:color w:val="auto"/>
              </w:rPr>
            </w:pPr>
          </w:p>
        </w:tc>
        <w:tc>
          <w:tcPr>
            <w:tcW w:w="100" w:type="dxa"/>
            <w:vAlign w:val="bottom"/>
            <w:shd w:val="clear" w:color="auto" w:fill="1D2758"/>
          </w:tcPr>
          <w:p>
            <w:pPr>
              <w:spacing w:after="0"/>
              <w:rPr>
                <w:sz w:val="13"/>
                <w:szCs w:val="13"/>
                <w:color w:val="auto"/>
              </w:rPr>
            </w:pPr>
          </w:p>
        </w:tc>
        <w:tc>
          <w:tcPr>
            <w:tcW w:w="1040" w:type="dxa"/>
            <w:vAlign w:val="bottom"/>
            <w:shd w:val="clear" w:color="auto" w:fill="1D2758"/>
          </w:tcPr>
          <w:p>
            <w:pPr>
              <w:spacing w:after="0"/>
              <w:rPr>
                <w:sz w:val="13"/>
                <w:szCs w:val="13"/>
                <w:color w:val="auto"/>
              </w:rPr>
            </w:pPr>
          </w:p>
        </w:tc>
        <w:tc>
          <w:tcPr>
            <w:tcW w:w="260" w:type="dxa"/>
            <w:vAlign w:val="bottom"/>
            <w:shd w:val="clear" w:color="auto" w:fill="1D2758"/>
          </w:tcPr>
          <w:p>
            <w:pPr>
              <w:spacing w:after="0"/>
              <w:rPr>
                <w:sz w:val="13"/>
                <w:szCs w:val="13"/>
                <w:color w:val="auto"/>
              </w:rPr>
            </w:pPr>
          </w:p>
        </w:tc>
        <w:tc>
          <w:tcPr>
            <w:tcW w:w="2060" w:type="dxa"/>
            <w:vAlign w:val="bottom"/>
            <w:gridSpan w:val="2"/>
            <w:shd w:val="clear" w:color="auto" w:fill="1D2758"/>
          </w:tcPr>
          <w:p>
            <w:pPr>
              <w:jc w:val="right"/>
              <w:ind w:right="679"/>
              <w:spacing w:after="0"/>
              <w:rPr>
                <w:sz w:val="20"/>
                <w:szCs w:val="20"/>
                <w:color w:val="auto"/>
              </w:rPr>
            </w:pPr>
            <w:r>
              <w:rPr>
                <w:rFonts w:ascii="Arial" w:cs="Arial" w:eastAsia="Arial" w:hAnsi="Arial"/>
                <w:sz w:val="12"/>
                <w:szCs w:val="12"/>
                <w:b w:val="1"/>
                <w:bCs w:val="1"/>
                <w:color w:val="FFFFFF"/>
              </w:rPr>
              <w:t>June 30, 2021</w:t>
            </w:r>
          </w:p>
        </w:tc>
        <w:tc>
          <w:tcPr>
            <w:tcW w:w="260" w:type="dxa"/>
            <w:vAlign w:val="bottom"/>
            <w:shd w:val="clear" w:color="auto" w:fill="1D2758"/>
          </w:tcPr>
          <w:p>
            <w:pPr>
              <w:spacing w:after="0"/>
              <w:rPr>
                <w:sz w:val="13"/>
                <w:szCs w:val="13"/>
                <w:color w:val="auto"/>
              </w:rPr>
            </w:pPr>
          </w:p>
        </w:tc>
        <w:tc>
          <w:tcPr>
            <w:tcW w:w="1020" w:type="dxa"/>
            <w:vAlign w:val="bottom"/>
            <w:shd w:val="clear" w:color="auto" w:fill="1D2758"/>
          </w:tcPr>
          <w:p>
            <w:pPr>
              <w:spacing w:after="0"/>
              <w:rPr>
                <w:sz w:val="13"/>
                <w:szCs w:val="13"/>
                <w:color w:val="auto"/>
              </w:rPr>
            </w:pPr>
          </w:p>
        </w:tc>
        <w:tc>
          <w:tcPr>
            <w:tcW w:w="1040" w:type="dxa"/>
            <w:vAlign w:val="bottom"/>
            <w:shd w:val="clear" w:color="auto" w:fill="1D2758"/>
          </w:tcPr>
          <w:p>
            <w:pPr>
              <w:spacing w:after="0"/>
              <w:rPr>
                <w:sz w:val="13"/>
                <w:szCs w:val="13"/>
                <w:color w:val="auto"/>
              </w:rPr>
            </w:pPr>
          </w:p>
        </w:tc>
        <w:tc>
          <w:tcPr>
            <w:tcW w:w="260" w:type="dxa"/>
            <w:vAlign w:val="bottom"/>
            <w:shd w:val="clear" w:color="auto" w:fill="1D2758"/>
          </w:tcPr>
          <w:p>
            <w:pPr>
              <w:spacing w:after="0"/>
              <w:rPr>
                <w:sz w:val="13"/>
                <w:szCs w:val="13"/>
                <w:color w:val="auto"/>
              </w:rPr>
            </w:pPr>
          </w:p>
        </w:tc>
        <w:tc>
          <w:tcPr>
            <w:tcW w:w="2060" w:type="dxa"/>
            <w:vAlign w:val="bottom"/>
            <w:gridSpan w:val="2"/>
            <w:shd w:val="clear" w:color="auto" w:fill="1D2758"/>
          </w:tcPr>
          <w:p>
            <w:pPr>
              <w:jc w:val="right"/>
              <w:ind w:right="519"/>
              <w:spacing w:after="0"/>
              <w:rPr>
                <w:sz w:val="20"/>
                <w:szCs w:val="20"/>
                <w:color w:val="auto"/>
              </w:rPr>
            </w:pPr>
            <w:r>
              <w:rPr>
                <w:rFonts w:ascii="Arial" w:cs="Arial" w:eastAsia="Arial" w:hAnsi="Arial"/>
                <w:sz w:val="12"/>
                <w:szCs w:val="12"/>
                <w:b w:val="1"/>
                <w:bCs w:val="1"/>
                <w:color w:val="FFFFFF"/>
              </w:rPr>
              <w:t>December 31, 2020</w:t>
            </w:r>
          </w:p>
        </w:tc>
        <w:tc>
          <w:tcPr>
            <w:tcW w:w="260" w:type="dxa"/>
            <w:vAlign w:val="bottom"/>
            <w:shd w:val="clear" w:color="auto" w:fill="1D2758"/>
          </w:tcPr>
          <w:p>
            <w:pPr>
              <w:spacing w:after="0"/>
              <w:rPr>
                <w:sz w:val="13"/>
                <w:szCs w:val="13"/>
                <w:color w:val="auto"/>
              </w:rPr>
            </w:pPr>
          </w:p>
        </w:tc>
        <w:tc>
          <w:tcPr>
            <w:tcW w:w="920" w:type="dxa"/>
            <w:vAlign w:val="bottom"/>
            <w:shd w:val="clear" w:color="auto" w:fill="1D2758"/>
          </w:tcPr>
          <w:p>
            <w:pPr>
              <w:spacing w:after="0"/>
              <w:rPr>
                <w:sz w:val="13"/>
                <w:szCs w:val="13"/>
                <w:color w:val="auto"/>
              </w:rPr>
            </w:pPr>
          </w:p>
        </w:tc>
      </w:tr>
      <w:tr>
        <w:trPr>
          <w:trHeight w:val="160"/>
        </w:trPr>
        <w:tc>
          <w:tcPr>
            <w:tcW w:w="1940" w:type="dxa"/>
            <w:vAlign w:val="bottom"/>
            <w:shd w:val="clear" w:color="auto" w:fill="1D2758"/>
          </w:tcPr>
          <w:p>
            <w:pPr>
              <w:spacing w:after="0"/>
              <w:rPr>
                <w:sz w:val="13"/>
                <w:szCs w:val="13"/>
                <w:color w:val="auto"/>
              </w:rPr>
            </w:pPr>
          </w:p>
        </w:tc>
        <w:tc>
          <w:tcPr>
            <w:tcW w:w="100" w:type="dxa"/>
            <w:vAlign w:val="bottom"/>
            <w:shd w:val="clear" w:color="auto" w:fill="1D2758"/>
          </w:tcPr>
          <w:p>
            <w:pPr>
              <w:spacing w:after="0"/>
              <w:rPr>
                <w:sz w:val="13"/>
                <w:szCs w:val="13"/>
                <w:color w:val="auto"/>
              </w:rPr>
            </w:pPr>
          </w:p>
        </w:tc>
        <w:tc>
          <w:tcPr>
            <w:tcW w:w="1040" w:type="dxa"/>
            <w:vAlign w:val="bottom"/>
            <w:shd w:val="clear" w:color="auto" w:fill="1D2758"/>
          </w:tcPr>
          <w:p>
            <w:pPr>
              <w:spacing w:after="0"/>
              <w:rPr>
                <w:sz w:val="13"/>
                <w:szCs w:val="13"/>
                <w:color w:val="auto"/>
              </w:rPr>
            </w:pPr>
          </w:p>
        </w:tc>
        <w:tc>
          <w:tcPr>
            <w:tcW w:w="260" w:type="dxa"/>
            <w:vAlign w:val="bottom"/>
            <w:shd w:val="clear" w:color="auto" w:fill="1D2758"/>
          </w:tcPr>
          <w:p>
            <w:pPr>
              <w:spacing w:after="0"/>
              <w:rPr>
                <w:sz w:val="13"/>
                <w:szCs w:val="13"/>
                <w:color w:val="auto"/>
              </w:rPr>
            </w:pPr>
          </w:p>
        </w:tc>
        <w:tc>
          <w:tcPr>
            <w:tcW w:w="1120" w:type="dxa"/>
            <w:vAlign w:val="bottom"/>
            <w:shd w:val="clear" w:color="auto" w:fill="1D2758"/>
          </w:tcPr>
          <w:p>
            <w:pPr>
              <w:spacing w:after="0"/>
              <w:rPr>
                <w:sz w:val="13"/>
                <w:szCs w:val="13"/>
                <w:color w:val="auto"/>
              </w:rPr>
            </w:pPr>
          </w:p>
        </w:tc>
        <w:tc>
          <w:tcPr>
            <w:tcW w:w="940" w:type="dxa"/>
            <w:vAlign w:val="bottom"/>
            <w:shd w:val="clear" w:color="auto" w:fill="1D2758"/>
          </w:tcPr>
          <w:p>
            <w:pPr>
              <w:jc w:val="right"/>
              <w:ind w:right="199"/>
              <w:spacing w:after="0"/>
              <w:rPr>
                <w:sz w:val="20"/>
                <w:szCs w:val="20"/>
                <w:color w:val="auto"/>
              </w:rPr>
            </w:pPr>
            <w:r>
              <w:rPr>
                <w:rFonts w:ascii="Arial" w:cs="Arial" w:eastAsia="Arial" w:hAnsi="Arial"/>
                <w:sz w:val="12"/>
                <w:szCs w:val="12"/>
                <w:b w:val="1"/>
                <w:bCs w:val="1"/>
                <w:color w:val="FFFFFF"/>
              </w:rPr>
              <w:t>Fair Value</w:t>
            </w:r>
          </w:p>
        </w:tc>
        <w:tc>
          <w:tcPr>
            <w:tcW w:w="260" w:type="dxa"/>
            <w:vAlign w:val="bottom"/>
            <w:shd w:val="clear" w:color="auto" w:fill="1D2758"/>
          </w:tcPr>
          <w:p>
            <w:pPr>
              <w:spacing w:after="0"/>
              <w:rPr>
                <w:sz w:val="13"/>
                <w:szCs w:val="13"/>
                <w:color w:val="auto"/>
              </w:rPr>
            </w:pPr>
          </w:p>
        </w:tc>
        <w:tc>
          <w:tcPr>
            <w:tcW w:w="1020" w:type="dxa"/>
            <w:vAlign w:val="bottom"/>
            <w:shd w:val="clear" w:color="auto" w:fill="1D2758"/>
          </w:tcPr>
          <w:p>
            <w:pPr>
              <w:spacing w:after="0"/>
              <w:rPr>
                <w:sz w:val="13"/>
                <w:szCs w:val="13"/>
                <w:color w:val="auto"/>
              </w:rPr>
            </w:pPr>
          </w:p>
        </w:tc>
        <w:tc>
          <w:tcPr>
            <w:tcW w:w="1040" w:type="dxa"/>
            <w:vAlign w:val="bottom"/>
            <w:shd w:val="clear" w:color="auto" w:fill="1D2758"/>
          </w:tcPr>
          <w:p>
            <w:pPr>
              <w:spacing w:after="0"/>
              <w:rPr>
                <w:sz w:val="13"/>
                <w:szCs w:val="13"/>
                <w:color w:val="auto"/>
              </w:rPr>
            </w:pPr>
          </w:p>
        </w:tc>
        <w:tc>
          <w:tcPr>
            <w:tcW w:w="260" w:type="dxa"/>
            <w:vAlign w:val="bottom"/>
            <w:shd w:val="clear" w:color="auto" w:fill="1D2758"/>
          </w:tcPr>
          <w:p>
            <w:pPr>
              <w:spacing w:after="0"/>
              <w:rPr>
                <w:sz w:val="13"/>
                <w:szCs w:val="13"/>
                <w:color w:val="auto"/>
              </w:rPr>
            </w:pPr>
          </w:p>
        </w:tc>
        <w:tc>
          <w:tcPr>
            <w:tcW w:w="1120" w:type="dxa"/>
            <w:vAlign w:val="bottom"/>
            <w:shd w:val="clear" w:color="auto" w:fill="1D2758"/>
          </w:tcPr>
          <w:p>
            <w:pPr>
              <w:spacing w:after="0"/>
              <w:rPr>
                <w:sz w:val="13"/>
                <w:szCs w:val="13"/>
                <w:color w:val="auto"/>
              </w:rPr>
            </w:pPr>
          </w:p>
        </w:tc>
        <w:tc>
          <w:tcPr>
            <w:tcW w:w="940" w:type="dxa"/>
            <w:vAlign w:val="bottom"/>
            <w:shd w:val="clear" w:color="auto" w:fill="1D2758"/>
          </w:tcPr>
          <w:p>
            <w:pPr>
              <w:jc w:val="right"/>
              <w:ind w:right="199"/>
              <w:spacing w:after="0"/>
              <w:rPr>
                <w:sz w:val="20"/>
                <w:szCs w:val="20"/>
                <w:color w:val="auto"/>
              </w:rPr>
            </w:pPr>
            <w:r>
              <w:rPr>
                <w:rFonts w:ascii="Arial" w:cs="Arial" w:eastAsia="Arial" w:hAnsi="Arial"/>
                <w:sz w:val="12"/>
                <w:szCs w:val="12"/>
                <w:b w:val="1"/>
                <w:bCs w:val="1"/>
                <w:color w:val="FFFFFF"/>
              </w:rPr>
              <w:t>Fair Value</w:t>
            </w:r>
          </w:p>
        </w:tc>
        <w:tc>
          <w:tcPr>
            <w:tcW w:w="260" w:type="dxa"/>
            <w:vAlign w:val="bottom"/>
            <w:shd w:val="clear" w:color="auto" w:fill="1D2758"/>
          </w:tcPr>
          <w:p>
            <w:pPr>
              <w:spacing w:after="0"/>
              <w:rPr>
                <w:sz w:val="13"/>
                <w:szCs w:val="13"/>
                <w:color w:val="auto"/>
              </w:rPr>
            </w:pPr>
          </w:p>
        </w:tc>
        <w:tc>
          <w:tcPr>
            <w:tcW w:w="920" w:type="dxa"/>
            <w:vAlign w:val="bottom"/>
            <w:shd w:val="clear" w:color="auto" w:fill="1D2758"/>
          </w:tcPr>
          <w:p>
            <w:pPr>
              <w:spacing w:after="0"/>
              <w:rPr>
                <w:sz w:val="13"/>
                <w:szCs w:val="13"/>
                <w:color w:val="auto"/>
              </w:rPr>
            </w:pPr>
          </w:p>
        </w:tc>
      </w:tr>
      <w:tr>
        <w:trPr>
          <w:trHeight w:val="229"/>
        </w:trPr>
        <w:tc>
          <w:tcPr>
            <w:tcW w:w="194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00" w:type="dxa"/>
            <w:vAlign w:val="bottom"/>
            <w:shd w:val="clear" w:color="auto" w:fill="1D2758"/>
          </w:tcPr>
          <w:p>
            <w:pPr>
              <w:spacing w:after="0"/>
              <w:rPr>
                <w:sz w:val="19"/>
                <w:szCs w:val="19"/>
                <w:color w:val="auto"/>
              </w:rPr>
            </w:pPr>
          </w:p>
        </w:tc>
        <w:tc>
          <w:tcPr>
            <w:tcW w:w="104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w w:val="97"/>
              </w:rPr>
              <w:t>Carrying Amount</w:t>
            </w:r>
          </w:p>
        </w:tc>
        <w:tc>
          <w:tcPr>
            <w:tcW w:w="260" w:type="dxa"/>
            <w:vAlign w:val="bottom"/>
            <w:shd w:val="clear" w:color="auto" w:fill="1D2758"/>
          </w:tcPr>
          <w:p>
            <w:pPr>
              <w:spacing w:after="0"/>
              <w:rPr>
                <w:sz w:val="19"/>
                <w:szCs w:val="19"/>
                <w:color w:val="auto"/>
              </w:rPr>
            </w:pPr>
          </w:p>
        </w:tc>
        <w:tc>
          <w:tcPr>
            <w:tcW w:w="1120" w:type="dxa"/>
            <w:vAlign w:val="bottom"/>
            <w:shd w:val="clear" w:color="auto" w:fill="1D2758"/>
          </w:tcPr>
          <w:p>
            <w:pPr>
              <w:ind w:left="140"/>
              <w:spacing w:after="0"/>
              <w:rPr>
                <w:sz w:val="20"/>
                <w:szCs w:val="20"/>
                <w:color w:val="auto"/>
              </w:rPr>
            </w:pPr>
            <w:r>
              <w:rPr>
                <w:rFonts w:ascii="Arial" w:cs="Arial" w:eastAsia="Arial" w:hAnsi="Arial"/>
                <w:sz w:val="12"/>
                <w:szCs w:val="12"/>
                <w:b w:val="1"/>
                <w:bCs w:val="1"/>
                <w:color w:val="FFFFFF"/>
              </w:rPr>
              <w:t>Level 1</w:t>
            </w:r>
          </w:p>
        </w:tc>
        <w:tc>
          <w:tcPr>
            <w:tcW w:w="940" w:type="dxa"/>
            <w:vAlign w:val="bottom"/>
            <w:shd w:val="clear" w:color="auto" w:fill="1D2758"/>
          </w:tcPr>
          <w:p>
            <w:pPr>
              <w:jc w:val="right"/>
              <w:ind w:right="279"/>
              <w:spacing w:after="0"/>
              <w:rPr>
                <w:sz w:val="20"/>
                <w:szCs w:val="20"/>
                <w:color w:val="auto"/>
              </w:rPr>
            </w:pPr>
            <w:r>
              <w:rPr>
                <w:rFonts w:ascii="Arial" w:cs="Arial" w:eastAsia="Arial" w:hAnsi="Arial"/>
                <w:sz w:val="12"/>
                <w:szCs w:val="12"/>
                <w:b w:val="1"/>
                <w:bCs w:val="1"/>
                <w:color w:val="FFFFFF"/>
              </w:rPr>
              <w:t>Level 2</w:t>
            </w:r>
          </w:p>
        </w:tc>
        <w:tc>
          <w:tcPr>
            <w:tcW w:w="260" w:type="dxa"/>
            <w:vAlign w:val="bottom"/>
            <w:shd w:val="clear" w:color="auto" w:fill="1D2758"/>
          </w:tcPr>
          <w:p>
            <w:pPr>
              <w:spacing w:after="0"/>
              <w:rPr>
                <w:sz w:val="19"/>
                <w:szCs w:val="19"/>
                <w:color w:val="auto"/>
              </w:rPr>
            </w:pPr>
          </w:p>
        </w:tc>
        <w:tc>
          <w:tcPr>
            <w:tcW w:w="1020" w:type="dxa"/>
            <w:vAlign w:val="bottom"/>
            <w:shd w:val="clear" w:color="auto" w:fill="1D2758"/>
          </w:tcPr>
          <w:p>
            <w:pPr>
              <w:ind w:left="140"/>
              <w:spacing w:after="0"/>
              <w:rPr>
                <w:sz w:val="20"/>
                <w:szCs w:val="20"/>
                <w:color w:val="auto"/>
              </w:rPr>
            </w:pPr>
            <w:r>
              <w:rPr>
                <w:rFonts w:ascii="Arial" w:cs="Arial" w:eastAsia="Arial" w:hAnsi="Arial"/>
                <w:sz w:val="12"/>
                <w:szCs w:val="12"/>
                <w:b w:val="1"/>
                <w:bCs w:val="1"/>
                <w:color w:val="FFFFFF"/>
              </w:rPr>
              <w:t>Level 3</w:t>
            </w:r>
          </w:p>
        </w:tc>
        <w:tc>
          <w:tcPr>
            <w:tcW w:w="104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w w:val="97"/>
              </w:rPr>
              <w:t>Carrying Amount</w:t>
            </w:r>
          </w:p>
        </w:tc>
        <w:tc>
          <w:tcPr>
            <w:tcW w:w="260" w:type="dxa"/>
            <w:vAlign w:val="bottom"/>
            <w:shd w:val="clear" w:color="auto" w:fill="1D2758"/>
          </w:tcPr>
          <w:p>
            <w:pPr>
              <w:spacing w:after="0"/>
              <w:rPr>
                <w:sz w:val="19"/>
                <w:szCs w:val="19"/>
                <w:color w:val="auto"/>
              </w:rPr>
            </w:pPr>
          </w:p>
        </w:tc>
        <w:tc>
          <w:tcPr>
            <w:tcW w:w="1120" w:type="dxa"/>
            <w:vAlign w:val="bottom"/>
            <w:shd w:val="clear" w:color="auto" w:fill="1D2758"/>
          </w:tcPr>
          <w:p>
            <w:pPr>
              <w:ind w:left="140"/>
              <w:spacing w:after="0"/>
              <w:rPr>
                <w:sz w:val="20"/>
                <w:szCs w:val="20"/>
                <w:color w:val="auto"/>
              </w:rPr>
            </w:pPr>
            <w:r>
              <w:rPr>
                <w:rFonts w:ascii="Arial" w:cs="Arial" w:eastAsia="Arial" w:hAnsi="Arial"/>
                <w:sz w:val="12"/>
                <w:szCs w:val="12"/>
                <w:b w:val="1"/>
                <w:bCs w:val="1"/>
                <w:color w:val="FFFFFF"/>
              </w:rPr>
              <w:t>Level 1</w:t>
            </w:r>
          </w:p>
        </w:tc>
        <w:tc>
          <w:tcPr>
            <w:tcW w:w="940" w:type="dxa"/>
            <w:vAlign w:val="bottom"/>
            <w:shd w:val="clear" w:color="auto" w:fill="1D2758"/>
          </w:tcPr>
          <w:p>
            <w:pPr>
              <w:jc w:val="right"/>
              <w:ind w:right="279"/>
              <w:spacing w:after="0"/>
              <w:rPr>
                <w:sz w:val="20"/>
                <w:szCs w:val="20"/>
                <w:color w:val="auto"/>
              </w:rPr>
            </w:pPr>
            <w:r>
              <w:rPr>
                <w:rFonts w:ascii="Arial" w:cs="Arial" w:eastAsia="Arial" w:hAnsi="Arial"/>
                <w:sz w:val="12"/>
                <w:szCs w:val="12"/>
                <w:b w:val="1"/>
                <w:bCs w:val="1"/>
                <w:color w:val="FFFFFF"/>
              </w:rPr>
              <w:t>Level 2</w:t>
            </w:r>
          </w:p>
        </w:tc>
        <w:tc>
          <w:tcPr>
            <w:tcW w:w="260" w:type="dxa"/>
            <w:vAlign w:val="bottom"/>
            <w:shd w:val="clear" w:color="auto" w:fill="1D2758"/>
          </w:tcPr>
          <w:p>
            <w:pPr>
              <w:spacing w:after="0"/>
              <w:rPr>
                <w:sz w:val="19"/>
                <w:szCs w:val="19"/>
                <w:color w:val="auto"/>
              </w:rPr>
            </w:pPr>
          </w:p>
        </w:tc>
        <w:tc>
          <w:tcPr>
            <w:tcW w:w="920" w:type="dxa"/>
            <w:vAlign w:val="bottom"/>
            <w:shd w:val="clear" w:color="auto" w:fill="1D2758"/>
          </w:tcPr>
          <w:p>
            <w:pPr>
              <w:ind w:left="140"/>
              <w:spacing w:after="0"/>
              <w:rPr>
                <w:sz w:val="20"/>
                <w:szCs w:val="20"/>
                <w:color w:val="auto"/>
              </w:rPr>
            </w:pPr>
            <w:r>
              <w:rPr>
                <w:rFonts w:ascii="Arial" w:cs="Arial" w:eastAsia="Arial" w:hAnsi="Arial"/>
                <w:sz w:val="12"/>
                <w:szCs w:val="12"/>
                <w:b w:val="1"/>
                <w:bCs w:val="1"/>
                <w:color w:val="FFFFFF"/>
              </w:rPr>
              <w:t>Level 3</w:t>
            </w:r>
          </w:p>
        </w:tc>
      </w:tr>
      <w:tr>
        <w:trPr>
          <w:trHeight w:val="75"/>
        </w:trPr>
        <w:tc>
          <w:tcPr>
            <w:tcW w:w="1940" w:type="dxa"/>
            <w:vAlign w:val="bottom"/>
            <w:shd w:val="clear" w:color="auto" w:fill="1D2758"/>
          </w:tcPr>
          <w:p>
            <w:pPr>
              <w:spacing w:after="0"/>
              <w:rPr>
                <w:sz w:val="6"/>
                <w:szCs w:val="6"/>
                <w:color w:val="auto"/>
              </w:rPr>
            </w:pPr>
          </w:p>
        </w:tc>
        <w:tc>
          <w:tcPr>
            <w:tcW w:w="100" w:type="dxa"/>
            <w:vAlign w:val="bottom"/>
            <w:shd w:val="clear" w:color="auto" w:fill="1D2758"/>
          </w:tcPr>
          <w:p>
            <w:pPr>
              <w:spacing w:after="0"/>
              <w:rPr>
                <w:sz w:val="6"/>
                <w:szCs w:val="6"/>
                <w:color w:val="auto"/>
              </w:rPr>
            </w:pPr>
          </w:p>
        </w:tc>
        <w:tc>
          <w:tcPr>
            <w:tcW w:w="1040" w:type="dxa"/>
            <w:vAlign w:val="bottom"/>
            <w:shd w:val="clear" w:color="auto" w:fill="1D2758"/>
          </w:tcPr>
          <w:p>
            <w:pPr>
              <w:spacing w:after="0"/>
              <w:rPr>
                <w:sz w:val="6"/>
                <w:szCs w:val="6"/>
                <w:color w:val="auto"/>
              </w:rPr>
            </w:pPr>
          </w:p>
        </w:tc>
        <w:tc>
          <w:tcPr>
            <w:tcW w:w="260" w:type="dxa"/>
            <w:vAlign w:val="bottom"/>
            <w:shd w:val="clear" w:color="auto" w:fill="1D2758"/>
          </w:tcPr>
          <w:p>
            <w:pPr>
              <w:spacing w:after="0"/>
              <w:rPr>
                <w:sz w:val="6"/>
                <w:szCs w:val="6"/>
                <w:color w:val="auto"/>
              </w:rPr>
            </w:pPr>
          </w:p>
        </w:tc>
        <w:tc>
          <w:tcPr>
            <w:tcW w:w="1120" w:type="dxa"/>
            <w:vAlign w:val="bottom"/>
            <w:shd w:val="clear" w:color="auto" w:fill="1D2758"/>
          </w:tcPr>
          <w:p>
            <w:pPr>
              <w:spacing w:after="0"/>
              <w:rPr>
                <w:sz w:val="6"/>
                <w:szCs w:val="6"/>
                <w:color w:val="auto"/>
              </w:rPr>
            </w:pPr>
          </w:p>
        </w:tc>
        <w:tc>
          <w:tcPr>
            <w:tcW w:w="940" w:type="dxa"/>
            <w:vAlign w:val="bottom"/>
            <w:shd w:val="clear" w:color="auto" w:fill="1D2758"/>
          </w:tcPr>
          <w:p>
            <w:pPr>
              <w:spacing w:after="0"/>
              <w:rPr>
                <w:sz w:val="6"/>
                <w:szCs w:val="6"/>
                <w:color w:val="auto"/>
              </w:rPr>
            </w:pPr>
          </w:p>
        </w:tc>
        <w:tc>
          <w:tcPr>
            <w:tcW w:w="260" w:type="dxa"/>
            <w:vAlign w:val="bottom"/>
            <w:shd w:val="clear" w:color="auto" w:fill="1D2758"/>
          </w:tcPr>
          <w:p>
            <w:pPr>
              <w:spacing w:after="0"/>
              <w:rPr>
                <w:sz w:val="6"/>
                <w:szCs w:val="6"/>
                <w:color w:val="auto"/>
              </w:rPr>
            </w:pPr>
          </w:p>
        </w:tc>
        <w:tc>
          <w:tcPr>
            <w:tcW w:w="1020" w:type="dxa"/>
            <w:vAlign w:val="bottom"/>
            <w:shd w:val="clear" w:color="auto" w:fill="1D2758"/>
          </w:tcPr>
          <w:p>
            <w:pPr>
              <w:spacing w:after="0"/>
              <w:rPr>
                <w:sz w:val="6"/>
                <w:szCs w:val="6"/>
                <w:color w:val="auto"/>
              </w:rPr>
            </w:pPr>
          </w:p>
        </w:tc>
        <w:tc>
          <w:tcPr>
            <w:tcW w:w="1040" w:type="dxa"/>
            <w:vAlign w:val="bottom"/>
            <w:shd w:val="clear" w:color="auto" w:fill="1D2758"/>
          </w:tcPr>
          <w:p>
            <w:pPr>
              <w:spacing w:after="0"/>
              <w:rPr>
                <w:sz w:val="6"/>
                <w:szCs w:val="6"/>
                <w:color w:val="auto"/>
              </w:rPr>
            </w:pPr>
          </w:p>
        </w:tc>
        <w:tc>
          <w:tcPr>
            <w:tcW w:w="260" w:type="dxa"/>
            <w:vAlign w:val="bottom"/>
            <w:shd w:val="clear" w:color="auto" w:fill="1D2758"/>
          </w:tcPr>
          <w:p>
            <w:pPr>
              <w:spacing w:after="0"/>
              <w:rPr>
                <w:sz w:val="6"/>
                <w:szCs w:val="6"/>
                <w:color w:val="auto"/>
              </w:rPr>
            </w:pPr>
          </w:p>
        </w:tc>
        <w:tc>
          <w:tcPr>
            <w:tcW w:w="1120" w:type="dxa"/>
            <w:vAlign w:val="bottom"/>
            <w:shd w:val="clear" w:color="auto" w:fill="1D2758"/>
          </w:tcPr>
          <w:p>
            <w:pPr>
              <w:spacing w:after="0"/>
              <w:rPr>
                <w:sz w:val="6"/>
                <w:szCs w:val="6"/>
                <w:color w:val="auto"/>
              </w:rPr>
            </w:pPr>
          </w:p>
        </w:tc>
        <w:tc>
          <w:tcPr>
            <w:tcW w:w="940" w:type="dxa"/>
            <w:vAlign w:val="bottom"/>
            <w:shd w:val="clear" w:color="auto" w:fill="1D2758"/>
          </w:tcPr>
          <w:p>
            <w:pPr>
              <w:spacing w:after="0"/>
              <w:rPr>
                <w:sz w:val="6"/>
                <w:szCs w:val="6"/>
                <w:color w:val="auto"/>
              </w:rPr>
            </w:pPr>
          </w:p>
        </w:tc>
        <w:tc>
          <w:tcPr>
            <w:tcW w:w="260" w:type="dxa"/>
            <w:vAlign w:val="bottom"/>
            <w:shd w:val="clear" w:color="auto" w:fill="1D2758"/>
          </w:tcPr>
          <w:p>
            <w:pPr>
              <w:spacing w:after="0"/>
              <w:rPr>
                <w:sz w:val="6"/>
                <w:szCs w:val="6"/>
                <w:color w:val="auto"/>
              </w:rPr>
            </w:pPr>
          </w:p>
        </w:tc>
        <w:tc>
          <w:tcPr>
            <w:tcW w:w="920" w:type="dxa"/>
            <w:vAlign w:val="bottom"/>
            <w:shd w:val="clear" w:color="auto" w:fill="1D2758"/>
          </w:tcPr>
          <w:p>
            <w:pPr>
              <w:spacing w:after="0"/>
              <w:rPr>
                <w:sz w:val="6"/>
                <w:szCs w:val="6"/>
                <w:color w:val="auto"/>
              </w:rPr>
            </w:pPr>
          </w:p>
        </w:tc>
      </w:tr>
      <w:tr>
        <w:trPr>
          <w:trHeight w:val="161"/>
        </w:trPr>
        <w:tc>
          <w:tcPr>
            <w:tcW w:w="1940" w:type="dxa"/>
            <w:vAlign w:val="bottom"/>
            <w:shd w:val="clear" w:color="auto" w:fill="DBDBDB"/>
          </w:tcPr>
          <w:p>
            <w:pPr>
              <w:ind w:left="20"/>
              <w:spacing w:after="0"/>
              <w:rPr>
                <w:sz w:val="20"/>
                <w:szCs w:val="20"/>
                <w:color w:val="auto"/>
              </w:rPr>
            </w:pPr>
            <w:r>
              <w:rPr>
                <w:rFonts w:ascii="Arial" w:cs="Arial" w:eastAsia="Arial" w:hAnsi="Arial"/>
                <w:sz w:val="12"/>
                <w:szCs w:val="12"/>
                <w:color w:val="auto"/>
              </w:rPr>
              <w:t>ABL Facilities</w:t>
            </w:r>
          </w:p>
        </w:tc>
        <w:tc>
          <w:tcPr>
            <w:tcW w:w="10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1,432,252</w:t>
            </w:r>
          </w:p>
        </w:tc>
        <w:tc>
          <w:tcPr>
            <w:tcW w:w="26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w:t>
            </w:r>
          </w:p>
        </w:tc>
        <w:tc>
          <w:tcPr>
            <w:tcW w:w="1120" w:type="dxa"/>
            <w:vAlign w:val="bottom"/>
            <w:shd w:val="clear" w:color="auto" w:fill="DBDBDB"/>
          </w:tcPr>
          <w:p>
            <w:pPr>
              <w:ind w:left="760"/>
              <w:spacing w:after="0"/>
              <w:rPr>
                <w:sz w:val="20"/>
                <w:szCs w:val="20"/>
                <w:color w:val="auto"/>
              </w:rPr>
            </w:pPr>
            <w:r>
              <w:rPr>
                <w:rFonts w:ascii="Arial" w:cs="Arial" w:eastAsia="Arial" w:hAnsi="Arial"/>
                <w:sz w:val="12"/>
                <w:szCs w:val="12"/>
                <w:color w:val="auto"/>
              </w:rPr>
              <w:t>— $</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1,468,500</w:t>
            </w:r>
          </w:p>
        </w:tc>
        <w:tc>
          <w:tcPr>
            <w:tcW w:w="26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ind w:left="760"/>
              <w:spacing w:after="0"/>
              <w:rPr>
                <w:sz w:val="20"/>
                <w:szCs w:val="20"/>
                <w:color w:val="auto"/>
              </w:rPr>
            </w:pPr>
            <w:r>
              <w:rPr>
                <w:rFonts w:ascii="Arial" w:cs="Arial" w:eastAsia="Arial" w:hAnsi="Arial"/>
                <w:sz w:val="12"/>
                <w:szCs w:val="12"/>
                <w:color w:val="auto"/>
              </w:rPr>
              <w:t>— $</w:t>
            </w: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1,263,833</w:t>
            </w:r>
          </w:p>
        </w:tc>
        <w:tc>
          <w:tcPr>
            <w:tcW w:w="26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w:t>
            </w:r>
          </w:p>
        </w:tc>
        <w:tc>
          <w:tcPr>
            <w:tcW w:w="1120" w:type="dxa"/>
            <w:vAlign w:val="bottom"/>
            <w:shd w:val="clear" w:color="auto" w:fill="DBDBDB"/>
          </w:tcPr>
          <w:p>
            <w:pPr>
              <w:ind w:left="760"/>
              <w:spacing w:after="0"/>
              <w:rPr>
                <w:sz w:val="20"/>
                <w:szCs w:val="20"/>
                <w:color w:val="auto"/>
              </w:rPr>
            </w:pPr>
            <w:r>
              <w:rPr>
                <w:rFonts w:ascii="Arial" w:cs="Arial" w:eastAsia="Arial" w:hAnsi="Arial"/>
                <w:sz w:val="12"/>
                <w:szCs w:val="12"/>
                <w:color w:val="auto"/>
              </w:rPr>
              <w:t>— $</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1,304,612</w:t>
            </w:r>
          </w:p>
        </w:tc>
        <w:tc>
          <w:tcPr>
            <w:tcW w:w="26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ind w:left="760"/>
              <w:spacing w:after="0"/>
              <w:rPr>
                <w:sz w:val="20"/>
                <w:szCs w:val="20"/>
                <w:color w:val="auto"/>
              </w:rPr>
            </w:pPr>
            <w:r>
              <w:rPr>
                <w:rFonts w:ascii="Arial" w:cs="Arial" w:eastAsia="Arial" w:hAnsi="Arial"/>
                <w:sz w:val="12"/>
                <w:szCs w:val="12"/>
                <w:color w:val="auto"/>
              </w:rPr>
              <w:t>—</w:t>
            </w:r>
          </w:p>
        </w:tc>
      </w:tr>
      <w:tr>
        <w:trPr>
          <w:trHeight w:val="159"/>
        </w:trPr>
        <w:tc>
          <w:tcPr>
            <w:tcW w:w="1940" w:type="dxa"/>
            <w:vAlign w:val="bottom"/>
          </w:tcPr>
          <w:p>
            <w:pPr>
              <w:ind w:left="20"/>
              <w:spacing w:after="0"/>
              <w:rPr>
                <w:sz w:val="20"/>
                <w:szCs w:val="20"/>
                <w:color w:val="auto"/>
              </w:rPr>
            </w:pPr>
            <w:r>
              <w:rPr>
                <w:rFonts w:ascii="Arial" w:cs="Arial" w:eastAsia="Arial" w:hAnsi="Arial"/>
                <w:sz w:val="12"/>
                <w:szCs w:val="12"/>
                <w:color w:val="auto"/>
              </w:rPr>
              <w:t>2025 Secured Notes</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517,054</w:t>
            </w:r>
          </w:p>
        </w:tc>
        <w:tc>
          <w:tcPr>
            <w:tcW w:w="260" w:type="dxa"/>
            <w:vAlign w:val="bottom"/>
          </w:tcPr>
          <w:p>
            <w:pPr>
              <w:spacing w:after="0"/>
              <w:rPr>
                <w:sz w:val="13"/>
                <w:szCs w:val="13"/>
                <w:color w:val="auto"/>
              </w:rPr>
            </w:pPr>
          </w:p>
        </w:tc>
        <w:tc>
          <w:tcPr>
            <w:tcW w:w="1120" w:type="dxa"/>
            <w:vAlign w:val="bottom"/>
          </w:tcPr>
          <w:p>
            <w:pPr>
              <w:ind w:left="76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558,501</w:t>
            </w:r>
          </w:p>
        </w:tc>
        <w:tc>
          <w:tcPr>
            <w:tcW w:w="260" w:type="dxa"/>
            <w:vAlign w:val="bottom"/>
          </w:tcPr>
          <w:p>
            <w:pPr>
              <w:spacing w:after="0"/>
              <w:rPr>
                <w:sz w:val="13"/>
                <w:szCs w:val="13"/>
                <w:color w:val="auto"/>
              </w:rPr>
            </w:pPr>
          </w:p>
        </w:tc>
        <w:tc>
          <w:tcPr>
            <w:tcW w:w="1020" w:type="dxa"/>
            <w:vAlign w:val="bottom"/>
          </w:tcPr>
          <w:p>
            <w:pPr>
              <w:ind w:left="76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637,068</w:t>
            </w:r>
          </w:p>
        </w:tc>
        <w:tc>
          <w:tcPr>
            <w:tcW w:w="260" w:type="dxa"/>
            <w:vAlign w:val="bottom"/>
          </w:tcPr>
          <w:p>
            <w:pPr>
              <w:spacing w:after="0"/>
              <w:rPr>
                <w:sz w:val="13"/>
                <w:szCs w:val="13"/>
                <w:color w:val="auto"/>
              </w:rPr>
            </w:pPr>
          </w:p>
        </w:tc>
        <w:tc>
          <w:tcPr>
            <w:tcW w:w="1120" w:type="dxa"/>
            <w:vAlign w:val="bottom"/>
          </w:tcPr>
          <w:p>
            <w:pPr>
              <w:ind w:left="76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694,876</w:t>
            </w:r>
          </w:p>
        </w:tc>
        <w:tc>
          <w:tcPr>
            <w:tcW w:w="260" w:type="dxa"/>
            <w:vAlign w:val="bottom"/>
          </w:tcPr>
          <w:p>
            <w:pPr>
              <w:spacing w:after="0"/>
              <w:rPr>
                <w:sz w:val="13"/>
                <w:szCs w:val="13"/>
                <w:color w:val="auto"/>
              </w:rPr>
            </w:pPr>
          </w:p>
        </w:tc>
        <w:tc>
          <w:tcPr>
            <w:tcW w:w="920" w:type="dxa"/>
            <w:vAlign w:val="bottom"/>
          </w:tcPr>
          <w:p>
            <w:pPr>
              <w:ind w:left="760"/>
              <w:spacing w:after="0"/>
              <w:rPr>
                <w:sz w:val="20"/>
                <w:szCs w:val="20"/>
                <w:color w:val="auto"/>
              </w:rPr>
            </w:pPr>
            <w:r>
              <w:rPr>
                <w:rFonts w:ascii="Arial" w:cs="Arial" w:eastAsia="Arial" w:hAnsi="Arial"/>
                <w:sz w:val="12"/>
                <w:szCs w:val="12"/>
                <w:color w:val="auto"/>
              </w:rPr>
              <w:t>—</w:t>
            </w:r>
          </w:p>
        </w:tc>
      </w:tr>
      <w:tr>
        <w:trPr>
          <w:trHeight w:val="161"/>
        </w:trPr>
        <w:tc>
          <w:tcPr>
            <w:tcW w:w="1940" w:type="dxa"/>
            <w:vAlign w:val="bottom"/>
            <w:shd w:val="clear" w:color="auto" w:fill="DBDBDB"/>
          </w:tcPr>
          <w:p>
            <w:pPr>
              <w:ind w:left="20"/>
              <w:spacing w:after="0"/>
              <w:rPr>
                <w:sz w:val="20"/>
                <w:szCs w:val="20"/>
                <w:color w:val="auto"/>
              </w:rPr>
            </w:pPr>
            <w:r>
              <w:rPr>
                <w:rFonts w:ascii="Arial" w:cs="Arial" w:eastAsia="Arial" w:hAnsi="Arial"/>
                <w:sz w:val="12"/>
                <w:szCs w:val="12"/>
                <w:color w:val="auto"/>
              </w:rPr>
              <w:t>2028 Secured Notes</w:t>
            </w:r>
          </w:p>
        </w:tc>
        <w:tc>
          <w:tcPr>
            <w:tcW w:w="100" w:type="dxa"/>
            <w:vAlign w:val="bottom"/>
            <w:tcBorders>
              <w:bottom w:val="single" w:sz="8" w:color="auto"/>
            </w:tcBorders>
            <w:shd w:val="clear" w:color="auto" w:fill="DBDBDB"/>
          </w:tcPr>
          <w:p>
            <w:pPr>
              <w:spacing w:after="0"/>
              <w:rPr>
                <w:sz w:val="14"/>
                <w:szCs w:val="14"/>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492,017</w:t>
            </w:r>
          </w:p>
        </w:tc>
        <w:tc>
          <w:tcPr>
            <w:tcW w:w="26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ind w:left="76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515,895</w:t>
            </w:r>
          </w:p>
        </w:tc>
        <w:tc>
          <w:tcPr>
            <w:tcW w:w="260" w:type="dxa"/>
            <w:vAlign w:val="bottom"/>
            <w:tcBorders>
              <w:bottom w:val="single" w:sz="8" w:color="auto"/>
            </w:tcBorders>
            <w:shd w:val="clear" w:color="auto" w:fill="DBDBDB"/>
          </w:tcPr>
          <w:p>
            <w:pPr>
              <w:spacing w:after="0"/>
              <w:rPr>
                <w:sz w:val="14"/>
                <w:szCs w:val="14"/>
                <w:color w:val="auto"/>
              </w:rPr>
            </w:pPr>
          </w:p>
        </w:tc>
        <w:tc>
          <w:tcPr>
            <w:tcW w:w="1020" w:type="dxa"/>
            <w:vAlign w:val="bottom"/>
            <w:tcBorders>
              <w:bottom w:val="single" w:sz="8" w:color="auto"/>
            </w:tcBorders>
            <w:shd w:val="clear" w:color="auto" w:fill="DBDBDB"/>
          </w:tcPr>
          <w:p>
            <w:pPr>
              <w:ind w:left="76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491,555</w:t>
            </w:r>
          </w:p>
        </w:tc>
        <w:tc>
          <w:tcPr>
            <w:tcW w:w="26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ind w:left="76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518,820</w:t>
            </w:r>
          </w:p>
        </w:tc>
        <w:tc>
          <w:tcPr>
            <w:tcW w:w="260" w:type="dxa"/>
            <w:vAlign w:val="bottom"/>
            <w:tcBorders>
              <w:bottom w:val="single" w:sz="8" w:color="auto"/>
            </w:tcBorders>
            <w:shd w:val="clear" w:color="auto" w:fill="DBDBDB"/>
          </w:tcPr>
          <w:p>
            <w:pPr>
              <w:spacing w:after="0"/>
              <w:rPr>
                <w:sz w:val="14"/>
                <w:szCs w:val="14"/>
                <w:color w:val="auto"/>
              </w:rPr>
            </w:pPr>
          </w:p>
        </w:tc>
        <w:tc>
          <w:tcPr>
            <w:tcW w:w="920" w:type="dxa"/>
            <w:vAlign w:val="bottom"/>
            <w:tcBorders>
              <w:bottom w:val="single" w:sz="8" w:color="auto"/>
            </w:tcBorders>
            <w:shd w:val="clear" w:color="auto" w:fill="DBDBDB"/>
          </w:tcPr>
          <w:p>
            <w:pPr>
              <w:ind w:left="760"/>
              <w:spacing w:after="0"/>
              <w:rPr>
                <w:sz w:val="20"/>
                <w:szCs w:val="20"/>
                <w:color w:val="auto"/>
              </w:rPr>
            </w:pPr>
            <w:r>
              <w:rPr>
                <w:rFonts w:ascii="Arial" w:cs="Arial" w:eastAsia="Arial" w:hAnsi="Arial"/>
                <w:sz w:val="12"/>
                <w:szCs w:val="12"/>
                <w:color w:val="auto"/>
              </w:rPr>
              <w:t>—</w:t>
            </w:r>
          </w:p>
        </w:tc>
      </w:tr>
      <w:tr>
        <w:trPr>
          <w:trHeight w:val="154"/>
        </w:trPr>
        <w:tc>
          <w:tcPr>
            <w:tcW w:w="1940" w:type="dxa"/>
            <w:vAlign w:val="bottom"/>
          </w:tcPr>
          <w:p>
            <w:pPr>
              <w:ind w:left="180"/>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2,441,323</w:t>
            </w:r>
          </w:p>
        </w:tc>
        <w:tc>
          <w:tcPr>
            <w:tcW w:w="2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ind w:left="760"/>
              <w:spacing w:after="0"/>
              <w:rPr>
                <w:sz w:val="20"/>
                <w:szCs w:val="20"/>
                <w:color w:val="auto"/>
              </w:rPr>
            </w:pPr>
            <w:r>
              <w:rPr>
                <w:rFonts w:ascii="Arial" w:cs="Arial" w:eastAsia="Arial" w:hAnsi="Arial"/>
                <w:sz w:val="12"/>
                <w:szCs w:val="12"/>
                <w:color w:val="auto"/>
              </w:rPr>
              <w:t>—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2,542,896</w:t>
            </w:r>
          </w:p>
        </w:tc>
        <w:tc>
          <w:tcPr>
            <w:tcW w:w="2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2"/>
                <w:szCs w:val="12"/>
                <w:color w:val="auto"/>
              </w:rPr>
              <w: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2,392,456</w:t>
            </w:r>
          </w:p>
        </w:tc>
        <w:tc>
          <w:tcPr>
            <w:tcW w:w="2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ind w:left="760"/>
              <w:spacing w:after="0"/>
              <w:rPr>
                <w:sz w:val="20"/>
                <w:szCs w:val="20"/>
                <w:color w:val="auto"/>
              </w:rPr>
            </w:pPr>
            <w:r>
              <w:rPr>
                <w:rFonts w:ascii="Arial" w:cs="Arial" w:eastAsia="Arial" w:hAnsi="Arial"/>
                <w:sz w:val="12"/>
                <w:szCs w:val="12"/>
                <w:color w:val="auto"/>
              </w:rPr>
              <w:t>—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2,518,308</w:t>
            </w:r>
          </w:p>
        </w:tc>
        <w:tc>
          <w:tcPr>
            <w:tcW w:w="2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ind w:left="760"/>
              <w:spacing w:after="0"/>
              <w:rPr>
                <w:sz w:val="20"/>
                <w:szCs w:val="20"/>
                <w:color w:val="auto"/>
              </w:rPr>
            </w:pPr>
            <w:r>
              <w:rPr>
                <w:rFonts w:ascii="Arial" w:cs="Arial" w:eastAsia="Arial" w:hAnsi="Arial"/>
                <w:sz w:val="12"/>
                <w:szCs w:val="12"/>
                <w:color w:val="auto"/>
              </w:rPr>
              <w:t>—</w:t>
            </w:r>
          </w:p>
        </w:tc>
      </w:tr>
      <w:tr>
        <w:trPr>
          <w:trHeight w:val="20"/>
        </w:trPr>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right="80" w:firstLine="484"/>
        <w:spacing w:after="0" w:line="260" w:lineRule="auto"/>
        <w:rPr>
          <w:sz w:val="20"/>
          <w:szCs w:val="20"/>
          <w:color w:val="auto"/>
        </w:rPr>
      </w:pPr>
      <w:r>
        <w:rPr>
          <w:rFonts w:ascii="Arial" w:cs="Arial" w:eastAsia="Arial" w:hAnsi="Arial"/>
          <w:sz w:val="12"/>
          <w:szCs w:val="12"/>
          <w:color w:val="auto"/>
        </w:rPr>
        <w:t>As of June 30, 2021, the carrying values of the ABL Facilities, the 2025 Secured Notes, and the 2028 Secured Notes include $36.2 million, $9.5 million, and $8.0 million, respectively, of unamortized debt issuance costs, which are presented as a direct reduction of the corresponding liability. As of December 31, 2020, the carrying value of the ABL Facilities, the 2025 Secured Notes, and the 2028 Secured Notes includes $40.8 million, $12.9 million, and $8.4 million, respectively, of unamortized debt issuance costs, which are presented as a direct reduction of the corresponding liability.</w:t>
      </w:r>
    </w:p>
    <w:p>
      <w:pPr>
        <w:spacing w:after="0" w:line="26" w:lineRule="exact"/>
        <w:rPr>
          <w:sz w:val="20"/>
          <w:szCs w:val="20"/>
          <w:color w:val="auto"/>
        </w:rPr>
      </w:pPr>
    </w:p>
    <w:p>
      <w:pPr>
        <w:jc w:val="both"/>
        <w:ind w:right="80" w:firstLine="484"/>
        <w:spacing w:after="0" w:line="252" w:lineRule="auto"/>
        <w:rPr>
          <w:sz w:val="20"/>
          <w:szCs w:val="20"/>
          <w:color w:val="auto"/>
        </w:rPr>
      </w:pPr>
      <w:r>
        <w:rPr>
          <w:rFonts w:ascii="Arial" w:cs="Arial" w:eastAsia="Arial" w:hAnsi="Arial"/>
          <w:sz w:val="12"/>
          <w:szCs w:val="12"/>
          <w:color w:val="auto"/>
        </w:rPr>
        <w:t>The carrying value of the ABL Facilities, excluding debt issuance costs, approximates fair value as the interest rates are variable and reflective of current market rates. The fair value of the 2025 Secured Notes and the 2028 Secured Notes is based on their last trading price at the end of each period obtained from a third party. The classification and the fair value of derivative assets and liabilities designated as hedges in the condensed consolidated balance sheet are disclosed in Note 16.</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40" w:type="dxa"/>
            <w:vAlign w:val="bottom"/>
          </w:tcPr>
          <w:p>
            <w:pPr>
              <w:ind w:left="480"/>
              <w:spacing w:after="0"/>
              <w:rPr>
                <w:sz w:val="20"/>
                <w:szCs w:val="20"/>
                <w:color w:val="auto"/>
              </w:rPr>
            </w:pPr>
            <w:r>
              <w:rPr>
                <w:rFonts w:ascii="Arial" w:cs="Arial" w:eastAsia="Arial" w:hAnsi="Arial"/>
                <w:sz w:val="12"/>
                <w:szCs w:val="12"/>
                <w:color w:val="auto"/>
              </w:rPr>
              <w:t>The</w:t>
            </w:r>
          </w:p>
        </w:tc>
        <w:tc>
          <w:tcPr>
            <w:tcW w:w="580" w:type="dxa"/>
            <w:vAlign w:val="bottom"/>
          </w:tcPr>
          <w:p>
            <w:pPr>
              <w:jc w:val="right"/>
              <w:ind w:right="19"/>
              <w:spacing w:after="0"/>
              <w:rPr>
                <w:sz w:val="20"/>
                <w:szCs w:val="20"/>
                <w:color w:val="auto"/>
              </w:rPr>
            </w:pPr>
            <w:r>
              <w:rPr>
                <w:rFonts w:ascii="Arial" w:cs="Arial" w:eastAsia="Arial" w:hAnsi="Arial"/>
                <w:sz w:val="12"/>
                <w:szCs w:val="12"/>
                <w:color w:val="auto"/>
              </w:rPr>
              <w:t>following</w:t>
            </w:r>
          </w:p>
        </w:tc>
        <w:tc>
          <w:tcPr>
            <w:tcW w:w="680" w:type="dxa"/>
            <w:vAlign w:val="bottom"/>
          </w:tcPr>
          <w:p>
            <w:pPr>
              <w:ind w:left="220"/>
              <w:spacing w:after="0"/>
              <w:rPr>
                <w:sz w:val="20"/>
                <w:szCs w:val="20"/>
                <w:color w:val="auto"/>
              </w:rPr>
            </w:pPr>
            <w:r>
              <w:rPr>
                <w:rFonts w:ascii="Arial" w:cs="Arial" w:eastAsia="Arial" w:hAnsi="Arial"/>
                <w:sz w:val="12"/>
                <w:szCs w:val="12"/>
                <w:color w:val="auto"/>
              </w:rPr>
              <w:t>table</w:t>
            </w:r>
          </w:p>
        </w:tc>
        <w:tc>
          <w:tcPr>
            <w:tcW w:w="440" w:type="dxa"/>
            <w:vAlign w:val="bottom"/>
          </w:tcPr>
          <w:p>
            <w:pPr>
              <w:ind w:left="80"/>
              <w:spacing w:after="0"/>
              <w:rPr>
                <w:sz w:val="20"/>
                <w:szCs w:val="20"/>
                <w:color w:val="auto"/>
              </w:rPr>
            </w:pPr>
            <w:r>
              <w:rPr>
                <w:rFonts w:ascii="Arial" w:cs="Arial" w:eastAsia="Arial" w:hAnsi="Arial"/>
                <w:sz w:val="12"/>
                <w:szCs w:val="12"/>
                <w:color w:val="auto"/>
                <w:w w:val="99"/>
              </w:rPr>
              <w:t>shows</w:t>
            </w:r>
          </w:p>
        </w:tc>
        <w:tc>
          <w:tcPr>
            <w:tcW w:w="600" w:type="dxa"/>
            <w:vAlign w:val="bottom"/>
          </w:tcPr>
          <w:p>
            <w:pPr>
              <w:jc w:val="right"/>
              <w:ind w:right="99"/>
              <w:spacing w:after="0"/>
              <w:rPr>
                <w:sz w:val="20"/>
                <w:szCs w:val="20"/>
                <w:color w:val="auto"/>
              </w:rPr>
            </w:pPr>
            <w:r>
              <w:rPr>
                <w:rFonts w:ascii="Arial" w:cs="Arial" w:eastAsia="Arial" w:hAnsi="Arial"/>
                <w:sz w:val="12"/>
                <w:szCs w:val="12"/>
                <w:color w:val="auto"/>
              </w:rPr>
              <w:t>the</w:t>
            </w:r>
          </w:p>
        </w:tc>
        <w:tc>
          <w:tcPr>
            <w:tcW w:w="620" w:type="dxa"/>
            <w:vAlign w:val="bottom"/>
          </w:tcPr>
          <w:p>
            <w:pPr>
              <w:ind w:left="120"/>
              <w:spacing w:after="0"/>
              <w:rPr>
                <w:sz w:val="20"/>
                <w:szCs w:val="20"/>
                <w:color w:val="auto"/>
              </w:rPr>
            </w:pPr>
            <w:r>
              <w:rPr>
                <w:rFonts w:ascii="Arial" w:cs="Arial" w:eastAsia="Arial" w:hAnsi="Arial"/>
                <w:sz w:val="12"/>
                <w:szCs w:val="12"/>
                <w:color w:val="auto"/>
              </w:rPr>
              <w:t>carrying</w:t>
            </w:r>
          </w:p>
        </w:tc>
        <w:tc>
          <w:tcPr>
            <w:tcW w:w="14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color w:val="auto"/>
              </w:rPr>
              <w:t>amounts</w:t>
            </w:r>
          </w:p>
        </w:tc>
        <w:tc>
          <w:tcPr>
            <w:tcW w:w="540" w:type="dxa"/>
            <w:vAlign w:val="bottom"/>
          </w:tcPr>
          <w:p>
            <w:pPr>
              <w:jc w:val="right"/>
              <w:ind w:right="179"/>
              <w:spacing w:after="0"/>
              <w:rPr>
                <w:sz w:val="20"/>
                <w:szCs w:val="20"/>
                <w:color w:val="auto"/>
              </w:rPr>
            </w:pPr>
            <w:r>
              <w:rPr>
                <w:rFonts w:ascii="Arial" w:cs="Arial" w:eastAsia="Arial" w:hAnsi="Arial"/>
                <w:sz w:val="12"/>
                <w:szCs w:val="12"/>
                <w:color w:val="auto"/>
              </w:rPr>
              <w:t>and</w:t>
            </w:r>
          </w:p>
        </w:tc>
        <w:tc>
          <w:tcPr>
            <w:tcW w:w="460" w:type="dxa"/>
            <w:vAlign w:val="bottom"/>
          </w:tcPr>
          <w:p>
            <w:pPr>
              <w:ind w:left="40"/>
              <w:spacing w:after="0"/>
              <w:rPr>
                <w:sz w:val="20"/>
                <w:szCs w:val="20"/>
                <w:color w:val="auto"/>
              </w:rPr>
            </w:pPr>
            <w:r>
              <w:rPr>
                <w:rFonts w:ascii="Arial" w:cs="Arial" w:eastAsia="Arial" w:hAnsi="Arial"/>
                <w:sz w:val="12"/>
                <w:szCs w:val="12"/>
                <w:color w:val="auto"/>
              </w:rPr>
              <w:t>fair</w:t>
            </w:r>
          </w:p>
        </w:tc>
        <w:tc>
          <w:tcPr>
            <w:tcW w:w="540" w:type="dxa"/>
            <w:vAlign w:val="bottom"/>
          </w:tcPr>
          <w:p>
            <w:pPr>
              <w:ind w:left="40"/>
              <w:spacing w:after="0"/>
              <w:rPr>
                <w:sz w:val="20"/>
                <w:szCs w:val="20"/>
                <w:color w:val="auto"/>
              </w:rPr>
            </w:pPr>
            <w:r>
              <w:rPr>
                <w:rFonts w:ascii="Arial" w:cs="Arial" w:eastAsia="Arial" w:hAnsi="Arial"/>
                <w:sz w:val="12"/>
                <w:szCs w:val="12"/>
                <w:color w:val="auto"/>
              </w:rPr>
              <w:t>values</w:t>
            </w:r>
          </w:p>
        </w:tc>
        <w:tc>
          <w:tcPr>
            <w:tcW w:w="300" w:type="dxa"/>
            <w:vAlign w:val="bottom"/>
          </w:tcPr>
          <w:p>
            <w:pPr>
              <w:ind w:left="140"/>
              <w:spacing w:after="0"/>
              <w:rPr>
                <w:sz w:val="20"/>
                <w:szCs w:val="20"/>
                <w:color w:val="auto"/>
              </w:rPr>
            </w:pPr>
            <w:r>
              <w:rPr>
                <w:rFonts w:ascii="Arial" w:cs="Arial" w:eastAsia="Arial" w:hAnsi="Arial"/>
                <w:sz w:val="12"/>
                <w:szCs w:val="12"/>
                <w:color w:val="auto"/>
              </w:rPr>
              <w:t>of</w:t>
            </w:r>
          </w:p>
        </w:tc>
        <w:tc>
          <w:tcPr>
            <w:tcW w:w="860" w:type="dxa"/>
            <w:vAlign w:val="bottom"/>
          </w:tcPr>
          <w:p>
            <w:pPr>
              <w:jc w:val="right"/>
              <w:ind w:right="139"/>
              <w:spacing w:after="0"/>
              <w:rPr>
                <w:sz w:val="20"/>
                <w:szCs w:val="20"/>
                <w:color w:val="auto"/>
              </w:rPr>
            </w:pPr>
            <w:r>
              <w:rPr>
                <w:rFonts w:ascii="Arial" w:cs="Arial" w:eastAsia="Arial" w:hAnsi="Arial"/>
                <w:sz w:val="12"/>
                <w:szCs w:val="12"/>
                <w:color w:val="auto"/>
              </w:rPr>
              <w:t>financial</w:t>
            </w:r>
          </w:p>
        </w:tc>
        <w:tc>
          <w:tcPr>
            <w:tcW w:w="580" w:type="dxa"/>
            <w:vAlign w:val="bottom"/>
          </w:tcPr>
          <w:p>
            <w:pPr>
              <w:jc w:val="right"/>
              <w:spacing w:after="0"/>
              <w:rPr>
                <w:sz w:val="20"/>
                <w:szCs w:val="20"/>
                <w:color w:val="auto"/>
              </w:rPr>
            </w:pPr>
            <w:r>
              <w:rPr>
                <w:rFonts w:ascii="Arial" w:cs="Arial" w:eastAsia="Arial" w:hAnsi="Arial"/>
                <w:sz w:val="12"/>
                <w:szCs w:val="12"/>
                <w:color w:val="auto"/>
              </w:rPr>
              <w:t>liabilities</w:t>
            </w:r>
          </w:p>
        </w:tc>
        <w:tc>
          <w:tcPr>
            <w:tcW w:w="720" w:type="dxa"/>
            <w:vAlign w:val="bottom"/>
          </w:tcPr>
          <w:p>
            <w:pPr>
              <w:ind w:left="240"/>
              <w:spacing w:after="0"/>
              <w:rPr>
                <w:sz w:val="20"/>
                <w:szCs w:val="20"/>
                <w:color w:val="auto"/>
              </w:rPr>
            </w:pPr>
            <w:r>
              <w:rPr>
                <w:rFonts w:ascii="Arial" w:cs="Arial" w:eastAsia="Arial" w:hAnsi="Arial"/>
                <w:sz w:val="12"/>
                <w:szCs w:val="12"/>
                <w:color w:val="auto"/>
              </w:rPr>
              <w:t>which</w:t>
            </w:r>
          </w:p>
        </w:tc>
        <w:tc>
          <w:tcPr>
            <w:tcW w:w="520" w:type="dxa"/>
            <w:vAlign w:val="bottom"/>
          </w:tcPr>
          <w:p>
            <w:pPr>
              <w:jc w:val="right"/>
              <w:ind w:right="159"/>
              <w:spacing w:after="0"/>
              <w:rPr>
                <w:sz w:val="20"/>
                <w:szCs w:val="20"/>
                <w:color w:val="auto"/>
              </w:rPr>
            </w:pPr>
            <w:r>
              <w:rPr>
                <w:rFonts w:ascii="Arial" w:cs="Arial" w:eastAsia="Arial" w:hAnsi="Arial"/>
                <w:sz w:val="12"/>
                <w:szCs w:val="12"/>
                <w:color w:val="auto"/>
              </w:rPr>
              <w:t>are</w:t>
            </w:r>
          </w:p>
        </w:tc>
        <w:tc>
          <w:tcPr>
            <w:tcW w:w="780" w:type="dxa"/>
            <w:vAlign w:val="bottom"/>
          </w:tcPr>
          <w:p>
            <w:pPr>
              <w:ind w:left="60"/>
              <w:spacing w:after="0"/>
              <w:rPr>
                <w:sz w:val="20"/>
                <w:szCs w:val="20"/>
                <w:color w:val="auto"/>
              </w:rPr>
            </w:pPr>
            <w:r>
              <w:rPr>
                <w:rFonts w:ascii="Arial" w:cs="Arial" w:eastAsia="Arial" w:hAnsi="Arial"/>
                <w:sz w:val="12"/>
                <w:szCs w:val="12"/>
                <w:color w:val="auto"/>
              </w:rPr>
              <w:t>measured</w:t>
            </w:r>
          </w:p>
        </w:tc>
        <w:tc>
          <w:tcPr>
            <w:tcW w:w="460" w:type="dxa"/>
            <w:vAlign w:val="bottom"/>
          </w:tcPr>
          <w:p>
            <w:pPr>
              <w:jc w:val="right"/>
              <w:ind w:right="199"/>
              <w:spacing w:after="0"/>
              <w:rPr>
                <w:sz w:val="20"/>
                <w:szCs w:val="20"/>
                <w:color w:val="auto"/>
              </w:rPr>
            </w:pPr>
            <w:r>
              <w:rPr>
                <w:rFonts w:ascii="Arial" w:cs="Arial" w:eastAsia="Arial" w:hAnsi="Arial"/>
                <w:sz w:val="12"/>
                <w:szCs w:val="12"/>
                <w:color w:val="auto"/>
              </w:rPr>
              <w:t>at</w:t>
            </w:r>
          </w:p>
        </w:tc>
        <w:tc>
          <w:tcPr>
            <w:tcW w:w="340" w:type="dxa"/>
            <w:vAlign w:val="bottom"/>
          </w:tcPr>
          <w:p>
            <w:pPr>
              <w:ind w:left="20"/>
              <w:spacing w:after="0"/>
              <w:rPr>
                <w:sz w:val="20"/>
                <w:szCs w:val="20"/>
                <w:color w:val="auto"/>
              </w:rPr>
            </w:pPr>
            <w:r>
              <w:rPr>
                <w:rFonts w:ascii="Arial" w:cs="Arial" w:eastAsia="Arial" w:hAnsi="Arial"/>
                <w:sz w:val="12"/>
                <w:szCs w:val="12"/>
                <w:color w:val="auto"/>
              </w:rPr>
              <w:t>fair</w:t>
            </w:r>
          </w:p>
        </w:tc>
        <w:tc>
          <w:tcPr>
            <w:tcW w:w="540" w:type="dxa"/>
            <w:vAlign w:val="bottom"/>
          </w:tcPr>
          <w:p>
            <w:pPr>
              <w:ind w:left="140"/>
              <w:spacing w:after="0"/>
              <w:rPr>
                <w:sz w:val="20"/>
                <w:szCs w:val="20"/>
                <w:color w:val="auto"/>
              </w:rPr>
            </w:pPr>
            <w:r>
              <w:rPr>
                <w:rFonts w:ascii="Arial" w:cs="Arial" w:eastAsia="Arial" w:hAnsi="Arial"/>
                <w:sz w:val="12"/>
                <w:szCs w:val="12"/>
                <w:color w:val="auto"/>
              </w:rPr>
              <w:t>value:</w:t>
            </w:r>
          </w:p>
        </w:tc>
        <w:tc>
          <w:tcPr>
            <w:tcW w:w="0" w:type="dxa"/>
            <w:vAlign w:val="bottom"/>
          </w:tcPr>
          <w:p>
            <w:pPr>
              <w:spacing w:after="0"/>
              <w:rPr>
                <w:sz w:val="1"/>
                <w:szCs w:val="1"/>
                <w:color w:val="auto"/>
              </w:rPr>
            </w:pPr>
          </w:p>
        </w:tc>
      </w:tr>
      <w:tr>
        <w:trPr>
          <w:trHeight w:val="167"/>
        </w:trPr>
        <w:tc>
          <w:tcPr>
            <w:tcW w:w="940" w:type="dxa"/>
            <w:vAlign w:val="bottom"/>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680" w:type="dxa"/>
            <w:vAlign w:val="bottom"/>
            <w:shd w:val="clear" w:color="auto" w:fill="1D2758"/>
          </w:tcPr>
          <w:p>
            <w:pPr>
              <w:spacing w:after="0"/>
              <w:rPr>
                <w:sz w:val="14"/>
                <w:szCs w:val="14"/>
                <w:color w:val="auto"/>
              </w:rPr>
            </w:pPr>
          </w:p>
        </w:tc>
        <w:tc>
          <w:tcPr>
            <w:tcW w:w="440" w:type="dxa"/>
            <w:vAlign w:val="bottom"/>
            <w:shd w:val="clear" w:color="auto" w:fill="1D2758"/>
          </w:tcPr>
          <w:p>
            <w:pPr>
              <w:spacing w:after="0"/>
              <w:rPr>
                <w:sz w:val="14"/>
                <w:szCs w:val="14"/>
                <w:color w:val="auto"/>
              </w:rPr>
            </w:pPr>
          </w:p>
        </w:tc>
        <w:tc>
          <w:tcPr>
            <w:tcW w:w="600" w:type="dxa"/>
            <w:vAlign w:val="bottom"/>
            <w:shd w:val="clear" w:color="auto" w:fill="1D2758"/>
          </w:tcPr>
          <w:p>
            <w:pPr>
              <w:spacing w:after="0"/>
              <w:rPr>
                <w:sz w:val="14"/>
                <w:szCs w:val="14"/>
                <w:color w:val="auto"/>
              </w:rPr>
            </w:pPr>
          </w:p>
        </w:tc>
        <w:tc>
          <w:tcPr>
            <w:tcW w:w="1480" w:type="dxa"/>
            <w:vAlign w:val="bottom"/>
            <w:gridSpan w:val="3"/>
            <w:shd w:val="clear" w:color="auto" w:fill="1D2758"/>
          </w:tcPr>
          <w:p>
            <w:pPr>
              <w:ind w:left="20"/>
              <w:spacing w:after="0"/>
              <w:rPr>
                <w:sz w:val="20"/>
                <w:szCs w:val="20"/>
                <w:color w:val="auto"/>
              </w:rPr>
            </w:pPr>
            <w:r>
              <w:rPr>
                <w:rFonts w:ascii="Arial" w:cs="Arial" w:eastAsia="Arial" w:hAnsi="Arial"/>
                <w:sz w:val="12"/>
                <w:szCs w:val="12"/>
                <w:b w:val="1"/>
                <w:bCs w:val="1"/>
                <w:color w:val="FFFFFF"/>
              </w:rPr>
              <w:t>June 30, 2021</w:t>
            </w:r>
          </w:p>
        </w:tc>
        <w:tc>
          <w:tcPr>
            <w:tcW w:w="540" w:type="dxa"/>
            <w:vAlign w:val="bottom"/>
            <w:shd w:val="clear" w:color="auto" w:fill="1D2758"/>
          </w:tcPr>
          <w:p>
            <w:pPr>
              <w:spacing w:after="0"/>
              <w:rPr>
                <w:sz w:val="14"/>
                <w:szCs w:val="14"/>
                <w:color w:val="auto"/>
              </w:rPr>
            </w:pPr>
          </w:p>
        </w:tc>
        <w:tc>
          <w:tcPr>
            <w:tcW w:w="460" w:type="dxa"/>
            <w:vAlign w:val="bottom"/>
            <w:shd w:val="clear" w:color="auto" w:fill="1D2758"/>
          </w:tcPr>
          <w:p>
            <w:pPr>
              <w:spacing w:after="0"/>
              <w:rPr>
                <w:sz w:val="14"/>
                <w:szCs w:val="14"/>
                <w:color w:val="auto"/>
              </w:rPr>
            </w:pPr>
          </w:p>
        </w:tc>
        <w:tc>
          <w:tcPr>
            <w:tcW w:w="540" w:type="dxa"/>
            <w:vAlign w:val="bottom"/>
            <w:shd w:val="clear" w:color="auto" w:fill="1D2758"/>
          </w:tcPr>
          <w:p>
            <w:pPr>
              <w:spacing w:after="0"/>
              <w:rPr>
                <w:sz w:val="14"/>
                <w:szCs w:val="14"/>
                <w:color w:val="auto"/>
              </w:rPr>
            </w:pPr>
          </w:p>
        </w:tc>
        <w:tc>
          <w:tcPr>
            <w:tcW w:w="300" w:type="dxa"/>
            <w:vAlign w:val="bottom"/>
            <w:shd w:val="clear" w:color="auto" w:fill="1D2758"/>
          </w:tcPr>
          <w:p>
            <w:pPr>
              <w:spacing w:after="0"/>
              <w:rPr>
                <w:sz w:val="14"/>
                <w:szCs w:val="14"/>
                <w:color w:val="auto"/>
              </w:rPr>
            </w:pPr>
          </w:p>
        </w:tc>
        <w:tc>
          <w:tcPr>
            <w:tcW w:w="860" w:type="dxa"/>
            <w:vAlign w:val="bottom"/>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2020" w:type="dxa"/>
            <w:vAlign w:val="bottom"/>
            <w:gridSpan w:val="3"/>
            <w:shd w:val="clear" w:color="auto" w:fill="1D2758"/>
          </w:tcPr>
          <w:p>
            <w:pPr>
              <w:ind w:left="340"/>
              <w:spacing w:after="0"/>
              <w:rPr>
                <w:sz w:val="20"/>
                <w:szCs w:val="20"/>
                <w:color w:val="auto"/>
              </w:rPr>
            </w:pPr>
            <w:r>
              <w:rPr>
                <w:rFonts w:ascii="Arial" w:cs="Arial" w:eastAsia="Arial" w:hAnsi="Arial"/>
                <w:sz w:val="12"/>
                <w:szCs w:val="12"/>
                <w:b w:val="1"/>
                <w:bCs w:val="1"/>
                <w:color w:val="FFFFFF"/>
              </w:rPr>
              <w:t>December 31, 2020</w:t>
            </w:r>
          </w:p>
        </w:tc>
        <w:tc>
          <w:tcPr>
            <w:tcW w:w="460" w:type="dxa"/>
            <w:vAlign w:val="bottom"/>
            <w:shd w:val="clear" w:color="auto" w:fill="1D2758"/>
          </w:tcPr>
          <w:p>
            <w:pPr>
              <w:spacing w:after="0"/>
              <w:rPr>
                <w:sz w:val="14"/>
                <w:szCs w:val="14"/>
                <w:color w:val="auto"/>
              </w:rPr>
            </w:pPr>
          </w:p>
        </w:tc>
        <w:tc>
          <w:tcPr>
            <w:tcW w:w="340" w:type="dxa"/>
            <w:vAlign w:val="bottom"/>
            <w:shd w:val="clear" w:color="auto" w:fill="1D2758"/>
          </w:tcPr>
          <w:p>
            <w:pPr>
              <w:spacing w:after="0"/>
              <w:rPr>
                <w:sz w:val="14"/>
                <w:szCs w:val="14"/>
                <w:color w:val="auto"/>
              </w:rPr>
            </w:pPr>
          </w:p>
        </w:tc>
        <w:tc>
          <w:tcPr>
            <w:tcW w:w="54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40" w:type="dxa"/>
            <w:vAlign w:val="bottom"/>
            <w:shd w:val="clear" w:color="auto" w:fill="1D2758"/>
          </w:tcPr>
          <w:p>
            <w:pPr>
              <w:spacing w:after="0"/>
              <w:rPr>
                <w:sz w:val="13"/>
                <w:szCs w:val="13"/>
                <w:color w:val="auto"/>
              </w:rPr>
            </w:pPr>
          </w:p>
        </w:tc>
        <w:tc>
          <w:tcPr>
            <w:tcW w:w="580" w:type="dxa"/>
            <w:vAlign w:val="bottom"/>
            <w:shd w:val="clear" w:color="auto" w:fill="1D2758"/>
          </w:tcPr>
          <w:p>
            <w:pPr>
              <w:spacing w:after="0"/>
              <w:rPr>
                <w:sz w:val="13"/>
                <w:szCs w:val="13"/>
                <w:color w:val="auto"/>
              </w:rPr>
            </w:pPr>
          </w:p>
        </w:tc>
        <w:tc>
          <w:tcPr>
            <w:tcW w:w="680" w:type="dxa"/>
            <w:vAlign w:val="bottom"/>
            <w:shd w:val="clear" w:color="auto" w:fill="1D2758"/>
          </w:tcPr>
          <w:p>
            <w:pPr>
              <w:spacing w:after="0"/>
              <w:rPr>
                <w:sz w:val="13"/>
                <w:szCs w:val="13"/>
                <w:color w:val="auto"/>
              </w:rPr>
            </w:pPr>
          </w:p>
        </w:tc>
        <w:tc>
          <w:tcPr>
            <w:tcW w:w="440" w:type="dxa"/>
            <w:vAlign w:val="bottom"/>
            <w:shd w:val="clear" w:color="auto" w:fill="1D2758"/>
          </w:tcPr>
          <w:p>
            <w:pPr>
              <w:spacing w:after="0"/>
              <w:rPr>
                <w:sz w:val="13"/>
                <w:szCs w:val="13"/>
                <w:color w:val="auto"/>
              </w:rPr>
            </w:pPr>
          </w:p>
        </w:tc>
        <w:tc>
          <w:tcPr>
            <w:tcW w:w="600" w:type="dxa"/>
            <w:vAlign w:val="bottom"/>
            <w:shd w:val="clear" w:color="auto" w:fill="1D2758"/>
          </w:tcPr>
          <w:p>
            <w:pPr>
              <w:spacing w:after="0"/>
              <w:rPr>
                <w:sz w:val="13"/>
                <w:szCs w:val="13"/>
                <w:color w:val="auto"/>
              </w:rPr>
            </w:pPr>
          </w:p>
        </w:tc>
        <w:tc>
          <w:tcPr>
            <w:tcW w:w="62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720" w:type="dxa"/>
            <w:vAlign w:val="bottom"/>
            <w:shd w:val="clear" w:color="auto" w:fill="1D2758"/>
          </w:tcPr>
          <w:p>
            <w:pPr>
              <w:spacing w:after="0"/>
              <w:rPr>
                <w:sz w:val="20"/>
                <w:szCs w:val="20"/>
                <w:color w:val="auto"/>
              </w:rPr>
            </w:pPr>
            <w:r>
              <w:rPr>
                <w:rFonts w:ascii="Arial" w:cs="Arial" w:eastAsia="Arial" w:hAnsi="Arial"/>
                <w:sz w:val="12"/>
                <w:szCs w:val="12"/>
                <w:b w:val="1"/>
                <w:bCs w:val="1"/>
                <w:color w:val="FFFFFF"/>
              </w:rPr>
              <w:t>Fair Value</w:t>
            </w:r>
          </w:p>
        </w:tc>
        <w:tc>
          <w:tcPr>
            <w:tcW w:w="540" w:type="dxa"/>
            <w:vAlign w:val="bottom"/>
            <w:shd w:val="clear" w:color="auto" w:fill="1D2758"/>
          </w:tcPr>
          <w:p>
            <w:pPr>
              <w:spacing w:after="0"/>
              <w:rPr>
                <w:sz w:val="13"/>
                <w:szCs w:val="13"/>
                <w:color w:val="auto"/>
              </w:rPr>
            </w:pPr>
          </w:p>
        </w:tc>
        <w:tc>
          <w:tcPr>
            <w:tcW w:w="460" w:type="dxa"/>
            <w:vAlign w:val="bottom"/>
            <w:shd w:val="clear" w:color="auto" w:fill="1D2758"/>
          </w:tcPr>
          <w:p>
            <w:pPr>
              <w:spacing w:after="0"/>
              <w:rPr>
                <w:sz w:val="13"/>
                <w:szCs w:val="13"/>
                <w:color w:val="auto"/>
              </w:rPr>
            </w:pPr>
          </w:p>
        </w:tc>
        <w:tc>
          <w:tcPr>
            <w:tcW w:w="540" w:type="dxa"/>
            <w:vAlign w:val="bottom"/>
            <w:shd w:val="clear" w:color="auto" w:fill="1D2758"/>
          </w:tcPr>
          <w:p>
            <w:pPr>
              <w:spacing w:after="0"/>
              <w:rPr>
                <w:sz w:val="13"/>
                <w:szCs w:val="13"/>
                <w:color w:val="auto"/>
              </w:rPr>
            </w:pPr>
          </w:p>
        </w:tc>
        <w:tc>
          <w:tcPr>
            <w:tcW w:w="300" w:type="dxa"/>
            <w:vAlign w:val="bottom"/>
            <w:shd w:val="clear" w:color="auto" w:fill="1D2758"/>
          </w:tcPr>
          <w:p>
            <w:pPr>
              <w:spacing w:after="0"/>
              <w:rPr>
                <w:sz w:val="13"/>
                <w:szCs w:val="13"/>
                <w:color w:val="auto"/>
              </w:rPr>
            </w:pPr>
          </w:p>
        </w:tc>
        <w:tc>
          <w:tcPr>
            <w:tcW w:w="860" w:type="dxa"/>
            <w:vAlign w:val="bottom"/>
            <w:shd w:val="clear" w:color="auto" w:fill="1D2758"/>
          </w:tcPr>
          <w:p>
            <w:pPr>
              <w:spacing w:after="0"/>
              <w:rPr>
                <w:sz w:val="13"/>
                <w:szCs w:val="13"/>
                <w:color w:val="auto"/>
              </w:rPr>
            </w:pPr>
          </w:p>
        </w:tc>
        <w:tc>
          <w:tcPr>
            <w:tcW w:w="580" w:type="dxa"/>
            <w:vAlign w:val="bottom"/>
            <w:shd w:val="clear" w:color="auto" w:fill="1D2758"/>
          </w:tcPr>
          <w:p>
            <w:pPr>
              <w:spacing w:after="0"/>
              <w:rPr>
                <w:sz w:val="13"/>
                <w:szCs w:val="13"/>
                <w:color w:val="auto"/>
              </w:rPr>
            </w:pPr>
          </w:p>
        </w:tc>
        <w:tc>
          <w:tcPr>
            <w:tcW w:w="720" w:type="dxa"/>
            <w:vAlign w:val="bottom"/>
            <w:shd w:val="clear" w:color="auto" w:fill="1D2758"/>
          </w:tcPr>
          <w:p>
            <w:pPr>
              <w:spacing w:after="0"/>
              <w:rPr>
                <w:sz w:val="13"/>
                <w:szCs w:val="13"/>
                <w:color w:val="auto"/>
              </w:rPr>
            </w:pPr>
          </w:p>
        </w:tc>
        <w:tc>
          <w:tcPr>
            <w:tcW w:w="520" w:type="dxa"/>
            <w:vAlign w:val="bottom"/>
            <w:shd w:val="clear" w:color="auto" w:fill="1D2758"/>
          </w:tcPr>
          <w:p>
            <w:pPr>
              <w:spacing w:after="0"/>
              <w:rPr>
                <w:sz w:val="13"/>
                <w:szCs w:val="13"/>
                <w:color w:val="auto"/>
              </w:rPr>
            </w:pPr>
          </w:p>
        </w:tc>
        <w:tc>
          <w:tcPr>
            <w:tcW w:w="780" w:type="dxa"/>
            <w:vAlign w:val="bottom"/>
            <w:shd w:val="clear" w:color="auto" w:fill="1D2758"/>
          </w:tcPr>
          <w:p>
            <w:pPr>
              <w:ind w:left="100"/>
              <w:spacing w:after="0"/>
              <w:rPr>
                <w:sz w:val="20"/>
                <w:szCs w:val="20"/>
                <w:color w:val="auto"/>
              </w:rPr>
            </w:pPr>
            <w:r>
              <w:rPr>
                <w:rFonts w:ascii="Arial" w:cs="Arial" w:eastAsia="Arial" w:hAnsi="Arial"/>
                <w:sz w:val="12"/>
                <w:szCs w:val="12"/>
                <w:b w:val="1"/>
                <w:bCs w:val="1"/>
                <w:color w:val="FFFFFF"/>
              </w:rPr>
              <w:t>Fair Value</w:t>
            </w:r>
          </w:p>
        </w:tc>
        <w:tc>
          <w:tcPr>
            <w:tcW w:w="460" w:type="dxa"/>
            <w:vAlign w:val="bottom"/>
            <w:shd w:val="clear" w:color="auto" w:fill="1D2758"/>
          </w:tcPr>
          <w:p>
            <w:pPr>
              <w:spacing w:after="0"/>
              <w:rPr>
                <w:sz w:val="13"/>
                <w:szCs w:val="13"/>
                <w:color w:val="auto"/>
              </w:rPr>
            </w:pPr>
          </w:p>
        </w:tc>
        <w:tc>
          <w:tcPr>
            <w:tcW w:w="340" w:type="dxa"/>
            <w:vAlign w:val="bottom"/>
            <w:shd w:val="clear" w:color="auto" w:fill="1D2758"/>
          </w:tcPr>
          <w:p>
            <w:pPr>
              <w:spacing w:after="0"/>
              <w:rPr>
                <w:sz w:val="13"/>
                <w:szCs w:val="13"/>
                <w:color w:val="auto"/>
              </w:rPr>
            </w:pPr>
          </w:p>
        </w:tc>
        <w:tc>
          <w:tcPr>
            <w:tcW w:w="54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940" w:type="dxa"/>
            <w:vAlign w:val="bottom"/>
            <w:shd w:val="clear" w:color="auto" w:fill="1D2758"/>
          </w:tcPr>
          <w:p>
            <w:pPr>
              <w:ind w:left="500"/>
              <w:spacing w:after="0"/>
              <w:rPr>
                <w:sz w:val="20"/>
                <w:szCs w:val="20"/>
                <w:color w:val="auto"/>
              </w:rPr>
            </w:pPr>
            <w:r>
              <w:rPr>
                <w:rFonts w:ascii="Arial" w:cs="Arial" w:eastAsia="Arial" w:hAnsi="Arial"/>
                <w:sz w:val="12"/>
                <w:szCs w:val="12"/>
                <w:b w:val="1"/>
                <w:bCs w:val="1"/>
                <w:i w:val="1"/>
                <w:iCs w:val="1"/>
                <w:color w:val="FFFFFF"/>
              </w:rPr>
              <w:t>(in</w:t>
            </w:r>
          </w:p>
        </w:tc>
        <w:tc>
          <w:tcPr>
            <w:tcW w:w="580" w:type="dxa"/>
            <w:vAlign w:val="bottom"/>
            <w:shd w:val="clear" w:color="auto" w:fill="1D2758"/>
          </w:tcPr>
          <w:p>
            <w:pPr>
              <w:spacing w:after="0"/>
              <w:rPr>
                <w:sz w:val="16"/>
                <w:szCs w:val="16"/>
                <w:color w:val="auto"/>
              </w:rPr>
            </w:pPr>
          </w:p>
        </w:tc>
        <w:tc>
          <w:tcPr>
            <w:tcW w:w="680" w:type="dxa"/>
            <w:vAlign w:val="bottom"/>
            <w:shd w:val="clear" w:color="auto" w:fill="1D2758"/>
          </w:tcPr>
          <w:p>
            <w:pPr>
              <w:ind w:left="40"/>
              <w:spacing w:after="0"/>
              <w:rPr>
                <w:sz w:val="20"/>
                <w:szCs w:val="20"/>
                <w:color w:val="auto"/>
              </w:rPr>
            </w:pPr>
            <w:r>
              <w:rPr>
                <w:rFonts w:ascii="Arial" w:cs="Arial" w:eastAsia="Arial" w:hAnsi="Arial"/>
                <w:sz w:val="12"/>
                <w:szCs w:val="12"/>
                <w:b w:val="1"/>
                <w:bCs w:val="1"/>
                <w:color w:val="FFFFFF"/>
              </w:rPr>
              <w:t>Carrying</w:t>
            </w:r>
          </w:p>
        </w:tc>
        <w:tc>
          <w:tcPr>
            <w:tcW w:w="440" w:type="dxa"/>
            <w:vAlign w:val="bottom"/>
            <w:shd w:val="clear" w:color="auto" w:fill="1D2758"/>
          </w:tcPr>
          <w:p>
            <w:pPr>
              <w:spacing w:after="0"/>
              <w:rPr>
                <w:sz w:val="16"/>
                <w:szCs w:val="16"/>
                <w:color w:val="auto"/>
              </w:rPr>
            </w:pPr>
          </w:p>
        </w:tc>
        <w:tc>
          <w:tcPr>
            <w:tcW w:w="600" w:type="dxa"/>
            <w:vAlign w:val="bottom"/>
            <w:vMerge w:val="restart"/>
            <w:shd w:val="clear" w:color="auto" w:fill="1D2758"/>
          </w:tcPr>
          <w:p>
            <w:pPr>
              <w:jc w:val="right"/>
              <w:spacing w:after="0"/>
              <w:rPr>
                <w:sz w:val="20"/>
                <w:szCs w:val="20"/>
                <w:color w:val="auto"/>
              </w:rPr>
            </w:pPr>
            <w:r>
              <w:rPr>
                <w:rFonts w:ascii="Arial" w:cs="Arial" w:eastAsia="Arial" w:hAnsi="Arial"/>
                <w:sz w:val="12"/>
                <w:szCs w:val="12"/>
                <w:b w:val="1"/>
                <w:bCs w:val="1"/>
                <w:color w:val="FFFFFF"/>
              </w:rPr>
              <w:t>Level 1</w:t>
            </w:r>
          </w:p>
        </w:tc>
        <w:tc>
          <w:tcPr>
            <w:tcW w:w="620" w:type="dxa"/>
            <w:vAlign w:val="bottom"/>
            <w:shd w:val="clear" w:color="auto" w:fill="1D2758"/>
          </w:tcPr>
          <w:p>
            <w:pPr>
              <w:spacing w:after="0"/>
              <w:rPr>
                <w:sz w:val="16"/>
                <w:szCs w:val="16"/>
                <w:color w:val="auto"/>
              </w:rPr>
            </w:pPr>
          </w:p>
        </w:tc>
        <w:tc>
          <w:tcPr>
            <w:tcW w:w="140" w:type="dxa"/>
            <w:vAlign w:val="bottom"/>
            <w:shd w:val="clear" w:color="auto" w:fill="1D2758"/>
          </w:tcPr>
          <w:p>
            <w:pPr>
              <w:spacing w:after="0"/>
              <w:rPr>
                <w:sz w:val="16"/>
                <w:szCs w:val="16"/>
                <w:color w:val="auto"/>
              </w:rPr>
            </w:pPr>
          </w:p>
        </w:tc>
        <w:tc>
          <w:tcPr>
            <w:tcW w:w="720" w:type="dxa"/>
            <w:vAlign w:val="bottom"/>
            <w:vMerge w:val="restart"/>
            <w:shd w:val="clear" w:color="auto" w:fill="1D2758"/>
          </w:tcPr>
          <w:p>
            <w:pPr>
              <w:ind w:left="80"/>
              <w:spacing w:after="0"/>
              <w:rPr>
                <w:sz w:val="20"/>
                <w:szCs w:val="20"/>
                <w:color w:val="auto"/>
              </w:rPr>
            </w:pPr>
            <w:r>
              <w:rPr>
                <w:rFonts w:ascii="Arial" w:cs="Arial" w:eastAsia="Arial" w:hAnsi="Arial"/>
                <w:sz w:val="12"/>
                <w:szCs w:val="12"/>
                <w:b w:val="1"/>
                <w:bCs w:val="1"/>
                <w:color w:val="FFFFFF"/>
              </w:rPr>
              <w:t>Level 2</w:t>
            </w:r>
          </w:p>
        </w:tc>
        <w:tc>
          <w:tcPr>
            <w:tcW w:w="540" w:type="dxa"/>
            <w:vAlign w:val="bottom"/>
            <w:shd w:val="clear" w:color="auto" w:fill="1D2758"/>
          </w:tcPr>
          <w:p>
            <w:pPr>
              <w:spacing w:after="0"/>
              <w:rPr>
                <w:sz w:val="16"/>
                <w:szCs w:val="16"/>
                <w:color w:val="auto"/>
              </w:rPr>
            </w:pPr>
          </w:p>
        </w:tc>
        <w:tc>
          <w:tcPr>
            <w:tcW w:w="460" w:type="dxa"/>
            <w:vAlign w:val="bottom"/>
            <w:vMerge w:val="restart"/>
            <w:shd w:val="clear" w:color="auto" w:fill="1D2758"/>
          </w:tcPr>
          <w:p>
            <w:pPr>
              <w:ind w:left="60"/>
              <w:spacing w:after="0"/>
              <w:rPr>
                <w:sz w:val="20"/>
                <w:szCs w:val="20"/>
                <w:color w:val="auto"/>
              </w:rPr>
            </w:pPr>
            <w:r>
              <w:rPr>
                <w:rFonts w:ascii="Arial" w:cs="Arial" w:eastAsia="Arial" w:hAnsi="Arial"/>
                <w:sz w:val="12"/>
                <w:szCs w:val="12"/>
                <w:b w:val="1"/>
                <w:bCs w:val="1"/>
                <w:color w:val="FFFFFF"/>
                <w:w w:val="93"/>
              </w:rPr>
              <w:t>Level 3</w:t>
            </w:r>
          </w:p>
        </w:tc>
        <w:tc>
          <w:tcPr>
            <w:tcW w:w="540" w:type="dxa"/>
            <w:vAlign w:val="bottom"/>
            <w:shd w:val="clear" w:color="auto" w:fill="1D2758"/>
          </w:tcPr>
          <w:p>
            <w:pPr>
              <w:spacing w:after="0"/>
              <w:rPr>
                <w:sz w:val="16"/>
                <w:szCs w:val="16"/>
                <w:color w:val="auto"/>
              </w:rPr>
            </w:pPr>
          </w:p>
        </w:tc>
        <w:tc>
          <w:tcPr>
            <w:tcW w:w="300" w:type="dxa"/>
            <w:vAlign w:val="bottom"/>
            <w:shd w:val="clear" w:color="auto" w:fill="1D2758"/>
          </w:tcPr>
          <w:p>
            <w:pPr>
              <w:spacing w:after="0"/>
              <w:rPr>
                <w:sz w:val="16"/>
                <w:szCs w:val="16"/>
                <w:color w:val="auto"/>
              </w:rPr>
            </w:pPr>
          </w:p>
        </w:tc>
        <w:tc>
          <w:tcPr>
            <w:tcW w:w="860" w:type="dxa"/>
            <w:vAlign w:val="bottom"/>
            <w:shd w:val="clear" w:color="auto" w:fill="1D2758"/>
          </w:tcPr>
          <w:p>
            <w:pPr>
              <w:jc w:val="right"/>
              <w:ind w:right="219"/>
              <w:spacing w:after="0"/>
              <w:rPr>
                <w:sz w:val="20"/>
                <w:szCs w:val="20"/>
                <w:color w:val="auto"/>
              </w:rPr>
            </w:pPr>
            <w:r>
              <w:rPr>
                <w:rFonts w:ascii="Arial" w:cs="Arial" w:eastAsia="Arial" w:hAnsi="Arial"/>
                <w:sz w:val="12"/>
                <w:szCs w:val="12"/>
                <w:b w:val="1"/>
                <w:bCs w:val="1"/>
                <w:color w:val="FFFFFF"/>
              </w:rPr>
              <w:t>Carrying</w:t>
            </w:r>
          </w:p>
        </w:tc>
        <w:tc>
          <w:tcPr>
            <w:tcW w:w="580" w:type="dxa"/>
            <w:vAlign w:val="bottom"/>
            <w:shd w:val="clear" w:color="auto" w:fill="1D2758"/>
          </w:tcPr>
          <w:p>
            <w:pPr>
              <w:spacing w:after="0"/>
              <w:rPr>
                <w:sz w:val="16"/>
                <w:szCs w:val="16"/>
                <w:color w:val="auto"/>
              </w:rPr>
            </w:pPr>
          </w:p>
        </w:tc>
        <w:tc>
          <w:tcPr>
            <w:tcW w:w="720" w:type="dxa"/>
            <w:vAlign w:val="bottom"/>
            <w:vMerge w:val="restart"/>
            <w:shd w:val="clear" w:color="auto" w:fill="1D2758"/>
          </w:tcPr>
          <w:p>
            <w:pPr>
              <w:ind w:left="60"/>
              <w:spacing w:after="0"/>
              <w:rPr>
                <w:sz w:val="20"/>
                <w:szCs w:val="20"/>
                <w:color w:val="auto"/>
              </w:rPr>
            </w:pPr>
            <w:r>
              <w:rPr>
                <w:rFonts w:ascii="Arial" w:cs="Arial" w:eastAsia="Arial" w:hAnsi="Arial"/>
                <w:sz w:val="12"/>
                <w:szCs w:val="12"/>
                <w:b w:val="1"/>
                <w:bCs w:val="1"/>
                <w:color w:val="FFFFFF"/>
              </w:rPr>
              <w:t>Level 1</w:t>
            </w:r>
          </w:p>
        </w:tc>
        <w:tc>
          <w:tcPr>
            <w:tcW w:w="520" w:type="dxa"/>
            <w:vAlign w:val="bottom"/>
            <w:shd w:val="clear" w:color="auto" w:fill="1D2758"/>
          </w:tcPr>
          <w:p>
            <w:pPr>
              <w:spacing w:after="0"/>
              <w:rPr>
                <w:sz w:val="16"/>
                <w:szCs w:val="16"/>
                <w:color w:val="auto"/>
              </w:rPr>
            </w:pPr>
          </w:p>
        </w:tc>
        <w:tc>
          <w:tcPr>
            <w:tcW w:w="780" w:type="dxa"/>
            <w:vAlign w:val="bottom"/>
            <w:vMerge w:val="restart"/>
            <w:shd w:val="clear" w:color="auto" w:fill="1D2758"/>
          </w:tcPr>
          <w:p>
            <w:pPr>
              <w:ind w:left="60"/>
              <w:spacing w:after="0"/>
              <w:rPr>
                <w:sz w:val="20"/>
                <w:szCs w:val="20"/>
                <w:color w:val="auto"/>
              </w:rPr>
            </w:pPr>
            <w:r>
              <w:rPr>
                <w:rFonts w:ascii="Arial" w:cs="Arial" w:eastAsia="Arial" w:hAnsi="Arial"/>
                <w:sz w:val="12"/>
                <w:szCs w:val="12"/>
                <w:b w:val="1"/>
                <w:bCs w:val="1"/>
                <w:color w:val="FFFFFF"/>
              </w:rPr>
              <w:t>Level 2</w:t>
            </w:r>
          </w:p>
        </w:tc>
        <w:tc>
          <w:tcPr>
            <w:tcW w:w="460" w:type="dxa"/>
            <w:vAlign w:val="bottom"/>
            <w:shd w:val="clear" w:color="auto" w:fill="1D2758"/>
          </w:tcPr>
          <w:p>
            <w:pPr>
              <w:spacing w:after="0"/>
              <w:rPr>
                <w:sz w:val="16"/>
                <w:szCs w:val="16"/>
                <w:color w:val="auto"/>
              </w:rPr>
            </w:pPr>
          </w:p>
        </w:tc>
        <w:tc>
          <w:tcPr>
            <w:tcW w:w="880" w:type="dxa"/>
            <w:vAlign w:val="bottom"/>
            <w:gridSpan w:val="2"/>
            <w:vMerge w:val="restart"/>
            <w:shd w:val="clear" w:color="auto" w:fill="1D2758"/>
          </w:tcPr>
          <w:p>
            <w:pPr>
              <w:ind w:left="180"/>
              <w:spacing w:after="0"/>
              <w:rPr>
                <w:sz w:val="20"/>
                <w:szCs w:val="20"/>
                <w:color w:val="auto"/>
              </w:rPr>
            </w:pPr>
            <w:r>
              <w:rPr>
                <w:rFonts w:ascii="Arial" w:cs="Arial" w:eastAsia="Arial" w:hAnsi="Arial"/>
                <w:sz w:val="12"/>
                <w:szCs w:val="12"/>
                <w:b w:val="1"/>
                <w:bCs w:val="1"/>
                <w:color w:val="FFFFFF"/>
              </w:rPr>
              <w:t>Level 3</w:t>
            </w:r>
          </w:p>
        </w:tc>
        <w:tc>
          <w:tcPr>
            <w:tcW w:w="0" w:type="dxa"/>
            <w:vAlign w:val="bottom"/>
          </w:tcPr>
          <w:p>
            <w:pPr>
              <w:spacing w:after="0"/>
              <w:rPr>
                <w:sz w:val="1"/>
                <w:szCs w:val="1"/>
                <w:color w:val="auto"/>
              </w:rPr>
            </w:pPr>
          </w:p>
        </w:tc>
      </w:tr>
      <w:tr>
        <w:trPr>
          <w:trHeight w:val="160"/>
        </w:trPr>
        <w:tc>
          <w:tcPr>
            <w:tcW w:w="94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thousands)</w:t>
            </w:r>
          </w:p>
        </w:tc>
        <w:tc>
          <w:tcPr>
            <w:tcW w:w="1260" w:type="dxa"/>
            <w:vAlign w:val="bottom"/>
            <w:gridSpan w:val="2"/>
            <w:shd w:val="clear" w:color="auto" w:fill="1D2758"/>
          </w:tcPr>
          <w:p>
            <w:pPr>
              <w:ind w:left="400"/>
              <w:spacing w:after="0"/>
              <w:rPr>
                <w:sz w:val="20"/>
                <w:szCs w:val="20"/>
                <w:color w:val="auto"/>
              </w:rPr>
            </w:pPr>
            <w:r>
              <w:rPr>
                <w:rFonts w:ascii="Arial" w:cs="Arial" w:eastAsia="Arial" w:hAnsi="Arial"/>
                <w:sz w:val="12"/>
                <w:szCs w:val="12"/>
                <w:b w:val="1"/>
                <w:bCs w:val="1"/>
                <w:color w:val="FFFFFF"/>
              </w:rPr>
              <w:t>Amount</w:t>
            </w:r>
          </w:p>
        </w:tc>
        <w:tc>
          <w:tcPr>
            <w:tcW w:w="440" w:type="dxa"/>
            <w:vAlign w:val="bottom"/>
            <w:shd w:val="clear" w:color="auto" w:fill="1D2758"/>
          </w:tcPr>
          <w:p>
            <w:pPr>
              <w:spacing w:after="0"/>
              <w:rPr>
                <w:sz w:val="13"/>
                <w:szCs w:val="13"/>
                <w:color w:val="auto"/>
              </w:rPr>
            </w:pPr>
          </w:p>
        </w:tc>
        <w:tc>
          <w:tcPr>
            <w:tcW w:w="600" w:type="dxa"/>
            <w:vAlign w:val="bottom"/>
            <w:vMerge w:val="continue"/>
            <w:shd w:val="clear" w:color="auto" w:fill="1D2758"/>
          </w:tcPr>
          <w:p>
            <w:pPr>
              <w:spacing w:after="0"/>
              <w:rPr>
                <w:sz w:val="13"/>
                <w:szCs w:val="13"/>
                <w:color w:val="auto"/>
              </w:rPr>
            </w:pPr>
          </w:p>
        </w:tc>
        <w:tc>
          <w:tcPr>
            <w:tcW w:w="62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720" w:type="dxa"/>
            <w:vAlign w:val="bottom"/>
            <w:vMerge w:val="continue"/>
            <w:shd w:val="clear" w:color="auto" w:fill="1D2758"/>
          </w:tcPr>
          <w:p>
            <w:pPr>
              <w:spacing w:after="0"/>
              <w:rPr>
                <w:sz w:val="13"/>
                <w:szCs w:val="13"/>
                <w:color w:val="auto"/>
              </w:rPr>
            </w:pPr>
          </w:p>
        </w:tc>
        <w:tc>
          <w:tcPr>
            <w:tcW w:w="540" w:type="dxa"/>
            <w:vAlign w:val="bottom"/>
            <w:shd w:val="clear" w:color="auto" w:fill="1D2758"/>
          </w:tcPr>
          <w:p>
            <w:pPr>
              <w:spacing w:after="0"/>
              <w:rPr>
                <w:sz w:val="13"/>
                <w:szCs w:val="13"/>
                <w:color w:val="auto"/>
              </w:rPr>
            </w:pPr>
          </w:p>
        </w:tc>
        <w:tc>
          <w:tcPr>
            <w:tcW w:w="460" w:type="dxa"/>
            <w:vAlign w:val="bottom"/>
            <w:vMerge w:val="continue"/>
            <w:shd w:val="clear" w:color="auto" w:fill="1D2758"/>
          </w:tcPr>
          <w:p>
            <w:pPr>
              <w:spacing w:after="0"/>
              <w:rPr>
                <w:sz w:val="13"/>
                <w:szCs w:val="13"/>
                <w:color w:val="auto"/>
              </w:rPr>
            </w:pPr>
          </w:p>
        </w:tc>
        <w:tc>
          <w:tcPr>
            <w:tcW w:w="540" w:type="dxa"/>
            <w:vAlign w:val="bottom"/>
            <w:shd w:val="clear" w:color="auto" w:fill="1D2758"/>
          </w:tcPr>
          <w:p>
            <w:pPr>
              <w:spacing w:after="0"/>
              <w:rPr>
                <w:sz w:val="13"/>
                <w:szCs w:val="13"/>
                <w:color w:val="auto"/>
              </w:rPr>
            </w:pPr>
          </w:p>
        </w:tc>
        <w:tc>
          <w:tcPr>
            <w:tcW w:w="1160" w:type="dxa"/>
            <w:vAlign w:val="bottom"/>
            <w:gridSpan w:val="2"/>
            <w:shd w:val="clear" w:color="auto" w:fill="1D2758"/>
          </w:tcPr>
          <w:p>
            <w:pPr>
              <w:jc w:val="right"/>
              <w:ind w:right="479"/>
              <w:spacing w:after="0"/>
              <w:rPr>
                <w:sz w:val="20"/>
                <w:szCs w:val="20"/>
                <w:color w:val="auto"/>
              </w:rPr>
            </w:pPr>
            <w:r>
              <w:rPr>
                <w:rFonts w:ascii="Arial" w:cs="Arial" w:eastAsia="Arial" w:hAnsi="Arial"/>
                <w:sz w:val="12"/>
                <w:szCs w:val="12"/>
                <w:b w:val="1"/>
                <w:bCs w:val="1"/>
                <w:color w:val="FFFFFF"/>
              </w:rPr>
              <w:t>Amount</w:t>
            </w:r>
          </w:p>
        </w:tc>
        <w:tc>
          <w:tcPr>
            <w:tcW w:w="580" w:type="dxa"/>
            <w:vAlign w:val="bottom"/>
            <w:shd w:val="clear" w:color="auto" w:fill="1D2758"/>
          </w:tcPr>
          <w:p>
            <w:pPr>
              <w:spacing w:after="0"/>
              <w:rPr>
                <w:sz w:val="13"/>
                <w:szCs w:val="13"/>
                <w:color w:val="auto"/>
              </w:rPr>
            </w:pPr>
          </w:p>
        </w:tc>
        <w:tc>
          <w:tcPr>
            <w:tcW w:w="720" w:type="dxa"/>
            <w:vAlign w:val="bottom"/>
            <w:vMerge w:val="continue"/>
            <w:shd w:val="clear" w:color="auto" w:fill="1D2758"/>
          </w:tcPr>
          <w:p>
            <w:pPr>
              <w:spacing w:after="0"/>
              <w:rPr>
                <w:sz w:val="13"/>
                <w:szCs w:val="13"/>
                <w:color w:val="auto"/>
              </w:rPr>
            </w:pPr>
          </w:p>
        </w:tc>
        <w:tc>
          <w:tcPr>
            <w:tcW w:w="520" w:type="dxa"/>
            <w:vAlign w:val="bottom"/>
            <w:shd w:val="clear" w:color="auto" w:fill="1D2758"/>
          </w:tcPr>
          <w:p>
            <w:pPr>
              <w:spacing w:after="0"/>
              <w:rPr>
                <w:sz w:val="13"/>
                <w:szCs w:val="13"/>
                <w:color w:val="auto"/>
              </w:rPr>
            </w:pPr>
          </w:p>
        </w:tc>
        <w:tc>
          <w:tcPr>
            <w:tcW w:w="780" w:type="dxa"/>
            <w:vAlign w:val="bottom"/>
            <w:vMerge w:val="continue"/>
            <w:shd w:val="clear" w:color="auto" w:fill="1D2758"/>
          </w:tcPr>
          <w:p>
            <w:pPr>
              <w:spacing w:after="0"/>
              <w:rPr>
                <w:sz w:val="13"/>
                <w:szCs w:val="13"/>
                <w:color w:val="auto"/>
              </w:rPr>
            </w:pPr>
          </w:p>
        </w:tc>
        <w:tc>
          <w:tcPr>
            <w:tcW w:w="460" w:type="dxa"/>
            <w:vAlign w:val="bottom"/>
            <w:shd w:val="clear" w:color="auto" w:fill="1D2758"/>
          </w:tcPr>
          <w:p>
            <w:pPr>
              <w:spacing w:after="0"/>
              <w:rPr>
                <w:sz w:val="13"/>
                <w:szCs w:val="13"/>
                <w:color w:val="auto"/>
              </w:rPr>
            </w:pPr>
          </w:p>
        </w:tc>
        <w:tc>
          <w:tcPr>
            <w:tcW w:w="880" w:type="dxa"/>
            <w:vAlign w:val="bottom"/>
            <w:gridSpan w:val="2"/>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940" w:type="dxa"/>
            <w:vAlign w:val="bottom"/>
            <w:shd w:val="clear" w:color="auto" w:fill="1D2758"/>
          </w:tcPr>
          <w:p>
            <w:pPr>
              <w:spacing w:after="0"/>
              <w:rPr>
                <w:sz w:val="6"/>
                <w:szCs w:val="6"/>
                <w:color w:val="auto"/>
              </w:rPr>
            </w:pPr>
          </w:p>
        </w:tc>
        <w:tc>
          <w:tcPr>
            <w:tcW w:w="580" w:type="dxa"/>
            <w:vAlign w:val="bottom"/>
            <w:shd w:val="clear" w:color="auto" w:fill="1D2758"/>
          </w:tcPr>
          <w:p>
            <w:pPr>
              <w:spacing w:after="0"/>
              <w:rPr>
                <w:sz w:val="6"/>
                <w:szCs w:val="6"/>
                <w:color w:val="auto"/>
              </w:rPr>
            </w:pPr>
          </w:p>
        </w:tc>
        <w:tc>
          <w:tcPr>
            <w:tcW w:w="680" w:type="dxa"/>
            <w:vAlign w:val="bottom"/>
            <w:shd w:val="clear" w:color="auto" w:fill="1D2758"/>
          </w:tcPr>
          <w:p>
            <w:pPr>
              <w:spacing w:after="0"/>
              <w:rPr>
                <w:sz w:val="6"/>
                <w:szCs w:val="6"/>
                <w:color w:val="auto"/>
              </w:rPr>
            </w:pPr>
          </w:p>
        </w:tc>
        <w:tc>
          <w:tcPr>
            <w:tcW w:w="440" w:type="dxa"/>
            <w:vAlign w:val="bottom"/>
            <w:shd w:val="clear" w:color="auto" w:fill="1D2758"/>
          </w:tcPr>
          <w:p>
            <w:pPr>
              <w:spacing w:after="0"/>
              <w:rPr>
                <w:sz w:val="6"/>
                <w:szCs w:val="6"/>
                <w:color w:val="auto"/>
              </w:rPr>
            </w:pPr>
          </w:p>
        </w:tc>
        <w:tc>
          <w:tcPr>
            <w:tcW w:w="600" w:type="dxa"/>
            <w:vAlign w:val="bottom"/>
            <w:shd w:val="clear" w:color="auto" w:fill="1D2758"/>
          </w:tcPr>
          <w:p>
            <w:pPr>
              <w:spacing w:after="0"/>
              <w:rPr>
                <w:sz w:val="6"/>
                <w:szCs w:val="6"/>
                <w:color w:val="auto"/>
              </w:rPr>
            </w:pPr>
          </w:p>
        </w:tc>
        <w:tc>
          <w:tcPr>
            <w:tcW w:w="620" w:type="dxa"/>
            <w:vAlign w:val="bottom"/>
            <w:shd w:val="clear" w:color="auto" w:fill="1D2758"/>
          </w:tcPr>
          <w:p>
            <w:pPr>
              <w:spacing w:after="0"/>
              <w:rPr>
                <w:sz w:val="6"/>
                <w:szCs w:val="6"/>
                <w:color w:val="auto"/>
              </w:rPr>
            </w:pPr>
          </w:p>
        </w:tc>
        <w:tc>
          <w:tcPr>
            <w:tcW w:w="140" w:type="dxa"/>
            <w:vAlign w:val="bottom"/>
            <w:shd w:val="clear" w:color="auto" w:fill="1D2758"/>
          </w:tcPr>
          <w:p>
            <w:pPr>
              <w:spacing w:after="0"/>
              <w:rPr>
                <w:sz w:val="6"/>
                <w:szCs w:val="6"/>
                <w:color w:val="auto"/>
              </w:rPr>
            </w:pPr>
          </w:p>
        </w:tc>
        <w:tc>
          <w:tcPr>
            <w:tcW w:w="720" w:type="dxa"/>
            <w:vAlign w:val="bottom"/>
            <w:shd w:val="clear" w:color="auto" w:fill="1D2758"/>
          </w:tcPr>
          <w:p>
            <w:pPr>
              <w:spacing w:after="0"/>
              <w:rPr>
                <w:sz w:val="6"/>
                <w:szCs w:val="6"/>
                <w:color w:val="auto"/>
              </w:rPr>
            </w:pPr>
          </w:p>
        </w:tc>
        <w:tc>
          <w:tcPr>
            <w:tcW w:w="540" w:type="dxa"/>
            <w:vAlign w:val="bottom"/>
            <w:shd w:val="clear" w:color="auto" w:fill="1D2758"/>
          </w:tcPr>
          <w:p>
            <w:pPr>
              <w:spacing w:after="0"/>
              <w:rPr>
                <w:sz w:val="6"/>
                <w:szCs w:val="6"/>
                <w:color w:val="auto"/>
              </w:rPr>
            </w:pPr>
          </w:p>
        </w:tc>
        <w:tc>
          <w:tcPr>
            <w:tcW w:w="460" w:type="dxa"/>
            <w:vAlign w:val="bottom"/>
            <w:shd w:val="clear" w:color="auto" w:fill="1D2758"/>
          </w:tcPr>
          <w:p>
            <w:pPr>
              <w:spacing w:after="0"/>
              <w:rPr>
                <w:sz w:val="6"/>
                <w:szCs w:val="6"/>
                <w:color w:val="auto"/>
              </w:rPr>
            </w:pPr>
          </w:p>
        </w:tc>
        <w:tc>
          <w:tcPr>
            <w:tcW w:w="540" w:type="dxa"/>
            <w:vAlign w:val="bottom"/>
            <w:shd w:val="clear" w:color="auto" w:fill="1D2758"/>
          </w:tcPr>
          <w:p>
            <w:pPr>
              <w:spacing w:after="0"/>
              <w:rPr>
                <w:sz w:val="6"/>
                <w:szCs w:val="6"/>
                <w:color w:val="auto"/>
              </w:rPr>
            </w:pPr>
          </w:p>
        </w:tc>
        <w:tc>
          <w:tcPr>
            <w:tcW w:w="300" w:type="dxa"/>
            <w:vAlign w:val="bottom"/>
            <w:shd w:val="clear" w:color="auto" w:fill="1D2758"/>
          </w:tcPr>
          <w:p>
            <w:pPr>
              <w:spacing w:after="0"/>
              <w:rPr>
                <w:sz w:val="6"/>
                <w:szCs w:val="6"/>
                <w:color w:val="auto"/>
              </w:rPr>
            </w:pPr>
          </w:p>
        </w:tc>
        <w:tc>
          <w:tcPr>
            <w:tcW w:w="860" w:type="dxa"/>
            <w:vAlign w:val="bottom"/>
            <w:shd w:val="clear" w:color="auto" w:fill="1D2758"/>
          </w:tcPr>
          <w:p>
            <w:pPr>
              <w:spacing w:after="0"/>
              <w:rPr>
                <w:sz w:val="6"/>
                <w:szCs w:val="6"/>
                <w:color w:val="auto"/>
              </w:rPr>
            </w:pPr>
          </w:p>
        </w:tc>
        <w:tc>
          <w:tcPr>
            <w:tcW w:w="580" w:type="dxa"/>
            <w:vAlign w:val="bottom"/>
            <w:shd w:val="clear" w:color="auto" w:fill="1D2758"/>
          </w:tcPr>
          <w:p>
            <w:pPr>
              <w:spacing w:after="0"/>
              <w:rPr>
                <w:sz w:val="6"/>
                <w:szCs w:val="6"/>
                <w:color w:val="auto"/>
              </w:rPr>
            </w:pPr>
          </w:p>
        </w:tc>
        <w:tc>
          <w:tcPr>
            <w:tcW w:w="720" w:type="dxa"/>
            <w:vAlign w:val="bottom"/>
            <w:shd w:val="clear" w:color="auto" w:fill="1D2758"/>
          </w:tcPr>
          <w:p>
            <w:pPr>
              <w:spacing w:after="0"/>
              <w:rPr>
                <w:sz w:val="6"/>
                <w:szCs w:val="6"/>
                <w:color w:val="auto"/>
              </w:rPr>
            </w:pPr>
          </w:p>
        </w:tc>
        <w:tc>
          <w:tcPr>
            <w:tcW w:w="520" w:type="dxa"/>
            <w:vAlign w:val="bottom"/>
            <w:shd w:val="clear" w:color="auto" w:fill="1D2758"/>
          </w:tcPr>
          <w:p>
            <w:pPr>
              <w:spacing w:after="0"/>
              <w:rPr>
                <w:sz w:val="6"/>
                <w:szCs w:val="6"/>
                <w:color w:val="auto"/>
              </w:rPr>
            </w:pPr>
          </w:p>
        </w:tc>
        <w:tc>
          <w:tcPr>
            <w:tcW w:w="780" w:type="dxa"/>
            <w:vAlign w:val="bottom"/>
            <w:shd w:val="clear" w:color="auto" w:fill="1D2758"/>
          </w:tcPr>
          <w:p>
            <w:pPr>
              <w:spacing w:after="0"/>
              <w:rPr>
                <w:sz w:val="6"/>
                <w:szCs w:val="6"/>
                <w:color w:val="auto"/>
              </w:rPr>
            </w:pPr>
          </w:p>
        </w:tc>
        <w:tc>
          <w:tcPr>
            <w:tcW w:w="460" w:type="dxa"/>
            <w:vAlign w:val="bottom"/>
            <w:shd w:val="clear" w:color="auto" w:fill="1D2758"/>
          </w:tcPr>
          <w:p>
            <w:pPr>
              <w:spacing w:after="0"/>
              <w:rPr>
                <w:sz w:val="6"/>
                <w:szCs w:val="6"/>
                <w:color w:val="auto"/>
              </w:rPr>
            </w:pPr>
          </w:p>
        </w:tc>
        <w:tc>
          <w:tcPr>
            <w:tcW w:w="340" w:type="dxa"/>
            <w:vAlign w:val="bottom"/>
            <w:shd w:val="clear" w:color="auto" w:fill="1D2758"/>
          </w:tcPr>
          <w:p>
            <w:pPr>
              <w:spacing w:after="0"/>
              <w:rPr>
                <w:sz w:val="6"/>
                <w:szCs w:val="6"/>
                <w:color w:val="auto"/>
              </w:rPr>
            </w:pPr>
          </w:p>
        </w:tc>
        <w:tc>
          <w:tcPr>
            <w:tcW w:w="540" w:type="dxa"/>
            <w:vAlign w:val="bottom"/>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940" w:type="dxa"/>
            <w:vAlign w:val="bottom"/>
            <w:shd w:val="clear" w:color="auto" w:fill="DBDBDB"/>
          </w:tcPr>
          <w:p>
            <w:pPr>
              <w:ind w:left="500"/>
              <w:spacing w:after="0" w:line="133" w:lineRule="exact"/>
              <w:rPr>
                <w:sz w:val="20"/>
                <w:szCs w:val="20"/>
                <w:color w:val="auto"/>
              </w:rPr>
            </w:pPr>
            <w:r>
              <w:rPr>
                <w:rFonts w:ascii="Arial" w:cs="Arial" w:eastAsia="Arial" w:hAnsi="Arial"/>
                <w:sz w:val="12"/>
                <w:szCs w:val="12"/>
                <w:color w:val="auto"/>
              </w:rPr>
              <w:t>2015</w:t>
            </w:r>
          </w:p>
        </w:tc>
        <w:tc>
          <w:tcPr>
            <w:tcW w:w="580" w:type="dxa"/>
            <w:vAlign w:val="bottom"/>
            <w:shd w:val="clear" w:color="auto" w:fill="DBDBDB"/>
          </w:tcPr>
          <w:p>
            <w:pPr>
              <w:spacing w:after="0"/>
              <w:rPr>
                <w:sz w:val="11"/>
                <w:szCs w:val="11"/>
                <w:color w:val="auto"/>
              </w:rPr>
            </w:pPr>
          </w:p>
        </w:tc>
        <w:tc>
          <w:tcPr>
            <w:tcW w:w="680" w:type="dxa"/>
            <w:vAlign w:val="bottom"/>
            <w:shd w:val="clear" w:color="auto" w:fill="DBDBDB"/>
          </w:tcPr>
          <w:p>
            <w:pPr>
              <w:spacing w:after="0"/>
              <w:rPr>
                <w:sz w:val="11"/>
                <w:szCs w:val="11"/>
                <w:color w:val="auto"/>
              </w:rPr>
            </w:pPr>
          </w:p>
        </w:tc>
        <w:tc>
          <w:tcPr>
            <w:tcW w:w="440" w:type="dxa"/>
            <w:vAlign w:val="bottom"/>
            <w:shd w:val="clear" w:color="auto" w:fill="DBDBDB"/>
          </w:tcPr>
          <w:p>
            <w:pPr>
              <w:spacing w:after="0"/>
              <w:rPr>
                <w:sz w:val="11"/>
                <w:szCs w:val="11"/>
                <w:color w:val="auto"/>
              </w:rPr>
            </w:pPr>
          </w:p>
        </w:tc>
        <w:tc>
          <w:tcPr>
            <w:tcW w:w="600" w:type="dxa"/>
            <w:vAlign w:val="bottom"/>
            <w:shd w:val="clear" w:color="auto" w:fill="DBDBDB"/>
          </w:tcPr>
          <w:p>
            <w:pPr>
              <w:spacing w:after="0"/>
              <w:rPr>
                <w:sz w:val="11"/>
                <w:szCs w:val="11"/>
                <w:color w:val="auto"/>
              </w:rPr>
            </w:pPr>
          </w:p>
        </w:tc>
        <w:tc>
          <w:tcPr>
            <w:tcW w:w="62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540" w:type="dxa"/>
            <w:vAlign w:val="bottom"/>
            <w:shd w:val="clear" w:color="auto" w:fill="DBDBDB"/>
          </w:tcPr>
          <w:p>
            <w:pPr>
              <w:spacing w:after="0"/>
              <w:rPr>
                <w:sz w:val="11"/>
                <w:szCs w:val="11"/>
                <w:color w:val="auto"/>
              </w:rPr>
            </w:pPr>
          </w:p>
        </w:tc>
        <w:tc>
          <w:tcPr>
            <w:tcW w:w="460" w:type="dxa"/>
            <w:vAlign w:val="bottom"/>
            <w:shd w:val="clear" w:color="auto" w:fill="DBDBDB"/>
          </w:tcPr>
          <w:p>
            <w:pPr>
              <w:spacing w:after="0"/>
              <w:rPr>
                <w:sz w:val="11"/>
                <w:szCs w:val="11"/>
                <w:color w:val="auto"/>
              </w:rPr>
            </w:pPr>
          </w:p>
        </w:tc>
        <w:tc>
          <w:tcPr>
            <w:tcW w:w="54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58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52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460" w:type="dxa"/>
            <w:vAlign w:val="bottom"/>
            <w:shd w:val="clear" w:color="auto" w:fill="DBDBDB"/>
          </w:tcPr>
          <w:p>
            <w:pPr>
              <w:spacing w:after="0"/>
              <w:rPr>
                <w:sz w:val="11"/>
                <w:szCs w:val="11"/>
                <w:color w:val="auto"/>
              </w:rPr>
            </w:pPr>
          </w:p>
        </w:tc>
        <w:tc>
          <w:tcPr>
            <w:tcW w:w="340" w:type="dxa"/>
            <w:vAlign w:val="bottom"/>
            <w:shd w:val="clear" w:color="auto" w:fill="DBDBDB"/>
          </w:tcPr>
          <w:p>
            <w:pPr>
              <w:spacing w:after="0"/>
              <w:rPr>
                <w:sz w:val="11"/>
                <w:szCs w:val="11"/>
                <w:color w:val="auto"/>
              </w:rPr>
            </w:pPr>
          </w:p>
        </w:tc>
        <w:tc>
          <w:tcPr>
            <w:tcW w:w="54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DBDBDB"/>
          </w:tcPr>
          <w:p>
            <w:pPr>
              <w:ind w:left="20"/>
              <w:spacing w:after="0"/>
              <w:rPr>
                <w:sz w:val="20"/>
                <w:szCs w:val="20"/>
                <w:color w:val="auto"/>
              </w:rPr>
            </w:pPr>
            <w:r>
              <w:rPr>
                <w:rFonts w:ascii="Arial" w:cs="Arial" w:eastAsia="Arial" w:hAnsi="Arial"/>
                <w:sz w:val="12"/>
                <w:szCs w:val="12"/>
                <w:color w:val="auto"/>
              </w:rPr>
              <w:t>Private warrants</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DBDBDB"/>
          </w:tcPr>
          <w:p>
            <w:pPr>
              <w:spacing w:after="0"/>
              <w:rPr>
                <w:sz w:val="12"/>
                <w:szCs w:val="12"/>
                <w:color w:val="auto"/>
              </w:rPr>
            </w:pPr>
          </w:p>
        </w:tc>
        <w:tc>
          <w:tcPr>
            <w:tcW w:w="600" w:type="dxa"/>
            <w:vAlign w:val="bottom"/>
            <w:tcBorders>
              <w:bottom w:val="single" w:sz="8" w:color="auto"/>
            </w:tcBorders>
            <w:shd w:val="clear" w:color="auto" w:fill="DBDBDB"/>
          </w:tcPr>
          <w:p>
            <w:pPr>
              <w:jc w:val="right"/>
              <w:ind w:right="439"/>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DBDBDB"/>
          </w:tcPr>
          <w:p>
            <w:pPr>
              <w:spacing w:after="0"/>
              <w:rPr>
                <w:sz w:val="12"/>
                <w:szCs w:val="12"/>
                <w:color w:val="auto"/>
              </w:rPr>
            </w:pPr>
          </w:p>
        </w:tc>
        <w:tc>
          <w:tcPr>
            <w:tcW w:w="54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2"/>
                <w:szCs w:val="12"/>
                <w:color w:val="auto"/>
              </w:rPr>
              <w:t>77,404</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DBDBDB"/>
          </w:tcPr>
          <w:p>
            <w:pPr>
              <w:ind w:left="460"/>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DBDBDB"/>
          </w:tcPr>
          <w:p>
            <w:pPr>
              <w:ind w:left="46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DBDBDB"/>
          </w:tcPr>
          <w:p>
            <w:pPr>
              <w:spacing w:after="0"/>
              <w:rPr>
                <w:sz w:val="12"/>
                <w:szCs w:val="12"/>
                <w:color w:val="auto"/>
              </w:rPr>
            </w:pPr>
          </w:p>
        </w:tc>
        <w:tc>
          <w:tcPr>
            <w:tcW w:w="54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2"/>
                <w:szCs w:val="12"/>
                <w:color w:val="auto"/>
              </w:rPr>
              <w:t>77,404</w:t>
            </w:r>
          </w:p>
        </w:tc>
        <w:tc>
          <w:tcPr>
            <w:tcW w:w="0" w:type="dxa"/>
            <w:vAlign w:val="bottom"/>
          </w:tcPr>
          <w:p>
            <w:pPr>
              <w:spacing w:after="0"/>
              <w:rPr>
                <w:sz w:val="1"/>
                <w:szCs w:val="1"/>
                <w:color w:val="auto"/>
              </w:rPr>
            </w:pPr>
          </w:p>
        </w:tc>
      </w:tr>
      <w:tr>
        <w:trPr>
          <w:trHeight w:val="154"/>
        </w:trPr>
        <w:tc>
          <w:tcPr>
            <w:tcW w:w="940" w:type="dxa"/>
            <w:vAlign w:val="bottom"/>
          </w:tcPr>
          <w:p>
            <w:pPr>
              <w:ind w:left="660"/>
              <w:spacing w:after="0"/>
              <w:rPr>
                <w:sz w:val="20"/>
                <w:szCs w:val="20"/>
                <w:color w:val="auto"/>
              </w:rPr>
            </w:pPr>
            <w:r>
              <w:rPr>
                <w:rFonts w:ascii="Arial" w:cs="Arial" w:eastAsia="Arial" w:hAnsi="Arial"/>
                <w:sz w:val="12"/>
                <w:szCs w:val="12"/>
                <w:color w:val="auto"/>
                <w:w w:val="97"/>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77,404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ind w:left="46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77,404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Level 3 Disclosures</w:t>
      </w:r>
    </w:p>
    <w:p>
      <w:pPr>
        <w:spacing w:after="0" w:line="58" w:lineRule="exact"/>
        <w:rPr>
          <w:sz w:val="20"/>
          <w:szCs w:val="20"/>
          <w:color w:val="auto"/>
        </w:rPr>
      </w:pPr>
    </w:p>
    <w:p>
      <w:pPr>
        <w:jc w:val="both"/>
        <w:ind w:right="80" w:firstLine="484"/>
        <w:spacing w:after="0" w:line="248" w:lineRule="auto"/>
        <w:rPr>
          <w:sz w:val="20"/>
          <w:szCs w:val="20"/>
          <w:color w:val="auto"/>
        </w:rPr>
      </w:pPr>
      <w:r>
        <w:rPr>
          <w:rFonts w:ascii="Arial" w:cs="Arial" w:eastAsia="Arial" w:hAnsi="Arial"/>
          <w:sz w:val="12"/>
          <w:szCs w:val="12"/>
          <w:color w:val="auto"/>
        </w:rPr>
        <w:t>When the 2015 Private Warrants and 2018 Warrants were classified as liabilities, the Company utilized a Black Scholes option-pricing model to value the warrants at each reporting period and transaction date, with changes in fair value recognized in the statements of operations. The estimated fair value of the common stock warrant liability was determined using Level 3 inputs. Inherent in the pricing model are assumptions related to expected share-price volatility, expected life, risk-free interest rate and dividend yield. The Company estimated the volatility of its ordinary shares based on historical volatility that matched the expected remaining life of the warrants. The risk-free interest rate was based on the U.S. Treasury zero-coupon yield curve on the grant date for a maturity similar to the expected remaining life of the warrants. The expected life of the warrants was assumed to be equivalent to their remaining contractual term. The dividend rate was based on the historical rate, which the Company anticipates to remain at zero.</w:t>
      </w:r>
    </w:p>
    <w:p>
      <w:pPr>
        <w:spacing w:after="0" w:line="175" w:lineRule="exact"/>
        <w:rPr>
          <w:sz w:val="20"/>
          <w:szCs w:val="20"/>
          <w:color w:val="auto"/>
        </w:rPr>
      </w:pPr>
    </w:p>
    <w:p>
      <w:pPr>
        <w:jc w:val="both"/>
        <w:ind w:right="80" w:firstLine="484"/>
        <w:spacing w:after="0" w:line="258" w:lineRule="auto"/>
        <w:rPr>
          <w:sz w:val="20"/>
          <w:szCs w:val="20"/>
          <w:color w:val="auto"/>
        </w:rPr>
      </w:pPr>
      <w:r>
        <w:rPr>
          <w:rFonts w:ascii="Arial" w:cs="Arial" w:eastAsia="Arial" w:hAnsi="Arial"/>
          <w:sz w:val="12"/>
          <w:szCs w:val="12"/>
          <w:color w:val="auto"/>
        </w:rPr>
        <w:t>The 2018 Warrants were reclassified to equity at June 30, 2020, the date all issued and outstanding shares of the Company's Class B Common Stock were cancelled. As such, they were not recorded at fair value at June 30, 2020.</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provides quantitative information regarding Level 3 fair value measurements: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shd w:val="clear" w:color="auto" w:fill="1D2758"/>
          </w:tcPr>
          <w:p>
            <w:pPr>
              <w:spacing w:after="0"/>
              <w:rPr>
                <w:sz w:val="14"/>
                <w:szCs w:val="14"/>
                <w:color w:val="auto"/>
              </w:rPr>
            </w:pPr>
          </w:p>
        </w:tc>
        <w:tc>
          <w:tcPr>
            <w:tcW w:w="440" w:type="dxa"/>
            <w:vAlign w:val="bottom"/>
            <w:shd w:val="clear" w:color="auto" w:fill="1D2758"/>
          </w:tcPr>
          <w:p>
            <w:pPr>
              <w:spacing w:after="0"/>
              <w:rPr>
                <w:sz w:val="14"/>
                <w:szCs w:val="14"/>
                <w:color w:val="auto"/>
              </w:rPr>
            </w:pPr>
          </w:p>
        </w:tc>
        <w:tc>
          <w:tcPr>
            <w:tcW w:w="2160" w:type="dxa"/>
            <w:vAlign w:val="bottom"/>
            <w:shd w:val="clear" w:color="auto" w:fill="1D2758"/>
          </w:tcPr>
          <w:p>
            <w:pPr>
              <w:jc w:val="right"/>
              <w:ind w:right="639"/>
              <w:spacing w:after="0"/>
              <w:rPr>
                <w:sz w:val="20"/>
                <w:szCs w:val="20"/>
                <w:color w:val="auto"/>
              </w:rPr>
            </w:pPr>
            <w:r>
              <w:rPr>
                <w:rFonts w:ascii="Arial" w:cs="Arial" w:eastAsia="Arial" w:hAnsi="Arial"/>
                <w:sz w:val="12"/>
                <w:szCs w:val="12"/>
                <w:b w:val="1"/>
                <w:bCs w:val="1"/>
                <w:color w:val="FFFFFF"/>
              </w:rPr>
              <w:t>December 31, 2020</w:t>
            </w:r>
          </w:p>
        </w:tc>
      </w:tr>
      <w:tr>
        <w:trPr>
          <w:trHeight w:val="161"/>
        </w:trPr>
        <w:tc>
          <w:tcPr>
            <w:tcW w:w="86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440" w:type="dxa"/>
            <w:vAlign w:val="bottom"/>
            <w:shd w:val="clear" w:color="auto" w:fill="1D2758"/>
          </w:tcPr>
          <w:p>
            <w:pPr>
              <w:spacing w:after="0"/>
              <w:rPr>
                <w:sz w:val="14"/>
                <w:szCs w:val="14"/>
                <w:color w:val="auto"/>
              </w:rPr>
            </w:pPr>
          </w:p>
        </w:tc>
        <w:tc>
          <w:tcPr>
            <w:tcW w:w="2160" w:type="dxa"/>
            <w:vAlign w:val="bottom"/>
            <w:shd w:val="clear" w:color="auto" w:fill="1D2758"/>
          </w:tcPr>
          <w:p>
            <w:pPr>
              <w:jc w:val="right"/>
              <w:ind w:right="539"/>
              <w:spacing w:after="0"/>
              <w:rPr>
                <w:sz w:val="20"/>
                <w:szCs w:val="20"/>
                <w:color w:val="auto"/>
              </w:rPr>
            </w:pPr>
            <w:r>
              <w:rPr>
                <w:rFonts w:ascii="Arial" w:cs="Arial" w:eastAsia="Arial" w:hAnsi="Arial"/>
                <w:sz w:val="12"/>
                <w:szCs w:val="12"/>
                <w:b w:val="1"/>
                <w:bCs w:val="1"/>
                <w:color w:val="FFFFFF"/>
              </w:rPr>
              <w:t>2015 Private Warrants</w:t>
            </w:r>
          </w:p>
        </w:tc>
      </w:tr>
      <w:tr>
        <w:trPr>
          <w:trHeight w:val="161"/>
        </w:trPr>
        <w:tc>
          <w:tcPr>
            <w:tcW w:w="8680" w:type="dxa"/>
            <w:vAlign w:val="bottom"/>
            <w:shd w:val="clear" w:color="auto" w:fill="DBDBDB"/>
          </w:tcPr>
          <w:p>
            <w:pPr>
              <w:ind w:left="20"/>
              <w:spacing w:after="0"/>
              <w:rPr>
                <w:sz w:val="20"/>
                <w:szCs w:val="20"/>
                <w:color w:val="auto"/>
              </w:rPr>
            </w:pPr>
            <w:r>
              <w:rPr>
                <w:rFonts w:ascii="Arial" w:cs="Arial" w:eastAsia="Arial" w:hAnsi="Arial"/>
                <w:sz w:val="12"/>
                <w:szCs w:val="12"/>
                <w:color w:val="auto"/>
              </w:rPr>
              <w:t>Stock Price</w:t>
            </w:r>
          </w:p>
        </w:tc>
        <w:tc>
          <w:tcPr>
            <w:tcW w:w="440" w:type="dxa"/>
            <w:vAlign w:val="bottom"/>
            <w:shd w:val="clear" w:color="auto" w:fill="DBDBDB"/>
          </w:tcPr>
          <w:p>
            <w:pPr>
              <w:jc w:val="right"/>
              <w:ind w:right="219"/>
              <w:spacing w:after="0"/>
              <w:rPr>
                <w:sz w:val="20"/>
                <w:szCs w:val="20"/>
                <w:color w:val="auto"/>
              </w:rPr>
            </w:pPr>
            <w:r>
              <w:rPr>
                <w:rFonts w:ascii="Arial" w:cs="Arial" w:eastAsia="Arial" w:hAnsi="Arial"/>
                <w:sz w:val="12"/>
                <w:szCs w:val="12"/>
                <w:color w:val="auto"/>
              </w:rPr>
              <w:t>$</w:t>
            </w:r>
          </w:p>
        </w:tc>
        <w:tc>
          <w:tcPr>
            <w:tcW w:w="21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23.17</w:t>
            </w:r>
          </w:p>
        </w:tc>
      </w:tr>
      <w:tr>
        <w:trPr>
          <w:trHeight w:val="159"/>
        </w:trPr>
        <w:tc>
          <w:tcPr>
            <w:tcW w:w="8680" w:type="dxa"/>
            <w:vAlign w:val="bottom"/>
          </w:tcPr>
          <w:p>
            <w:pPr>
              <w:ind w:left="20"/>
              <w:spacing w:after="0"/>
              <w:rPr>
                <w:sz w:val="20"/>
                <w:szCs w:val="20"/>
                <w:color w:val="auto"/>
              </w:rPr>
            </w:pPr>
            <w:r>
              <w:rPr>
                <w:rFonts w:ascii="Arial" w:cs="Arial" w:eastAsia="Arial" w:hAnsi="Arial"/>
                <w:sz w:val="12"/>
                <w:szCs w:val="12"/>
                <w:color w:val="auto"/>
              </w:rPr>
              <w:t>Strike Price</w:t>
            </w:r>
          </w:p>
        </w:tc>
        <w:tc>
          <w:tcPr>
            <w:tcW w:w="440" w:type="dxa"/>
            <w:vAlign w:val="bottom"/>
          </w:tcPr>
          <w:p>
            <w:pPr>
              <w:jc w:val="right"/>
              <w:ind w:right="219"/>
              <w:spacing w:after="0"/>
              <w:rPr>
                <w:sz w:val="20"/>
                <w:szCs w:val="20"/>
                <w:color w:val="auto"/>
              </w:rPr>
            </w:pPr>
            <w:r>
              <w:rPr>
                <w:rFonts w:ascii="Arial" w:cs="Arial" w:eastAsia="Arial" w:hAnsi="Arial"/>
                <w:sz w:val="12"/>
                <w:szCs w:val="12"/>
                <w:color w:val="auto"/>
              </w:rPr>
              <w:t>$</w:t>
            </w:r>
          </w:p>
        </w:tc>
        <w:tc>
          <w:tcPr>
            <w:tcW w:w="2160" w:type="dxa"/>
            <w:vAlign w:val="bottom"/>
          </w:tcPr>
          <w:p>
            <w:pPr>
              <w:jc w:val="right"/>
              <w:ind w:right="79"/>
              <w:spacing w:after="0"/>
              <w:rPr>
                <w:sz w:val="20"/>
                <w:szCs w:val="20"/>
                <w:color w:val="auto"/>
              </w:rPr>
            </w:pPr>
            <w:r>
              <w:rPr>
                <w:rFonts w:ascii="Arial" w:cs="Arial" w:eastAsia="Arial" w:hAnsi="Arial"/>
                <w:sz w:val="12"/>
                <w:szCs w:val="12"/>
                <w:color w:val="auto"/>
              </w:rPr>
              <w:t>11.50</w:t>
            </w:r>
          </w:p>
        </w:tc>
      </w:tr>
      <w:tr>
        <w:trPr>
          <w:trHeight w:val="164"/>
        </w:trPr>
        <w:tc>
          <w:tcPr>
            <w:tcW w:w="8680" w:type="dxa"/>
            <w:vAlign w:val="bottom"/>
            <w:shd w:val="clear" w:color="auto" w:fill="DBDBDB"/>
          </w:tcPr>
          <w:p>
            <w:pPr>
              <w:ind w:left="20"/>
              <w:spacing w:after="0"/>
              <w:rPr>
                <w:sz w:val="20"/>
                <w:szCs w:val="20"/>
                <w:color w:val="auto"/>
              </w:rPr>
            </w:pPr>
            <w:r>
              <w:rPr>
                <w:rFonts w:ascii="Arial" w:cs="Arial" w:eastAsia="Arial" w:hAnsi="Arial"/>
                <w:sz w:val="12"/>
                <w:szCs w:val="12"/>
                <w:color w:val="auto"/>
              </w:rPr>
              <w:t>Expected Life</w:t>
            </w:r>
          </w:p>
        </w:tc>
        <w:tc>
          <w:tcPr>
            <w:tcW w:w="440" w:type="dxa"/>
            <w:vAlign w:val="bottom"/>
            <w:shd w:val="clear" w:color="auto" w:fill="DBDBDB"/>
          </w:tcPr>
          <w:p>
            <w:pPr>
              <w:spacing w:after="0"/>
              <w:rPr>
                <w:sz w:val="14"/>
                <w:szCs w:val="14"/>
                <w:color w:val="auto"/>
              </w:rPr>
            </w:pPr>
          </w:p>
        </w:tc>
        <w:tc>
          <w:tcPr>
            <w:tcW w:w="2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1.91</w:t>
            </w:r>
          </w:p>
        </w:tc>
      </w:tr>
      <w:tr>
        <w:trPr>
          <w:trHeight w:val="159"/>
        </w:trPr>
        <w:tc>
          <w:tcPr>
            <w:tcW w:w="8680" w:type="dxa"/>
            <w:vAlign w:val="bottom"/>
          </w:tcPr>
          <w:p>
            <w:pPr>
              <w:ind w:left="20"/>
              <w:spacing w:after="0"/>
              <w:rPr>
                <w:sz w:val="20"/>
                <w:szCs w:val="20"/>
                <w:color w:val="auto"/>
              </w:rPr>
            </w:pPr>
            <w:r>
              <w:rPr>
                <w:rFonts w:ascii="Arial" w:cs="Arial" w:eastAsia="Arial" w:hAnsi="Arial"/>
                <w:sz w:val="12"/>
                <w:szCs w:val="12"/>
                <w:color w:val="auto"/>
              </w:rPr>
              <w:t>Volatility</w:t>
            </w:r>
          </w:p>
        </w:tc>
        <w:tc>
          <w:tcPr>
            <w:tcW w:w="440" w:type="dxa"/>
            <w:vAlign w:val="bottom"/>
          </w:tcPr>
          <w:p>
            <w:pPr>
              <w:spacing w:after="0"/>
              <w:rPr>
                <w:sz w:val="13"/>
                <w:szCs w:val="13"/>
                <w:color w:val="auto"/>
              </w:rPr>
            </w:pPr>
          </w:p>
        </w:tc>
        <w:tc>
          <w:tcPr>
            <w:tcW w:w="2160" w:type="dxa"/>
            <w:vAlign w:val="bottom"/>
          </w:tcPr>
          <w:p>
            <w:pPr>
              <w:jc w:val="right"/>
              <w:spacing w:after="0"/>
              <w:rPr>
                <w:sz w:val="20"/>
                <w:szCs w:val="20"/>
                <w:color w:val="auto"/>
              </w:rPr>
            </w:pPr>
            <w:r>
              <w:rPr>
                <w:rFonts w:ascii="Arial" w:cs="Arial" w:eastAsia="Arial" w:hAnsi="Arial"/>
                <w:sz w:val="12"/>
                <w:szCs w:val="12"/>
                <w:color w:val="auto"/>
              </w:rPr>
              <w:t>41.2 %</w:t>
            </w:r>
          </w:p>
        </w:tc>
      </w:tr>
      <w:tr>
        <w:trPr>
          <w:trHeight w:val="164"/>
        </w:trPr>
        <w:tc>
          <w:tcPr>
            <w:tcW w:w="8680" w:type="dxa"/>
            <w:vAlign w:val="bottom"/>
            <w:shd w:val="clear" w:color="auto" w:fill="DBDBDB"/>
          </w:tcPr>
          <w:p>
            <w:pPr>
              <w:ind w:left="20"/>
              <w:spacing w:after="0"/>
              <w:rPr>
                <w:sz w:val="20"/>
                <w:szCs w:val="20"/>
                <w:color w:val="auto"/>
              </w:rPr>
            </w:pPr>
            <w:r>
              <w:rPr>
                <w:rFonts w:ascii="Arial" w:cs="Arial" w:eastAsia="Arial" w:hAnsi="Arial"/>
                <w:sz w:val="12"/>
                <w:szCs w:val="12"/>
                <w:color w:val="auto"/>
              </w:rPr>
              <w:t>Risk Free rate</w:t>
            </w:r>
          </w:p>
        </w:tc>
        <w:tc>
          <w:tcPr>
            <w:tcW w:w="440" w:type="dxa"/>
            <w:vAlign w:val="bottom"/>
            <w:shd w:val="clear" w:color="auto" w:fill="DBDBDB"/>
          </w:tcPr>
          <w:p>
            <w:pPr>
              <w:spacing w:after="0"/>
              <w:rPr>
                <w:sz w:val="14"/>
                <w:szCs w:val="14"/>
                <w:color w:val="auto"/>
              </w:rPr>
            </w:pPr>
          </w:p>
        </w:tc>
        <w:tc>
          <w:tcPr>
            <w:tcW w:w="2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0.13 %</w:t>
            </w:r>
          </w:p>
        </w:tc>
      </w:tr>
      <w:tr>
        <w:trPr>
          <w:trHeight w:val="159"/>
        </w:trPr>
        <w:tc>
          <w:tcPr>
            <w:tcW w:w="8680" w:type="dxa"/>
            <w:vAlign w:val="bottom"/>
          </w:tcPr>
          <w:p>
            <w:pPr>
              <w:ind w:left="20"/>
              <w:spacing w:after="0"/>
              <w:rPr>
                <w:sz w:val="20"/>
                <w:szCs w:val="20"/>
                <w:color w:val="auto"/>
              </w:rPr>
            </w:pPr>
            <w:r>
              <w:rPr>
                <w:rFonts w:ascii="Arial" w:cs="Arial" w:eastAsia="Arial" w:hAnsi="Arial"/>
                <w:sz w:val="12"/>
                <w:szCs w:val="12"/>
                <w:color w:val="auto"/>
              </w:rPr>
              <w:t>Dividend yield</w:t>
            </w:r>
          </w:p>
        </w:tc>
        <w:tc>
          <w:tcPr>
            <w:tcW w:w="440" w:type="dxa"/>
            <w:vAlign w:val="bottom"/>
          </w:tcPr>
          <w:p>
            <w:pPr>
              <w:spacing w:after="0"/>
              <w:rPr>
                <w:sz w:val="13"/>
                <w:szCs w:val="13"/>
                <w:color w:val="auto"/>
              </w:rPr>
            </w:pPr>
          </w:p>
        </w:tc>
        <w:tc>
          <w:tcPr>
            <w:tcW w:w="2160" w:type="dxa"/>
            <w:vAlign w:val="bottom"/>
          </w:tcPr>
          <w:p>
            <w:pPr>
              <w:jc w:val="right"/>
              <w:ind w:right="79"/>
              <w:spacing w:after="0"/>
              <w:rPr>
                <w:sz w:val="20"/>
                <w:szCs w:val="20"/>
                <w:color w:val="auto"/>
              </w:rPr>
            </w:pPr>
            <w:r>
              <w:rPr>
                <w:rFonts w:ascii="Arial" w:cs="Arial" w:eastAsia="Arial" w:hAnsi="Arial"/>
                <w:sz w:val="12"/>
                <w:szCs w:val="12"/>
                <w:color w:val="auto"/>
              </w:rPr>
              <w:t>—</w:t>
            </w:r>
          </w:p>
        </w:tc>
      </w:tr>
      <w:tr>
        <w:trPr>
          <w:trHeight w:val="164"/>
        </w:trPr>
        <w:tc>
          <w:tcPr>
            <w:tcW w:w="8680" w:type="dxa"/>
            <w:vAlign w:val="bottom"/>
            <w:shd w:val="clear" w:color="auto" w:fill="DBDBDB"/>
          </w:tcPr>
          <w:p>
            <w:pPr>
              <w:ind w:left="20"/>
              <w:spacing w:after="0"/>
              <w:rPr>
                <w:sz w:val="20"/>
                <w:szCs w:val="20"/>
                <w:color w:val="auto"/>
              </w:rPr>
            </w:pPr>
            <w:r>
              <w:rPr>
                <w:rFonts w:ascii="Arial" w:cs="Arial" w:eastAsia="Arial" w:hAnsi="Arial"/>
                <w:sz w:val="12"/>
                <w:szCs w:val="12"/>
                <w:color w:val="auto"/>
              </w:rPr>
              <w:t>Fair value of warrants</w:t>
            </w:r>
          </w:p>
        </w:tc>
        <w:tc>
          <w:tcPr>
            <w:tcW w:w="440" w:type="dxa"/>
            <w:vAlign w:val="bottom"/>
            <w:shd w:val="clear" w:color="auto" w:fill="DBDBDB"/>
          </w:tcPr>
          <w:p>
            <w:pPr>
              <w:jc w:val="right"/>
              <w:ind w:right="219"/>
              <w:spacing w:after="0"/>
              <w:rPr>
                <w:sz w:val="20"/>
                <w:szCs w:val="20"/>
                <w:color w:val="auto"/>
              </w:rPr>
            </w:pPr>
            <w:r>
              <w:rPr>
                <w:rFonts w:ascii="Arial" w:cs="Arial" w:eastAsia="Arial" w:hAnsi="Arial"/>
                <w:sz w:val="12"/>
                <w:szCs w:val="12"/>
                <w:color w:val="auto"/>
              </w:rPr>
              <w:t>$</w:t>
            </w:r>
          </w:p>
        </w:tc>
        <w:tc>
          <w:tcPr>
            <w:tcW w:w="21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12.17</w:t>
            </w:r>
          </w:p>
        </w:tc>
      </w:tr>
      <w:tr>
        <w:trPr>
          <w:trHeight w:val="918"/>
        </w:trPr>
        <w:tc>
          <w:tcPr>
            <w:tcW w:w="86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60"/>
          </w:cols>
          <w:pgMar w:left="300" w:top="867" w:right="239" w:bottom="1440" w:gutter="0" w:footer="0" w:header="0"/>
        </w:sectPr>
      </w:pPr>
    </w:p>
    <w:bookmarkStart w:id="23" w:name="page24"/>
    <w:bookmarkEnd w:id="23"/>
    <w:p>
      <w:pPr>
        <w:ind w:left="480"/>
        <w:spacing w:after="0"/>
        <w:rPr>
          <w:sz w:val="20"/>
          <w:szCs w:val="20"/>
          <w:color w:val="auto"/>
        </w:rPr>
      </w:pPr>
      <w:r>
        <w:rPr>
          <w:rFonts w:ascii="Arial" w:cs="Arial" w:eastAsia="Arial" w:hAnsi="Arial"/>
          <w:sz w:val="12"/>
          <w:szCs w:val="12"/>
          <w:color w:val="auto"/>
        </w:rPr>
        <w:t>The following table presents changes in Level 3 liabilities measured at fair value for the three months ended June 30, 2021 and June 30,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53"/>
        </w:trPr>
        <w:tc>
          <w:tcPr>
            <w:tcW w:w="884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620" w:type="dxa"/>
            <w:vAlign w:val="bottom"/>
            <w:shd w:val="clear" w:color="auto" w:fill="1D2758"/>
          </w:tcPr>
          <w:p>
            <w:pPr>
              <w:ind w:left="20"/>
              <w:spacing w:after="0"/>
              <w:rPr>
                <w:sz w:val="20"/>
                <w:szCs w:val="20"/>
                <w:color w:val="auto"/>
              </w:rPr>
            </w:pPr>
            <w:r>
              <w:rPr>
                <w:rFonts w:ascii="Arial" w:cs="Arial" w:eastAsia="Arial" w:hAnsi="Arial"/>
                <w:sz w:val="12"/>
                <w:szCs w:val="12"/>
                <w:b w:val="1"/>
                <w:bCs w:val="1"/>
                <w:color w:val="FFFFFF"/>
              </w:rPr>
              <w:t>2015 Private Warrants</w:t>
            </w:r>
          </w:p>
        </w:tc>
        <w:tc>
          <w:tcPr>
            <w:tcW w:w="820" w:type="dxa"/>
            <w:vAlign w:val="bottom"/>
            <w:shd w:val="clear" w:color="auto" w:fill="1D2758"/>
          </w:tcPr>
          <w:p>
            <w:pPr>
              <w:spacing w:after="0"/>
              <w:rPr>
                <w:sz w:val="24"/>
                <w:szCs w:val="24"/>
                <w:color w:val="auto"/>
              </w:rPr>
            </w:pPr>
          </w:p>
        </w:tc>
      </w:tr>
      <w:tr>
        <w:trPr>
          <w:trHeight w:val="161"/>
        </w:trPr>
        <w:tc>
          <w:tcPr>
            <w:tcW w:w="8840" w:type="dxa"/>
            <w:vAlign w:val="bottom"/>
            <w:shd w:val="clear" w:color="auto" w:fill="DBDBDB"/>
          </w:tcPr>
          <w:p>
            <w:pPr>
              <w:ind w:left="20"/>
              <w:spacing w:after="0"/>
              <w:rPr>
                <w:sz w:val="20"/>
                <w:szCs w:val="20"/>
                <w:color w:val="auto"/>
              </w:rPr>
            </w:pPr>
            <w:r>
              <w:rPr>
                <w:rFonts w:ascii="Arial" w:cs="Arial" w:eastAsia="Arial" w:hAnsi="Arial"/>
                <w:sz w:val="12"/>
                <w:szCs w:val="12"/>
                <w:color w:val="auto"/>
              </w:rPr>
              <w:t>Balance - March 31, 2021</w:t>
            </w:r>
          </w:p>
        </w:tc>
        <w:tc>
          <w:tcPr>
            <w:tcW w:w="1620" w:type="dxa"/>
            <w:vAlign w:val="bottom"/>
            <w:shd w:val="clear" w:color="auto" w:fill="DBDBDB"/>
          </w:tcPr>
          <w:p>
            <w:pPr>
              <w:ind w:lef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99,781</w:t>
            </w:r>
          </w:p>
        </w:tc>
      </w:tr>
      <w:tr>
        <w:trPr>
          <w:trHeight w:val="159"/>
        </w:trPr>
        <w:tc>
          <w:tcPr>
            <w:tcW w:w="8840" w:type="dxa"/>
            <w:vAlign w:val="bottom"/>
          </w:tcPr>
          <w:p>
            <w:pPr>
              <w:ind w:left="20"/>
              <w:spacing w:after="0"/>
              <w:rPr>
                <w:sz w:val="20"/>
                <w:szCs w:val="20"/>
                <w:color w:val="auto"/>
              </w:rPr>
            </w:pPr>
            <w:r>
              <w:rPr>
                <w:rFonts w:ascii="Arial" w:cs="Arial" w:eastAsia="Arial" w:hAnsi="Arial"/>
                <w:sz w:val="12"/>
                <w:szCs w:val="12"/>
                <w:color w:val="auto"/>
              </w:rPr>
              <w:t>Exercise or conversion</w:t>
            </w:r>
          </w:p>
        </w:tc>
        <w:tc>
          <w:tcPr>
            <w:tcW w:w="16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(78,495)</w:t>
            </w:r>
          </w:p>
        </w:tc>
      </w:tr>
      <w:tr>
        <w:trPr>
          <w:trHeight w:val="164"/>
        </w:trPr>
        <w:tc>
          <w:tcPr>
            <w:tcW w:w="8840" w:type="dxa"/>
            <w:vAlign w:val="bottom"/>
            <w:shd w:val="clear" w:color="auto" w:fill="DBDBDB"/>
          </w:tcPr>
          <w:p>
            <w:pPr>
              <w:ind w:left="20"/>
              <w:spacing w:after="0"/>
              <w:rPr>
                <w:sz w:val="20"/>
                <w:szCs w:val="20"/>
                <w:color w:val="auto"/>
              </w:rPr>
            </w:pPr>
            <w:r>
              <w:rPr>
                <w:rFonts w:ascii="Arial" w:cs="Arial" w:eastAsia="Arial" w:hAnsi="Arial"/>
                <w:sz w:val="12"/>
                <w:szCs w:val="12"/>
                <w:color w:val="auto"/>
              </w:rPr>
              <w:t>Measurement adjustment</w:t>
            </w:r>
          </w:p>
        </w:tc>
        <w:tc>
          <w:tcPr>
            <w:tcW w:w="1620" w:type="dxa"/>
            <w:vAlign w:val="bottom"/>
            <w:shd w:val="clear" w:color="auto" w:fill="DBDBDB"/>
          </w:tcPr>
          <w:p>
            <w:pPr>
              <w:spacing w:after="0"/>
              <w:rPr>
                <w:sz w:val="14"/>
                <w:szCs w:val="14"/>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(1,571)</w:t>
            </w:r>
          </w:p>
        </w:tc>
      </w:tr>
      <w:tr>
        <w:trPr>
          <w:trHeight w:val="159"/>
        </w:trPr>
        <w:tc>
          <w:tcPr>
            <w:tcW w:w="884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Repurchases</w:t>
            </w:r>
          </w:p>
        </w:tc>
        <w:tc>
          <w:tcPr>
            <w:tcW w:w="1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(19,715)</w:t>
            </w:r>
          </w:p>
        </w:tc>
      </w:tr>
      <w:tr>
        <w:trPr>
          <w:trHeight w:val="176"/>
        </w:trPr>
        <w:tc>
          <w:tcPr>
            <w:tcW w:w="8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 June 30, 2021</w:t>
            </w:r>
          </w:p>
        </w:tc>
        <w:tc>
          <w:tcPr>
            <w:tcW w:w="16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20"/>
        </w:trPr>
        <w:tc>
          <w:tcPr>
            <w:tcW w:w="884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640" w:type="dxa"/>
            <w:vAlign w:val="bottom"/>
            <w:shd w:val="clear" w:color="auto" w:fill="1D2758"/>
          </w:tcPr>
          <w:p>
            <w:pPr>
              <w:ind w:left="20"/>
              <w:spacing w:after="0"/>
              <w:rPr>
                <w:sz w:val="20"/>
                <w:szCs w:val="20"/>
                <w:color w:val="auto"/>
              </w:rPr>
            </w:pPr>
            <w:r>
              <w:rPr>
                <w:rFonts w:ascii="Arial" w:cs="Arial" w:eastAsia="Arial" w:hAnsi="Arial"/>
                <w:sz w:val="12"/>
                <w:szCs w:val="12"/>
                <w:b w:val="1"/>
                <w:bCs w:val="1"/>
                <w:color w:val="FFFFFF"/>
              </w:rPr>
              <w:t>2015 Private Warrants</w:t>
            </w:r>
          </w:p>
        </w:tc>
        <w:tc>
          <w:tcPr>
            <w:tcW w:w="7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440" w:type="dxa"/>
            <w:vAlign w:val="bottom"/>
            <w:shd w:val="clear" w:color="auto" w:fill="1D2758"/>
          </w:tcPr>
          <w:p>
            <w:pPr>
              <w:spacing w:after="0"/>
              <w:rPr>
                <w:sz w:val="14"/>
                <w:szCs w:val="14"/>
                <w:color w:val="auto"/>
              </w:rPr>
            </w:pPr>
          </w:p>
        </w:tc>
        <w:tc>
          <w:tcPr>
            <w:tcW w:w="1980" w:type="dxa"/>
            <w:vAlign w:val="bottom"/>
            <w:shd w:val="clear" w:color="auto" w:fill="1D2758"/>
          </w:tcPr>
          <w:p>
            <w:pPr>
              <w:jc w:val="right"/>
              <w:ind w:right="739"/>
              <w:spacing w:after="0"/>
              <w:rPr>
                <w:sz w:val="20"/>
                <w:szCs w:val="20"/>
                <w:color w:val="auto"/>
              </w:rPr>
            </w:pPr>
            <w:r>
              <w:rPr>
                <w:rFonts w:ascii="Arial" w:cs="Arial" w:eastAsia="Arial" w:hAnsi="Arial"/>
                <w:sz w:val="12"/>
                <w:szCs w:val="12"/>
                <w:b w:val="1"/>
                <w:bCs w:val="1"/>
                <w:color w:val="FFFFFF"/>
              </w:rPr>
              <w:t>2018 Warrants</w:t>
            </w:r>
          </w:p>
        </w:tc>
      </w:tr>
      <w:tr>
        <w:trPr>
          <w:trHeight w:val="161"/>
        </w:trPr>
        <w:tc>
          <w:tcPr>
            <w:tcW w:w="6360" w:type="dxa"/>
            <w:vAlign w:val="bottom"/>
            <w:shd w:val="clear" w:color="auto" w:fill="DBDBDB"/>
          </w:tcPr>
          <w:p>
            <w:pPr>
              <w:ind w:left="20"/>
              <w:spacing w:after="0"/>
              <w:rPr>
                <w:sz w:val="20"/>
                <w:szCs w:val="20"/>
                <w:color w:val="auto"/>
              </w:rPr>
            </w:pPr>
            <w:r>
              <w:rPr>
                <w:rFonts w:ascii="Arial" w:cs="Arial" w:eastAsia="Arial" w:hAnsi="Arial"/>
                <w:sz w:val="12"/>
                <w:szCs w:val="12"/>
                <w:color w:val="auto"/>
              </w:rPr>
              <w:t>Balance - March 31, 2020</w:t>
            </w:r>
          </w:p>
        </w:tc>
        <w:tc>
          <w:tcPr>
            <w:tcW w:w="1640" w:type="dxa"/>
            <w:vAlign w:val="bottom"/>
            <w:shd w:val="clear" w:color="auto" w:fill="DBDBDB"/>
          </w:tcPr>
          <w:p>
            <w:pPr>
              <w:ind w:left="20"/>
              <w:spacing w:after="0"/>
              <w:rPr>
                <w:sz w:val="20"/>
                <w:szCs w:val="20"/>
                <w:color w:val="auto"/>
              </w:rPr>
            </w:pPr>
            <w:r>
              <w:rPr>
                <w:rFonts w:ascii="Arial" w:cs="Arial" w:eastAsia="Arial" w:hAnsi="Arial"/>
                <w:sz w:val="12"/>
                <w:szCs w:val="12"/>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20,196</w:t>
            </w:r>
          </w:p>
        </w:tc>
        <w:tc>
          <w:tcPr>
            <w:tcW w:w="80" w:type="dxa"/>
            <w:vAlign w:val="bottom"/>
            <w:shd w:val="clear" w:color="auto" w:fill="DBDBDB"/>
          </w:tcPr>
          <w:p>
            <w:pPr>
              <w:spacing w:after="0"/>
              <w:rPr>
                <w:sz w:val="14"/>
                <w:szCs w:val="14"/>
                <w:color w:val="auto"/>
              </w:rPr>
            </w:pPr>
          </w:p>
        </w:tc>
        <w:tc>
          <w:tcPr>
            <w:tcW w:w="440" w:type="dxa"/>
            <w:vAlign w:val="bottom"/>
            <w:shd w:val="clear" w:color="auto" w:fill="DBDBDB"/>
          </w:tcPr>
          <w:p>
            <w:pPr>
              <w:jc w:val="right"/>
              <w:ind w:right="299"/>
              <w:spacing w:after="0"/>
              <w:rPr>
                <w:sz w:val="20"/>
                <w:szCs w:val="20"/>
                <w:color w:val="auto"/>
              </w:rPr>
            </w:pPr>
            <w:r>
              <w:rPr>
                <w:rFonts w:ascii="Arial" w:cs="Arial" w:eastAsia="Arial" w:hAnsi="Arial"/>
                <w:sz w:val="12"/>
                <w:szCs w:val="12"/>
                <w:color w:val="auto"/>
                <w:w w:val="89"/>
              </w:rPr>
              <w:t>$</w:t>
            </w:r>
          </w:p>
        </w:tc>
        <w:tc>
          <w:tcPr>
            <w:tcW w:w="1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13,853</w:t>
            </w:r>
          </w:p>
        </w:tc>
      </w:tr>
      <w:tr>
        <w:trPr>
          <w:trHeight w:val="159"/>
        </w:trPr>
        <w:tc>
          <w:tcPr>
            <w:tcW w:w="6360" w:type="dxa"/>
            <w:vAlign w:val="bottom"/>
          </w:tcPr>
          <w:p>
            <w:pPr>
              <w:ind w:left="20"/>
              <w:spacing w:after="0"/>
              <w:rPr>
                <w:sz w:val="20"/>
                <w:szCs w:val="20"/>
                <w:color w:val="auto"/>
              </w:rPr>
            </w:pPr>
            <w:r>
              <w:rPr>
                <w:rFonts w:ascii="Arial" w:cs="Arial" w:eastAsia="Arial" w:hAnsi="Arial"/>
                <w:sz w:val="12"/>
                <w:szCs w:val="12"/>
                <w:color w:val="auto"/>
              </w:rPr>
              <w:t>Exercise or conversion</w:t>
            </w:r>
          </w:p>
        </w:tc>
        <w:tc>
          <w:tcPr>
            <w:tcW w:w="16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(374)</w:t>
            </w:r>
          </w:p>
        </w:tc>
      </w:tr>
      <w:tr>
        <w:trPr>
          <w:trHeight w:val="164"/>
        </w:trPr>
        <w:tc>
          <w:tcPr>
            <w:tcW w:w="6360" w:type="dxa"/>
            <w:vAlign w:val="bottom"/>
            <w:shd w:val="clear" w:color="auto" w:fill="DBDBDB"/>
          </w:tcPr>
          <w:p>
            <w:pPr>
              <w:ind w:left="20"/>
              <w:spacing w:after="0"/>
              <w:rPr>
                <w:sz w:val="20"/>
                <w:szCs w:val="20"/>
                <w:color w:val="auto"/>
              </w:rPr>
            </w:pPr>
            <w:r>
              <w:rPr>
                <w:rFonts w:ascii="Arial" w:cs="Arial" w:eastAsia="Arial" w:hAnsi="Arial"/>
                <w:sz w:val="12"/>
                <w:szCs w:val="12"/>
                <w:color w:val="auto"/>
              </w:rPr>
              <w:t>Measurement adjustment</w:t>
            </w:r>
          </w:p>
        </w:tc>
        <w:tc>
          <w:tcPr>
            <w:tcW w:w="164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14,225</w:t>
            </w:r>
          </w:p>
        </w:tc>
        <w:tc>
          <w:tcPr>
            <w:tcW w:w="8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12,737</w:t>
            </w:r>
          </w:p>
        </w:tc>
      </w:tr>
      <w:tr>
        <w:trPr>
          <w:trHeight w:val="159"/>
        </w:trPr>
        <w:tc>
          <w:tcPr>
            <w:tcW w:w="6360" w:type="dxa"/>
            <w:vAlign w:val="bottom"/>
          </w:tcPr>
          <w:p>
            <w:pPr>
              <w:ind w:left="20"/>
              <w:spacing w:after="0"/>
              <w:rPr>
                <w:sz w:val="20"/>
                <w:szCs w:val="20"/>
                <w:color w:val="auto"/>
              </w:rPr>
            </w:pPr>
            <w:r>
              <w:rPr>
                <w:rFonts w:ascii="Arial" w:cs="Arial" w:eastAsia="Arial" w:hAnsi="Arial"/>
                <w:sz w:val="12"/>
                <w:szCs w:val="12"/>
                <w:color w:val="auto"/>
              </w:rPr>
              <w:t>Reclassification to equity at June 30, 2020</w:t>
            </w:r>
          </w:p>
        </w:tc>
        <w:tc>
          <w:tcPr>
            <w:tcW w:w="16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(26,216)</w:t>
            </w:r>
          </w:p>
        </w:tc>
      </w:tr>
      <w:tr>
        <w:trPr>
          <w:trHeight w:val="176"/>
        </w:trPr>
        <w:tc>
          <w:tcPr>
            <w:tcW w:w="63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 June 30, 2020</w:t>
            </w:r>
          </w:p>
        </w:tc>
        <w:tc>
          <w:tcPr>
            <w:tcW w:w="16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34,421</w:t>
            </w:r>
          </w:p>
        </w:tc>
        <w:tc>
          <w:tcPr>
            <w:tcW w:w="80" w:type="dxa"/>
            <w:vAlign w:val="bottom"/>
            <w:tcBorders>
              <w:top w:val="single" w:sz="8" w:color="DBDBDB"/>
              <w:bottom w:val="single" w:sz="8" w:color="DBDBDB"/>
            </w:tcBorders>
            <w:shd w:val="clear" w:color="auto" w:fill="DBDBDB"/>
          </w:tcPr>
          <w:p>
            <w:pPr>
              <w:spacing w:after="0"/>
              <w:rPr>
                <w:sz w:val="14"/>
                <w:szCs w:val="14"/>
                <w:color w:val="auto"/>
              </w:rPr>
            </w:pPr>
          </w:p>
        </w:tc>
        <w:tc>
          <w:tcPr>
            <w:tcW w:w="440" w:type="dxa"/>
            <w:vAlign w:val="bottom"/>
            <w:tcBorders>
              <w:top w:val="single" w:sz="8" w:color="auto"/>
              <w:bottom w:val="single" w:sz="8" w:color="auto"/>
            </w:tcBorders>
            <w:shd w:val="clear" w:color="auto" w:fill="DBDBDB"/>
          </w:tcPr>
          <w:p>
            <w:pPr>
              <w:jc w:val="right"/>
              <w:ind w:right="299"/>
              <w:spacing w:after="0"/>
              <w:rPr>
                <w:sz w:val="20"/>
                <w:szCs w:val="20"/>
                <w:color w:val="auto"/>
              </w:rPr>
            </w:pPr>
            <w:r>
              <w:rPr>
                <w:rFonts w:ascii="Arial" w:cs="Arial" w:eastAsia="Arial" w:hAnsi="Arial"/>
                <w:sz w:val="12"/>
                <w:szCs w:val="12"/>
                <w:color w:val="auto"/>
                <w:w w:val="89"/>
              </w:rPr>
              <w:t>$</w:t>
            </w:r>
          </w:p>
        </w:tc>
        <w:tc>
          <w:tcPr>
            <w:tcW w:w="1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20"/>
        </w:trPr>
        <w:tc>
          <w:tcPr>
            <w:tcW w:w="636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980" w:type="dxa"/>
            <w:vAlign w:val="bottom"/>
            <w:tcBorders>
              <w:top w:val="single" w:sz="8" w:color="DBDBDB"/>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presents changes in Level 3 liabilities measured at fair value for the six months ended June 30, 2021 and June 30,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340" w:type="dxa"/>
            <w:vAlign w:val="bottom"/>
            <w:shd w:val="clear" w:color="auto" w:fill="1D2758"/>
          </w:tcPr>
          <w:p>
            <w:pPr>
              <w:spacing w:after="0"/>
              <w:rPr>
                <w:sz w:val="14"/>
                <w:szCs w:val="14"/>
                <w:color w:val="auto"/>
              </w:rPr>
            </w:pPr>
          </w:p>
        </w:tc>
        <w:tc>
          <w:tcPr>
            <w:tcW w:w="2100" w:type="dxa"/>
            <w:vAlign w:val="bottom"/>
            <w:shd w:val="clear" w:color="auto" w:fill="1D2758"/>
          </w:tcPr>
          <w:p>
            <w:pPr>
              <w:jc w:val="right"/>
              <w:ind w:right="519"/>
              <w:spacing w:after="0"/>
              <w:rPr>
                <w:sz w:val="20"/>
                <w:szCs w:val="20"/>
                <w:color w:val="auto"/>
              </w:rPr>
            </w:pPr>
            <w:r>
              <w:rPr>
                <w:rFonts w:ascii="Arial" w:cs="Arial" w:eastAsia="Arial" w:hAnsi="Arial"/>
                <w:sz w:val="12"/>
                <w:szCs w:val="12"/>
                <w:b w:val="1"/>
                <w:bCs w:val="1"/>
                <w:color w:val="FFFFFF"/>
              </w:rPr>
              <w:t>2015 Private Warrants</w:t>
            </w:r>
          </w:p>
        </w:tc>
      </w:tr>
      <w:tr>
        <w:trPr>
          <w:trHeight w:val="161"/>
        </w:trPr>
        <w:tc>
          <w:tcPr>
            <w:tcW w:w="8840" w:type="dxa"/>
            <w:vAlign w:val="bottom"/>
            <w:shd w:val="clear" w:color="auto" w:fill="DBDBDB"/>
          </w:tcPr>
          <w:p>
            <w:pPr>
              <w:ind w:left="20"/>
              <w:spacing w:after="0"/>
              <w:rPr>
                <w:sz w:val="20"/>
                <w:szCs w:val="20"/>
                <w:color w:val="auto"/>
              </w:rPr>
            </w:pPr>
            <w:r>
              <w:rPr>
                <w:rFonts w:ascii="Arial" w:cs="Arial" w:eastAsia="Arial" w:hAnsi="Arial"/>
                <w:sz w:val="12"/>
                <w:szCs w:val="12"/>
                <w:color w:val="auto"/>
              </w:rPr>
              <w:t>Balance - December 31, 2020</w:t>
            </w:r>
          </w:p>
        </w:tc>
        <w:tc>
          <w:tcPr>
            <w:tcW w:w="340" w:type="dxa"/>
            <w:vAlign w:val="bottom"/>
            <w:shd w:val="clear" w:color="auto" w:fill="DBDBDB"/>
          </w:tcPr>
          <w:p>
            <w:pPr>
              <w:jc w:val="right"/>
              <w:ind w:right="199"/>
              <w:spacing w:after="0"/>
              <w:rPr>
                <w:sz w:val="20"/>
                <w:szCs w:val="20"/>
                <w:color w:val="auto"/>
              </w:rPr>
            </w:pPr>
            <w:r>
              <w:rPr>
                <w:rFonts w:ascii="Arial" w:cs="Arial" w:eastAsia="Arial" w:hAnsi="Arial"/>
                <w:sz w:val="12"/>
                <w:szCs w:val="12"/>
                <w:color w:val="auto"/>
                <w:w w:val="8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77,404</w:t>
            </w:r>
          </w:p>
        </w:tc>
      </w:tr>
      <w:tr>
        <w:trPr>
          <w:trHeight w:val="159"/>
        </w:trPr>
        <w:tc>
          <w:tcPr>
            <w:tcW w:w="8840" w:type="dxa"/>
            <w:vAlign w:val="bottom"/>
          </w:tcPr>
          <w:p>
            <w:pPr>
              <w:ind w:left="20"/>
              <w:spacing w:after="0"/>
              <w:rPr>
                <w:sz w:val="20"/>
                <w:szCs w:val="20"/>
                <w:color w:val="auto"/>
              </w:rPr>
            </w:pPr>
            <w:r>
              <w:rPr>
                <w:rFonts w:ascii="Arial" w:cs="Arial" w:eastAsia="Arial" w:hAnsi="Arial"/>
                <w:sz w:val="12"/>
                <w:szCs w:val="12"/>
                <w:color w:val="auto"/>
              </w:rPr>
              <w:t>Exercise or conversion</w:t>
            </w:r>
          </w:p>
        </w:tc>
        <w:tc>
          <w:tcPr>
            <w:tcW w:w="340" w:type="dxa"/>
            <w:vAlign w:val="bottom"/>
          </w:tcPr>
          <w:p>
            <w:pPr>
              <w:spacing w:after="0"/>
              <w:rPr>
                <w:sz w:val="13"/>
                <w:szCs w:val="13"/>
                <w:color w:val="auto"/>
              </w:rPr>
            </w:pPr>
          </w:p>
        </w:tc>
        <w:tc>
          <w:tcPr>
            <w:tcW w:w="2100" w:type="dxa"/>
            <w:vAlign w:val="bottom"/>
          </w:tcPr>
          <w:p>
            <w:pPr>
              <w:jc w:val="right"/>
              <w:spacing w:after="0"/>
              <w:rPr>
                <w:sz w:val="20"/>
                <w:szCs w:val="20"/>
                <w:color w:val="auto"/>
              </w:rPr>
            </w:pPr>
            <w:r>
              <w:rPr>
                <w:rFonts w:ascii="Arial" w:cs="Arial" w:eastAsia="Arial" w:hAnsi="Arial"/>
                <w:sz w:val="12"/>
                <w:szCs w:val="12"/>
                <w:color w:val="auto"/>
              </w:rPr>
              <w:t>(78,495)</w:t>
            </w:r>
          </w:p>
        </w:tc>
      </w:tr>
      <w:tr>
        <w:trPr>
          <w:trHeight w:val="164"/>
        </w:trPr>
        <w:tc>
          <w:tcPr>
            <w:tcW w:w="8840" w:type="dxa"/>
            <w:vAlign w:val="bottom"/>
            <w:shd w:val="clear" w:color="auto" w:fill="DBDBDB"/>
          </w:tcPr>
          <w:p>
            <w:pPr>
              <w:ind w:left="20"/>
              <w:spacing w:after="0"/>
              <w:rPr>
                <w:sz w:val="20"/>
                <w:szCs w:val="20"/>
                <w:color w:val="auto"/>
              </w:rPr>
            </w:pPr>
            <w:r>
              <w:rPr>
                <w:rFonts w:ascii="Arial" w:cs="Arial" w:eastAsia="Arial" w:hAnsi="Arial"/>
                <w:sz w:val="12"/>
                <w:szCs w:val="12"/>
                <w:color w:val="auto"/>
              </w:rPr>
              <w:t>Measurement adjustment</w:t>
            </w:r>
          </w:p>
        </w:tc>
        <w:tc>
          <w:tcPr>
            <w:tcW w:w="340" w:type="dxa"/>
            <w:vAlign w:val="bottom"/>
            <w:shd w:val="clear" w:color="auto" w:fill="DBDBDB"/>
          </w:tcPr>
          <w:p>
            <w:pPr>
              <w:spacing w:after="0"/>
              <w:rPr>
                <w:sz w:val="14"/>
                <w:szCs w:val="14"/>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25,486</w:t>
            </w:r>
          </w:p>
        </w:tc>
      </w:tr>
      <w:tr>
        <w:trPr>
          <w:trHeight w:val="159"/>
        </w:trPr>
        <w:tc>
          <w:tcPr>
            <w:tcW w:w="884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Repurchases</w:t>
            </w:r>
          </w:p>
        </w:tc>
        <w:tc>
          <w:tcPr>
            <w:tcW w:w="3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(24,395)</w:t>
            </w:r>
          </w:p>
        </w:tc>
      </w:tr>
      <w:tr>
        <w:trPr>
          <w:trHeight w:val="176"/>
        </w:trPr>
        <w:tc>
          <w:tcPr>
            <w:tcW w:w="8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 June 30, 2021</w:t>
            </w:r>
          </w:p>
        </w:tc>
        <w:tc>
          <w:tcPr>
            <w:tcW w:w="34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2"/>
                <w:szCs w:val="12"/>
                <w:color w:val="auto"/>
                <w:w w:val="89"/>
              </w:rPr>
              <w:t>$</w:t>
            </w: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20"/>
        </w:trPr>
        <w:tc>
          <w:tcPr>
            <w:tcW w:w="88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2100" w:type="dxa"/>
            <w:vAlign w:val="bottom"/>
            <w:tcBorders>
              <w:top w:val="single" w:sz="8" w:color="DBDBDB"/>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340" w:type="dxa"/>
            <w:vAlign w:val="bottom"/>
            <w:shd w:val="clear" w:color="auto" w:fill="1D2758"/>
          </w:tcPr>
          <w:p>
            <w:pPr>
              <w:spacing w:after="0"/>
              <w:rPr>
                <w:sz w:val="14"/>
                <w:szCs w:val="14"/>
                <w:color w:val="auto"/>
              </w:rPr>
            </w:pPr>
          </w:p>
        </w:tc>
        <w:tc>
          <w:tcPr>
            <w:tcW w:w="2160" w:type="dxa"/>
            <w:vAlign w:val="bottom"/>
            <w:gridSpan w:val="2"/>
            <w:shd w:val="clear" w:color="auto" w:fill="1D2758"/>
          </w:tcPr>
          <w:p>
            <w:pPr>
              <w:ind w:left="240"/>
              <w:spacing w:after="0"/>
              <w:rPr>
                <w:sz w:val="20"/>
                <w:szCs w:val="20"/>
                <w:color w:val="auto"/>
              </w:rPr>
            </w:pPr>
            <w:r>
              <w:rPr>
                <w:rFonts w:ascii="Arial" w:cs="Arial" w:eastAsia="Arial" w:hAnsi="Arial"/>
                <w:sz w:val="12"/>
                <w:szCs w:val="12"/>
                <w:b w:val="1"/>
                <w:bCs w:val="1"/>
                <w:color w:val="FFFFFF"/>
              </w:rPr>
              <w:t>2015 Private Warrants</w:t>
            </w:r>
          </w:p>
        </w:tc>
        <w:tc>
          <w:tcPr>
            <w:tcW w:w="440" w:type="dxa"/>
            <w:vAlign w:val="bottom"/>
            <w:shd w:val="clear" w:color="auto" w:fill="1D2758"/>
          </w:tcPr>
          <w:p>
            <w:pPr>
              <w:spacing w:after="0"/>
              <w:rPr>
                <w:sz w:val="14"/>
                <w:szCs w:val="14"/>
                <w:color w:val="auto"/>
              </w:rPr>
            </w:pPr>
          </w:p>
        </w:tc>
        <w:tc>
          <w:tcPr>
            <w:tcW w:w="1980" w:type="dxa"/>
            <w:vAlign w:val="bottom"/>
            <w:shd w:val="clear" w:color="auto" w:fill="1D2758"/>
          </w:tcPr>
          <w:p>
            <w:pPr>
              <w:jc w:val="right"/>
              <w:ind w:right="739"/>
              <w:spacing w:after="0"/>
              <w:rPr>
                <w:sz w:val="20"/>
                <w:szCs w:val="20"/>
                <w:color w:val="auto"/>
              </w:rPr>
            </w:pPr>
            <w:r>
              <w:rPr>
                <w:rFonts w:ascii="Arial" w:cs="Arial" w:eastAsia="Arial" w:hAnsi="Arial"/>
                <w:sz w:val="12"/>
                <w:szCs w:val="12"/>
                <w:b w:val="1"/>
                <w:bCs w:val="1"/>
                <w:color w:val="FFFFFF"/>
              </w:rPr>
              <w:t>2018 Warrants</w:t>
            </w:r>
          </w:p>
        </w:tc>
      </w:tr>
      <w:tr>
        <w:trPr>
          <w:trHeight w:val="161"/>
        </w:trPr>
        <w:tc>
          <w:tcPr>
            <w:tcW w:w="6360" w:type="dxa"/>
            <w:vAlign w:val="bottom"/>
            <w:shd w:val="clear" w:color="auto" w:fill="DBDBDB"/>
          </w:tcPr>
          <w:p>
            <w:pPr>
              <w:ind w:left="20"/>
              <w:spacing w:after="0"/>
              <w:rPr>
                <w:sz w:val="20"/>
                <w:szCs w:val="20"/>
                <w:color w:val="auto"/>
              </w:rPr>
            </w:pPr>
            <w:r>
              <w:rPr>
                <w:rFonts w:ascii="Arial" w:cs="Arial" w:eastAsia="Arial" w:hAnsi="Arial"/>
                <w:sz w:val="12"/>
                <w:szCs w:val="12"/>
                <w:color w:val="auto"/>
              </w:rPr>
              <w:t>Balance - December 31, 2019</w:t>
            </w:r>
          </w:p>
        </w:tc>
        <w:tc>
          <w:tcPr>
            <w:tcW w:w="340" w:type="dxa"/>
            <w:vAlign w:val="bottom"/>
            <w:shd w:val="clear" w:color="auto" w:fill="DBDBDB"/>
          </w:tcPr>
          <w:p>
            <w:pPr>
              <w:jc w:val="right"/>
              <w:ind w:right="199"/>
              <w:spacing w:after="0"/>
              <w:rPr>
                <w:sz w:val="20"/>
                <w:szCs w:val="20"/>
                <w:color w:val="auto"/>
              </w:rPr>
            </w:pPr>
            <w:r>
              <w:rPr>
                <w:rFonts w:ascii="Arial" w:cs="Arial" w:eastAsia="Arial" w:hAnsi="Arial"/>
                <w:sz w:val="12"/>
                <w:szCs w:val="12"/>
                <w:color w:val="auto"/>
                <w:w w:val="89"/>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72,705</w:t>
            </w:r>
          </w:p>
        </w:tc>
        <w:tc>
          <w:tcPr>
            <w:tcW w:w="80" w:type="dxa"/>
            <w:vAlign w:val="bottom"/>
            <w:shd w:val="clear" w:color="auto" w:fill="DBDBDB"/>
          </w:tcPr>
          <w:p>
            <w:pPr>
              <w:spacing w:after="0"/>
              <w:rPr>
                <w:sz w:val="14"/>
                <w:szCs w:val="14"/>
                <w:color w:val="auto"/>
              </w:rPr>
            </w:pPr>
          </w:p>
        </w:tc>
        <w:tc>
          <w:tcPr>
            <w:tcW w:w="440" w:type="dxa"/>
            <w:vAlign w:val="bottom"/>
            <w:shd w:val="clear" w:color="auto" w:fill="DBDBDB"/>
          </w:tcPr>
          <w:p>
            <w:pPr>
              <w:jc w:val="right"/>
              <w:ind w:right="299"/>
              <w:spacing w:after="0"/>
              <w:rPr>
                <w:sz w:val="20"/>
                <w:szCs w:val="20"/>
                <w:color w:val="auto"/>
              </w:rPr>
            </w:pPr>
            <w:r>
              <w:rPr>
                <w:rFonts w:ascii="Arial" w:cs="Arial" w:eastAsia="Arial" w:hAnsi="Arial"/>
                <w:sz w:val="12"/>
                <w:szCs w:val="12"/>
                <w:color w:val="auto"/>
                <w:w w:val="89"/>
              </w:rPr>
              <w:t>$</w:t>
            </w:r>
          </w:p>
        </w:tc>
        <w:tc>
          <w:tcPr>
            <w:tcW w:w="1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58,369</w:t>
            </w:r>
          </w:p>
        </w:tc>
      </w:tr>
      <w:tr>
        <w:trPr>
          <w:trHeight w:val="159"/>
        </w:trPr>
        <w:tc>
          <w:tcPr>
            <w:tcW w:w="6360" w:type="dxa"/>
            <w:vAlign w:val="bottom"/>
          </w:tcPr>
          <w:p>
            <w:pPr>
              <w:ind w:left="20"/>
              <w:spacing w:after="0"/>
              <w:rPr>
                <w:sz w:val="20"/>
                <w:szCs w:val="20"/>
                <w:color w:val="auto"/>
              </w:rPr>
            </w:pPr>
            <w:r>
              <w:rPr>
                <w:rFonts w:ascii="Arial" w:cs="Arial" w:eastAsia="Arial" w:hAnsi="Arial"/>
                <w:sz w:val="12"/>
                <w:szCs w:val="12"/>
                <w:color w:val="auto"/>
              </w:rPr>
              <w:t>Exercise or conversion</w:t>
            </w:r>
          </w:p>
        </w:tc>
        <w:tc>
          <w:tcPr>
            <w:tcW w:w="340" w:type="dxa"/>
            <w:vAlign w:val="bottom"/>
          </w:tcPr>
          <w:p>
            <w:pPr>
              <w:spacing w:after="0"/>
              <w:rPr>
                <w:sz w:val="13"/>
                <w:szCs w:val="13"/>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(416)</w:t>
            </w:r>
          </w:p>
        </w:tc>
      </w:tr>
      <w:tr>
        <w:trPr>
          <w:trHeight w:val="164"/>
        </w:trPr>
        <w:tc>
          <w:tcPr>
            <w:tcW w:w="6360" w:type="dxa"/>
            <w:vAlign w:val="bottom"/>
            <w:shd w:val="clear" w:color="auto" w:fill="DBDBDB"/>
          </w:tcPr>
          <w:p>
            <w:pPr>
              <w:ind w:left="20"/>
              <w:spacing w:after="0"/>
              <w:rPr>
                <w:sz w:val="20"/>
                <w:szCs w:val="20"/>
                <w:color w:val="auto"/>
              </w:rPr>
            </w:pPr>
            <w:r>
              <w:rPr>
                <w:rFonts w:ascii="Arial" w:cs="Arial" w:eastAsia="Arial" w:hAnsi="Arial"/>
                <w:sz w:val="12"/>
                <w:szCs w:val="12"/>
                <w:color w:val="auto"/>
              </w:rPr>
              <w:t>Measurement adjustment</w:t>
            </w:r>
          </w:p>
        </w:tc>
        <w:tc>
          <w:tcPr>
            <w:tcW w:w="340" w:type="dxa"/>
            <w:vAlign w:val="bottom"/>
            <w:shd w:val="clear" w:color="auto" w:fill="DBDBDB"/>
          </w:tcPr>
          <w:p>
            <w:pPr>
              <w:spacing w:after="0"/>
              <w:rPr>
                <w:sz w:val="14"/>
                <w:szCs w:val="14"/>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(38,284)</w:t>
            </w:r>
          </w:p>
        </w:tc>
        <w:tc>
          <w:tcPr>
            <w:tcW w:w="8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(31,737)</w:t>
            </w:r>
          </w:p>
        </w:tc>
      </w:tr>
      <w:tr>
        <w:trPr>
          <w:trHeight w:val="159"/>
        </w:trPr>
        <w:tc>
          <w:tcPr>
            <w:tcW w:w="6360" w:type="dxa"/>
            <w:vAlign w:val="bottom"/>
          </w:tcPr>
          <w:p>
            <w:pPr>
              <w:ind w:left="20"/>
              <w:spacing w:after="0"/>
              <w:rPr>
                <w:sz w:val="20"/>
                <w:szCs w:val="20"/>
                <w:color w:val="auto"/>
              </w:rPr>
            </w:pPr>
            <w:r>
              <w:rPr>
                <w:rFonts w:ascii="Arial" w:cs="Arial" w:eastAsia="Arial" w:hAnsi="Arial"/>
                <w:sz w:val="12"/>
                <w:szCs w:val="12"/>
                <w:color w:val="auto"/>
              </w:rPr>
              <w:t>Reclassification to equity at June 30, 2020</w:t>
            </w:r>
          </w:p>
        </w:tc>
        <w:tc>
          <w:tcPr>
            <w:tcW w:w="340" w:type="dxa"/>
            <w:vAlign w:val="bottom"/>
          </w:tcPr>
          <w:p>
            <w:pPr>
              <w:spacing w:after="0"/>
              <w:rPr>
                <w:sz w:val="13"/>
                <w:szCs w:val="13"/>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(26,216)</w:t>
            </w:r>
          </w:p>
        </w:tc>
      </w:tr>
      <w:tr>
        <w:trPr>
          <w:trHeight w:val="176"/>
        </w:trPr>
        <w:tc>
          <w:tcPr>
            <w:tcW w:w="63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 June 30, 2020</w:t>
            </w:r>
          </w:p>
        </w:tc>
        <w:tc>
          <w:tcPr>
            <w:tcW w:w="340" w:type="dxa"/>
            <w:vAlign w:val="bottom"/>
            <w:tcBorders>
              <w:top w:val="single" w:sz="8" w:color="auto"/>
              <w:bottom w:val="single" w:sz="8" w:color="auto"/>
            </w:tcBorders>
            <w:shd w:val="clear" w:color="auto" w:fill="DBDBDB"/>
          </w:tcPr>
          <w:p>
            <w:pPr>
              <w:jc w:val="right"/>
              <w:ind w:right="199"/>
              <w:spacing w:after="0"/>
              <w:rPr>
                <w:sz w:val="20"/>
                <w:szCs w:val="20"/>
                <w:color w:val="auto"/>
              </w:rPr>
            </w:pPr>
            <w:r>
              <w:rPr>
                <w:rFonts w:ascii="Arial" w:cs="Arial" w:eastAsia="Arial" w:hAnsi="Arial"/>
                <w:sz w:val="12"/>
                <w:szCs w:val="12"/>
                <w:color w:val="auto"/>
                <w:w w:val="89"/>
              </w:rPr>
              <w:t>$</w:t>
            </w:r>
          </w:p>
        </w:tc>
        <w:tc>
          <w:tcPr>
            <w:tcW w:w="20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34,421</w:t>
            </w:r>
          </w:p>
        </w:tc>
        <w:tc>
          <w:tcPr>
            <w:tcW w:w="80" w:type="dxa"/>
            <w:vAlign w:val="bottom"/>
            <w:tcBorders>
              <w:top w:val="single" w:sz="8" w:color="DBDBDB"/>
              <w:bottom w:val="single" w:sz="8" w:color="DBDBDB"/>
            </w:tcBorders>
            <w:shd w:val="clear" w:color="auto" w:fill="DBDBDB"/>
          </w:tcPr>
          <w:p>
            <w:pPr>
              <w:spacing w:after="0"/>
              <w:rPr>
                <w:sz w:val="14"/>
                <w:szCs w:val="14"/>
                <w:color w:val="auto"/>
              </w:rPr>
            </w:pPr>
          </w:p>
        </w:tc>
        <w:tc>
          <w:tcPr>
            <w:tcW w:w="440" w:type="dxa"/>
            <w:vAlign w:val="bottom"/>
            <w:tcBorders>
              <w:top w:val="single" w:sz="8" w:color="auto"/>
              <w:bottom w:val="single" w:sz="8" w:color="auto"/>
            </w:tcBorders>
            <w:shd w:val="clear" w:color="auto" w:fill="DBDBDB"/>
          </w:tcPr>
          <w:p>
            <w:pPr>
              <w:jc w:val="right"/>
              <w:ind w:right="299"/>
              <w:spacing w:after="0"/>
              <w:rPr>
                <w:sz w:val="20"/>
                <w:szCs w:val="20"/>
                <w:color w:val="auto"/>
              </w:rPr>
            </w:pPr>
            <w:r>
              <w:rPr>
                <w:rFonts w:ascii="Arial" w:cs="Arial" w:eastAsia="Arial" w:hAnsi="Arial"/>
                <w:sz w:val="12"/>
                <w:szCs w:val="12"/>
                <w:color w:val="auto"/>
                <w:w w:val="89"/>
              </w:rPr>
              <w:t>$</w:t>
            </w:r>
          </w:p>
        </w:tc>
        <w:tc>
          <w:tcPr>
            <w:tcW w:w="1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20"/>
        </w:trPr>
        <w:tc>
          <w:tcPr>
            <w:tcW w:w="63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20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980" w:type="dxa"/>
            <w:vAlign w:val="bottom"/>
            <w:tcBorders>
              <w:top w:val="single" w:sz="8" w:color="DBDBDB"/>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1D2758"/>
        </w:rPr>
        <w:t>NOTE 14 - Restructuring</w:t>
      </w:r>
    </w:p>
    <w:p>
      <w:pPr>
        <w:spacing w:after="0" w:line="73"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2"/>
          <w:szCs w:val="12"/>
          <w:color w:val="auto"/>
        </w:rPr>
        <w:t xml:space="preserve">Restructuring costs include charges associated with exit or disposal activities that meet the definition of restructuring under FASB ASC Topic 420, </w:t>
      </w:r>
      <w:r>
        <w:rPr>
          <w:rFonts w:ascii="Arial" w:cs="Arial" w:eastAsia="Arial" w:hAnsi="Arial"/>
          <w:sz w:val="12"/>
          <w:szCs w:val="12"/>
          <w:i w:val="1"/>
          <w:iCs w:val="1"/>
          <w:color w:val="auto"/>
        </w:rPr>
        <w:t>Exit or Disposal Cost Obligations</w:t>
      </w:r>
      <w:r>
        <w:rPr>
          <w:rFonts w:ascii="Arial" w:cs="Arial" w:eastAsia="Arial" w:hAnsi="Arial"/>
          <w:sz w:val="12"/>
          <w:szCs w:val="12"/>
          <w:color w:val="auto"/>
        </w:rPr>
        <w:t xml:space="preserve"> (“ASC 420”). The Company's restructuring plans are generally country or region specific and are typically completed within a one-year period. Restructuring costs incurred under these plans include (i) one-time termination benefits related to employee separations, (ii) contract termination costs, and (iii) other related costs associated with exit or disposal activities, including but not limited to, costs for consolidating or closing facilities other than lease costs accounted for under ASC 842. Costs related to the integration of acquired businesses that do not meet the definition of restructuring under ASC 420, such as employee training costs, duplicate facility costs and professional services expenses, are included within SG&amp;A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516890</wp:posOffset>
            </wp:positionV>
            <wp:extent cx="719264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88" w:right="319" w:bottom="1440" w:gutter="0" w:footer="0" w:header="0"/>
        </w:sectPr>
      </w:pPr>
    </w:p>
    <w:bookmarkStart w:id="24" w:name="page25"/>
    <w:bookmarkEnd w:id="24"/>
    <w:p>
      <w:pPr>
        <w:ind w:left="480"/>
        <w:spacing w:after="0"/>
        <w:rPr>
          <w:sz w:val="20"/>
          <w:szCs w:val="20"/>
          <w:color w:val="auto"/>
        </w:rPr>
      </w:pPr>
      <w:r>
        <w:rPr>
          <w:rFonts w:ascii="Arial" w:cs="Arial" w:eastAsia="Arial" w:hAnsi="Arial"/>
          <w:sz w:val="12"/>
          <w:szCs w:val="12"/>
          <w:color w:val="auto"/>
        </w:rPr>
        <w:t>The following is a summary of the activity in the Company’s restructuring accruals for the three and six months ended June 30, 2021 and 2020: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112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1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2400" w:type="dxa"/>
            <w:vAlign w:val="bottom"/>
            <w:gridSpan w:val="5"/>
            <w:shd w:val="clear" w:color="auto" w:fill="1D2758"/>
          </w:tcPr>
          <w:p>
            <w:pPr>
              <w:jc w:val="center"/>
              <w:ind w:right="280"/>
              <w:spacing w:after="0"/>
              <w:rPr>
                <w:sz w:val="20"/>
                <w:szCs w:val="20"/>
                <w:color w:val="auto"/>
              </w:rPr>
            </w:pPr>
            <w:r>
              <w:rPr>
                <w:rFonts w:ascii="Arial" w:cs="Arial" w:eastAsia="Arial" w:hAnsi="Arial"/>
                <w:sz w:val="12"/>
                <w:szCs w:val="12"/>
                <w:b w:val="1"/>
                <w:bCs w:val="1"/>
                <w:color w:val="FFFFFF"/>
              </w:rPr>
              <w:t>Three Months Ended June 30,</w:t>
            </w:r>
          </w:p>
        </w:tc>
        <w:tc>
          <w:tcPr>
            <w:tcW w:w="100" w:type="dxa"/>
            <w:vAlign w:val="bottom"/>
            <w:shd w:val="clear" w:color="auto" w:fill="1D2758"/>
          </w:tcPr>
          <w:p>
            <w:pPr>
              <w:spacing w:after="0"/>
              <w:rPr>
                <w:sz w:val="14"/>
                <w:szCs w:val="14"/>
                <w:color w:val="auto"/>
              </w:rPr>
            </w:pPr>
          </w:p>
        </w:tc>
        <w:tc>
          <w:tcPr>
            <w:tcW w:w="11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300" w:type="dxa"/>
            <w:vAlign w:val="bottom"/>
            <w:shd w:val="clear" w:color="auto" w:fill="1D2758"/>
          </w:tcPr>
          <w:p>
            <w:pPr>
              <w:spacing w:after="0"/>
              <w:rPr>
                <w:sz w:val="14"/>
                <w:szCs w:val="14"/>
                <w:color w:val="auto"/>
              </w:rPr>
            </w:pPr>
          </w:p>
        </w:tc>
        <w:tc>
          <w:tcPr>
            <w:tcW w:w="96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38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12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1160" w:type="dxa"/>
            <w:vAlign w:val="bottom"/>
            <w:shd w:val="clear" w:color="auto" w:fill="1D2758"/>
          </w:tcPr>
          <w:p>
            <w:pPr>
              <w:jc w:val="center"/>
              <w:ind w:right="19"/>
              <w:spacing w:after="0"/>
              <w:rPr>
                <w:sz w:val="20"/>
                <w:szCs w:val="20"/>
                <w:color w:val="auto"/>
              </w:rPr>
            </w:pPr>
            <w:r>
              <w:rPr>
                <w:rFonts w:ascii="Arial" w:cs="Arial" w:eastAsia="Arial" w:hAnsi="Arial"/>
                <w:sz w:val="12"/>
                <w:szCs w:val="12"/>
                <w:b w:val="1"/>
                <w:bCs w:val="1"/>
                <w:color w:val="FFFFFF"/>
              </w:rPr>
              <w:t>2021</w:t>
            </w:r>
          </w:p>
        </w:tc>
        <w:tc>
          <w:tcPr>
            <w:tcW w:w="80" w:type="dxa"/>
            <w:vAlign w:val="bottom"/>
            <w:shd w:val="clear" w:color="auto" w:fill="1D2758"/>
          </w:tcPr>
          <w:p>
            <w:pPr>
              <w:spacing w:after="0"/>
              <w:rPr>
                <w:sz w:val="13"/>
                <w:szCs w:val="13"/>
                <w:color w:val="auto"/>
              </w:rPr>
            </w:pPr>
          </w:p>
        </w:tc>
        <w:tc>
          <w:tcPr>
            <w:tcW w:w="260" w:type="dxa"/>
            <w:vAlign w:val="bottom"/>
            <w:shd w:val="clear" w:color="auto" w:fill="1D2758"/>
          </w:tcPr>
          <w:p>
            <w:pPr>
              <w:spacing w:after="0"/>
              <w:rPr>
                <w:sz w:val="13"/>
                <w:szCs w:val="13"/>
                <w:color w:val="auto"/>
              </w:rPr>
            </w:pPr>
          </w:p>
        </w:tc>
        <w:tc>
          <w:tcPr>
            <w:tcW w:w="98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14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100" w:type="dxa"/>
            <w:vAlign w:val="bottom"/>
            <w:shd w:val="clear" w:color="auto" w:fill="1D2758"/>
          </w:tcPr>
          <w:p>
            <w:pPr>
              <w:spacing w:after="0"/>
              <w:rPr>
                <w:sz w:val="13"/>
                <w:szCs w:val="13"/>
                <w:color w:val="auto"/>
              </w:rPr>
            </w:pPr>
          </w:p>
        </w:tc>
        <w:tc>
          <w:tcPr>
            <w:tcW w:w="1160" w:type="dxa"/>
            <w:vAlign w:val="bottom"/>
            <w:shd w:val="clear" w:color="auto" w:fill="1D2758"/>
          </w:tcPr>
          <w:p>
            <w:pPr>
              <w:jc w:val="center"/>
              <w:ind w:right="19"/>
              <w:spacing w:after="0"/>
              <w:rPr>
                <w:sz w:val="20"/>
                <w:szCs w:val="20"/>
                <w:color w:val="auto"/>
              </w:rPr>
            </w:pPr>
            <w:r>
              <w:rPr>
                <w:rFonts w:ascii="Arial" w:cs="Arial" w:eastAsia="Arial" w:hAnsi="Arial"/>
                <w:sz w:val="12"/>
                <w:szCs w:val="12"/>
                <w:b w:val="1"/>
                <w:bCs w:val="1"/>
                <w:color w:val="FFFFFF"/>
              </w:rPr>
              <w:t>2020</w:t>
            </w:r>
          </w:p>
        </w:tc>
        <w:tc>
          <w:tcPr>
            <w:tcW w:w="80" w:type="dxa"/>
            <w:vAlign w:val="bottom"/>
            <w:shd w:val="clear" w:color="auto" w:fill="1D2758"/>
          </w:tcPr>
          <w:p>
            <w:pPr>
              <w:spacing w:after="0"/>
              <w:rPr>
                <w:sz w:val="13"/>
                <w:szCs w:val="13"/>
                <w:color w:val="auto"/>
              </w:rPr>
            </w:pPr>
          </w:p>
        </w:tc>
        <w:tc>
          <w:tcPr>
            <w:tcW w:w="300" w:type="dxa"/>
            <w:vAlign w:val="bottom"/>
            <w:shd w:val="clear" w:color="auto" w:fill="1D2758"/>
          </w:tcPr>
          <w:p>
            <w:pPr>
              <w:spacing w:after="0"/>
              <w:rPr>
                <w:sz w:val="13"/>
                <w:szCs w:val="13"/>
                <w:color w:val="auto"/>
              </w:rPr>
            </w:pPr>
          </w:p>
        </w:tc>
        <w:tc>
          <w:tcPr>
            <w:tcW w:w="96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20" w:type="dxa"/>
            <w:vAlign w:val="bottom"/>
            <w:shd w:val="clear" w:color="auto" w:fill="1D2758"/>
          </w:tcPr>
          <w:p>
            <w:pPr>
              <w:spacing w:after="0"/>
              <w:rPr>
                <w:sz w:val="13"/>
                <w:szCs w:val="13"/>
                <w:color w:val="auto"/>
              </w:rPr>
            </w:pPr>
          </w:p>
        </w:tc>
        <w:tc>
          <w:tcPr>
            <w:tcW w:w="1200" w:type="dxa"/>
            <w:vAlign w:val="bottom"/>
            <w:gridSpan w:val="2"/>
            <w:vMerge w:val="restart"/>
            <w:shd w:val="clear" w:color="auto" w:fill="1D2758"/>
          </w:tcPr>
          <w:p>
            <w:pPr>
              <w:ind w:left="20"/>
              <w:spacing w:after="0"/>
              <w:rPr>
                <w:sz w:val="20"/>
                <w:szCs w:val="20"/>
                <w:color w:val="auto"/>
              </w:rPr>
            </w:pPr>
            <w:r>
              <w:rPr>
                <w:rFonts w:ascii="Arial" w:cs="Arial" w:eastAsia="Arial" w:hAnsi="Arial"/>
                <w:sz w:val="12"/>
                <w:szCs w:val="12"/>
                <w:b w:val="1"/>
                <w:bCs w:val="1"/>
                <w:color w:val="FFFFFF"/>
              </w:rPr>
              <w:t>Employee Costs</w:t>
            </w:r>
          </w:p>
        </w:tc>
        <w:tc>
          <w:tcPr>
            <w:tcW w:w="80" w:type="dxa"/>
            <w:vAlign w:val="bottom"/>
            <w:shd w:val="clear" w:color="auto" w:fill="1D2758"/>
          </w:tcPr>
          <w:p>
            <w:pPr>
              <w:spacing w:after="0"/>
              <w:rPr>
                <w:sz w:val="13"/>
                <w:szCs w:val="13"/>
                <w:color w:val="auto"/>
              </w:rPr>
            </w:pPr>
          </w:p>
        </w:tc>
        <w:tc>
          <w:tcPr>
            <w:tcW w:w="1240" w:type="dxa"/>
            <w:vAlign w:val="bottom"/>
            <w:gridSpan w:val="2"/>
            <w:vMerge w:val="restart"/>
            <w:shd w:val="clear" w:color="auto" w:fill="1D2758"/>
          </w:tcPr>
          <w:p>
            <w:pPr>
              <w:jc w:val="center"/>
              <w:ind w:right="160"/>
              <w:spacing w:after="0"/>
              <w:rPr>
                <w:sz w:val="20"/>
                <w:szCs w:val="20"/>
                <w:color w:val="auto"/>
              </w:rPr>
            </w:pPr>
            <w:r>
              <w:rPr>
                <w:rFonts w:ascii="Arial" w:cs="Arial" w:eastAsia="Arial" w:hAnsi="Arial"/>
                <w:sz w:val="12"/>
                <w:szCs w:val="12"/>
                <w:b w:val="1"/>
                <w:bCs w:val="1"/>
                <w:color w:val="FFFFFF"/>
              </w:rPr>
              <w:t>Facility Exit Costs</w:t>
            </w:r>
          </w:p>
        </w:tc>
        <w:tc>
          <w:tcPr>
            <w:tcW w:w="260" w:type="dxa"/>
            <w:vAlign w:val="bottom"/>
            <w:shd w:val="clear" w:color="auto" w:fill="1D2758"/>
          </w:tcPr>
          <w:p>
            <w:pPr>
              <w:spacing w:after="0"/>
              <w:rPr>
                <w:sz w:val="13"/>
                <w:szCs w:val="13"/>
                <w:color w:val="auto"/>
              </w:rPr>
            </w:pPr>
          </w:p>
        </w:tc>
        <w:tc>
          <w:tcPr>
            <w:tcW w:w="1060" w:type="dxa"/>
            <w:vAlign w:val="bottom"/>
            <w:gridSpan w:val="2"/>
            <w:vMerge w:val="restart"/>
            <w:shd w:val="clear" w:color="auto" w:fill="1D2758"/>
          </w:tcPr>
          <w:p>
            <w:pPr>
              <w:ind w:left="220"/>
              <w:spacing w:after="0"/>
              <w:rPr>
                <w:sz w:val="20"/>
                <w:szCs w:val="20"/>
                <w:color w:val="auto"/>
              </w:rPr>
            </w:pPr>
            <w:r>
              <w:rPr>
                <w:rFonts w:ascii="Arial" w:cs="Arial" w:eastAsia="Arial" w:hAnsi="Arial"/>
                <w:sz w:val="12"/>
                <w:szCs w:val="12"/>
                <w:b w:val="1"/>
                <w:bCs w:val="1"/>
                <w:color w:val="FFFFFF"/>
              </w:rPr>
              <w:t>Total</w:t>
            </w:r>
          </w:p>
        </w:tc>
        <w:tc>
          <w:tcPr>
            <w:tcW w:w="120" w:type="dxa"/>
            <w:vAlign w:val="bottom"/>
            <w:shd w:val="clear" w:color="auto" w:fill="1D2758"/>
          </w:tcPr>
          <w:p>
            <w:pPr>
              <w:spacing w:after="0"/>
              <w:rPr>
                <w:sz w:val="13"/>
                <w:szCs w:val="13"/>
                <w:color w:val="auto"/>
              </w:rPr>
            </w:pPr>
          </w:p>
        </w:tc>
        <w:tc>
          <w:tcPr>
            <w:tcW w:w="1220" w:type="dxa"/>
            <w:vAlign w:val="bottom"/>
            <w:gridSpan w:val="2"/>
            <w:vMerge w:val="restart"/>
            <w:shd w:val="clear" w:color="auto" w:fill="1D2758"/>
          </w:tcPr>
          <w:p>
            <w:pPr>
              <w:ind w:left="40"/>
              <w:spacing w:after="0"/>
              <w:rPr>
                <w:sz w:val="20"/>
                <w:szCs w:val="20"/>
                <w:color w:val="auto"/>
              </w:rPr>
            </w:pPr>
            <w:r>
              <w:rPr>
                <w:rFonts w:ascii="Arial" w:cs="Arial" w:eastAsia="Arial" w:hAnsi="Arial"/>
                <w:sz w:val="12"/>
                <w:szCs w:val="12"/>
                <w:b w:val="1"/>
                <w:bCs w:val="1"/>
                <w:color w:val="FFFFFF"/>
              </w:rPr>
              <w:t>Employee Costs</w:t>
            </w:r>
          </w:p>
        </w:tc>
        <w:tc>
          <w:tcPr>
            <w:tcW w:w="100" w:type="dxa"/>
            <w:vAlign w:val="bottom"/>
            <w:shd w:val="clear" w:color="auto" w:fill="1D2758"/>
          </w:tcPr>
          <w:p>
            <w:pPr>
              <w:spacing w:after="0"/>
              <w:rPr>
                <w:sz w:val="13"/>
                <w:szCs w:val="13"/>
                <w:color w:val="auto"/>
              </w:rPr>
            </w:pPr>
          </w:p>
        </w:tc>
        <w:tc>
          <w:tcPr>
            <w:tcW w:w="1240" w:type="dxa"/>
            <w:vAlign w:val="bottom"/>
            <w:gridSpan w:val="2"/>
            <w:vMerge w:val="restart"/>
            <w:shd w:val="clear" w:color="auto" w:fill="1D2758"/>
          </w:tcPr>
          <w:p>
            <w:pPr>
              <w:jc w:val="center"/>
              <w:ind w:right="160"/>
              <w:spacing w:after="0"/>
              <w:rPr>
                <w:sz w:val="20"/>
                <w:szCs w:val="20"/>
                <w:color w:val="auto"/>
              </w:rPr>
            </w:pPr>
            <w:r>
              <w:rPr>
                <w:rFonts w:ascii="Arial" w:cs="Arial" w:eastAsia="Arial" w:hAnsi="Arial"/>
                <w:sz w:val="12"/>
                <w:szCs w:val="12"/>
                <w:b w:val="1"/>
                <w:bCs w:val="1"/>
                <w:color w:val="FFFFFF"/>
              </w:rPr>
              <w:t>Facility Exit Costs</w:t>
            </w:r>
          </w:p>
        </w:tc>
        <w:tc>
          <w:tcPr>
            <w:tcW w:w="300" w:type="dxa"/>
            <w:vAlign w:val="bottom"/>
            <w:shd w:val="clear" w:color="auto" w:fill="1D2758"/>
          </w:tcPr>
          <w:p>
            <w:pPr>
              <w:spacing w:after="0"/>
              <w:rPr>
                <w:sz w:val="13"/>
                <w:szCs w:val="13"/>
                <w:color w:val="auto"/>
              </w:rPr>
            </w:pPr>
          </w:p>
        </w:tc>
        <w:tc>
          <w:tcPr>
            <w:tcW w:w="960" w:type="dxa"/>
            <w:vAlign w:val="bottom"/>
            <w:vMerge w:val="restart"/>
            <w:shd w:val="clear" w:color="auto" w:fill="1D2758"/>
          </w:tcPr>
          <w:p>
            <w:pPr>
              <w:jc w:val="right"/>
              <w:ind w:right="419"/>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75"/>
        </w:trPr>
        <w:tc>
          <w:tcPr>
            <w:tcW w:w="3380" w:type="dxa"/>
            <w:vAlign w:val="bottom"/>
            <w:shd w:val="clear" w:color="auto" w:fill="1D2758"/>
          </w:tcPr>
          <w:p>
            <w:pPr>
              <w:spacing w:after="0"/>
              <w:rPr>
                <w:sz w:val="6"/>
                <w:szCs w:val="6"/>
                <w:color w:val="auto"/>
              </w:rPr>
            </w:pPr>
          </w:p>
        </w:tc>
        <w:tc>
          <w:tcPr>
            <w:tcW w:w="120" w:type="dxa"/>
            <w:vAlign w:val="bottom"/>
            <w:shd w:val="clear" w:color="auto" w:fill="1D2758"/>
          </w:tcPr>
          <w:p>
            <w:pPr>
              <w:spacing w:after="0"/>
              <w:rPr>
                <w:sz w:val="6"/>
                <w:szCs w:val="6"/>
                <w:color w:val="auto"/>
              </w:rPr>
            </w:pPr>
          </w:p>
        </w:tc>
        <w:tc>
          <w:tcPr>
            <w:tcW w:w="1200" w:type="dxa"/>
            <w:vAlign w:val="bottom"/>
            <w:gridSpan w:val="2"/>
            <w:vMerge w:val="continue"/>
            <w:shd w:val="clear" w:color="auto" w:fill="1D2758"/>
          </w:tcPr>
          <w:p>
            <w:pPr>
              <w:spacing w:after="0"/>
              <w:rPr>
                <w:sz w:val="6"/>
                <w:szCs w:val="6"/>
                <w:color w:val="auto"/>
              </w:rPr>
            </w:pPr>
          </w:p>
        </w:tc>
        <w:tc>
          <w:tcPr>
            <w:tcW w:w="80" w:type="dxa"/>
            <w:vAlign w:val="bottom"/>
            <w:shd w:val="clear" w:color="auto" w:fill="1D2758"/>
          </w:tcPr>
          <w:p>
            <w:pPr>
              <w:spacing w:after="0"/>
              <w:rPr>
                <w:sz w:val="6"/>
                <w:szCs w:val="6"/>
                <w:color w:val="auto"/>
              </w:rPr>
            </w:pPr>
          </w:p>
        </w:tc>
        <w:tc>
          <w:tcPr>
            <w:tcW w:w="1240" w:type="dxa"/>
            <w:vAlign w:val="bottom"/>
            <w:gridSpan w:val="2"/>
            <w:vMerge w:val="continue"/>
            <w:shd w:val="clear" w:color="auto" w:fill="1D2758"/>
          </w:tcPr>
          <w:p>
            <w:pPr>
              <w:spacing w:after="0"/>
              <w:rPr>
                <w:sz w:val="6"/>
                <w:szCs w:val="6"/>
                <w:color w:val="auto"/>
              </w:rPr>
            </w:pPr>
          </w:p>
        </w:tc>
        <w:tc>
          <w:tcPr>
            <w:tcW w:w="260" w:type="dxa"/>
            <w:vAlign w:val="bottom"/>
            <w:shd w:val="clear" w:color="auto" w:fill="1D2758"/>
          </w:tcPr>
          <w:p>
            <w:pPr>
              <w:spacing w:after="0"/>
              <w:rPr>
                <w:sz w:val="6"/>
                <w:szCs w:val="6"/>
                <w:color w:val="auto"/>
              </w:rPr>
            </w:pPr>
          </w:p>
        </w:tc>
        <w:tc>
          <w:tcPr>
            <w:tcW w:w="1060" w:type="dxa"/>
            <w:vAlign w:val="bottom"/>
            <w:gridSpan w:val="2"/>
            <w:vMerge w:val="continue"/>
            <w:shd w:val="clear" w:color="auto" w:fill="1D2758"/>
          </w:tcPr>
          <w:p>
            <w:pPr>
              <w:spacing w:after="0"/>
              <w:rPr>
                <w:sz w:val="6"/>
                <w:szCs w:val="6"/>
                <w:color w:val="auto"/>
              </w:rPr>
            </w:pPr>
          </w:p>
        </w:tc>
        <w:tc>
          <w:tcPr>
            <w:tcW w:w="120" w:type="dxa"/>
            <w:vAlign w:val="bottom"/>
            <w:shd w:val="clear" w:color="auto" w:fill="1D2758"/>
          </w:tcPr>
          <w:p>
            <w:pPr>
              <w:spacing w:after="0"/>
              <w:rPr>
                <w:sz w:val="6"/>
                <w:szCs w:val="6"/>
                <w:color w:val="auto"/>
              </w:rPr>
            </w:pPr>
          </w:p>
        </w:tc>
        <w:tc>
          <w:tcPr>
            <w:tcW w:w="1220" w:type="dxa"/>
            <w:vAlign w:val="bottom"/>
            <w:gridSpan w:val="2"/>
            <w:vMerge w:val="continue"/>
            <w:shd w:val="clear" w:color="auto" w:fill="1D2758"/>
          </w:tcPr>
          <w:p>
            <w:pPr>
              <w:spacing w:after="0"/>
              <w:rPr>
                <w:sz w:val="6"/>
                <w:szCs w:val="6"/>
                <w:color w:val="auto"/>
              </w:rPr>
            </w:pPr>
          </w:p>
        </w:tc>
        <w:tc>
          <w:tcPr>
            <w:tcW w:w="100" w:type="dxa"/>
            <w:vAlign w:val="bottom"/>
            <w:shd w:val="clear" w:color="auto" w:fill="1D2758"/>
          </w:tcPr>
          <w:p>
            <w:pPr>
              <w:spacing w:after="0"/>
              <w:rPr>
                <w:sz w:val="6"/>
                <w:szCs w:val="6"/>
                <w:color w:val="auto"/>
              </w:rPr>
            </w:pPr>
          </w:p>
        </w:tc>
        <w:tc>
          <w:tcPr>
            <w:tcW w:w="1240" w:type="dxa"/>
            <w:vAlign w:val="bottom"/>
            <w:gridSpan w:val="2"/>
            <w:vMerge w:val="continue"/>
            <w:shd w:val="clear" w:color="auto" w:fill="1D2758"/>
          </w:tcPr>
          <w:p>
            <w:pPr>
              <w:spacing w:after="0"/>
              <w:rPr>
                <w:sz w:val="6"/>
                <w:szCs w:val="6"/>
                <w:color w:val="auto"/>
              </w:rPr>
            </w:pPr>
          </w:p>
        </w:tc>
        <w:tc>
          <w:tcPr>
            <w:tcW w:w="300" w:type="dxa"/>
            <w:vAlign w:val="bottom"/>
            <w:shd w:val="clear" w:color="auto" w:fill="1D2758"/>
          </w:tcPr>
          <w:p>
            <w:pPr>
              <w:spacing w:after="0"/>
              <w:rPr>
                <w:sz w:val="6"/>
                <w:szCs w:val="6"/>
                <w:color w:val="auto"/>
              </w:rPr>
            </w:pPr>
          </w:p>
        </w:tc>
        <w:tc>
          <w:tcPr>
            <w:tcW w:w="960" w:type="dxa"/>
            <w:vAlign w:val="bottom"/>
            <w:vMerge w:val="continue"/>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3380" w:type="dxa"/>
            <w:vAlign w:val="bottom"/>
            <w:shd w:val="clear" w:color="auto" w:fill="DBDBDB"/>
          </w:tcPr>
          <w:p>
            <w:pPr>
              <w:ind w:left="20"/>
              <w:spacing w:after="0"/>
              <w:rPr>
                <w:sz w:val="20"/>
                <w:szCs w:val="20"/>
                <w:color w:val="auto"/>
              </w:rPr>
            </w:pPr>
            <w:r>
              <w:rPr>
                <w:rFonts w:ascii="Arial" w:cs="Arial" w:eastAsia="Arial" w:hAnsi="Arial"/>
                <w:sz w:val="12"/>
                <w:szCs w:val="12"/>
                <w:color w:val="auto"/>
              </w:rPr>
              <w:t>Beginning balance</w:t>
            </w: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3,318</w:t>
            </w: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DBDBDB"/>
          </w:tcPr>
          <w:p>
            <w:pPr>
              <w:ind w:left="980"/>
              <w:spacing w:after="0"/>
              <w:rPr>
                <w:sz w:val="20"/>
                <w:szCs w:val="20"/>
                <w:color w:val="auto"/>
              </w:rPr>
            </w:pPr>
            <w:r>
              <w:rPr>
                <w:rFonts w:ascii="Arial" w:cs="Arial" w:eastAsia="Arial" w:hAnsi="Arial"/>
                <w:sz w:val="12"/>
                <w:szCs w:val="12"/>
                <w:color w:val="auto"/>
              </w:rPr>
              <w:t>—</w:t>
            </w:r>
          </w:p>
        </w:tc>
        <w:tc>
          <w:tcPr>
            <w:tcW w:w="26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3,318</w:t>
            </w:r>
          </w:p>
        </w:tc>
        <w:tc>
          <w:tcPr>
            <w:tcW w:w="80" w:type="dxa"/>
            <w:vAlign w:val="bottom"/>
            <w:shd w:val="clear" w:color="auto" w:fill="DBDBDB"/>
          </w:tcPr>
          <w:p>
            <w:pPr>
              <w:spacing w:after="0"/>
              <w:rPr>
                <w:sz w:val="14"/>
                <w:szCs w:val="14"/>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168</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shd w:val="clear" w:color="auto" w:fill="DBDBDB"/>
          </w:tcPr>
          <w:p>
            <w:pPr>
              <w:jc w:val="right"/>
              <w:ind w:right="159"/>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168</w:t>
            </w:r>
          </w:p>
        </w:tc>
        <w:tc>
          <w:tcPr>
            <w:tcW w:w="0" w:type="dxa"/>
            <w:vAlign w:val="bottom"/>
          </w:tcPr>
          <w:p>
            <w:pPr>
              <w:spacing w:after="0"/>
              <w:rPr>
                <w:sz w:val="1"/>
                <w:szCs w:val="1"/>
                <w:color w:val="auto"/>
              </w:rPr>
            </w:pPr>
          </w:p>
        </w:tc>
      </w:tr>
      <w:tr>
        <w:trPr>
          <w:trHeight w:val="159"/>
        </w:trPr>
        <w:tc>
          <w:tcPr>
            <w:tcW w:w="3380" w:type="dxa"/>
            <w:vAlign w:val="bottom"/>
          </w:tcPr>
          <w:p>
            <w:pPr>
              <w:ind w:left="180"/>
              <w:spacing w:after="0"/>
              <w:rPr>
                <w:sz w:val="20"/>
                <w:szCs w:val="20"/>
                <w:color w:val="auto"/>
              </w:rPr>
            </w:pPr>
            <w:r>
              <w:rPr>
                <w:rFonts w:ascii="Arial" w:cs="Arial" w:eastAsia="Arial" w:hAnsi="Arial"/>
                <w:sz w:val="12"/>
                <w:szCs w:val="12"/>
                <w:color w:val="auto"/>
              </w:rPr>
              <w:t>Charges</w:t>
            </w: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6,960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6,960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743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749</w:t>
            </w:r>
          </w:p>
        </w:tc>
        <w:tc>
          <w:tcPr>
            <w:tcW w:w="0" w:type="dxa"/>
            <w:vAlign w:val="bottom"/>
          </w:tcPr>
          <w:p>
            <w:pPr>
              <w:spacing w:after="0"/>
              <w:rPr>
                <w:sz w:val="1"/>
                <w:szCs w:val="1"/>
                <w:color w:val="auto"/>
              </w:rPr>
            </w:pPr>
          </w:p>
        </w:tc>
      </w:tr>
      <w:tr>
        <w:trPr>
          <w:trHeight w:val="164"/>
        </w:trPr>
        <w:tc>
          <w:tcPr>
            <w:tcW w:w="33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Cash payments</w:t>
            </w:r>
          </w:p>
        </w:tc>
        <w:tc>
          <w:tcPr>
            <w:tcW w:w="12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(1,567)</w:t>
            </w: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40" w:type="dxa"/>
            <w:vAlign w:val="bottom"/>
            <w:gridSpan w:val="2"/>
            <w:shd w:val="clear" w:color="auto" w:fill="DBDBDB"/>
          </w:tcPr>
          <w:p>
            <w:pPr>
              <w:ind w:left="980"/>
              <w:spacing w:after="0"/>
              <w:rPr>
                <w:sz w:val="20"/>
                <w:szCs w:val="20"/>
                <w:color w:val="auto"/>
              </w:rPr>
            </w:pPr>
            <w:r>
              <w:rPr>
                <w:rFonts w:ascii="Arial" w:cs="Arial" w:eastAsia="Arial" w:hAnsi="Arial"/>
                <w:sz w:val="12"/>
                <w:szCs w:val="12"/>
                <w:color w:val="auto"/>
              </w:rPr>
              <w:t>—</w:t>
            </w:r>
          </w:p>
        </w:tc>
        <w:tc>
          <w:tcPr>
            <w:tcW w:w="26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(1,567)</w:t>
            </w:r>
          </w:p>
        </w:tc>
        <w:tc>
          <w:tcPr>
            <w:tcW w:w="8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(388)</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4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shd w:val="clear" w:color="auto" w:fill="DBDBDB"/>
          </w:tcPr>
          <w:p>
            <w:pPr>
              <w:spacing w:after="0"/>
              <w:rPr>
                <w:sz w:val="14"/>
                <w:szCs w:val="1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(388)</w:t>
            </w:r>
          </w:p>
        </w:tc>
        <w:tc>
          <w:tcPr>
            <w:tcW w:w="0" w:type="dxa"/>
            <w:vAlign w:val="bottom"/>
          </w:tcPr>
          <w:p>
            <w:pPr>
              <w:spacing w:after="0"/>
              <w:rPr>
                <w:sz w:val="1"/>
                <w:szCs w:val="1"/>
                <w:color w:val="auto"/>
              </w:rPr>
            </w:pPr>
          </w:p>
        </w:tc>
      </w:tr>
      <w:tr>
        <w:trPr>
          <w:trHeight w:val="159"/>
        </w:trPr>
        <w:tc>
          <w:tcPr>
            <w:tcW w:w="3380" w:type="dxa"/>
            <w:vAlign w:val="bottom"/>
          </w:tcPr>
          <w:p>
            <w:pPr>
              <w:ind w:left="180"/>
              <w:spacing w:after="0"/>
              <w:rPr>
                <w:sz w:val="20"/>
                <w:szCs w:val="20"/>
                <w:color w:val="auto"/>
              </w:rPr>
            </w:pPr>
            <w:r>
              <w:rPr>
                <w:rFonts w:ascii="Arial" w:cs="Arial" w:eastAsia="Arial" w:hAnsi="Arial"/>
                <w:sz w:val="12"/>
                <w:szCs w:val="12"/>
                <w:color w:val="auto"/>
              </w:rPr>
              <w:t>Foreign currency translation</w:t>
            </w:r>
          </w:p>
        </w:tc>
        <w:tc>
          <w:tcPr>
            <w:tcW w:w="12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4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4"/>
        </w:trPr>
        <w:tc>
          <w:tcPr>
            <w:tcW w:w="33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Non-cash movements</w:t>
            </w:r>
          </w:p>
        </w:tc>
        <w:tc>
          <w:tcPr>
            <w:tcW w:w="12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(4,331)</w:t>
            </w:r>
          </w:p>
        </w:tc>
        <w:tc>
          <w:tcPr>
            <w:tcW w:w="80" w:type="dxa"/>
            <w:vAlign w:val="bottom"/>
            <w:shd w:val="clear" w:color="auto" w:fill="DBDBDB"/>
          </w:tcPr>
          <w:p>
            <w:pPr>
              <w:spacing w:after="0"/>
              <w:rPr>
                <w:sz w:val="14"/>
                <w:szCs w:val="14"/>
                <w:color w:val="auto"/>
              </w:rPr>
            </w:pPr>
          </w:p>
        </w:tc>
        <w:tc>
          <w:tcPr>
            <w:tcW w:w="80" w:type="dxa"/>
            <w:vAlign w:val="bottom"/>
            <w:tcBorders>
              <w:bottom w:val="single" w:sz="8" w:color="auto"/>
            </w:tcBorders>
            <w:shd w:val="clear" w:color="auto" w:fill="DBDBDB"/>
          </w:tcPr>
          <w:p>
            <w:pPr>
              <w:spacing w:after="0"/>
              <w:rPr>
                <w:sz w:val="14"/>
                <w:szCs w:val="14"/>
                <w:color w:val="auto"/>
              </w:rPr>
            </w:pPr>
          </w:p>
        </w:tc>
        <w:tc>
          <w:tcPr>
            <w:tcW w:w="1160" w:type="dxa"/>
            <w:vAlign w:val="bottom"/>
            <w:tcBorders>
              <w:bottom w:val="single" w:sz="8" w:color="auto"/>
            </w:tcBorders>
            <w:shd w:val="clear" w:color="auto" w:fill="DBDBDB"/>
          </w:tcPr>
          <w:p>
            <w:pPr>
              <w:ind w:left="98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spacing w:after="0"/>
              <w:rPr>
                <w:sz w:val="14"/>
                <w:szCs w:val="14"/>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(4,331)</w:t>
            </w:r>
          </w:p>
        </w:tc>
        <w:tc>
          <w:tcPr>
            <w:tcW w:w="80" w:type="dxa"/>
            <w:vAlign w:val="bottom"/>
            <w:shd w:val="clear" w:color="auto" w:fill="DBDBDB"/>
          </w:tcPr>
          <w:p>
            <w:pPr>
              <w:spacing w:after="0"/>
              <w:rPr>
                <w:sz w:val="14"/>
                <w:szCs w:val="14"/>
                <w:color w:val="auto"/>
              </w:rPr>
            </w:pPr>
          </w:p>
        </w:tc>
        <w:tc>
          <w:tcPr>
            <w:tcW w:w="12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DBDBDB"/>
          </w:tcPr>
          <w:p>
            <w:pPr>
              <w:spacing w:after="0"/>
              <w:rPr>
                <w:sz w:val="14"/>
                <w:szCs w:val="14"/>
                <w:color w:val="auto"/>
              </w:rPr>
            </w:pPr>
          </w:p>
        </w:tc>
        <w:tc>
          <w:tcPr>
            <w:tcW w:w="30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9"/>
        </w:trPr>
        <w:tc>
          <w:tcPr>
            <w:tcW w:w="3380" w:type="dxa"/>
            <w:vAlign w:val="bottom"/>
          </w:tcPr>
          <w:p>
            <w:pPr>
              <w:ind w:left="20"/>
              <w:spacing w:after="0"/>
              <w:rPr>
                <w:sz w:val="20"/>
                <w:szCs w:val="20"/>
                <w:color w:val="auto"/>
              </w:rPr>
            </w:pPr>
            <w:r>
              <w:rPr>
                <w:rFonts w:ascii="Arial" w:cs="Arial" w:eastAsia="Arial" w:hAnsi="Arial"/>
                <w:sz w:val="12"/>
                <w:szCs w:val="12"/>
                <w:color w:val="auto"/>
              </w:rPr>
              <w:t>Ending balance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4,380</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4,380</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524</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3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0" w:type="dxa"/>
            <w:vAlign w:val="bottom"/>
            <w:gridSpan w:val="5"/>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38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12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116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260" w:type="dxa"/>
            <w:vAlign w:val="bottom"/>
            <w:shd w:val="clear" w:color="auto" w:fill="1D2758"/>
          </w:tcPr>
          <w:p>
            <w:pPr>
              <w:spacing w:after="0"/>
              <w:rPr>
                <w:sz w:val="13"/>
                <w:szCs w:val="13"/>
                <w:color w:val="auto"/>
              </w:rPr>
            </w:pPr>
          </w:p>
        </w:tc>
        <w:tc>
          <w:tcPr>
            <w:tcW w:w="2400" w:type="dxa"/>
            <w:vAlign w:val="bottom"/>
            <w:gridSpan w:val="5"/>
            <w:shd w:val="clear" w:color="auto" w:fill="1D2758"/>
          </w:tcPr>
          <w:p>
            <w:pPr>
              <w:jc w:val="center"/>
              <w:ind w:right="300"/>
              <w:spacing w:after="0"/>
              <w:rPr>
                <w:sz w:val="20"/>
                <w:szCs w:val="20"/>
                <w:color w:val="auto"/>
              </w:rPr>
            </w:pPr>
            <w:r>
              <w:rPr>
                <w:rFonts w:ascii="Arial" w:cs="Arial" w:eastAsia="Arial" w:hAnsi="Arial"/>
                <w:sz w:val="12"/>
                <w:szCs w:val="12"/>
                <w:b w:val="1"/>
                <w:bCs w:val="1"/>
                <w:color w:val="FFFFFF"/>
              </w:rPr>
              <w:t>Six Months Ended June 30,</w:t>
            </w:r>
          </w:p>
        </w:tc>
        <w:tc>
          <w:tcPr>
            <w:tcW w:w="100" w:type="dxa"/>
            <w:vAlign w:val="bottom"/>
            <w:shd w:val="clear" w:color="auto" w:fill="1D2758"/>
          </w:tcPr>
          <w:p>
            <w:pPr>
              <w:spacing w:after="0"/>
              <w:rPr>
                <w:sz w:val="13"/>
                <w:szCs w:val="13"/>
                <w:color w:val="auto"/>
              </w:rPr>
            </w:pPr>
          </w:p>
        </w:tc>
        <w:tc>
          <w:tcPr>
            <w:tcW w:w="116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300" w:type="dxa"/>
            <w:vAlign w:val="bottom"/>
            <w:shd w:val="clear" w:color="auto" w:fill="1D2758"/>
          </w:tcPr>
          <w:p>
            <w:pPr>
              <w:spacing w:after="0"/>
              <w:rPr>
                <w:sz w:val="13"/>
                <w:szCs w:val="13"/>
                <w:color w:val="auto"/>
              </w:rPr>
            </w:pPr>
          </w:p>
        </w:tc>
        <w:tc>
          <w:tcPr>
            <w:tcW w:w="96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8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12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1160" w:type="dxa"/>
            <w:vAlign w:val="bottom"/>
            <w:shd w:val="clear" w:color="auto" w:fill="1D2758"/>
          </w:tcPr>
          <w:p>
            <w:pPr>
              <w:jc w:val="center"/>
              <w:ind w:right="19"/>
              <w:spacing w:after="0"/>
              <w:rPr>
                <w:sz w:val="20"/>
                <w:szCs w:val="20"/>
                <w:color w:val="auto"/>
              </w:rPr>
            </w:pPr>
            <w:r>
              <w:rPr>
                <w:rFonts w:ascii="Arial" w:cs="Arial" w:eastAsia="Arial" w:hAnsi="Arial"/>
                <w:sz w:val="12"/>
                <w:szCs w:val="12"/>
                <w:b w:val="1"/>
                <w:bCs w:val="1"/>
                <w:color w:val="FFFFFF"/>
              </w:rPr>
              <w:t>2021</w:t>
            </w:r>
          </w:p>
        </w:tc>
        <w:tc>
          <w:tcPr>
            <w:tcW w:w="80" w:type="dxa"/>
            <w:vAlign w:val="bottom"/>
            <w:shd w:val="clear" w:color="auto" w:fill="1D2758"/>
          </w:tcPr>
          <w:p>
            <w:pPr>
              <w:spacing w:after="0"/>
              <w:rPr>
                <w:sz w:val="13"/>
                <w:szCs w:val="13"/>
                <w:color w:val="auto"/>
              </w:rPr>
            </w:pPr>
          </w:p>
        </w:tc>
        <w:tc>
          <w:tcPr>
            <w:tcW w:w="260" w:type="dxa"/>
            <w:vAlign w:val="bottom"/>
            <w:shd w:val="clear" w:color="auto" w:fill="1D2758"/>
          </w:tcPr>
          <w:p>
            <w:pPr>
              <w:spacing w:after="0"/>
              <w:rPr>
                <w:sz w:val="13"/>
                <w:szCs w:val="13"/>
                <w:color w:val="auto"/>
              </w:rPr>
            </w:pPr>
          </w:p>
        </w:tc>
        <w:tc>
          <w:tcPr>
            <w:tcW w:w="98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14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100" w:type="dxa"/>
            <w:vAlign w:val="bottom"/>
            <w:shd w:val="clear" w:color="auto" w:fill="1D2758"/>
          </w:tcPr>
          <w:p>
            <w:pPr>
              <w:spacing w:after="0"/>
              <w:rPr>
                <w:sz w:val="13"/>
                <w:szCs w:val="13"/>
                <w:color w:val="auto"/>
              </w:rPr>
            </w:pPr>
          </w:p>
        </w:tc>
        <w:tc>
          <w:tcPr>
            <w:tcW w:w="1160" w:type="dxa"/>
            <w:vAlign w:val="bottom"/>
            <w:shd w:val="clear" w:color="auto" w:fill="1D2758"/>
          </w:tcPr>
          <w:p>
            <w:pPr>
              <w:jc w:val="center"/>
              <w:ind w:right="19"/>
              <w:spacing w:after="0"/>
              <w:rPr>
                <w:sz w:val="20"/>
                <w:szCs w:val="20"/>
                <w:color w:val="auto"/>
              </w:rPr>
            </w:pPr>
            <w:r>
              <w:rPr>
                <w:rFonts w:ascii="Arial" w:cs="Arial" w:eastAsia="Arial" w:hAnsi="Arial"/>
                <w:sz w:val="12"/>
                <w:szCs w:val="12"/>
                <w:b w:val="1"/>
                <w:bCs w:val="1"/>
                <w:color w:val="FFFFFF"/>
              </w:rPr>
              <w:t>2020</w:t>
            </w:r>
          </w:p>
        </w:tc>
        <w:tc>
          <w:tcPr>
            <w:tcW w:w="80" w:type="dxa"/>
            <w:vAlign w:val="bottom"/>
            <w:shd w:val="clear" w:color="auto" w:fill="1D2758"/>
          </w:tcPr>
          <w:p>
            <w:pPr>
              <w:spacing w:after="0"/>
              <w:rPr>
                <w:sz w:val="13"/>
                <w:szCs w:val="13"/>
                <w:color w:val="auto"/>
              </w:rPr>
            </w:pPr>
          </w:p>
        </w:tc>
        <w:tc>
          <w:tcPr>
            <w:tcW w:w="300" w:type="dxa"/>
            <w:vAlign w:val="bottom"/>
            <w:shd w:val="clear" w:color="auto" w:fill="1D2758"/>
          </w:tcPr>
          <w:p>
            <w:pPr>
              <w:spacing w:after="0"/>
              <w:rPr>
                <w:sz w:val="13"/>
                <w:szCs w:val="13"/>
                <w:color w:val="auto"/>
              </w:rPr>
            </w:pPr>
          </w:p>
        </w:tc>
        <w:tc>
          <w:tcPr>
            <w:tcW w:w="96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20" w:type="dxa"/>
            <w:vAlign w:val="bottom"/>
            <w:shd w:val="clear" w:color="auto" w:fill="1D2758"/>
          </w:tcPr>
          <w:p>
            <w:pPr>
              <w:spacing w:after="0"/>
              <w:rPr>
                <w:sz w:val="13"/>
                <w:szCs w:val="13"/>
                <w:color w:val="auto"/>
              </w:rPr>
            </w:pPr>
          </w:p>
        </w:tc>
        <w:tc>
          <w:tcPr>
            <w:tcW w:w="1200" w:type="dxa"/>
            <w:vAlign w:val="bottom"/>
            <w:gridSpan w:val="2"/>
            <w:vMerge w:val="restart"/>
            <w:shd w:val="clear" w:color="auto" w:fill="1D2758"/>
          </w:tcPr>
          <w:p>
            <w:pPr>
              <w:ind w:left="20"/>
              <w:spacing w:after="0"/>
              <w:rPr>
                <w:sz w:val="20"/>
                <w:szCs w:val="20"/>
                <w:color w:val="auto"/>
              </w:rPr>
            </w:pPr>
            <w:r>
              <w:rPr>
                <w:rFonts w:ascii="Arial" w:cs="Arial" w:eastAsia="Arial" w:hAnsi="Arial"/>
                <w:sz w:val="12"/>
                <w:szCs w:val="12"/>
                <w:b w:val="1"/>
                <w:bCs w:val="1"/>
                <w:color w:val="FFFFFF"/>
              </w:rPr>
              <w:t>Employee Costs</w:t>
            </w:r>
          </w:p>
        </w:tc>
        <w:tc>
          <w:tcPr>
            <w:tcW w:w="80" w:type="dxa"/>
            <w:vAlign w:val="bottom"/>
            <w:shd w:val="clear" w:color="auto" w:fill="1D2758"/>
          </w:tcPr>
          <w:p>
            <w:pPr>
              <w:spacing w:after="0"/>
              <w:rPr>
                <w:sz w:val="13"/>
                <w:szCs w:val="13"/>
                <w:color w:val="auto"/>
              </w:rPr>
            </w:pPr>
          </w:p>
        </w:tc>
        <w:tc>
          <w:tcPr>
            <w:tcW w:w="1240" w:type="dxa"/>
            <w:vAlign w:val="bottom"/>
            <w:gridSpan w:val="2"/>
            <w:vMerge w:val="restart"/>
            <w:shd w:val="clear" w:color="auto" w:fill="1D2758"/>
          </w:tcPr>
          <w:p>
            <w:pPr>
              <w:jc w:val="center"/>
              <w:ind w:right="160"/>
              <w:spacing w:after="0"/>
              <w:rPr>
                <w:sz w:val="20"/>
                <w:szCs w:val="20"/>
                <w:color w:val="auto"/>
              </w:rPr>
            </w:pPr>
            <w:r>
              <w:rPr>
                <w:rFonts w:ascii="Arial" w:cs="Arial" w:eastAsia="Arial" w:hAnsi="Arial"/>
                <w:sz w:val="12"/>
                <w:szCs w:val="12"/>
                <w:b w:val="1"/>
                <w:bCs w:val="1"/>
                <w:color w:val="FFFFFF"/>
              </w:rPr>
              <w:t>Facility Exit Costs</w:t>
            </w:r>
          </w:p>
        </w:tc>
        <w:tc>
          <w:tcPr>
            <w:tcW w:w="260" w:type="dxa"/>
            <w:vAlign w:val="bottom"/>
            <w:shd w:val="clear" w:color="auto" w:fill="1D2758"/>
          </w:tcPr>
          <w:p>
            <w:pPr>
              <w:spacing w:after="0"/>
              <w:rPr>
                <w:sz w:val="13"/>
                <w:szCs w:val="13"/>
                <w:color w:val="auto"/>
              </w:rPr>
            </w:pPr>
          </w:p>
        </w:tc>
        <w:tc>
          <w:tcPr>
            <w:tcW w:w="1060" w:type="dxa"/>
            <w:vAlign w:val="bottom"/>
            <w:gridSpan w:val="2"/>
            <w:vMerge w:val="restart"/>
            <w:shd w:val="clear" w:color="auto" w:fill="1D2758"/>
          </w:tcPr>
          <w:p>
            <w:pPr>
              <w:ind w:left="220"/>
              <w:spacing w:after="0"/>
              <w:rPr>
                <w:sz w:val="20"/>
                <w:szCs w:val="20"/>
                <w:color w:val="auto"/>
              </w:rPr>
            </w:pPr>
            <w:r>
              <w:rPr>
                <w:rFonts w:ascii="Arial" w:cs="Arial" w:eastAsia="Arial" w:hAnsi="Arial"/>
                <w:sz w:val="12"/>
                <w:szCs w:val="12"/>
                <w:b w:val="1"/>
                <w:bCs w:val="1"/>
                <w:color w:val="FFFFFF"/>
              </w:rPr>
              <w:t>Total</w:t>
            </w:r>
          </w:p>
        </w:tc>
        <w:tc>
          <w:tcPr>
            <w:tcW w:w="120" w:type="dxa"/>
            <w:vAlign w:val="bottom"/>
            <w:shd w:val="clear" w:color="auto" w:fill="1D2758"/>
          </w:tcPr>
          <w:p>
            <w:pPr>
              <w:spacing w:after="0"/>
              <w:rPr>
                <w:sz w:val="13"/>
                <w:szCs w:val="13"/>
                <w:color w:val="auto"/>
              </w:rPr>
            </w:pPr>
          </w:p>
        </w:tc>
        <w:tc>
          <w:tcPr>
            <w:tcW w:w="1220" w:type="dxa"/>
            <w:vAlign w:val="bottom"/>
            <w:gridSpan w:val="2"/>
            <w:vMerge w:val="restart"/>
            <w:shd w:val="clear" w:color="auto" w:fill="1D2758"/>
          </w:tcPr>
          <w:p>
            <w:pPr>
              <w:ind w:left="40"/>
              <w:spacing w:after="0"/>
              <w:rPr>
                <w:sz w:val="20"/>
                <w:szCs w:val="20"/>
                <w:color w:val="auto"/>
              </w:rPr>
            </w:pPr>
            <w:r>
              <w:rPr>
                <w:rFonts w:ascii="Arial" w:cs="Arial" w:eastAsia="Arial" w:hAnsi="Arial"/>
                <w:sz w:val="12"/>
                <w:szCs w:val="12"/>
                <w:b w:val="1"/>
                <w:bCs w:val="1"/>
                <w:color w:val="FFFFFF"/>
              </w:rPr>
              <w:t>Employee Costs</w:t>
            </w:r>
          </w:p>
        </w:tc>
        <w:tc>
          <w:tcPr>
            <w:tcW w:w="100" w:type="dxa"/>
            <w:vAlign w:val="bottom"/>
            <w:shd w:val="clear" w:color="auto" w:fill="1D2758"/>
          </w:tcPr>
          <w:p>
            <w:pPr>
              <w:spacing w:after="0"/>
              <w:rPr>
                <w:sz w:val="13"/>
                <w:szCs w:val="13"/>
                <w:color w:val="auto"/>
              </w:rPr>
            </w:pPr>
          </w:p>
        </w:tc>
        <w:tc>
          <w:tcPr>
            <w:tcW w:w="1240" w:type="dxa"/>
            <w:vAlign w:val="bottom"/>
            <w:gridSpan w:val="2"/>
            <w:vMerge w:val="restart"/>
            <w:shd w:val="clear" w:color="auto" w:fill="1D2758"/>
          </w:tcPr>
          <w:p>
            <w:pPr>
              <w:jc w:val="center"/>
              <w:ind w:right="160"/>
              <w:spacing w:after="0"/>
              <w:rPr>
                <w:sz w:val="20"/>
                <w:szCs w:val="20"/>
                <w:color w:val="auto"/>
              </w:rPr>
            </w:pPr>
            <w:r>
              <w:rPr>
                <w:rFonts w:ascii="Arial" w:cs="Arial" w:eastAsia="Arial" w:hAnsi="Arial"/>
                <w:sz w:val="12"/>
                <w:szCs w:val="12"/>
                <w:b w:val="1"/>
                <w:bCs w:val="1"/>
                <w:color w:val="FFFFFF"/>
              </w:rPr>
              <w:t>Facility Exit Costs</w:t>
            </w:r>
          </w:p>
        </w:tc>
        <w:tc>
          <w:tcPr>
            <w:tcW w:w="300" w:type="dxa"/>
            <w:vAlign w:val="bottom"/>
            <w:shd w:val="clear" w:color="auto" w:fill="1D2758"/>
          </w:tcPr>
          <w:p>
            <w:pPr>
              <w:spacing w:after="0"/>
              <w:rPr>
                <w:sz w:val="13"/>
                <w:szCs w:val="13"/>
                <w:color w:val="auto"/>
              </w:rPr>
            </w:pPr>
          </w:p>
        </w:tc>
        <w:tc>
          <w:tcPr>
            <w:tcW w:w="960" w:type="dxa"/>
            <w:vAlign w:val="bottom"/>
            <w:vMerge w:val="restart"/>
            <w:shd w:val="clear" w:color="auto" w:fill="1D2758"/>
          </w:tcPr>
          <w:p>
            <w:pPr>
              <w:jc w:val="right"/>
              <w:ind w:right="419"/>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75"/>
        </w:trPr>
        <w:tc>
          <w:tcPr>
            <w:tcW w:w="3380" w:type="dxa"/>
            <w:vAlign w:val="bottom"/>
            <w:shd w:val="clear" w:color="auto" w:fill="1D2758"/>
          </w:tcPr>
          <w:p>
            <w:pPr>
              <w:spacing w:after="0"/>
              <w:rPr>
                <w:sz w:val="6"/>
                <w:szCs w:val="6"/>
                <w:color w:val="auto"/>
              </w:rPr>
            </w:pPr>
          </w:p>
        </w:tc>
        <w:tc>
          <w:tcPr>
            <w:tcW w:w="120" w:type="dxa"/>
            <w:vAlign w:val="bottom"/>
            <w:shd w:val="clear" w:color="auto" w:fill="1D2758"/>
          </w:tcPr>
          <w:p>
            <w:pPr>
              <w:spacing w:after="0"/>
              <w:rPr>
                <w:sz w:val="6"/>
                <w:szCs w:val="6"/>
                <w:color w:val="auto"/>
              </w:rPr>
            </w:pPr>
          </w:p>
        </w:tc>
        <w:tc>
          <w:tcPr>
            <w:tcW w:w="1200" w:type="dxa"/>
            <w:vAlign w:val="bottom"/>
            <w:gridSpan w:val="2"/>
            <w:vMerge w:val="continue"/>
            <w:shd w:val="clear" w:color="auto" w:fill="1D2758"/>
          </w:tcPr>
          <w:p>
            <w:pPr>
              <w:spacing w:after="0"/>
              <w:rPr>
                <w:sz w:val="6"/>
                <w:szCs w:val="6"/>
                <w:color w:val="auto"/>
              </w:rPr>
            </w:pPr>
          </w:p>
        </w:tc>
        <w:tc>
          <w:tcPr>
            <w:tcW w:w="80" w:type="dxa"/>
            <w:vAlign w:val="bottom"/>
            <w:shd w:val="clear" w:color="auto" w:fill="1D2758"/>
          </w:tcPr>
          <w:p>
            <w:pPr>
              <w:spacing w:after="0"/>
              <w:rPr>
                <w:sz w:val="6"/>
                <w:szCs w:val="6"/>
                <w:color w:val="auto"/>
              </w:rPr>
            </w:pPr>
          </w:p>
        </w:tc>
        <w:tc>
          <w:tcPr>
            <w:tcW w:w="1240" w:type="dxa"/>
            <w:vAlign w:val="bottom"/>
            <w:gridSpan w:val="2"/>
            <w:vMerge w:val="continue"/>
            <w:shd w:val="clear" w:color="auto" w:fill="1D2758"/>
          </w:tcPr>
          <w:p>
            <w:pPr>
              <w:spacing w:after="0"/>
              <w:rPr>
                <w:sz w:val="6"/>
                <w:szCs w:val="6"/>
                <w:color w:val="auto"/>
              </w:rPr>
            </w:pPr>
          </w:p>
        </w:tc>
        <w:tc>
          <w:tcPr>
            <w:tcW w:w="260" w:type="dxa"/>
            <w:vAlign w:val="bottom"/>
            <w:shd w:val="clear" w:color="auto" w:fill="1D2758"/>
          </w:tcPr>
          <w:p>
            <w:pPr>
              <w:spacing w:after="0"/>
              <w:rPr>
                <w:sz w:val="6"/>
                <w:szCs w:val="6"/>
                <w:color w:val="auto"/>
              </w:rPr>
            </w:pPr>
          </w:p>
        </w:tc>
        <w:tc>
          <w:tcPr>
            <w:tcW w:w="1060" w:type="dxa"/>
            <w:vAlign w:val="bottom"/>
            <w:gridSpan w:val="2"/>
            <w:vMerge w:val="continue"/>
            <w:shd w:val="clear" w:color="auto" w:fill="1D2758"/>
          </w:tcPr>
          <w:p>
            <w:pPr>
              <w:spacing w:after="0"/>
              <w:rPr>
                <w:sz w:val="6"/>
                <w:szCs w:val="6"/>
                <w:color w:val="auto"/>
              </w:rPr>
            </w:pPr>
          </w:p>
        </w:tc>
        <w:tc>
          <w:tcPr>
            <w:tcW w:w="120" w:type="dxa"/>
            <w:vAlign w:val="bottom"/>
            <w:shd w:val="clear" w:color="auto" w:fill="1D2758"/>
          </w:tcPr>
          <w:p>
            <w:pPr>
              <w:spacing w:after="0"/>
              <w:rPr>
                <w:sz w:val="6"/>
                <w:szCs w:val="6"/>
                <w:color w:val="auto"/>
              </w:rPr>
            </w:pPr>
          </w:p>
        </w:tc>
        <w:tc>
          <w:tcPr>
            <w:tcW w:w="1220" w:type="dxa"/>
            <w:vAlign w:val="bottom"/>
            <w:gridSpan w:val="2"/>
            <w:vMerge w:val="continue"/>
            <w:shd w:val="clear" w:color="auto" w:fill="1D2758"/>
          </w:tcPr>
          <w:p>
            <w:pPr>
              <w:spacing w:after="0"/>
              <w:rPr>
                <w:sz w:val="6"/>
                <w:szCs w:val="6"/>
                <w:color w:val="auto"/>
              </w:rPr>
            </w:pPr>
          </w:p>
        </w:tc>
        <w:tc>
          <w:tcPr>
            <w:tcW w:w="100" w:type="dxa"/>
            <w:vAlign w:val="bottom"/>
            <w:shd w:val="clear" w:color="auto" w:fill="1D2758"/>
          </w:tcPr>
          <w:p>
            <w:pPr>
              <w:spacing w:after="0"/>
              <w:rPr>
                <w:sz w:val="6"/>
                <w:szCs w:val="6"/>
                <w:color w:val="auto"/>
              </w:rPr>
            </w:pPr>
          </w:p>
        </w:tc>
        <w:tc>
          <w:tcPr>
            <w:tcW w:w="1240" w:type="dxa"/>
            <w:vAlign w:val="bottom"/>
            <w:gridSpan w:val="2"/>
            <w:vMerge w:val="continue"/>
            <w:shd w:val="clear" w:color="auto" w:fill="1D2758"/>
          </w:tcPr>
          <w:p>
            <w:pPr>
              <w:spacing w:after="0"/>
              <w:rPr>
                <w:sz w:val="6"/>
                <w:szCs w:val="6"/>
                <w:color w:val="auto"/>
              </w:rPr>
            </w:pPr>
          </w:p>
        </w:tc>
        <w:tc>
          <w:tcPr>
            <w:tcW w:w="300" w:type="dxa"/>
            <w:vAlign w:val="bottom"/>
            <w:shd w:val="clear" w:color="auto" w:fill="1D2758"/>
          </w:tcPr>
          <w:p>
            <w:pPr>
              <w:spacing w:after="0"/>
              <w:rPr>
                <w:sz w:val="6"/>
                <w:szCs w:val="6"/>
                <w:color w:val="auto"/>
              </w:rPr>
            </w:pPr>
          </w:p>
        </w:tc>
        <w:tc>
          <w:tcPr>
            <w:tcW w:w="960" w:type="dxa"/>
            <w:vAlign w:val="bottom"/>
            <w:vMerge w:val="continue"/>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3380" w:type="dxa"/>
            <w:vAlign w:val="bottom"/>
            <w:shd w:val="clear" w:color="auto" w:fill="DBDBDB"/>
          </w:tcPr>
          <w:p>
            <w:pPr>
              <w:ind w:left="20"/>
              <w:spacing w:after="0"/>
              <w:rPr>
                <w:sz w:val="20"/>
                <w:szCs w:val="20"/>
                <w:color w:val="auto"/>
              </w:rPr>
            </w:pPr>
            <w:r>
              <w:rPr>
                <w:rFonts w:ascii="Arial" w:cs="Arial" w:eastAsia="Arial" w:hAnsi="Arial"/>
                <w:sz w:val="12"/>
                <w:szCs w:val="12"/>
                <w:color w:val="auto"/>
              </w:rPr>
              <w:t>Beginning balance</w:t>
            </w: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1,750</w:t>
            </w: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DBDBDB"/>
          </w:tcPr>
          <w:p>
            <w:pPr>
              <w:ind w:left="980"/>
              <w:spacing w:after="0"/>
              <w:rPr>
                <w:sz w:val="20"/>
                <w:szCs w:val="20"/>
                <w:color w:val="auto"/>
              </w:rPr>
            </w:pPr>
            <w:r>
              <w:rPr>
                <w:rFonts w:ascii="Arial" w:cs="Arial" w:eastAsia="Arial" w:hAnsi="Arial"/>
                <w:sz w:val="12"/>
                <w:szCs w:val="12"/>
                <w:color w:val="auto"/>
              </w:rPr>
              <w:t>—</w:t>
            </w:r>
          </w:p>
        </w:tc>
        <w:tc>
          <w:tcPr>
            <w:tcW w:w="26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1,750</w:t>
            </w:r>
          </w:p>
        </w:tc>
        <w:tc>
          <w:tcPr>
            <w:tcW w:w="80" w:type="dxa"/>
            <w:vAlign w:val="bottom"/>
            <w:shd w:val="clear" w:color="auto" w:fill="DBDBDB"/>
          </w:tcPr>
          <w:p>
            <w:pPr>
              <w:spacing w:after="0"/>
              <w:rPr>
                <w:sz w:val="14"/>
                <w:szCs w:val="14"/>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447</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shd w:val="clear" w:color="auto" w:fill="DBDBDB"/>
          </w:tcPr>
          <w:p>
            <w:pPr>
              <w:jc w:val="right"/>
              <w:ind w:right="159"/>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447</w:t>
            </w:r>
          </w:p>
        </w:tc>
        <w:tc>
          <w:tcPr>
            <w:tcW w:w="0" w:type="dxa"/>
            <w:vAlign w:val="bottom"/>
          </w:tcPr>
          <w:p>
            <w:pPr>
              <w:spacing w:after="0"/>
              <w:rPr>
                <w:sz w:val="1"/>
                <w:szCs w:val="1"/>
                <w:color w:val="auto"/>
              </w:rPr>
            </w:pPr>
          </w:p>
        </w:tc>
      </w:tr>
      <w:tr>
        <w:trPr>
          <w:trHeight w:val="159"/>
        </w:trPr>
        <w:tc>
          <w:tcPr>
            <w:tcW w:w="3380" w:type="dxa"/>
            <w:vAlign w:val="bottom"/>
          </w:tcPr>
          <w:p>
            <w:pPr>
              <w:ind w:left="180"/>
              <w:spacing w:after="0"/>
              <w:rPr>
                <w:sz w:val="20"/>
                <w:szCs w:val="20"/>
                <w:color w:val="auto"/>
              </w:rPr>
            </w:pPr>
            <w:r>
              <w:rPr>
                <w:rFonts w:ascii="Arial" w:cs="Arial" w:eastAsia="Arial" w:hAnsi="Arial"/>
                <w:sz w:val="12"/>
                <w:szCs w:val="12"/>
                <w:color w:val="auto"/>
              </w:rPr>
              <w:t>Charges</w:t>
            </w: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10,102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10,102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671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689</w:t>
            </w:r>
          </w:p>
        </w:tc>
        <w:tc>
          <w:tcPr>
            <w:tcW w:w="0" w:type="dxa"/>
            <w:vAlign w:val="bottom"/>
          </w:tcPr>
          <w:p>
            <w:pPr>
              <w:spacing w:after="0"/>
              <w:rPr>
                <w:sz w:val="1"/>
                <w:szCs w:val="1"/>
                <w:color w:val="auto"/>
              </w:rPr>
            </w:pPr>
          </w:p>
        </w:tc>
      </w:tr>
      <w:tr>
        <w:trPr>
          <w:trHeight w:val="164"/>
        </w:trPr>
        <w:tc>
          <w:tcPr>
            <w:tcW w:w="33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Cash payments</w:t>
            </w:r>
          </w:p>
        </w:tc>
        <w:tc>
          <w:tcPr>
            <w:tcW w:w="12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(1,703)</w:t>
            </w: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40" w:type="dxa"/>
            <w:vAlign w:val="bottom"/>
            <w:gridSpan w:val="2"/>
            <w:shd w:val="clear" w:color="auto" w:fill="DBDBDB"/>
          </w:tcPr>
          <w:p>
            <w:pPr>
              <w:ind w:left="980"/>
              <w:spacing w:after="0"/>
              <w:rPr>
                <w:sz w:val="20"/>
                <w:szCs w:val="20"/>
                <w:color w:val="auto"/>
              </w:rPr>
            </w:pPr>
            <w:r>
              <w:rPr>
                <w:rFonts w:ascii="Arial" w:cs="Arial" w:eastAsia="Arial" w:hAnsi="Arial"/>
                <w:sz w:val="12"/>
                <w:szCs w:val="12"/>
                <w:color w:val="auto"/>
              </w:rPr>
              <w:t>—</w:t>
            </w:r>
          </w:p>
        </w:tc>
        <w:tc>
          <w:tcPr>
            <w:tcW w:w="26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(1,703)</w:t>
            </w:r>
          </w:p>
        </w:tc>
        <w:tc>
          <w:tcPr>
            <w:tcW w:w="8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(595)</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4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shd w:val="clear" w:color="auto" w:fill="DBDBDB"/>
          </w:tcPr>
          <w:p>
            <w:pPr>
              <w:spacing w:after="0"/>
              <w:rPr>
                <w:sz w:val="14"/>
                <w:szCs w:val="1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(595)</w:t>
            </w:r>
          </w:p>
        </w:tc>
        <w:tc>
          <w:tcPr>
            <w:tcW w:w="0" w:type="dxa"/>
            <w:vAlign w:val="bottom"/>
          </w:tcPr>
          <w:p>
            <w:pPr>
              <w:spacing w:after="0"/>
              <w:rPr>
                <w:sz w:val="1"/>
                <w:szCs w:val="1"/>
                <w:color w:val="auto"/>
              </w:rPr>
            </w:pPr>
          </w:p>
        </w:tc>
      </w:tr>
      <w:tr>
        <w:trPr>
          <w:trHeight w:val="159"/>
        </w:trPr>
        <w:tc>
          <w:tcPr>
            <w:tcW w:w="3380" w:type="dxa"/>
            <w:vAlign w:val="bottom"/>
          </w:tcPr>
          <w:p>
            <w:pPr>
              <w:ind w:left="180"/>
              <w:spacing w:after="0"/>
              <w:rPr>
                <w:sz w:val="20"/>
                <w:szCs w:val="20"/>
                <w:color w:val="auto"/>
              </w:rPr>
            </w:pPr>
            <w:r>
              <w:rPr>
                <w:rFonts w:ascii="Arial" w:cs="Arial" w:eastAsia="Arial" w:hAnsi="Arial"/>
                <w:sz w:val="12"/>
                <w:szCs w:val="12"/>
                <w:color w:val="auto"/>
              </w:rPr>
              <w:t>Foreign currency translation</w:t>
            </w:r>
          </w:p>
        </w:tc>
        <w:tc>
          <w:tcPr>
            <w:tcW w:w="12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4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4"/>
        </w:trPr>
        <w:tc>
          <w:tcPr>
            <w:tcW w:w="33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Non-cash movements</w:t>
            </w:r>
          </w:p>
        </w:tc>
        <w:tc>
          <w:tcPr>
            <w:tcW w:w="12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(5,769)</w:t>
            </w:r>
          </w:p>
        </w:tc>
        <w:tc>
          <w:tcPr>
            <w:tcW w:w="80" w:type="dxa"/>
            <w:vAlign w:val="bottom"/>
            <w:shd w:val="clear" w:color="auto" w:fill="DBDBDB"/>
          </w:tcPr>
          <w:p>
            <w:pPr>
              <w:spacing w:after="0"/>
              <w:rPr>
                <w:sz w:val="14"/>
                <w:szCs w:val="14"/>
                <w:color w:val="auto"/>
              </w:rPr>
            </w:pPr>
          </w:p>
        </w:tc>
        <w:tc>
          <w:tcPr>
            <w:tcW w:w="80" w:type="dxa"/>
            <w:vAlign w:val="bottom"/>
            <w:tcBorders>
              <w:bottom w:val="single" w:sz="8" w:color="auto"/>
            </w:tcBorders>
            <w:shd w:val="clear" w:color="auto" w:fill="DBDBDB"/>
          </w:tcPr>
          <w:p>
            <w:pPr>
              <w:spacing w:after="0"/>
              <w:rPr>
                <w:sz w:val="14"/>
                <w:szCs w:val="14"/>
                <w:color w:val="auto"/>
              </w:rPr>
            </w:pPr>
          </w:p>
        </w:tc>
        <w:tc>
          <w:tcPr>
            <w:tcW w:w="1160" w:type="dxa"/>
            <w:vAlign w:val="bottom"/>
            <w:tcBorders>
              <w:bottom w:val="single" w:sz="8" w:color="auto"/>
            </w:tcBorders>
            <w:shd w:val="clear" w:color="auto" w:fill="DBDBDB"/>
          </w:tcPr>
          <w:p>
            <w:pPr>
              <w:ind w:left="98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spacing w:after="0"/>
              <w:rPr>
                <w:sz w:val="14"/>
                <w:szCs w:val="14"/>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(5,769)</w:t>
            </w:r>
          </w:p>
        </w:tc>
        <w:tc>
          <w:tcPr>
            <w:tcW w:w="80" w:type="dxa"/>
            <w:vAlign w:val="bottom"/>
            <w:shd w:val="clear" w:color="auto" w:fill="DBDBDB"/>
          </w:tcPr>
          <w:p>
            <w:pPr>
              <w:spacing w:after="0"/>
              <w:rPr>
                <w:sz w:val="14"/>
                <w:szCs w:val="14"/>
                <w:color w:val="auto"/>
              </w:rPr>
            </w:pPr>
          </w:p>
        </w:tc>
        <w:tc>
          <w:tcPr>
            <w:tcW w:w="12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(17)</w:t>
            </w:r>
          </w:p>
        </w:tc>
        <w:tc>
          <w:tcPr>
            <w:tcW w:w="80" w:type="dxa"/>
            <w:vAlign w:val="bottom"/>
            <w:shd w:val="clear" w:color="auto" w:fill="DBDBDB"/>
          </w:tcPr>
          <w:p>
            <w:pPr>
              <w:spacing w:after="0"/>
              <w:rPr>
                <w:sz w:val="14"/>
                <w:szCs w:val="14"/>
                <w:color w:val="auto"/>
              </w:rPr>
            </w:pPr>
          </w:p>
        </w:tc>
        <w:tc>
          <w:tcPr>
            <w:tcW w:w="30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49"/>
        </w:trPr>
        <w:tc>
          <w:tcPr>
            <w:tcW w:w="3380" w:type="dxa"/>
            <w:vAlign w:val="bottom"/>
          </w:tcPr>
          <w:p>
            <w:pPr>
              <w:ind w:left="20"/>
              <w:spacing w:after="0"/>
              <w:rPr>
                <w:sz w:val="20"/>
                <w:szCs w:val="20"/>
                <w:color w:val="auto"/>
              </w:rPr>
            </w:pPr>
            <w:r>
              <w:rPr>
                <w:rFonts w:ascii="Arial" w:cs="Arial" w:eastAsia="Arial" w:hAnsi="Arial"/>
                <w:sz w:val="12"/>
                <w:szCs w:val="12"/>
                <w:color w:val="auto"/>
              </w:rPr>
              <w:t>Ending balance</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4,380</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4,380</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524</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300" w:type="dxa"/>
            <w:vAlign w:val="bottom"/>
          </w:tcPr>
          <w:p>
            <w:pPr>
              <w:jc w:val="right"/>
              <w:ind w:right="159"/>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525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restructuring charges during the three and six months ended June 30, 2021 are primarily driven by employee termination costs as a result of the elimination of positions due to the Merger. The restructuring charges during the three and six months ended June 30, 2020 primarily relate to employee termination costs due to reductions in force in response to the COVID-19 pandemic.</w:t>
      </w:r>
    </w:p>
    <w:p>
      <w:pPr>
        <w:spacing w:after="0" w:line="26"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restructuring non-cash movements during the three and six months ended June 30, 2021 primarily represent stock compensation costs recognized as a result of the modification of certain equity awards associated with the Transition, Separation and Release Agreement entered into on February 25, 2021 with the Company's President and Chief Operating Officer.</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Segments </w:t>
      </w:r>
      <w:r>
        <w:rPr>
          <w:rFonts w:ascii="Arial" w:cs="Arial" w:eastAsia="Arial" w:hAnsi="Arial"/>
          <w:sz w:val="13"/>
          <w:szCs w:val="13"/>
          <w:color w:val="auto"/>
        </w:rPr>
        <w:t>(</w:t>
      </w:r>
      <w:r>
        <w:rPr>
          <w:rFonts w:ascii="Arial" w:cs="Arial" w:eastAsia="Arial" w:hAnsi="Arial"/>
          <w:sz w:val="12"/>
          <w:szCs w:val="12"/>
          <w:color w:val="auto"/>
        </w:rPr>
        <w:t>as defined in Note 18</w:t>
      </w:r>
      <w:r>
        <w:rPr>
          <w:rFonts w:ascii="Arial" w:cs="Arial" w:eastAsia="Arial" w:hAnsi="Arial"/>
          <w:sz w:val="13"/>
          <w:szCs w:val="13"/>
          <w:color w:val="auto"/>
        </w:rPr>
        <w:t>)</w:t>
      </w:r>
    </w:p>
    <w:p>
      <w:pPr>
        <w:spacing w:after="0" w:line="70"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$7.0 million of restructuring charges for the three months ended June 30, 2021 includes $0.5 million of charges related to the NA Modular segment, $2.1 million of charges related to the NA Storage segment, and $4.4 million of unallocated charges.</w:t>
      </w:r>
    </w:p>
    <w:p>
      <w:pPr>
        <w:spacing w:after="0" w:line="26"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$10.1 million of restructuring charges for the six months ended June 30, 2021 includes $1.5 million of charges related to the NA Modular segment, $2.8 million of charges related to the NA Storage segment, and $5.8 million of unallocated charges.</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Restructuring charges for the three and six months ended 2020 pertain to the NA Modular segment.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1D2758"/>
        </w:rPr>
        <w:t>NOTE 15 - Stock-Based Compensation</w:t>
      </w:r>
    </w:p>
    <w:p>
      <w:pPr>
        <w:spacing w:after="0" w:line="85" w:lineRule="exact"/>
        <w:rPr>
          <w:sz w:val="20"/>
          <w:szCs w:val="20"/>
          <w:color w:val="auto"/>
        </w:rPr>
      </w:pPr>
    </w:p>
    <w:p>
      <w:pPr>
        <w:jc w:val="both"/>
        <w:ind w:firstLine="484"/>
        <w:spacing w:after="0" w:line="247" w:lineRule="auto"/>
        <w:rPr>
          <w:sz w:val="20"/>
          <w:szCs w:val="20"/>
          <w:color w:val="auto"/>
        </w:rPr>
      </w:pPr>
      <w:r>
        <w:rPr>
          <w:rFonts w:ascii="Arial" w:cs="Arial" w:eastAsia="Arial" w:hAnsi="Arial"/>
          <w:sz w:val="12"/>
          <w:szCs w:val="12"/>
          <w:color w:val="auto"/>
        </w:rPr>
        <w:t>Prior to the Merger, stock awards were granted under the WillScot Corporation 2017 Incentive Award Plan (the "2017 Incentive Plan"), which included Restricted Stock Awards ("RSAs") and Restricted Stock Units ("RSUs"). On June 24, 2020, WillScot's stockholders approved the WillScot Mobile Mini 2020 Incentive Award Plan ("2020 Incentive Plan") to take effect pending completion of the Merger. The plan amended and restated in its entirety the 2017 Incentive Plan. As a result, all historical and future incentive awards to the Company's Board of Directors, executive officers and employees, as determined by the Company's Compensation Committee ("the Comp Committee"), are granted under the 2020 Incentive Plan. The 2020 Incentive Plan is administered by the Comp Committee. Under the 2020 Incentive Plan, the Comp Committee may grant an aggregate of 6,488,988 shares of Common Stock in the form of non-qualified stock options, incentive stock options, stock appreciation rights, RSAs, RSUs, performance compensation awards and stock bonus awards. Stock-based payments, including the grant of stock options, RSAs and RSUs, are subject to service-based vesting requirements, and expense is recognized on a straight-line basis over the vesting period. Forfeitures are accounted for as they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520700</wp:posOffset>
            </wp:positionV>
            <wp:extent cx="719264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25" w:name="page26"/>
    <w:bookmarkEnd w:id="25"/>
    <w:p>
      <w:pPr>
        <w:jc w:val="both"/>
        <w:ind w:firstLine="484"/>
        <w:spacing w:after="0" w:line="248" w:lineRule="auto"/>
        <w:rPr>
          <w:sz w:val="20"/>
          <w:szCs w:val="20"/>
          <w:color w:val="auto"/>
        </w:rPr>
      </w:pPr>
      <w:r>
        <w:rPr>
          <w:rFonts w:ascii="Arial" w:cs="Arial" w:eastAsia="Arial" w:hAnsi="Arial"/>
          <w:sz w:val="12"/>
          <w:szCs w:val="12"/>
          <w:color w:val="auto"/>
        </w:rPr>
        <w:t>Stock-based compensation expense includes grants of stock options, time-based RSUs ("Time-Based RSUs") and performance-based RSUs ("Performance-Based RSUs", together with Time-Based RSUs, the "RSUs"). The 2020 Incentive Plan continues the former Market-Based RSUs renamed as "Performance-Based RSUs." RSUs are recognized in the financial statements based on their fair value. In addition, stock-based payments to non-executive directors include grants of RSAs. Time-Based RSUs and RSAs are valued based on the intrinsic value of the difference between the exercise price, if any, of the award and the fair market value of WillScot Mobile Mini's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Restricted Stock Awards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summarizes the Company's RSA activity as of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780" w:type="dxa"/>
            <w:vAlign w:val="bottom"/>
            <w:shd w:val="clear" w:color="auto" w:fill="1D2758"/>
          </w:tcPr>
          <w:p>
            <w:pPr>
              <w:spacing w:after="0"/>
              <w:rPr>
                <w:sz w:val="13"/>
                <w:szCs w:val="13"/>
                <w:color w:val="auto"/>
              </w:rPr>
            </w:pPr>
          </w:p>
        </w:tc>
        <w:tc>
          <w:tcPr>
            <w:tcW w:w="158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58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2021</w:t>
            </w:r>
          </w:p>
        </w:tc>
        <w:tc>
          <w:tcPr>
            <w:tcW w:w="146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160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58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2020</w:t>
            </w:r>
          </w:p>
        </w:tc>
        <w:tc>
          <w:tcPr>
            <w:tcW w:w="146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780" w:type="dxa"/>
            <w:vAlign w:val="bottom"/>
            <w:shd w:val="clear" w:color="auto" w:fill="1D2758"/>
          </w:tcPr>
          <w:p>
            <w:pPr>
              <w:spacing w:after="0"/>
              <w:rPr>
                <w:sz w:val="10"/>
                <w:szCs w:val="10"/>
                <w:color w:val="auto"/>
              </w:rPr>
            </w:pPr>
          </w:p>
        </w:tc>
        <w:tc>
          <w:tcPr>
            <w:tcW w:w="1660" w:type="dxa"/>
            <w:vAlign w:val="bottom"/>
            <w:gridSpan w:val="2"/>
            <w:vMerge w:val="restart"/>
            <w:shd w:val="clear" w:color="auto" w:fill="1D2758"/>
          </w:tcPr>
          <w:p>
            <w:pPr>
              <w:ind w:left="500"/>
              <w:spacing w:after="0"/>
              <w:rPr>
                <w:sz w:val="20"/>
                <w:szCs w:val="20"/>
                <w:color w:val="auto"/>
              </w:rPr>
            </w:pPr>
            <w:r>
              <w:rPr>
                <w:rFonts w:ascii="Arial" w:cs="Arial" w:eastAsia="Arial" w:hAnsi="Arial"/>
                <w:sz w:val="12"/>
                <w:szCs w:val="12"/>
                <w:b w:val="1"/>
                <w:bCs w:val="1"/>
                <w:color w:val="FFFFFF"/>
              </w:rPr>
              <w:t>Number of Shares</w:t>
            </w:r>
          </w:p>
        </w:tc>
        <w:tc>
          <w:tcPr>
            <w:tcW w:w="2120" w:type="dxa"/>
            <w:vAlign w:val="bottom"/>
            <w:gridSpan w:val="3"/>
            <w:shd w:val="clear" w:color="auto" w:fill="1D2758"/>
          </w:tcPr>
          <w:p>
            <w:pPr>
              <w:ind w:left="560"/>
              <w:spacing w:after="0" w:line="121" w:lineRule="exact"/>
              <w:rPr>
                <w:sz w:val="20"/>
                <w:szCs w:val="20"/>
                <w:color w:val="auto"/>
              </w:rPr>
            </w:pPr>
            <w:r>
              <w:rPr>
                <w:rFonts w:ascii="Arial" w:cs="Arial" w:eastAsia="Arial" w:hAnsi="Arial"/>
                <w:sz w:val="12"/>
                <w:szCs w:val="12"/>
                <w:b w:val="1"/>
                <w:bCs w:val="1"/>
                <w:color w:val="FFFFFF"/>
              </w:rPr>
              <w:t>Weighted-Average Grant</w:t>
            </w:r>
          </w:p>
        </w:tc>
        <w:tc>
          <w:tcPr>
            <w:tcW w:w="1680" w:type="dxa"/>
            <w:vAlign w:val="bottom"/>
            <w:gridSpan w:val="2"/>
            <w:vMerge w:val="restart"/>
            <w:shd w:val="clear" w:color="auto" w:fill="1D2758"/>
          </w:tcPr>
          <w:p>
            <w:pPr>
              <w:ind w:left="520"/>
              <w:spacing w:after="0"/>
              <w:rPr>
                <w:sz w:val="20"/>
                <w:szCs w:val="20"/>
                <w:color w:val="auto"/>
              </w:rPr>
            </w:pPr>
            <w:r>
              <w:rPr>
                <w:rFonts w:ascii="Arial" w:cs="Arial" w:eastAsia="Arial" w:hAnsi="Arial"/>
                <w:sz w:val="12"/>
                <w:szCs w:val="12"/>
                <w:b w:val="1"/>
                <w:bCs w:val="1"/>
                <w:color w:val="FFFFFF"/>
              </w:rPr>
              <w:t>Number of Shares</w:t>
            </w:r>
          </w:p>
        </w:tc>
        <w:tc>
          <w:tcPr>
            <w:tcW w:w="2040" w:type="dxa"/>
            <w:vAlign w:val="bottom"/>
            <w:gridSpan w:val="2"/>
            <w:shd w:val="clear" w:color="auto" w:fill="1D2758"/>
          </w:tcPr>
          <w:p>
            <w:pPr>
              <w:jc w:val="right"/>
              <w:spacing w:after="0" w:line="121" w:lineRule="exact"/>
              <w:rPr>
                <w:sz w:val="20"/>
                <w:szCs w:val="20"/>
                <w:color w:val="auto"/>
              </w:rPr>
            </w:pPr>
            <w:r>
              <w:rPr>
                <w:rFonts w:ascii="Arial" w:cs="Arial" w:eastAsia="Arial" w:hAnsi="Arial"/>
                <w:sz w:val="12"/>
                <w:szCs w:val="12"/>
                <w:b w:val="1"/>
                <w:bCs w:val="1"/>
                <w:color w:val="FFFFFF"/>
              </w:rPr>
              <w:t>Weighted-Average Grant</w:t>
            </w:r>
          </w:p>
        </w:tc>
        <w:tc>
          <w:tcPr>
            <w:tcW w:w="0" w:type="dxa"/>
            <w:vAlign w:val="bottom"/>
          </w:tcPr>
          <w:p>
            <w:pPr>
              <w:spacing w:after="0"/>
              <w:rPr>
                <w:sz w:val="1"/>
                <w:szCs w:val="1"/>
                <w:color w:val="auto"/>
              </w:rPr>
            </w:pPr>
          </w:p>
        </w:tc>
      </w:tr>
      <w:tr>
        <w:trPr>
          <w:trHeight w:val="161"/>
        </w:trPr>
        <w:tc>
          <w:tcPr>
            <w:tcW w:w="3780" w:type="dxa"/>
            <w:vAlign w:val="bottom"/>
            <w:shd w:val="clear" w:color="auto" w:fill="1D2758"/>
          </w:tcPr>
          <w:p>
            <w:pPr>
              <w:spacing w:after="0"/>
              <w:rPr>
                <w:sz w:val="14"/>
                <w:szCs w:val="14"/>
                <w:color w:val="auto"/>
              </w:rPr>
            </w:pPr>
          </w:p>
        </w:tc>
        <w:tc>
          <w:tcPr>
            <w:tcW w:w="1660" w:type="dxa"/>
            <w:vAlign w:val="bottom"/>
            <w:gridSpan w:val="2"/>
            <w:vMerge w:val="continue"/>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1540" w:type="dxa"/>
            <w:vAlign w:val="bottom"/>
            <w:gridSpan w:val="2"/>
            <w:shd w:val="clear" w:color="auto" w:fill="1D2758"/>
          </w:tcPr>
          <w:p>
            <w:pPr>
              <w:spacing w:after="0"/>
              <w:rPr>
                <w:sz w:val="20"/>
                <w:szCs w:val="20"/>
                <w:color w:val="auto"/>
              </w:rPr>
            </w:pPr>
            <w:r>
              <w:rPr>
                <w:rFonts w:ascii="Arial" w:cs="Arial" w:eastAsia="Arial" w:hAnsi="Arial"/>
                <w:sz w:val="12"/>
                <w:szCs w:val="12"/>
                <w:b w:val="1"/>
                <w:bCs w:val="1"/>
                <w:color w:val="FFFFFF"/>
              </w:rPr>
              <w:t>Date Fair Value</w:t>
            </w:r>
          </w:p>
        </w:tc>
        <w:tc>
          <w:tcPr>
            <w:tcW w:w="1680" w:type="dxa"/>
            <w:vAlign w:val="bottom"/>
            <w:gridSpan w:val="2"/>
            <w:vMerge w:val="continue"/>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1460" w:type="dxa"/>
            <w:vAlign w:val="bottom"/>
            <w:shd w:val="clear" w:color="auto" w:fill="1D2758"/>
          </w:tcPr>
          <w:p>
            <w:pPr>
              <w:jc w:val="right"/>
              <w:ind w:right="519"/>
              <w:spacing w:after="0"/>
              <w:rPr>
                <w:sz w:val="20"/>
                <w:szCs w:val="20"/>
                <w:color w:val="auto"/>
              </w:rPr>
            </w:pPr>
            <w:r>
              <w:rPr>
                <w:rFonts w:ascii="Arial" w:cs="Arial" w:eastAsia="Arial" w:hAnsi="Arial"/>
                <w:sz w:val="12"/>
                <w:szCs w:val="12"/>
                <w:b w:val="1"/>
                <w:bCs w:val="1"/>
                <w:color w:val="FFFFFF"/>
                <w:w w:val="99"/>
              </w:rPr>
              <w:t>Date Fair Value</w:t>
            </w:r>
          </w:p>
        </w:tc>
        <w:tc>
          <w:tcPr>
            <w:tcW w:w="0" w:type="dxa"/>
            <w:vAlign w:val="bottom"/>
          </w:tcPr>
          <w:p>
            <w:pPr>
              <w:spacing w:after="0"/>
              <w:rPr>
                <w:sz w:val="1"/>
                <w:szCs w:val="1"/>
                <w:color w:val="auto"/>
              </w:rPr>
            </w:pPr>
          </w:p>
        </w:tc>
      </w:tr>
      <w:tr>
        <w:trPr>
          <w:trHeight w:val="161"/>
        </w:trPr>
        <w:tc>
          <w:tcPr>
            <w:tcW w:w="3780" w:type="dxa"/>
            <w:vAlign w:val="bottom"/>
            <w:shd w:val="clear" w:color="auto" w:fill="DBDBDB"/>
          </w:tcPr>
          <w:p>
            <w:pPr>
              <w:ind w:left="500"/>
              <w:spacing w:after="0"/>
              <w:rPr>
                <w:sz w:val="20"/>
                <w:szCs w:val="20"/>
                <w:color w:val="auto"/>
              </w:rPr>
            </w:pPr>
            <w:r>
              <w:rPr>
                <w:rFonts w:ascii="Arial" w:cs="Arial" w:eastAsia="Arial" w:hAnsi="Arial"/>
                <w:sz w:val="12"/>
                <w:szCs w:val="12"/>
                <w:color w:val="auto"/>
              </w:rPr>
              <w:t>Balance December 31,</w:t>
            </w:r>
          </w:p>
        </w:tc>
        <w:tc>
          <w:tcPr>
            <w:tcW w:w="1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57,448</w:t>
            </w:r>
          </w:p>
        </w:tc>
        <w:tc>
          <w:tcPr>
            <w:tcW w:w="8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11.75</w:t>
            </w:r>
          </w:p>
        </w:tc>
        <w:tc>
          <w:tcPr>
            <w:tcW w:w="80" w:type="dxa"/>
            <w:vAlign w:val="bottom"/>
            <w:shd w:val="clear" w:color="auto" w:fill="DBDBDB"/>
          </w:tcPr>
          <w:p>
            <w:pPr>
              <w:spacing w:after="0"/>
              <w:rPr>
                <w:sz w:val="14"/>
                <w:szCs w:val="14"/>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52,755</w:t>
            </w:r>
          </w:p>
        </w:tc>
        <w:tc>
          <w:tcPr>
            <w:tcW w:w="8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14.69</w:t>
            </w:r>
          </w:p>
        </w:tc>
        <w:tc>
          <w:tcPr>
            <w:tcW w:w="0" w:type="dxa"/>
            <w:vAlign w:val="bottom"/>
          </w:tcPr>
          <w:p>
            <w:pPr>
              <w:spacing w:after="0"/>
              <w:rPr>
                <w:sz w:val="1"/>
                <w:szCs w:val="1"/>
                <w:color w:val="auto"/>
              </w:rPr>
            </w:pPr>
          </w:p>
        </w:tc>
      </w:tr>
      <w:tr>
        <w:trPr>
          <w:trHeight w:val="159"/>
        </w:trPr>
        <w:tc>
          <w:tcPr>
            <w:tcW w:w="3780" w:type="dxa"/>
            <w:vAlign w:val="bottom"/>
          </w:tcPr>
          <w:p>
            <w:pPr>
              <w:ind w:left="660"/>
              <w:spacing w:after="0"/>
              <w:rPr>
                <w:sz w:val="20"/>
                <w:szCs w:val="20"/>
                <w:color w:val="auto"/>
              </w:rPr>
            </w:pPr>
            <w:r>
              <w:rPr>
                <w:rFonts w:ascii="Arial" w:cs="Arial" w:eastAsia="Arial" w:hAnsi="Arial"/>
                <w:sz w:val="12"/>
                <w:szCs w:val="12"/>
                <w:color w:val="auto"/>
              </w:rPr>
              <w:t>Granted</w:t>
            </w:r>
          </w:p>
        </w:tc>
        <w:tc>
          <w:tcPr>
            <w:tcW w:w="1580" w:type="dxa"/>
            <w:vAlign w:val="bottom"/>
          </w:tcPr>
          <w:p>
            <w:pPr>
              <w:jc w:val="right"/>
              <w:spacing w:after="0"/>
              <w:rPr>
                <w:sz w:val="20"/>
                <w:szCs w:val="20"/>
                <w:color w:val="auto"/>
              </w:rPr>
            </w:pPr>
            <w:r>
              <w:rPr>
                <w:rFonts w:ascii="Arial" w:cs="Arial" w:eastAsia="Arial" w:hAnsi="Arial"/>
                <w:sz w:val="12"/>
                <w:szCs w:val="12"/>
                <w:color w:val="auto"/>
              </w:rPr>
              <w:t>44,708</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29.30</w:t>
            </w:r>
          </w:p>
        </w:tc>
        <w:tc>
          <w:tcPr>
            <w:tcW w:w="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65,959</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11.75</w:t>
            </w:r>
          </w:p>
        </w:tc>
        <w:tc>
          <w:tcPr>
            <w:tcW w:w="0" w:type="dxa"/>
            <w:vAlign w:val="bottom"/>
          </w:tcPr>
          <w:p>
            <w:pPr>
              <w:spacing w:after="0"/>
              <w:rPr>
                <w:sz w:val="1"/>
                <w:szCs w:val="1"/>
                <w:color w:val="auto"/>
              </w:rPr>
            </w:pPr>
          </w:p>
        </w:tc>
      </w:tr>
      <w:tr>
        <w:trPr>
          <w:trHeight w:val="164"/>
        </w:trPr>
        <w:tc>
          <w:tcPr>
            <w:tcW w:w="3780" w:type="dxa"/>
            <w:vAlign w:val="bottom"/>
            <w:shd w:val="clear" w:color="auto" w:fill="DBDBDB"/>
          </w:tcPr>
          <w:p>
            <w:pPr>
              <w:ind w:left="660"/>
              <w:spacing w:after="0"/>
              <w:rPr>
                <w:sz w:val="20"/>
                <w:szCs w:val="20"/>
                <w:color w:val="auto"/>
              </w:rPr>
            </w:pPr>
            <w:r>
              <w:rPr>
                <w:rFonts w:ascii="Arial" w:cs="Arial" w:eastAsia="Arial" w:hAnsi="Arial"/>
                <w:sz w:val="12"/>
                <w:szCs w:val="12"/>
                <w:color w:val="auto"/>
              </w:rPr>
              <w:t>Forfeited</w:t>
            </w:r>
          </w:p>
        </w:tc>
        <w:tc>
          <w:tcPr>
            <w:tcW w:w="1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(4,266)</w:t>
            </w:r>
          </w:p>
        </w:tc>
        <w:tc>
          <w:tcPr>
            <w:tcW w:w="8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29.30</w:t>
            </w:r>
          </w:p>
        </w:tc>
        <w:tc>
          <w:tcPr>
            <w:tcW w:w="80" w:type="dxa"/>
            <w:vAlign w:val="bottom"/>
            <w:shd w:val="clear" w:color="auto" w:fill="DBDBDB"/>
          </w:tcPr>
          <w:p>
            <w:pPr>
              <w:spacing w:after="0"/>
              <w:rPr>
                <w:sz w:val="14"/>
                <w:szCs w:val="14"/>
                <w:color w:val="auto"/>
              </w:rPr>
            </w:pPr>
          </w:p>
        </w:tc>
        <w:tc>
          <w:tcPr>
            <w:tcW w:w="168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14"/>
                <w:szCs w:val="14"/>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3780" w:type="dxa"/>
            <w:vAlign w:val="bottom"/>
            <w:tcBorders>
              <w:bottom w:val="single" w:sz="8" w:color="DBDBDB"/>
            </w:tcBorders>
          </w:tcPr>
          <w:p>
            <w:pPr>
              <w:ind w:left="660"/>
              <w:spacing w:after="0"/>
              <w:rPr>
                <w:sz w:val="20"/>
                <w:szCs w:val="20"/>
                <w:color w:val="auto"/>
              </w:rPr>
            </w:pPr>
            <w:r>
              <w:rPr>
                <w:rFonts w:ascii="Arial" w:cs="Arial" w:eastAsia="Arial" w:hAnsi="Arial"/>
                <w:sz w:val="12"/>
                <w:szCs w:val="12"/>
                <w:color w:val="auto"/>
              </w:rPr>
              <w:t>Vested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(57,448)</w:t>
            </w:r>
          </w:p>
        </w:tc>
        <w:tc>
          <w:tcPr>
            <w:tcW w:w="80" w:type="dxa"/>
            <w:vAlign w:val="bottom"/>
            <w:tcBorders>
              <w:bottom w:val="single" w:sz="8" w:color="DBDBDB"/>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11.75</w:t>
            </w:r>
          </w:p>
        </w:tc>
        <w:tc>
          <w:tcPr>
            <w:tcW w:w="80" w:type="dxa"/>
            <w:vAlign w:val="bottom"/>
            <w:tcBorders>
              <w:bottom w:val="single" w:sz="8" w:color="DBDBDB"/>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(52,755)</w:t>
            </w:r>
          </w:p>
        </w:tc>
        <w:tc>
          <w:tcPr>
            <w:tcW w:w="80" w:type="dxa"/>
            <w:vAlign w:val="bottom"/>
            <w:tcBorders>
              <w:bottom w:val="single" w:sz="8" w:color="DBDBDB"/>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14.69</w:t>
            </w:r>
          </w:p>
        </w:tc>
        <w:tc>
          <w:tcPr>
            <w:tcW w:w="0" w:type="dxa"/>
            <w:vAlign w:val="bottom"/>
          </w:tcPr>
          <w:p>
            <w:pPr>
              <w:spacing w:after="0"/>
              <w:rPr>
                <w:sz w:val="1"/>
                <w:szCs w:val="1"/>
                <w:color w:val="auto"/>
              </w:rPr>
            </w:pPr>
          </w:p>
        </w:tc>
      </w:tr>
      <w:tr>
        <w:trPr>
          <w:trHeight w:val="176"/>
        </w:trPr>
        <w:tc>
          <w:tcPr>
            <w:tcW w:w="3780" w:type="dxa"/>
            <w:vAlign w:val="bottom"/>
            <w:tcBorders>
              <w:bottom w:val="single" w:sz="8" w:color="DBDBDB"/>
            </w:tcBorders>
            <w:shd w:val="clear" w:color="auto" w:fill="DBDBDB"/>
          </w:tcPr>
          <w:p>
            <w:pPr>
              <w:ind w:left="500"/>
              <w:spacing w:after="0"/>
              <w:rPr>
                <w:sz w:val="20"/>
                <w:szCs w:val="20"/>
                <w:color w:val="auto"/>
              </w:rPr>
            </w:pPr>
            <w:r>
              <w:rPr>
                <w:rFonts w:ascii="Arial" w:cs="Arial" w:eastAsia="Arial" w:hAnsi="Arial"/>
                <w:sz w:val="12"/>
                <w:szCs w:val="12"/>
                <w:color w:val="auto"/>
              </w:rPr>
              <w:t>Balance June 30,</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40,442</w:t>
            </w:r>
          </w:p>
        </w:tc>
        <w:tc>
          <w:tcPr>
            <w:tcW w:w="80" w:type="dxa"/>
            <w:vAlign w:val="bottom"/>
            <w:tcBorders>
              <w:bottom w:val="single" w:sz="8" w:color="DBDBDB"/>
            </w:tcBorders>
            <w:shd w:val="clear" w:color="auto" w:fill="DBDBDB"/>
          </w:tcPr>
          <w:p>
            <w:pPr>
              <w:spacing w:after="0"/>
              <w:rPr>
                <w:sz w:val="14"/>
                <w:szCs w:val="14"/>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29.30</w:t>
            </w:r>
          </w:p>
        </w:tc>
        <w:tc>
          <w:tcPr>
            <w:tcW w:w="80" w:type="dxa"/>
            <w:vAlign w:val="bottom"/>
            <w:tcBorders>
              <w:bottom w:val="single" w:sz="8" w:color="DBDBDB"/>
            </w:tcBorders>
            <w:shd w:val="clear" w:color="auto" w:fill="DBDBDB"/>
          </w:tcPr>
          <w:p>
            <w:pPr>
              <w:spacing w:after="0"/>
              <w:rPr>
                <w:sz w:val="14"/>
                <w:szCs w:val="14"/>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65,959</w:t>
            </w:r>
          </w:p>
        </w:tc>
        <w:tc>
          <w:tcPr>
            <w:tcW w:w="80" w:type="dxa"/>
            <w:vAlign w:val="bottom"/>
            <w:tcBorders>
              <w:bottom w:val="single" w:sz="8" w:color="DBDBDB"/>
            </w:tcBorders>
            <w:shd w:val="clear" w:color="auto" w:fill="DBDBDB"/>
          </w:tcPr>
          <w:p>
            <w:pPr>
              <w:spacing w:after="0"/>
              <w:rPr>
                <w:sz w:val="14"/>
                <w:szCs w:val="14"/>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11.75</w:t>
            </w:r>
          </w:p>
        </w:tc>
        <w:tc>
          <w:tcPr>
            <w:tcW w:w="0" w:type="dxa"/>
            <w:vAlign w:val="bottom"/>
          </w:tcPr>
          <w:p>
            <w:pPr>
              <w:spacing w:after="0"/>
              <w:rPr>
                <w:sz w:val="1"/>
                <w:szCs w:val="1"/>
                <w:color w:val="auto"/>
              </w:rPr>
            </w:pPr>
          </w:p>
        </w:tc>
      </w:tr>
      <w:tr>
        <w:trPr>
          <w:trHeight w:val="20"/>
        </w:trPr>
        <w:tc>
          <w:tcPr>
            <w:tcW w:w="378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Compensation expense for RSAs recognized in SG&amp;A on the condensed consolidated statements of operations was $0.1 million and $0.3 million for the three months ended June 30, 2021 and 2020, respectively. Compensation expense for RSAs recognized in SG&amp;A on the condensed consolidated statements of operations was $0.3 million and $0.5 million for the six months ended June 30, 2021 and 2020, respectively. At June 30, 2021, there was $1.1 million of unrecognized compensation cost related to RSAs that is expected to be recognized over the remaining weighted average vesting period of 1.0 years.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Time-Based RSUs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summarizes the Company's Time-Based RSU activity as of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760" w:type="dxa"/>
            <w:vAlign w:val="bottom"/>
            <w:shd w:val="clear" w:color="auto" w:fill="1D2758"/>
          </w:tcPr>
          <w:p>
            <w:pPr>
              <w:spacing w:after="0"/>
              <w:rPr>
                <w:sz w:val="13"/>
                <w:szCs w:val="13"/>
                <w:color w:val="auto"/>
              </w:rPr>
            </w:pPr>
          </w:p>
        </w:tc>
        <w:tc>
          <w:tcPr>
            <w:tcW w:w="160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58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2021</w:t>
            </w:r>
          </w:p>
        </w:tc>
        <w:tc>
          <w:tcPr>
            <w:tcW w:w="146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160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58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2020</w:t>
            </w:r>
          </w:p>
        </w:tc>
        <w:tc>
          <w:tcPr>
            <w:tcW w:w="146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760" w:type="dxa"/>
            <w:vAlign w:val="bottom"/>
            <w:shd w:val="clear" w:color="auto" w:fill="1D2758"/>
          </w:tcPr>
          <w:p>
            <w:pPr>
              <w:spacing w:after="0"/>
              <w:rPr>
                <w:sz w:val="10"/>
                <w:szCs w:val="10"/>
                <w:color w:val="auto"/>
              </w:rPr>
            </w:pPr>
          </w:p>
        </w:tc>
        <w:tc>
          <w:tcPr>
            <w:tcW w:w="1680" w:type="dxa"/>
            <w:vAlign w:val="bottom"/>
            <w:gridSpan w:val="2"/>
            <w:vMerge w:val="restart"/>
            <w:shd w:val="clear" w:color="auto" w:fill="1D2758"/>
          </w:tcPr>
          <w:p>
            <w:pPr>
              <w:ind w:left="520"/>
              <w:spacing w:after="0"/>
              <w:rPr>
                <w:sz w:val="20"/>
                <w:szCs w:val="20"/>
                <w:color w:val="auto"/>
              </w:rPr>
            </w:pPr>
            <w:r>
              <w:rPr>
                <w:rFonts w:ascii="Arial" w:cs="Arial" w:eastAsia="Arial" w:hAnsi="Arial"/>
                <w:sz w:val="12"/>
                <w:szCs w:val="12"/>
                <w:b w:val="1"/>
                <w:bCs w:val="1"/>
                <w:color w:val="FFFFFF"/>
              </w:rPr>
              <w:t>Number of Shares</w:t>
            </w:r>
          </w:p>
        </w:tc>
        <w:tc>
          <w:tcPr>
            <w:tcW w:w="2040" w:type="dxa"/>
            <w:vAlign w:val="bottom"/>
            <w:gridSpan w:val="2"/>
            <w:shd w:val="clear" w:color="auto" w:fill="1D2758"/>
          </w:tcPr>
          <w:p>
            <w:pPr>
              <w:jc w:val="right"/>
              <w:ind w:right="19"/>
              <w:spacing w:after="0" w:line="121" w:lineRule="exact"/>
              <w:rPr>
                <w:sz w:val="20"/>
                <w:szCs w:val="20"/>
                <w:color w:val="auto"/>
              </w:rPr>
            </w:pPr>
            <w:r>
              <w:rPr>
                <w:rFonts w:ascii="Arial" w:cs="Arial" w:eastAsia="Arial" w:hAnsi="Arial"/>
                <w:sz w:val="12"/>
                <w:szCs w:val="12"/>
                <w:b w:val="1"/>
                <w:bCs w:val="1"/>
                <w:color w:val="FFFFFF"/>
              </w:rPr>
              <w:t>Weighted-Average Grant</w:t>
            </w:r>
          </w:p>
        </w:tc>
        <w:tc>
          <w:tcPr>
            <w:tcW w:w="80" w:type="dxa"/>
            <w:vAlign w:val="bottom"/>
            <w:shd w:val="clear" w:color="auto" w:fill="1D2758"/>
          </w:tcPr>
          <w:p>
            <w:pPr>
              <w:spacing w:after="0"/>
              <w:rPr>
                <w:sz w:val="10"/>
                <w:szCs w:val="10"/>
                <w:color w:val="auto"/>
              </w:rPr>
            </w:pPr>
          </w:p>
        </w:tc>
        <w:tc>
          <w:tcPr>
            <w:tcW w:w="1680" w:type="dxa"/>
            <w:vAlign w:val="bottom"/>
            <w:gridSpan w:val="2"/>
            <w:vMerge w:val="restart"/>
            <w:shd w:val="clear" w:color="auto" w:fill="1D2758"/>
          </w:tcPr>
          <w:p>
            <w:pPr>
              <w:ind w:left="520"/>
              <w:spacing w:after="0"/>
              <w:rPr>
                <w:sz w:val="20"/>
                <w:szCs w:val="20"/>
                <w:color w:val="auto"/>
              </w:rPr>
            </w:pPr>
            <w:r>
              <w:rPr>
                <w:rFonts w:ascii="Arial" w:cs="Arial" w:eastAsia="Arial" w:hAnsi="Arial"/>
                <w:sz w:val="12"/>
                <w:szCs w:val="12"/>
                <w:b w:val="1"/>
                <w:bCs w:val="1"/>
                <w:color w:val="FFFFFF"/>
              </w:rPr>
              <w:t>Number of Shares</w:t>
            </w:r>
          </w:p>
        </w:tc>
        <w:tc>
          <w:tcPr>
            <w:tcW w:w="2040" w:type="dxa"/>
            <w:vAlign w:val="bottom"/>
            <w:gridSpan w:val="2"/>
            <w:shd w:val="clear" w:color="auto" w:fill="1D2758"/>
          </w:tcPr>
          <w:p>
            <w:pPr>
              <w:jc w:val="right"/>
              <w:spacing w:after="0" w:line="121" w:lineRule="exact"/>
              <w:rPr>
                <w:sz w:val="20"/>
                <w:szCs w:val="20"/>
                <w:color w:val="auto"/>
              </w:rPr>
            </w:pPr>
            <w:r>
              <w:rPr>
                <w:rFonts w:ascii="Arial" w:cs="Arial" w:eastAsia="Arial" w:hAnsi="Arial"/>
                <w:sz w:val="12"/>
                <w:szCs w:val="12"/>
                <w:b w:val="1"/>
                <w:bCs w:val="1"/>
                <w:color w:val="FFFFFF"/>
              </w:rPr>
              <w:t>Weighted-Average Grant</w:t>
            </w:r>
          </w:p>
        </w:tc>
        <w:tc>
          <w:tcPr>
            <w:tcW w:w="0" w:type="dxa"/>
            <w:vAlign w:val="bottom"/>
          </w:tcPr>
          <w:p>
            <w:pPr>
              <w:spacing w:after="0"/>
              <w:rPr>
                <w:sz w:val="1"/>
                <w:szCs w:val="1"/>
                <w:color w:val="auto"/>
              </w:rPr>
            </w:pPr>
          </w:p>
        </w:tc>
      </w:tr>
      <w:tr>
        <w:trPr>
          <w:trHeight w:val="161"/>
        </w:trPr>
        <w:tc>
          <w:tcPr>
            <w:tcW w:w="3760" w:type="dxa"/>
            <w:vAlign w:val="bottom"/>
            <w:shd w:val="clear" w:color="auto" w:fill="1D2758"/>
          </w:tcPr>
          <w:p>
            <w:pPr>
              <w:spacing w:after="0"/>
              <w:rPr>
                <w:sz w:val="14"/>
                <w:szCs w:val="14"/>
                <w:color w:val="auto"/>
              </w:rPr>
            </w:pPr>
          </w:p>
        </w:tc>
        <w:tc>
          <w:tcPr>
            <w:tcW w:w="1680" w:type="dxa"/>
            <w:vAlign w:val="bottom"/>
            <w:gridSpan w:val="2"/>
            <w:vMerge w:val="continue"/>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1460" w:type="dxa"/>
            <w:vAlign w:val="bottom"/>
            <w:shd w:val="clear" w:color="auto" w:fill="1D2758"/>
          </w:tcPr>
          <w:p>
            <w:pPr>
              <w:jc w:val="right"/>
              <w:ind w:right="519"/>
              <w:spacing w:after="0"/>
              <w:rPr>
                <w:sz w:val="20"/>
                <w:szCs w:val="20"/>
                <w:color w:val="auto"/>
              </w:rPr>
            </w:pPr>
            <w:r>
              <w:rPr>
                <w:rFonts w:ascii="Arial" w:cs="Arial" w:eastAsia="Arial" w:hAnsi="Arial"/>
                <w:sz w:val="12"/>
                <w:szCs w:val="12"/>
                <w:b w:val="1"/>
                <w:bCs w:val="1"/>
                <w:color w:val="FFFFFF"/>
                <w:w w:val="99"/>
              </w:rPr>
              <w:t>Date Fair Value</w:t>
            </w:r>
          </w:p>
        </w:tc>
        <w:tc>
          <w:tcPr>
            <w:tcW w:w="80" w:type="dxa"/>
            <w:vAlign w:val="bottom"/>
            <w:shd w:val="clear" w:color="auto" w:fill="1D2758"/>
          </w:tcPr>
          <w:p>
            <w:pPr>
              <w:spacing w:after="0"/>
              <w:rPr>
                <w:sz w:val="14"/>
                <w:szCs w:val="14"/>
                <w:color w:val="auto"/>
              </w:rPr>
            </w:pPr>
          </w:p>
        </w:tc>
        <w:tc>
          <w:tcPr>
            <w:tcW w:w="1680" w:type="dxa"/>
            <w:vAlign w:val="bottom"/>
            <w:gridSpan w:val="2"/>
            <w:vMerge w:val="continue"/>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1460" w:type="dxa"/>
            <w:vAlign w:val="bottom"/>
            <w:shd w:val="clear" w:color="auto" w:fill="1D2758"/>
          </w:tcPr>
          <w:p>
            <w:pPr>
              <w:jc w:val="right"/>
              <w:ind w:right="519"/>
              <w:spacing w:after="0"/>
              <w:rPr>
                <w:sz w:val="20"/>
                <w:szCs w:val="20"/>
                <w:color w:val="auto"/>
              </w:rPr>
            </w:pPr>
            <w:r>
              <w:rPr>
                <w:rFonts w:ascii="Arial" w:cs="Arial" w:eastAsia="Arial" w:hAnsi="Arial"/>
                <w:sz w:val="12"/>
                <w:szCs w:val="12"/>
                <w:b w:val="1"/>
                <w:bCs w:val="1"/>
                <w:color w:val="FFFFFF"/>
                <w:w w:val="99"/>
              </w:rPr>
              <w:t>Date Fair Value</w:t>
            </w:r>
          </w:p>
        </w:tc>
        <w:tc>
          <w:tcPr>
            <w:tcW w:w="0" w:type="dxa"/>
            <w:vAlign w:val="bottom"/>
          </w:tcPr>
          <w:p>
            <w:pPr>
              <w:spacing w:after="0"/>
              <w:rPr>
                <w:sz w:val="1"/>
                <w:szCs w:val="1"/>
                <w:color w:val="auto"/>
              </w:rPr>
            </w:pPr>
          </w:p>
        </w:tc>
      </w:tr>
      <w:tr>
        <w:trPr>
          <w:trHeight w:val="161"/>
        </w:trPr>
        <w:tc>
          <w:tcPr>
            <w:tcW w:w="3760" w:type="dxa"/>
            <w:vAlign w:val="bottom"/>
            <w:shd w:val="clear" w:color="auto" w:fill="DDDDDD"/>
          </w:tcPr>
          <w:p>
            <w:pPr>
              <w:ind w:left="500"/>
              <w:spacing w:after="0"/>
              <w:rPr>
                <w:sz w:val="20"/>
                <w:szCs w:val="20"/>
                <w:color w:val="auto"/>
              </w:rPr>
            </w:pPr>
            <w:r>
              <w:rPr>
                <w:rFonts w:ascii="Arial" w:cs="Arial" w:eastAsia="Arial" w:hAnsi="Arial"/>
                <w:sz w:val="12"/>
                <w:szCs w:val="12"/>
                <w:color w:val="auto"/>
              </w:rPr>
              <w:t>Balance December 31,</w:t>
            </w:r>
          </w:p>
        </w:tc>
        <w:tc>
          <w:tcPr>
            <w:tcW w:w="16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1,125,766</w:t>
            </w:r>
          </w:p>
        </w:tc>
        <w:tc>
          <w:tcPr>
            <w:tcW w:w="8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13.44</w:t>
            </w:r>
          </w:p>
        </w:tc>
        <w:tc>
          <w:tcPr>
            <w:tcW w:w="1680" w:type="dxa"/>
            <w:vAlign w:val="bottom"/>
            <w:gridSpan w:val="2"/>
            <w:shd w:val="clear" w:color="auto" w:fill="DDDDDD"/>
          </w:tcPr>
          <w:p>
            <w:pPr>
              <w:jc w:val="right"/>
              <w:spacing w:after="0"/>
              <w:rPr>
                <w:sz w:val="20"/>
                <w:szCs w:val="20"/>
                <w:color w:val="auto"/>
              </w:rPr>
            </w:pPr>
            <w:r>
              <w:rPr>
                <w:rFonts w:ascii="Arial" w:cs="Arial" w:eastAsia="Arial" w:hAnsi="Arial"/>
                <w:sz w:val="12"/>
                <w:szCs w:val="12"/>
                <w:color w:val="auto"/>
              </w:rPr>
              <w:t>1,065,305</w:t>
            </w:r>
          </w:p>
        </w:tc>
        <w:tc>
          <w:tcPr>
            <w:tcW w:w="80" w:type="dxa"/>
            <w:vAlign w:val="bottom"/>
            <w:shd w:val="clear" w:color="auto" w:fill="DDDDDD"/>
          </w:tcPr>
          <w:p>
            <w:pPr>
              <w:spacing w:after="0"/>
              <w:rPr>
                <w:sz w:val="14"/>
                <w:szCs w:val="14"/>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12.78</w:t>
            </w:r>
          </w:p>
        </w:tc>
        <w:tc>
          <w:tcPr>
            <w:tcW w:w="0" w:type="dxa"/>
            <w:vAlign w:val="bottom"/>
          </w:tcPr>
          <w:p>
            <w:pPr>
              <w:spacing w:after="0"/>
              <w:rPr>
                <w:sz w:val="1"/>
                <w:szCs w:val="1"/>
                <w:color w:val="auto"/>
              </w:rPr>
            </w:pPr>
          </w:p>
        </w:tc>
      </w:tr>
      <w:tr>
        <w:trPr>
          <w:trHeight w:val="159"/>
        </w:trPr>
        <w:tc>
          <w:tcPr>
            <w:tcW w:w="3760" w:type="dxa"/>
            <w:vAlign w:val="bottom"/>
          </w:tcPr>
          <w:p>
            <w:pPr>
              <w:ind w:left="660"/>
              <w:spacing w:after="0"/>
              <w:rPr>
                <w:sz w:val="20"/>
                <w:szCs w:val="20"/>
                <w:color w:val="auto"/>
              </w:rPr>
            </w:pPr>
            <w:r>
              <w:rPr>
                <w:rFonts w:ascii="Arial" w:cs="Arial" w:eastAsia="Arial" w:hAnsi="Arial"/>
                <w:sz w:val="12"/>
                <w:szCs w:val="12"/>
                <w:color w:val="auto"/>
              </w:rPr>
              <w:t>Granted</w:t>
            </w:r>
          </w:p>
        </w:tc>
        <w:tc>
          <w:tcPr>
            <w:tcW w:w="1600" w:type="dxa"/>
            <w:vAlign w:val="bottom"/>
          </w:tcPr>
          <w:p>
            <w:pPr>
              <w:jc w:val="right"/>
              <w:spacing w:after="0"/>
              <w:rPr>
                <w:sz w:val="20"/>
                <w:szCs w:val="20"/>
                <w:color w:val="auto"/>
              </w:rPr>
            </w:pPr>
            <w:r>
              <w:rPr>
                <w:rFonts w:ascii="Arial" w:cs="Arial" w:eastAsia="Arial" w:hAnsi="Arial"/>
                <w:sz w:val="12"/>
                <w:szCs w:val="12"/>
                <w:color w:val="auto"/>
              </w:rPr>
              <w:t>405,505</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27.20</w:t>
            </w:r>
          </w:p>
        </w:tc>
        <w:tc>
          <w:tcPr>
            <w:tcW w:w="1680" w:type="dxa"/>
            <w:vAlign w:val="bottom"/>
            <w:gridSpan w:val="2"/>
          </w:tcPr>
          <w:p>
            <w:pPr>
              <w:jc w:val="right"/>
              <w:spacing w:after="0"/>
              <w:rPr>
                <w:sz w:val="20"/>
                <w:szCs w:val="20"/>
                <w:color w:val="auto"/>
              </w:rPr>
            </w:pPr>
            <w:r>
              <w:rPr>
                <w:rFonts w:ascii="Arial" w:cs="Arial" w:eastAsia="Arial" w:hAnsi="Arial"/>
                <w:sz w:val="12"/>
                <w:szCs w:val="12"/>
                <w:color w:val="auto"/>
              </w:rPr>
              <w:t>174,020</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16.78</w:t>
            </w:r>
          </w:p>
        </w:tc>
        <w:tc>
          <w:tcPr>
            <w:tcW w:w="0" w:type="dxa"/>
            <w:vAlign w:val="bottom"/>
          </w:tcPr>
          <w:p>
            <w:pPr>
              <w:spacing w:after="0"/>
              <w:rPr>
                <w:sz w:val="1"/>
                <w:szCs w:val="1"/>
                <w:color w:val="auto"/>
              </w:rPr>
            </w:pPr>
          </w:p>
        </w:tc>
      </w:tr>
      <w:tr>
        <w:trPr>
          <w:trHeight w:val="164"/>
        </w:trPr>
        <w:tc>
          <w:tcPr>
            <w:tcW w:w="3760" w:type="dxa"/>
            <w:vAlign w:val="bottom"/>
            <w:shd w:val="clear" w:color="auto" w:fill="DDDDDD"/>
          </w:tcPr>
          <w:p>
            <w:pPr>
              <w:ind w:left="660"/>
              <w:spacing w:after="0"/>
              <w:rPr>
                <w:sz w:val="20"/>
                <w:szCs w:val="20"/>
                <w:color w:val="auto"/>
              </w:rPr>
            </w:pPr>
            <w:r>
              <w:rPr>
                <w:rFonts w:ascii="Arial" w:cs="Arial" w:eastAsia="Arial" w:hAnsi="Arial"/>
                <w:sz w:val="12"/>
                <w:szCs w:val="12"/>
                <w:color w:val="auto"/>
              </w:rPr>
              <w:t>Forfeited</w:t>
            </w:r>
          </w:p>
        </w:tc>
        <w:tc>
          <w:tcPr>
            <w:tcW w:w="16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(65,153)</w:t>
            </w:r>
          </w:p>
        </w:tc>
        <w:tc>
          <w:tcPr>
            <w:tcW w:w="8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16.74</w:t>
            </w:r>
          </w:p>
        </w:tc>
        <w:tc>
          <w:tcPr>
            <w:tcW w:w="1680" w:type="dxa"/>
            <w:vAlign w:val="bottom"/>
            <w:gridSpan w:val="2"/>
            <w:shd w:val="clear" w:color="auto" w:fill="DDDDDD"/>
          </w:tcPr>
          <w:p>
            <w:pPr>
              <w:jc w:val="right"/>
              <w:spacing w:after="0"/>
              <w:rPr>
                <w:sz w:val="20"/>
                <w:szCs w:val="20"/>
                <w:color w:val="auto"/>
              </w:rPr>
            </w:pPr>
            <w:r>
              <w:rPr>
                <w:rFonts w:ascii="Arial" w:cs="Arial" w:eastAsia="Arial" w:hAnsi="Arial"/>
                <w:sz w:val="12"/>
                <w:szCs w:val="12"/>
                <w:color w:val="auto"/>
              </w:rPr>
              <w:t>(15,106)</w:t>
            </w:r>
          </w:p>
        </w:tc>
        <w:tc>
          <w:tcPr>
            <w:tcW w:w="80" w:type="dxa"/>
            <w:vAlign w:val="bottom"/>
            <w:shd w:val="clear" w:color="auto" w:fill="DDDDDD"/>
          </w:tcPr>
          <w:p>
            <w:pPr>
              <w:spacing w:after="0"/>
              <w:rPr>
                <w:sz w:val="14"/>
                <w:szCs w:val="14"/>
                <w:color w:val="auto"/>
              </w:rPr>
            </w:pPr>
          </w:p>
        </w:tc>
        <w:tc>
          <w:tcPr>
            <w:tcW w:w="580" w:type="dxa"/>
            <w:vAlign w:val="bottom"/>
            <w:shd w:val="clear" w:color="auto" w:fill="DDDDDD"/>
          </w:tcPr>
          <w:p>
            <w:pPr>
              <w:spacing w:after="0"/>
              <w:rPr>
                <w:sz w:val="14"/>
                <w:szCs w:val="14"/>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13.45</w:t>
            </w:r>
          </w:p>
        </w:tc>
        <w:tc>
          <w:tcPr>
            <w:tcW w:w="0" w:type="dxa"/>
            <w:vAlign w:val="bottom"/>
          </w:tcPr>
          <w:p>
            <w:pPr>
              <w:spacing w:after="0"/>
              <w:rPr>
                <w:sz w:val="1"/>
                <w:szCs w:val="1"/>
                <w:color w:val="auto"/>
              </w:rPr>
            </w:pPr>
          </w:p>
        </w:tc>
      </w:tr>
      <w:tr>
        <w:trPr>
          <w:trHeight w:val="159"/>
        </w:trPr>
        <w:tc>
          <w:tcPr>
            <w:tcW w:w="3760" w:type="dxa"/>
            <w:vAlign w:val="bottom"/>
            <w:tcBorders>
              <w:bottom w:val="single" w:sz="8" w:color="DDDDDD"/>
            </w:tcBorders>
          </w:tcPr>
          <w:p>
            <w:pPr>
              <w:ind w:left="660"/>
              <w:spacing w:after="0"/>
              <w:rPr>
                <w:sz w:val="20"/>
                <w:szCs w:val="20"/>
                <w:color w:val="auto"/>
              </w:rPr>
            </w:pPr>
            <w:r>
              <w:rPr>
                <w:rFonts w:ascii="Arial" w:cs="Arial" w:eastAsia="Arial" w:hAnsi="Arial"/>
                <w:sz w:val="12"/>
                <w:szCs w:val="12"/>
                <w:color w:val="auto"/>
              </w:rPr>
              <w:t>Vested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(147,592)</w:t>
            </w:r>
          </w:p>
        </w:tc>
        <w:tc>
          <w:tcPr>
            <w:tcW w:w="80" w:type="dxa"/>
            <w:vAlign w:val="bottom"/>
            <w:tcBorders>
              <w:bottom w:val="single" w:sz="8" w:color="DBDBDB"/>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12.90</w:t>
            </w:r>
          </w:p>
        </w:tc>
        <w:tc>
          <w:tcPr>
            <w:tcW w:w="80" w:type="dxa"/>
            <w:vAlign w:val="bottom"/>
            <w:tcBorders>
              <w:bottom w:val="single" w:sz="8" w:color="DDDDDD"/>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(323,678)</w:t>
            </w:r>
          </w:p>
        </w:tc>
        <w:tc>
          <w:tcPr>
            <w:tcW w:w="80" w:type="dxa"/>
            <w:vAlign w:val="bottom"/>
            <w:tcBorders>
              <w:bottom w:val="single" w:sz="8" w:color="DDDDDD"/>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12.93</w:t>
            </w:r>
          </w:p>
        </w:tc>
        <w:tc>
          <w:tcPr>
            <w:tcW w:w="0" w:type="dxa"/>
            <w:vAlign w:val="bottom"/>
          </w:tcPr>
          <w:p>
            <w:pPr>
              <w:spacing w:after="0"/>
              <w:rPr>
                <w:sz w:val="1"/>
                <w:szCs w:val="1"/>
                <w:color w:val="auto"/>
              </w:rPr>
            </w:pPr>
          </w:p>
        </w:tc>
      </w:tr>
      <w:tr>
        <w:trPr>
          <w:trHeight w:val="171"/>
        </w:trPr>
        <w:tc>
          <w:tcPr>
            <w:tcW w:w="3760" w:type="dxa"/>
            <w:vAlign w:val="bottom"/>
            <w:shd w:val="clear" w:color="auto" w:fill="DDDDDD"/>
          </w:tcPr>
          <w:p>
            <w:pPr>
              <w:ind w:left="500"/>
              <w:spacing w:after="0"/>
              <w:rPr>
                <w:sz w:val="20"/>
                <w:szCs w:val="20"/>
                <w:color w:val="auto"/>
              </w:rPr>
            </w:pPr>
            <w:r>
              <w:rPr>
                <w:rFonts w:ascii="Arial" w:cs="Arial" w:eastAsia="Arial" w:hAnsi="Arial"/>
                <w:sz w:val="12"/>
                <w:szCs w:val="12"/>
                <w:color w:val="auto"/>
              </w:rPr>
              <w:t>Balance June 30,</w:t>
            </w:r>
          </w:p>
        </w:tc>
        <w:tc>
          <w:tcPr>
            <w:tcW w:w="16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1,318,526</w:t>
            </w:r>
          </w:p>
        </w:tc>
        <w:tc>
          <w:tcPr>
            <w:tcW w:w="8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17.57</w:t>
            </w:r>
          </w:p>
        </w:tc>
        <w:tc>
          <w:tcPr>
            <w:tcW w:w="1680" w:type="dxa"/>
            <w:vAlign w:val="bottom"/>
            <w:gridSpan w:val="2"/>
            <w:shd w:val="clear" w:color="auto" w:fill="DDDDDD"/>
          </w:tcPr>
          <w:p>
            <w:pPr>
              <w:jc w:val="right"/>
              <w:spacing w:after="0"/>
              <w:rPr>
                <w:sz w:val="20"/>
                <w:szCs w:val="20"/>
                <w:color w:val="auto"/>
              </w:rPr>
            </w:pPr>
            <w:r>
              <w:rPr>
                <w:rFonts w:ascii="Arial" w:cs="Arial" w:eastAsia="Arial" w:hAnsi="Arial"/>
                <w:sz w:val="12"/>
                <w:szCs w:val="12"/>
                <w:color w:val="auto"/>
              </w:rPr>
              <w:t>900,541</w:t>
            </w:r>
          </w:p>
        </w:tc>
        <w:tc>
          <w:tcPr>
            <w:tcW w:w="80" w:type="dxa"/>
            <w:vAlign w:val="bottom"/>
            <w:shd w:val="clear" w:color="auto" w:fill="DDDDDD"/>
          </w:tcPr>
          <w:p>
            <w:pPr>
              <w:spacing w:after="0"/>
              <w:rPr>
                <w:sz w:val="14"/>
                <w:szCs w:val="14"/>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13.49</w:t>
            </w:r>
          </w:p>
        </w:tc>
        <w:tc>
          <w:tcPr>
            <w:tcW w:w="0" w:type="dxa"/>
            <w:vAlign w:val="bottom"/>
          </w:tcPr>
          <w:p>
            <w:pPr>
              <w:spacing w:after="0"/>
              <w:rPr>
                <w:sz w:val="1"/>
                <w:szCs w:val="1"/>
                <w:color w:val="auto"/>
              </w:rPr>
            </w:pPr>
          </w:p>
        </w:tc>
      </w:tr>
      <w:tr>
        <w:trPr>
          <w:trHeight w:val="20"/>
        </w:trPr>
        <w:tc>
          <w:tcPr>
            <w:tcW w:w="3760" w:type="dxa"/>
            <w:vAlign w:val="bottom"/>
            <w:tcBorders>
              <w:top w:val="single" w:sz="8" w:color="DDDDDD"/>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Compensation expense for Time-Based RSUs recognized in SG&amp;A on the condensed consolidated statements of operations was $2.4 million and $1.2 million for the three months ended June 30, 2021 and 2020, respectively. Compensation expense for RSUs recognized in SG&amp;A on the condensed consolidated statements of operations was $4.3 million and $2.2 million for the six months ended June 30, 2021</w:t>
      </w:r>
    </w:p>
    <w:p>
      <w:pPr>
        <w:spacing w:after="0" w:line="2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and 2020, respectively. At June 30, 2021, unrecognized compensation cost related to Time-Based RSUs totaled $17.4 million and is expected to be recognized over the remaining weighted average vesting period of 2.6 years.</w:t>
      </w:r>
    </w:p>
    <w:p>
      <w:pPr>
        <w:spacing w:after="0" w:line="15"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Included in restructuring costs for the three and six months ended June 30, 2021 was expense of approximately $3.5 million and $4.8 million, respectively, recognized as a result of the modification of certain RSUs associated with the Transition, Separation and Release Agreement entered into on February 25, 2021 with the Company's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541020</wp:posOffset>
            </wp:positionV>
            <wp:extent cx="719264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color w:val="auto"/>
        </w:rPr>
        <w:t>Performance-Based RSUs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20" w:type="dxa"/>
            <w:vAlign w:val="bottom"/>
            <w:gridSpan w:val="4"/>
          </w:tcPr>
          <w:p>
            <w:pPr>
              <w:ind w:left="480"/>
              <w:spacing w:after="0"/>
              <w:rPr>
                <w:sz w:val="20"/>
                <w:szCs w:val="20"/>
                <w:color w:val="auto"/>
              </w:rPr>
            </w:pPr>
            <w:r>
              <w:rPr>
                <w:rFonts w:ascii="Arial" w:cs="Arial" w:eastAsia="Arial" w:hAnsi="Arial"/>
                <w:sz w:val="12"/>
                <w:szCs w:val="12"/>
                <w:color w:val="auto"/>
              </w:rPr>
              <w:t>The following table summarizes the Company's Performance-Based RSU award activity as of June 30,:</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760" w:type="dxa"/>
            <w:vAlign w:val="bottom"/>
            <w:shd w:val="clear" w:color="auto" w:fill="1D2758"/>
          </w:tcPr>
          <w:p>
            <w:pPr>
              <w:spacing w:after="0"/>
              <w:rPr>
                <w:sz w:val="14"/>
                <w:szCs w:val="14"/>
                <w:color w:val="auto"/>
              </w:rPr>
            </w:pPr>
          </w:p>
        </w:tc>
        <w:tc>
          <w:tcPr>
            <w:tcW w:w="16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58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2021</w:t>
            </w:r>
          </w:p>
        </w:tc>
        <w:tc>
          <w:tcPr>
            <w:tcW w:w="14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6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58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2020</w:t>
            </w:r>
          </w:p>
        </w:tc>
        <w:tc>
          <w:tcPr>
            <w:tcW w:w="146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760" w:type="dxa"/>
            <w:vAlign w:val="bottom"/>
            <w:shd w:val="clear" w:color="auto" w:fill="1D2758"/>
          </w:tcPr>
          <w:p>
            <w:pPr>
              <w:spacing w:after="0"/>
              <w:rPr>
                <w:sz w:val="10"/>
                <w:szCs w:val="10"/>
                <w:color w:val="auto"/>
              </w:rPr>
            </w:pPr>
          </w:p>
        </w:tc>
        <w:tc>
          <w:tcPr>
            <w:tcW w:w="1680" w:type="dxa"/>
            <w:vAlign w:val="bottom"/>
            <w:gridSpan w:val="2"/>
            <w:vMerge w:val="restart"/>
            <w:shd w:val="clear" w:color="auto" w:fill="1D2758"/>
          </w:tcPr>
          <w:p>
            <w:pPr>
              <w:ind w:left="520"/>
              <w:spacing w:after="0"/>
              <w:rPr>
                <w:sz w:val="20"/>
                <w:szCs w:val="20"/>
                <w:color w:val="auto"/>
              </w:rPr>
            </w:pPr>
            <w:r>
              <w:rPr>
                <w:rFonts w:ascii="Arial" w:cs="Arial" w:eastAsia="Arial" w:hAnsi="Arial"/>
                <w:sz w:val="12"/>
                <w:szCs w:val="12"/>
                <w:b w:val="1"/>
                <w:bCs w:val="1"/>
                <w:color w:val="FFFFFF"/>
              </w:rPr>
              <w:t>Number of Shares</w:t>
            </w:r>
          </w:p>
        </w:tc>
        <w:tc>
          <w:tcPr>
            <w:tcW w:w="2040" w:type="dxa"/>
            <w:vAlign w:val="bottom"/>
            <w:gridSpan w:val="2"/>
            <w:shd w:val="clear" w:color="auto" w:fill="1D2758"/>
          </w:tcPr>
          <w:p>
            <w:pPr>
              <w:jc w:val="right"/>
              <w:ind w:right="19"/>
              <w:spacing w:after="0" w:line="123" w:lineRule="exact"/>
              <w:rPr>
                <w:sz w:val="20"/>
                <w:szCs w:val="20"/>
                <w:color w:val="auto"/>
              </w:rPr>
            </w:pPr>
            <w:r>
              <w:rPr>
                <w:rFonts w:ascii="Arial" w:cs="Arial" w:eastAsia="Arial" w:hAnsi="Arial"/>
                <w:sz w:val="12"/>
                <w:szCs w:val="12"/>
                <w:b w:val="1"/>
                <w:bCs w:val="1"/>
                <w:color w:val="FFFFFF"/>
              </w:rPr>
              <w:t>Weighted-Average Grant</w:t>
            </w:r>
          </w:p>
        </w:tc>
        <w:tc>
          <w:tcPr>
            <w:tcW w:w="80" w:type="dxa"/>
            <w:vAlign w:val="bottom"/>
            <w:shd w:val="clear" w:color="auto" w:fill="1D2758"/>
          </w:tcPr>
          <w:p>
            <w:pPr>
              <w:spacing w:after="0"/>
              <w:rPr>
                <w:sz w:val="10"/>
                <w:szCs w:val="10"/>
                <w:color w:val="auto"/>
              </w:rPr>
            </w:pPr>
          </w:p>
        </w:tc>
        <w:tc>
          <w:tcPr>
            <w:tcW w:w="1680" w:type="dxa"/>
            <w:vAlign w:val="bottom"/>
            <w:gridSpan w:val="2"/>
            <w:vMerge w:val="restart"/>
            <w:shd w:val="clear" w:color="auto" w:fill="1D2758"/>
          </w:tcPr>
          <w:p>
            <w:pPr>
              <w:ind w:left="520"/>
              <w:spacing w:after="0"/>
              <w:rPr>
                <w:sz w:val="20"/>
                <w:szCs w:val="20"/>
                <w:color w:val="auto"/>
              </w:rPr>
            </w:pPr>
            <w:r>
              <w:rPr>
                <w:rFonts w:ascii="Arial" w:cs="Arial" w:eastAsia="Arial" w:hAnsi="Arial"/>
                <w:sz w:val="12"/>
                <w:szCs w:val="12"/>
                <w:b w:val="1"/>
                <w:bCs w:val="1"/>
                <w:color w:val="FFFFFF"/>
              </w:rPr>
              <w:t>Number of Shares</w:t>
            </w:r>
          </w:p>
        </w:tc>
        <w:tc>
          <w:tcPr>
            <w:tcW w:w="2040" w:type="dxa"/>
            <w:vAlign w:val="bottom"/>
            <w:gridSpan w:val="2"/>
            <w:shd w:val="clear" w:color="auto" w:fill="1D2758"/>
          </w:tcPr>
          <w:p>
            <w:pPr>
              <w:jc w:val="right"/>
              <w:spacing w:after="0" w:line="123" w:lineRule="exact"/>
              <w:rPr>
                <w:sz w:val="20"/>
                <w:szCs w:val="20"/>
                <w:color w:val="auto"/>
              </w:rPr>
            </w:pPr>
            <w:r>
              <w:rPr>
                <w:rFonts w:ascii="Arial" w:cs="Arial" w:eastAsia="Arial" w:hAnsi="Arial"/>
                <w:sz w:val="12"/>
                <w:szCs w:val="12"/>
                <w:b w:val="1"/>
                <w:bCs w:val="1"/>
                <w:color w:val="FFFFFF"/>
              </w:rPr>
              <w:t>Weighted-Average Grant</w:t>
            </w:r>
          </w:p>
        </w:tc>
        <w:tc>
          <w:tcPr>
            <w:tcW w:w="0" w:type="dxa"/>
            <w:vAlign w:val="bottom"/>
          </w:tcPr>
          <w:p>
            <w:pPr>
              <w:spacing w:after="0"/>
              <w:rPr>
                <w:sz w:val="1"/>
                <w:szCs w:val="1"/>
                <w:color w:val="auto"/>
              </w:rPr>
            </w:pPr>
          </w:p>
        </w:tc>
      </w:tr>
      <w:tr>
        <w:trPr>
          <w:trHeight w:val="161"/>
        </w:trPr>
        <w:tc>
          <w:tcPr>
            <w:tcW w:w="3760" w:type="dxa"/>
            <w:vAlign w:val="bottom"/>
            <w:shd w:val="clear" w:color="auto" w:fill="1D2758"/>
          </w:tcPr>
          <w:p>
            <w:pPr>
              <w:spacing w:after="0"/>
              <w:rPr>
                <w:sz w:val="14"/>
                <w:szCs w:val="14"/>
                <w:color w:val="auto"/>
              </w:rPr>
            </w:pPr>
          </w:p>
        </w:tc>
        <w:tc>
          <w:tcPr>
            <w:tcW w:w="1680" w:type="dxa"/>
            <w:vAlign w:val="bottom"/>
            <w:gridSpan w:val="2"/>
            <w:vMerge w:val="continue"/>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1460" w:type="dxa"/>
            <w:vAlign w:val="bottom"/>
            <w:shd w:val="clear" w:color="auto" w:fill="1D2758"/>
          </w:tcPr>
          <w:p>
            <w:pPr>
              <w:jc w:val="right"/>
              <w:ind w:right="519"/>
              <w:spacing w:after="0"/>
              <w:rPr>
                <w:sz w:val="20"/>
                <w:szCs w:val="20"/>
                <w:color w:val="auto"/>
              </w:rPr>
            </w:pPr>
            <w:r>
              <w:rPr>
                <w:rFonts w:ascii="Arial" w:cs="Arial" w:eastAsia="Arial" w:hAnsi="Arial"/>
                <w:sz w:val="12"/>
                <w:szCs w:val="12"/>
                <w:b w:val="1"/>
                <w:bCs w:val="1"/>
                <w:color w:val="FFFFFF"/>
                <w:w w:val="99"/>
              </w:rPr>
              <w:t>Date Fair Value</w:t>
            </w:r>
          </w:p>
        </w:tc>
        <w:tc>
          <w:tcPr>
            <w:tcW w:w="80" w:type="dxa"/>
            <w:vAlign w:val="bottom"/>
            <w:shd w:val="clear" w:color="auto" w:fill="1D2758"/>
          </w:tcPr>
          <w:p>
            <w:pPr>
              <w:spacing w:after="0"/>
              <w:rPr>
                <w:sz w:val="14"/>
                <w:szCs w:val="14"/>
                <w:color w:val="auto"/>
              </w:rPr>
            </w:pPr>
          </w:p>
        </w:tc>
        <w:tc>
          <w:tcPr>
            <w:tcW w:w="1680" w:type="dxa"/>
            <w:vAlign w:val="bottom"/>
            <w:gridSpan w:val="2"/>
            <w:vMerge w:val="continue"/>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1460" w:type="dxa"/>
            <w:vAlign w:val="bottom"/>
            <w:shd w:val="clear" w:color="auto" w:fill="1D2758"/>
          </w:tcPr>
          <w:p>
            <w:pPr>
              <w:jc w:val="right"/>
              <w:ind w:right="519"/>
              <w:spacing w:after="0"/>
              <w:rPr>
                <w:sz w:val="20"/>
                <w:szCs w:val="20"/>
                <w:color w:val="auto"/>
              </w:rPr>
            </w:pPr>
            <w:r>
              <w:rPr>
                <w:rFonts w:ascii="Arial" w:cs="Arial" w:eastAsia="Arial" w:hAnsi="Arial"/>
                <w:sz w:val="12"/>
                <w:szCs w:val="12"/>
                <w:b w:val="1"/>
                <w:bCs w:val="1"/>
                <w:color w:val="FFFFFF"/>
                <w:w w:val="99"/>
              </w:rPr>
              <w:t>Date Fair Value</w:t>
            </w:r>
          </w:p>
        </w:tc>
        <w:tc>
          <w:tcPr>
            <w:tcW w:w="0" w:type="dxa"/>
            <w:vAlign w:val="bottom"/>
          </w:tcPr>
          <w:p>
            <w:pPr>
              <w:spacing w:after="0"/>
              <w:rPr>
                <w:sz w:val="1"/>
                <w:szCs w:val="1"/>
                <w:color w:val="auto"/>
              </w:rPr>
            </w:pPr>
          </w:p>
        </w:tc>
      </w:tr>
      <w:tr>
        <w:trPr>
          <w:trHeight w:val="161"/>
        </w:trPr>
        <w:tc>
          <w:tcPr>
            <w:tcW w:w="3760" w:type="dxa"/>
            <w:vAlign w:val="bottom"/>
            <w:shd w:val="clear" w:color="auto" w:fill="DDDDDD"/>
          </w:tcPr>
          <w:p>
            <w:pPr>
              <w:ind w:left="500"/>
              <w:spacing w:after="0"/>
              <w:rPr>
                <w:sz w:val="20"/>
                <w:szCs w:val="20"/>
                <w:color w:val="auto"/>
              </w:rPr>
            </w:pPr>
            <w:r>
              <w:rPr>
                <w:rFonts w:ascii="Arial" w:cs="Arial" w:eastAsia="Arial" w:hAnsi="Arial"/>
                <w:sz w:val="12"/>
                <w:szCs w:val="12"/>
                <w:color w:val="auto"/>
              </w:rPr>
              <w:t>Balance December 31,</w:t>
            </w:r>
          </w:p>
        </w:tc>
        <w:tc>
          <w:tcPr>
            <w:tcW w:w="1600" w:type="dxa"/>
            <w:vAlign w:val="bottom"/>
            <w:shd w:val="clear" w:color="auto" w:fill="DDDDDD"/>
          </w:tcPr>
          <w:p>
            <w:pPr>
              <w:jc w:val="right"/>
              <w:spacing w:after="0"/>
              <w:rPr>
                <w:sz w:val="20"/>
                <w:szCs w:val="20"/>
                <w:color w:val="auto"/>
              </w:rPr>
            </w:pPr>
            <w:r>
              <w:rPr>
                <w:rFonts w:ascii="Arial" w:cs="Arial" w:eastAsia="Arial" w:hAnsi="Arial"/>
                <w:sz w:val="12"/>
                <w:szCs w:val="12"/>
                <w:color w:val="auto"/>
              </w:rPr>
              <w:t>593,388</w:t>
            </w:r>
          </w:p>
        </w:tc>
        <w:tc>
          <w:tcPr>
            <w:tcW w:w="80" w:type="dxa"/>
            <w:vAlign w:val="bottom"/>
            <w:shd w:val="clear" w:color="auto" w:fill="DDDDDD"/>
          </w:tcPr>
          <w:p>
            <w:pPr>
              <w:spacing w:after="0"/>
              <w:rPr>
                <w:sz w:val="14"/>
                <w:szCs w:val="14"/>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14.88</w:t>
            </w:r>
          </w:p>
        </w:tc>
        <w:tc>
          <w:tcPr>
            <w:tcW w:w="1680" w:type="dxa"/>
            <w:vAlign w:val="bottom"/>
            <w:gridSpan w:val="2"/>
            <w:shd w:val="clear" w:color="auto" w:fill="DDDDDD"/>
          </w:tcPr>
          <w:p>
            <w:pPr>
              <w:jc w:val="right"/>
              <w:spacing w:after="0"/>
              <w:rPr>
                <w:sz w:val="20"/>
                <w:szCs w:val="20"/>
                <w:color w:val="auto"/>
              </w:rPr>
            </w:pPr>
            <w:r>
              <w:rPr>
                <w:rFonts w:ascii="Arial" w:cs="Arial" w:eastAsia="Arial" w:hAnsi="Arial"/>
                <w:sz w:val="12"/>
                <w:szCs w:val="12"/>
                <w:color w:val="auto"/>
              </w:rPr>
              <w:t>288,281</w:t>
            </w:r>
          </w:p>
        </w:tc>
        <w:tc>
          <w:tcPr>
            <w:tcW w:w="80" w:type="dxa"/>
            <w:vAlign w:val="bottom"/>
            <w:shd w:val="clear" w:color="auto" w:fill="DDDDDD"/>
          </w:tcPr>
          <w:p>
            <w:pPr>
              <w:spacing w:after="0"/>
              <w:rPr>
                <w:sz w:val="14"/>
                <w:szCs w:val="14"/>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13.22</w:t>
            </w:r>
          </w:p>
        </w:tc>
        <w:tc>
          <w:tcPr>
            <w:tcW w:w="0" w:type="dxa"/>
            <w:vAlign w:val="bottom"/>
          </w:tcPr>
          <w:p>
            <w:pPr>
              <w:spacing w:after="0"/>
              <w:rPr>
                <w:sz w:val="1"/>
                <w:szCs w:val="1"/>
                <w:color w:val="auto"/>
              </w:rPr>
            </w:pPr>
          </w:p>
        </w:tc>
      </w:tr>
      <w:tr>
        <w:trPr>
          <w:trHeight w:val="159"/>
        </w:trPr>
        <w:tc>
          <w:tcPr>
            <w:tcW w:w="3760" w:type="dxa"/>
            <w:vAlign w:val="bottom"/>
          </w:tcPr>
          <w:p>
            <w:pPr>
              <w:ind w:left="660"/>
              <w:spacing w:after="0"/>
              <w:rPr>
                <w:sz w:val="20"/>
                <w:szCs w:val="20"/>
                <w:color w:val="auto"/>
              </w:rPr>
            </w:pPr>
            <w:r>
              <w:rPr>
                <w:rFonts w:ascii="Arial" w:cs="Arial" w:eastAsia="Arial" w:hAnsi="Arial"/>
                <w:sz w:val="12"/>
                <w:szCs w:val="12"/>
                <w:color w:val="auto"/>
              </w:rPr>
              <w:t>Granted</w:t>
            </w:r>
          </w:p>
        </w:tc>
        <w:tc>
          <w:tcPr>
            <w:tcW w:w="1600" w:type="dxa"/>
            <w:vAlign w:val="bottom"/>
          </w:tcPr>
          <w:p>
            <w:pPr>
              <w:jc w:val="right"/>
              <w:spacing w:after="0"/>
              <w:rPr>
                <w:sz w:val="20"/>
                <w:szCs w:val="20"/>
                <w:color w:val="auto"/>
              </w:rPr>
            </w:pPr>
            <w:r>
              <w:rPr>
                <w:rFonts w:ascii="Arial" w:cs="Arial" w:eastAsia="Arial" w:hAnsi="Arial"/>
                <w:sz w:val="12"/>
                <w:szCs w:val="12"/>
                <w:color w:val="auto"/>
              </w:rPr>
              <w:t>397,981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39.10</w:t>
            </w:r>
          </w:p>
        </w:tc>
        <w:tc>
          <w:tcPr>
            <w:tcW w:w="1680" w:type="dxa"/>
            <w:vAlign w:val="bottom"/>
            <w:gridSpan w:val="2"/>
          </w:tcPr>
          <w:p>
            <w:pPr>
              <w:jc w:val="right"/>
              <w:spacing w:after="0"/>
              <w:rPr>
                <w:sz w:val="20"/>
                <w:szCs w:val="20"/>
                <w:color w:val="auto"/>
              </w:rPr>
            </w:pPr>
            <w:r>
              <w:rPr>
                <w:rFonts w:ascii="Arial" w:cs="Arial" w:eastAsia="Arial" w:hAnsi="Arial"/>
                <w:sz w:val="12"/>
                <w:szCs w:val="12"/>
                <w:color w:val="auto"/>
              </w:rPr>
              <w:t>202,923</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16.82</w:t>
            </w:r>
          </w:p>
        </w:tc>
        <w:tc>
          <w:tcPr>
            <w:tcW w:w="0" w:type="dxa"/>
            <w:vAlign w:val="bottom"/>
          </w:tcPr>
          <w:p>
            <w:pPr>
              <w:spacing w:after="0"/>
              <w:rPr>
                <w:sz w:val="1"/>
                <w:szCs w:val="1"/>
                <w:color w:val="auto"/>
              </w:rPr>
            </w:pPr>
          </w:p>
        </w:tc>
      </w:tr>
      <w:tr>
        <w:trPr>
          <w:trHeight w:val="164"/>
        </w:trPr>
        <w:tc>
          <w:tcPr>
            <w:tcW w:w="3760" w:type="dxa"/>
            <w:vAlign w:val="bottom"/>
            <w:shd w:val="clear" w:color="auto" w:fill="DDDDDD"/>
          </w:tcPr>
          <w:p>
            <w:pPr>
              <w:ind w:left="660"/>
              <w:spacing w:after="0"/>
              <w:rPr>
                <w:sz w:val="20"/>
                <w:szCs w:val="20"/>
                <w:color w:val="auto"/>
              </w:rPr>
            </w:pPr>
            <w:r>
              <w:rPr>
                <w:rFonts w:ascii="Arial" w:cs="Arial" w:eastAsia="Arial" w:hAnsi="Arial"/>
                <w:sz w:val="12"/>
                <w:szCs w:val="12"/>
                <w:color w:val="auto"/>
              </w:rPr>
              <w:t>Forfeited</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(20,077)</w:t>
            </w:r>
          </w:p>
        </w:tc>
        <w:tc>
          <w:tcPr>
            <w:tcW w:w="80" w:type="dxa"/>
            <w:vAlign w:val="bottom"/>
            <w:shd w:val="clear" w:color="auto" w:fill="DBDBDB"/>
          </w:tcPr>
          <w:p>
            <w:pPr>
              <w:spacing w:after="0"/>
              <w:rPr>
                <w:sz w:val="14"/>
                <w:szCs w:val="14"/>
                <w:color w:val="auto"/>
              </w:rPr>
            </w:pPr>
          </w:p>
        </w:tc>
        <w:tc>
          <w:tcPr>
            <w:tcW w:w="580" w:type="dxa"/>
            <w:vAlign w:val="bottom"/>
            <w:tcBorders>
              <w:bottom w:val="single" w:sz="8" w:color="auto"/>
            </w:tcBorders>
            <w:shd w:val="clear" w:color="auto" w:fill="DBDBDB"/>
          </w:tcPr>
          <w:p>
            <w:pPr>
              <w:spacing w:after="0"/>
              <w:rPr>
                <w:sz w:val="14"/>
                <w:szCs w:val="14"/>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25.87</w:t>
            </w:r>
          </w:p>
        </w:tc>
        <w:tc>
          <w:tcPr>
            <w:tcW w:w="80" w:type="dxa"/>
            <w:vAlign w:val="bottom"/>
            <w:shd w:val="clear" w:color="auto" w:fill="DDDDDD"/>
          </w:tcPr>
          <w:p>
            <w:pPr>
              <w:spacing w:after="0"/>
              <w:rPr>
                <w:sz w:val="14"/>
                <w:szCs w:val="14"/>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(12,700)</w:t>
            </w:r>
          </w:p>
        </w:tc>
        <w:tc>
          <w:tcPr>
            <w:tcW w:w="80" w:type="dxa"/>
            <w:vAlign w:val="bottom"/>
            <w:shd w:val="clear" w:color="auto" w:fill="DDDDDD"/>
          </w:tcPr>
          <w:p>
            <w:pPr>
              <w:spacing w:after="0"/>
              <w:rPr>
                <w:sz w:val="14"/>
                <w:szCs w:val="14"/>
                <w:color w:val="auto"/>
              </w:rPr>
            </w:pPr>
          </w:p>
        </w:tc>
        <w:tc>
          <w:tcPr>
            <w:tcW w:w="580" w:type="dxa"/>
            <w:vAlign w:val="bottom"/>
            <w:tcBorders>
              <w:bottom w:val="single" w:sz="8" w:color="auto"/>
            </w:tcBorders>
            <w:shd w:val="clear" w:color="auto" w:fill="DDDDDD"/>
          </w:tcPr>
          <w:p>
            <w:pPr>
              <w:spacing w:after="0"/>
              <w:rPr>
                <w:sz w:val="14"/>
                <w:szCs w:val="14"/>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14.70</w:t>
            </w:r>
          </w:p>
        </w:tc>
        <w:tc>
          <w:tcPr>
            <w:tcW w:w="0" w:type="dxa"/>
            <w:vAlign w:val="bottom"/>
          </w:tcPr>
          <w:p>
            <w:pPr>
              <w:spacing w:after="0"/>
              <w:rPr>
                <w:sz w:val="1"/>
                <w:szCs w:val="1"/>
                <w:color w:val="auto"/>
              </w:rPr>
            </w:pPr>
          </w:p>
        </w:tc>
      </w:tr>
      <w:tr>
        <w:trPr>
          <w:trHeight w:val="149"/>
        </w:trPr>
        <w:tc>
          <w:tcPr>
            <w:tcW w:w="3760" w:type="dxa"/>
            <w:vAlign w:val="bottom"/>
          </w:tcPr>
          <w:p>
            <w:pPr>
              <w:ind w:left="500"/>
              <w:spacing w:after="0"/>
              <w:rPr>
                <w:sz w:val="20"/>
                <w:szCs w:val="20"/>
                <w:color w:val="auto"/>
              </w:rPr>
            </w:pPr>
            <w:r>
              <w:rPr>
                <w:rFonts w:ascii="Arial" w:cs="Arial" w:eastAsia="Arial" w:hAnsi="Arial"/>
                <w:sz w:val="12"/>
                <w:szCs w:val="12"/>
                <w:color w:val="auto"/>
              </w:rPr>
              <w:t>Balance June 30,</w:t>
            </w:r>
          </w:p>
        </w:tc>
        <w:tc>
          <w:tcPr>
            <w:tcW w:w="1600" w:type="dxa"/>
            <w:vAlign w:val="bottom"/>
          </w:tcPr>
          <w:p>
            <w:pPr>
              <w:jc w:val="right"/>
              <w:spacing w:after="0"/>
              <w:rPr>
                <w:sz w:val="20"/>
                <w:szCs w:val="20"/>
                <w:color w:val="auto"/>
              </w:rPr>
            </w:pPr>
            <w:r>
              <w:rPr>
                <w:rFonts w:ascii="Arial" w:cs="Arial" w:eastAsia="Arial" w:hAnsi="Arial"/>
                <w:sz w:val="12"/>
                <w:szCs w:val="12"/>
                <w:color w:val="auto"/>
              </w:rPr>
              <w:t>971,292</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60" w:type="dxa"/>
            <w:vAlign w:val="bottom"/>
          </w:tcPr>
          <w:p>
            <w:pPr>
              <w:jc w:val="right"/>
              <w:spacing w:after="0"/>
              <w:rPr>
                <w:sz w:val="20"/>
                <w:szCs w:val="20"/>
                <w:color w:val="auto"/>
              </w:rPr>
            </w:pPr>
            <w:r>
              <w:rPr>
                <w:rFonts w:ascii="Arial" w:cs="Arial" w:eastAsia="Arial" w:hAnsi="Arial"/>
                <w:sz w:val="12"/>
                <w:szCs w:val="12"/>
                <w:color w:val="auto"/>
              </w:rPr>
              <w:t>24.56</w:t>
            </w:r>
          </w:p>
        </w:tc>
        <w:tc>
          <w:tcPr>
            <w:tcW w:w="1680" w:type="dxa"/>
            <w:vAlign w:val="bottom"/>
            <w:gridSpan w:val="2"/>
          </w:tcPr>
          <w:p>
            <w:pPr>
              <w:jc w:val="right"/>
              <w:spacing w:after="0"/>
              <w:rPr>
                <w:sz w:val="20"/>
                <w:szCs w:val="20"/>
                <w:color w:val="auto"/>
              </w:rPr>
            </w:pPr>
            <w:r>
              <w:rPr>
                <w:rFonts w:ascii="Arial" w:cs="Arial" w:eastAsia="Arial" w:hAnsi="Arial"/>
                <w:sz w:val="12"/>
                <w:szCs w:val="12"/>
                <w:color w:val="auto"/>
              </w:rPr>
              <w:t>478,504</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60" w:type="dxa"/>
            <w:vAlign w:val="bottom"/>
          </w:tcPr>
          <w:p>
            <w:pPr>
              <w:jc w:val="right"/>
              <w:spacing w:after="0"/>
              <w:rPr>
                <w:sz w:val="20"/>
                <w:szCs w:val="20"/>
                <w:color w:val="auto"/>
              </w:rPr>
            </w:pPr>
            <w:r>
              <w:rPr>
                <w:rFonts w:ascii="Arial" w:cs="Arial" w:eastAsia="Arial" w:hAnsi="Arial"/>
                <w:sz w:val="12"/>
                <w:szCs w:val="12"/>
                <w:color w:val="auto"/>
              </w:rPr>
              <w:t>14.71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Compensation expense for Performance-Based RSUs recognized in SG&amp;A on the condensed consolidated statements of operations was $2.0 million and $0.6 million for the three months ended June 30, 2021 and 2020, respectively. Compensation expense for Performance-Based RSUs recognized in SG&amp;A on the condensed consolidated statements of operations was $3.1 million and $0.9 million for the six months ended June 30, 2021 and 2020, respectively. At June 30, 2021, unrecognized compensation cost related to Performance-Based RSUs totaled $16.3 million and is expected to be recognized over the remaining vesting period of 1.9 years.</w:t>
      </w:r>
    </w:p>
    <w:p>
      <w:pPr>
        <w:spacing w:after="0" w:line="33"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Included in restructuring costs for the three and six months ended June 30, 2021 was expense of approximately $0.8 million and $1.0 million, respectively, recognized as a result of the modification of certain Performance-Based RSUs associated with the Transition, Separation and Release Agreement entered into on February 25, 2021 with the Company's President and Chief Operating Officer.</w:t>
      </w:r>
    </w:p>
    <w:p>
      <w:pPr>
        <w:spacing w:after="0" w:line="26"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Performance-Based RSUs cliff vest based on achievement of the relative total stockholder return ("TSR") of the Company's Common Stock as compared to the TSR of the constituents in an index at the grant date over the performance period of three years.</w:t>
      </w:r>
    </w:p>
    <w:p>
      <w:pPr>
        <w:spacing w:after="0" w:line="26"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For 2021 grants, the TSR of the Company's Common Stock is compared to the TSR of the constituents in the S&amp;P 400 Index. The target number of RSUs may be adjusted from 0% to 200% based on the TSR attainment levels defined by the Company's Compensation Committee. The 100% target payout is tied to performance at the 50% percentile, with a payout curve ranging from 0% (for performance less than the 25% percentile) to 200% (for performance above the 85% percentile).</w:t>
      </w:r>
    </w:p>
    <w:p>
      <w:pPr>
        <w:spacing w:after="0" w:line="29"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For grants in 2020 and prior, the TSR of the Company's Common Stock is compared to the TSR of constituents in the Russell 3000 Index. The target number of RSUs may be adjusted from 0% to 150% based on the TSR attainment levels defined by the Company's Compensation Committee. The 100% target payout is tied to performance at the 50% percentile, with a payout curve ranging from 0% (for performance less than the 25% percentile) to 150% (for performance at or above the 75% percentile).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Options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summarizes the Company's stock option activity as of June 30, 2021: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60" w:type="dxa"/>
            <w:vAlign w:val="bottom"/>
            <w:shd w:val="clear" w:color="auto" w:fill="1D2758"/>
          </w:tcPr>
          <w:p>
            <w:pPr>
              <w:spacing w:after="0"/>
              <w:rPr>
                <w:sz w:val="12"/>
                <w:szCs w:val="12"/>
                <w:color w:val="auto"/>
              </w:rPr>
            </w:pPr>
          </w:p>
        </w:tc>
        <w:tc>
          <w:tcPr>
            <w:tcW w:w="1660" w:type="dxa"/>
            <w:vAlign w:val="bottom"/>
            <w:gridSpan w:val="2"/>
            <w:vMerge w:val="restart"/>
            <w:shd w:val="clear" w:color="auto" w:fill="1D2758"/>
          </w:tcPr>
          <w:p>
            <w:pPr>
              <w:ind w:left="560"/>
              <w:spacing w:after="0"/>
              <w:rPr>
                <w:sz w:val="20"/>
                <w:szCs w:val="20"/>
                <w:color w:val="auto"/>
              </w:rPr>
            </w:pPr>
            <w:r>
              <w:rPr>
                <w:rFonts w:ascii="Arial" w:cs="Arial" w:eastAsia="Arial" w:hAnsi="Arial"/>
                <w:sz w:val="12"/>
                <w:szCs w:val="12"/>
                <w:b w:val="1"/>
                <w:bCs w:val="1"/>
                <w:color w:val="FFFFFF"/>
              </w:rPr>
              <w:t>WillScot Options</w:t>
            </w:r>
          </w:p>
        </w:tc>
        <w:tc>
          <w:tcPr>
            <w:tcW w:w="660" w:type="dxa"/>
            <w:vAlign w:val="bottom"/>
            <w:shd w:val="clear" w:color="auto" w:fill="1D2758"/>
          </w:tcPr>
          <w:p>
            <w:pPr>
              <w:spacing w:after="0"/>
              <w:rPr>
                <w:sz w:val="12"/>
                <w:szCs w:val="12"/>
                <w:color w:val="auto"/>
              </w:rPr>
            </w:pPr>
          </w:p>
        </w:tc>
        <w:tc>
          <w:tcPr>
            <w:tcW w:w="1460" w:type="dxa"/>
            <w:vAlign w:val="bottom"/>
            <w:gridSpan w:val="2"/>
            <w:shd w:val="clear" w:color="auto" w:fill="1D2758"/>
          </w:tcPr>
          <w:p>
            <w:pPr>
              <w:ind w:left="80"/>
              <w:spacing w:after="0"/>
              <w:rPr>
                <w:sz w:val="20"/>
                <w:szCs w:val="20"/>
                <w:color w:val="auto"/>
              </w:rPr>
            </w:pPr>
            <w:r>
              <w:rPr>
                <w:rFonts w:ascii="Arial" w:cs="Arial" w:eastAsia="Arial" w:hAnsi="Arial"/>
                <w:sz w:val="12"/>
                <w:szCs w:val="12"/>
                <w:b w:val="1"/>
                <w:bCs w:val="1"/>
                <w:color w:val="FFFFFF"/>
              </w:rPr>
              <w:t>Weighted-Average</w:t>
            </w:r>
          </w:p>
        </w:tc>
        <w:tc>
          <w:tcPr>
            <w:tcW w:w="1700" w:type="dxa"/>
            <w:vAlign w:val="bottom"/>
            <w:gridSpan w:val="2"/>
            <w:shd w:val="clear" w:color="auto" w:fill="1D2758"/>
          </w:tcPr>
          <w:p>
            <w:pPr>
              <w:ind w:left="760"/>
              <w:spacing w:after="0"/>
              <w:rPr>
                <w:sz w:val="20"/>
                <w:szCs w:val="20"/>
                <w:color w:val="auto"/>
              </w:rPr>
            </w:pPr>
            <w:r>
              <w:rPr>
                <w:rFonts w:ascii="Arial" w:cs="Arial" w:eastAsia="Arial" w:hAnsi="Arial"/>
                <w:sz w:val="12"/>
                <w:szCs w:val="12"/>
                <w:b w:val="1"/>
                <w:bCs w:val="1"/>
                <w:color w:val="FFFFFF"/>
              </w:rPr>
              <w:t>Converted</w:t>
            </w:r>
          </w:p>
        </w:tc>
        <w:tc>
          <w:tcPr>
            <w:tcW w:w="660" w:type="dxa"/>
            <w:vAlign w:val="bottom"/>
            <w:shd w:val="clear" w:color="auto" w:fill="1D2758"/>
          </w:tcPr>
          <w:p>
            <w:pPr>
              <w:spacing w:after="0"/>
              <w:rPr>
                <w:sz w:val="12"/>
                <w:szCs w:val="12"/>
                <w:color w:val="auto"/>
              </w:rPr>
            </w:pPr>
          </w:p>
        </w:tc>
        <w:tc>
          <w:tcPr>
            <w:tcW w:w="1380" w:type="dxa"/>
            <w:vAlign w:val="bottom"/>
            <w:shd w:val="clear" w:color="auto" w:fill="1D2758"/>
          </w:tcPr>
          <w:p>
            <w:pPr>
              <w:jc w:val="right"/>
              <w:ind w:right="179"/>
              <w:spacing w:after="0"/>
              <w:rPr>
                <w:sz w:val="20"/>
                <w:szCs w:val="20"/>
                <w:color w:val="auto"/>
              </w:rPr>
            </w:pPr>
            <w:r>
              <w:rPr>
                <w:rFonts w:ascii="Arial" w:cs="Arial" w:eastAsia="Arial" w:hAnsi="Arial"/>
                <w:sz w:val="12"/>
                <w:szCs w:val="12"/>
                <w:b w:val="1"/>
                <w:bCs w:val="1"/>
                <w:color w:val="FFFFFF"/>
              </w:rPr>
              <w:t>Weighted-Average</w:t>
            </w:r>
          </w:p>
        </w:tc>
        <w:tc>
          <w:tcPr>
            <w:tcW w:w="0" w:type="dxa"/>
            <w:vAlign w:val="bottom"/>
          </w:tcPr>
          <w:p>
            <w:pPr>
              <w:spacing w:after="0"/>
              <w:rPr>
                <w:sz w:val="1"/>
                <w:szCs w:val="1"/>
                <w:color w:val="auto"/>
              </w:rPr>
            </w:pPr>
          </w:p>
        </w:tc>
      </w:tr>
      <w:tr>
        <w:trPr>
          <w:trHeight w:val="161"/>
        </w:trPr>
        <w:tc>
          <w:tcPr>
            <w:tcW w:w="3760" w:type="dxa"/>
            <w:vAlign w:val="bottom"/>
            <w:shd w:val="clear" w:color="auto" w:fill="1D2758"/>
          </w:tcPr>
          <w:p>
            <w:pPr>
              <w:spacing w:after="0"/>
              <w:rPr>
                <w:sz w:val="14"/>
                <w:szCs w:val="14"/>
                <w:color w:val="auto"/>
              </w:rPr>
            </w:pPr>
          </w:p>
        </w:tc>
        <w:tc>
          <w:tcPr>
            <w:tcW w:w="1660" w:type="dxa"/>
            <w:vAlign w:val="bottom"/>
            <w:gridSpan w:val="2"/>
            <w:vMerge w:val="continue"/>
            <w:shd w:val="clear" w:color="auto" w:fill="1D2758"/>
          </w:tcPr>
          <w:p>
            <w:pPr>
              <w:spacing w:after="0"/>
              <w:rPr>
                <w:sz w:val="14"/>
                <w:szCs w:val="14"/>
                <w:color w:val="auto"/>
              </w:rPr>
            </w:pPr>
          </w:p>
        </w:tc>
        <w:tc>
          <w:tcPr>
            <w:tcW w:w="2120" w:type="dxa"/>
            <w:vAlign w:val="bottom"/>
            <w:gridSpan w:val="3"/>
            <w:shd w:val="clear" w:color="auto" w:fill="1D2758"/>
          </w:tcPr>
          <w:p>
            <w:pPr>
              <w:ind w:left="320"/>
              <w:spacing w:after="0"/>
              <w:rPr>
                <w:sz w:val="20"/>
                <w:szCs w:val="20"/>
                <w:color w:val="auto"/>
              </w:rPr>
            </w:pPr>
            <w:r>
              <w:rPr>
                <w:rFonts w:ascii="Arial" w:cs="Arial" w:eastAsia="Arial" w:hAnsi="Arial"/>
                <w:sz w:val="12"/>
                <w:szCs w:val="12"/>
                <w:b w:val="1"/>
                <w:bCs w:val="1"/>
                <w:color w:val="FFFFFF"/>
              </w:rPr>
              <w:t>Exercise Price per Share</w:t>
            </w:r>
          </w:p>
        </w:tc>
        <w:tc>
          <w:tcPr>
            <w:tcW w:w="1700" w:type="dxa"/>
            <w:vAlign w:val="bottom"/>
            <w:gridSpan w:val="2"/>
            <w:shd w:val="clear" w:color="auto" w:fill="1D2758"/>
          </w:tcPr>
          <w:p>
            <w:pPr>
              <w:ind w:left="240"/>
              <w:spacing w:after="0"/>
              <w:rPr>
                <w:sz w:val="20"/>
                <w:szCs w:val="20"/>
                <w:color w:val="auto"/>
              </w:rPr>
            </w:pPr>
            <w:r>
              <w:rPr>
                <w:rFonts w:ascii="Arial" w:cs="Arial" w:eastAsia="Arial" w:hAnsi="Arial"/>
                <w:sz w:val="12"/>
                <w:szCs w:val="12"/>
                <w:b w:val="1"/>
                <w:bCs w:val="1"/>
                <w:color w:val="FFFFFF"/>
              </w:rPr>
              <w:t>Mobile Mini Options</w:t>
            </w:r>
          </w:p>
        </w:tc>
        <w:tc>
          <w:tcPr>
            <w:tcW w:w="2040" w:type="dxa"/>
            <w:vAlign w:val="bottom"/>
            <w:gridSpan w:val="2"/>
            <w:shd w:val="clear" w:color="auto" w:fill="1D2758"/>
          </w:tcPr>
          <w:p>
            <w:pPr>
              <w:jc w:val="right"/>
              <w:ind w:right="239"/>
              <w:spacing w:after="0"/>
              <w:rPr>
                <w:sz w:val="20"/>
                <w:szCs w:val="20"/>
                <w:color w:val="auto"/>
              </w:rPr>
            </w:pPr>
            <w:r>
              <w:rPr>
                <w:rFonts w:ascii="Arial" w:cs="Arial" w:eastAsia="Arial" w:hAnsi="Arial"/>
                <w:sz w:val="12"/>
                <w:szCs w:val="12"/>
                <w:b w:val="1"/>
                <w:bCs w:val="1"/>
                <w:color w:val="FFFFFF"/>
              </w:rPr>
              <w:t>Exercise Price per Share</w:t>
            </w:r>
          </w:p>
        </w:tc>
        <w:tc>
          <w:tcPr>
            <w:tcW w:w="0" w:type="dxa"/>
            <w:vAlign w:val="bottom"/>
          </w:tcPr>
          <w:p>
            <w:pPr>
              <w:spacing w:after="0"/>
              <w:rPr>
                <w:sz w:val="1"/>
                <w:szCs w:val="1"/>
                <w:color w:val="auto"/>
              </w:rPr>
            </w:pPr>
          </w:p>
        </w:tc>
      </w:tr>
      <w:tr>
        <w:trPr>
          <w:trHeight w:val="161"/>
        </w:trPr>
        <w:tc>
          <w:tcPr>
            <w:tcW w:w="3760" w:type="dxa"/>
            <w:vAlign w:val="bottom"/>
            <w:shd w:val="clear" w:color="auto" w:fill="DDDDDD"/>
          </w:tcPr>
          <w:p>
            <w:pPr>
              <w:ind w:left="500"/>
              <w:spacing w:after="0"/>
              <w:rPr>
                <w:sz w:val="20"/>
                <w:szCs w:val="20"/>
                <w:color w:val="auto"/>
              </w:rPr>
            </w:pPr>
            <w:r>
              <w:rPr>
                <w:rFonts w:ascii="Arial" w:cs="Arial" w:eastAsia="Arial" w:hAnsi="Arial"/>
                <w:sz w:val="12"/>
                <w:szCs w:val="12"/>
                <w:color w:val="auto"/>
              </w:rPr>
              <w:t>Balance December 31 , 2020</w:t>
            </w:r>
          </w:p>
        </w:tc>
        <w:tc>
          <w:tcPr>
            <w:tcW w:w="15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534,188</w:t>
            </w:r>
          </w:p>
        </w:tc>
        <w:tc>
          <w:tcPr>
            <w:tcW w:w="80" w:type="dxa"/>
            <w:vAlign w:val="bottom"/>
            <w:shd w:val="clear" w:color="auto" w:fill="DDDDDD"/>
          </w:tcPr>
          <w:p>
            <w:pPr>
              <w:spacing w:after="0"/>
              <w:rPr>
                <w:sz w:val="14"/>
                <w:szCs w:val="14"/>
                <w:color w:val="auto"/>
              </w:rPr>
            </w:pPr>
          </w:p>
        </w:tc>
        <w:tc>
          <w:tcPr>
            <w:tcW w:w="660" w:type="dxa"/>
            <w:vAlign w:val="bottom"/>
            <w:shd w:val="clear" w:color="auto" w:fill="DDDDDD"/>
          </w:tcPr>
          <w:p>
            <w:pPr>
              <w:jc w:val="right"/>
              <w:ind w:right="19"/>
              <w:spacing w:after="0"/>
              <w:rPr>
                <w:sz w:val="20"/>
                <w:szCs w:val="20"/>
                <w:color w:val="auto"/>
              </w:rPr>
            </w:pPr>
            <w:r>
              <w:rPr>
                <w:rFonts w:ascii="Arial" w:cs="Arial" w:eastAsia="Arial" w:hAnsi="Arial"/>
                <w:sz w:val="12"/>
                <w:szCs w:val="12"/>
                <w:color w:val="auto"/>
              </w:rPr>
              <w:t>$</w:t>
            </w:r>
          </w:p>
        </w:tc>
        <w:tc>
          <w:tcPr>
            <w:tcW w:w="13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13.60</w:t>
            </w:r>
          </w:p>
        </w:tc>
        <w:tc>
          <w:tcPr>
            <w:tcW w:w="80" w:type="dxa"/>
            <w:vAlign w:val="bottom"/>
            <w:shd w:val="clear" w:color="auto" w:fill="DDDDDD"/>
          </w:tcPr>
          <w:p>
            <w:pPr>
              <w:spacing w:after="0"/>
              <w:rPr>
                <w:sz w:val="14"/>
                <w:szCs w:val="14"/>
                <w:color w:val="auto"/>
              </w:rPr>
            </w:pPr>
          </w:p>
        </w:tc>
        <w:tc>
          <w:tcPr>
            <w:tcW w:w="1620" w:type="dxa"/>
            <w:vAlign w:val="bottom"/>
            <w:shd w:val="clear" w:color="auto" w:fill="DDDDDD"/>
          </w:tcPr>
          <w:p>
            <w:pPr>
              <w:jc w:val="right"/>
              <w:spacing w:after="0"/>
              <w:rPr>
                <w:sz w:val="20"/>
                <w:szCs w:val="20"/>
                <w:color w:val="auto"/>
              </w:rPr>
            </w:pPr>
            <w:r>
              <w:rPr>
                <w:rFonts w:ascii="Arial" w:cs="Arial" w:eastAsia="Arial" w:hAnsi="Arial"/>
                <w:sz w:val="12"/>
                <w:szCs w:val="12"/>
                <w:color w:val="auto"/>
              </w:rPr>
              <w:t>2,031,455</w:t>
            </w:r>
          </w:p>
        </w:tc>
        <w:tc>
          <w:tcPr>
            <w:tcW w:w="80" w:type="dxa"/>
            <w:vAlign w:val="bottom"/>
            <w:shd w:val="clear" w:color="auto" w:fill="DDDDDD"/>
          </w:tcPr>
          <w:p>
            <w:pPr>
              <w:spacing w:after="0"/>
              <w:rPr>
                <w:sz w:val="14"/>
                <w:szCs w:val="14"/>
                <w:color w:val="auto"/>
              </w:rPr>
            </w:pPr>
          </w:p>
        </w:tc>
        <w:tc>
          <w:tcPr>
            <w:tcW w:w="660" w:type="dxa"/>
            <w:vAlign w:val="bottom"/>
            <w:shd w:val="clear" w:color="auto" w:fill="DDDDDD"/>
          </w:tcPr>
          <w:p>
            <w:pPr>
              <w:jc w:val="right"/>
              <w:ind w:right="39"/>
              <w:spacing w:after="0"/>
              <w:rPr>
                <w:sz w:val="20"/>
                <w:szCs w:val="20"/>
                <w:color w:val="auto"/>
              </w:rPr>
            </w:pPr>
            <w:r>
              <w:rPr>
                <w:rFonts w:ascii="Arial" w:cs="Arial" w:eastAsia="Arial" w:hAnsi="Arial"/>
                <w:sz w:val="12"/>
                <w:szCs w:val="12"/>
                <w:color w:val="auto"/>
              </w:rPr>
              <w:t>$</w:t>
            </w:r>
          </w:p>
        </w:tc>
        <w:tc>
          <w:tcPr>
            <w:tcW w:w="13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14.78</w:t>
            </w:r>
          </w:p>
        </w:tc>
        <w:tc>
          <w:tcPr>
            <w:tcW w:w="0" w:type="dxa"/>
            <w:vAlign w:val="bottom"/>
          </w:tcPr>
          <w:p>
            <w:pPr>
              <w:spacing w:after="0"/>
              <w:rPr>
                <w:sz w:val="1"/>
                <w:szCs w:val="1"/>
                <w:color w:val="auto"/>
              </w:rPr>
            </w:pPr>
          </w:p>
        </w:tc>
      </w:tr>
      <w:tr>
        <w:trPr>
          <w:trHeight w:val="159"/>
        </w:trPr>
        <w:tc>
          <w:tcPr>
            <w:tcW w:w="3760" w:type="dxa"/>
            <w:vAlign w:val="bottom"/>
          </w:tcPr>
          <w:p>
            <w:pPr>
              <w:ind w:left="660"/>
              <w:spacing w:after="0"/>
              <w:rPr>
                <w:sz w:val="20"/>
                <w:szCs w:val="20"/>
                <w:color w:val="auto"/>
              </w:rPr>
            </w:pPr>
            <w:r>
              <w:rPr>
                <w:rFonts w:ascii="Arial" w:cs="Arial" w:eastAsia="Arial" w:hAnsi="Arial"/>
                <w:sz w:val="12"/>
                <w:szCs w:val="12"/>
                <w:color w:val="auto"/>
              </w:rPr>
              <w:t>Forfeited</w:t>
            </w:r>
          </w:p>
        </w:tc>
        <w:tc>
          <w:tcPr>
            <w:tcW w:w="1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(6,240)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12.19</w:t>
            </w:r>
          </w:p>
        </w:tc>
        <w:tc>
          <w:tcPr>
            <w:tcW w:w="0" w:type="dxa"/>
            <w:vAlign w:val="bottom"/>
          </w:tcPr>
          <w:p>
            <w:pPr>
              <w:spacing w:after="0"/>
              <w:rPr>
                <w:sz w:val="1"/>
                <w:szCs w:val="1"/>
                <w:color w:val="auto"/>
              </w:rPr>
            </w:pPr>
          </w:p>
        </w:tc>
      </w:tr>
      <w:tr>
        <w:trPr>
          <w:trHeight w:val="164"/>
        </w:trPr>
        <w:tc>
          <w:tcPr>
            <w:tcW w:w="3760" w:type="dxa"/>
            <w:vAlign w:val="bottom"/>
            <w:shd w:val="clear" w:color="auto" w:fill="DDDDDD"/>
          </w:tcPr>
          <w:p>
            <w:pPr>
              <w:ind w:left="660"/>
              <w:spacing w:after="0"/>
              <w:rPr>
                <w:sz w:val="20"/>
                <w:szCs w:val="20"/>
                <w:color w:val="auto"/>
              </w:rPr>
            </w:pPr>
            <w:r>
              <w:rPr>
                <w:rFonts w:ascii="Arial" w:cs="Arial" w:eastAsia="Arial" w:hAnsi="Arial"/>
                <w:sz w:val="12"/>
                <w:szCs w:val="12"/>
                <w:color w:val="auto"/>
              </w:rPr>
              <w:t>Exercised</w:t>
            </w:r>
          </w:p>
        </w:tc>
        <w:tc>
          <w:tcPr>
            <w:tcW w:w="166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shd w:val="clear" w:color="auto" w:fill="DBDBDB"/>
          </w:tcPr>
          <w:p>
            <w:pPr>
              <w:spacing w:after="0"/>
              <w:rPr>
                <w:sz w:val="14"/>
                <w:szCs w:val="14"/>
                <w:color w:val="auto"/>
              </w:rPr>
            </w:pPr>
          </w:p>
        </w:tc>
        <w:tc>
          <w:tcPr>
            <w:tcW w:w="146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1620" w:type="dxa"/>
            <w:vAlign w:val="bottom"/>
            <w:shd w:val="clear" w:color="auto" w:fill="DDDDDD"/>
          </w:tcPr>
          <w:p>
            <w:pPr>
              <w:jc w:val="right"/>
              <w:spacing w:after="0"/>
              <w:rPr>
                <w:sz w:val="20"/>
                <w:szCs w:val="20"/>
                <w:color w:val="auto"/>
              </w:rPr>
            </w:pPr>
            <w:r>
              <w:rPr>
                <w:rFonts w:ascii="Arial" w:cs="Arial" w:eastAsia="Arial" w:hAnsi="Arial"/>
                <w:sz w:val="12"/>
                <w:szCs w:val="12"/>
                <w:color w:val="auto"/>
              </w:rPr>
              <w:t>(373,132)</w:t>
            </w:r>
          </w:p>
        </w:tc>
        <w:tc>
          <w:tcPr>
            <w:tcW w:w="80" w:type="dxa"/>
            <w:vAlign w:val="bottom"/>
            <w:shd w:val="clear" w:color="auto" w:fill="DDDDDD"/>
          </w:tcPr>
          <w:p>
            <w:pPr>
              <w:spacing w:after="0"/>
              <w:rPr>
                <w:sz w:val="14"/>
                <w:szCs w:val="14"/>
                <w:color w:val="auto"/>
              </w:rPr>
            </w:pPr>
          </w:p>
        </w:tc>
        <w:tc>
          <w:tcPr>
            <w:tcW w:w="660" w:type="dxa"/>
            <w:vAlign w:val="bottom"/>
            <w:shd w:val="clear" w:color="auto" w:fill="DDDDDD"/>
          </w:tcPr>
          <w:p>
            <w:pPr>
              <w:spacing w:after="0"/>
              <w:rPr>
                <w:sz w:val="14"/>
                <w:szCs w:val="14"/>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15.77</w:t>
            </w:r>
          </w:p>
        </w:tc>
        <w:tc>
          <w:tcPr>
            <w:tcW w:w="0" w:type="dxa"/>
            <w:vAlign w:val="bottom"/>
          </w:tcPr>
          <w:p>
            <w:pPr>
              <w:spacing w:after="0"/>
              <w:rPr>
                <w:sz w:val="1"/>
                <w:szCs w:val="1"/>
                <w:color w:val="auto"/>
              </w:rPr>
            </w:pPr>
          </w:p>
        </w:tc>
      </w:tr>
      <w:tr>
        <w:trPr>
          <w:trHeight w:val="149"/>
        </w:trPr>
        <w:tc>
          <w:tcPr>
            <w:tcW w:w="3760" w:type="dxa"/>
            <w:vAlign w:val="bottom"/>
          </w:tcPr>
          <w:p>
            <w:pPr>
              <w:ind w:left="500"/>
              <w:spacing w:after="0"/>
              <w:rPr>
                <w:sz w:val="20"/>
                <w:szCs w:val="20"/>
                <w:color w:val="auto"/>
              </w:rPr>
            </w:pPr>
            <w:r>
              <w:rPr>
                <w:rFonts w:ascii="Arial" w:cs="Arial" w:eastAsia="Arial" w:hAnsi="Arial"/>
                <w:sz w:val="12"/>
                <w:szCs w:val="12"/>
                <w:color w:val="auto"/>
              </w:rPr>
              <w:t>Balance June 30, 2021</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534,188</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13.60</w:t>
            </w:r>
          </w:p>
        </w:tc>
        <w:tc>
          <w:tcPr>
            <w:tcW w:w="8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1,652,083</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14.57</w:t>
            </w:r>
          </w:p>
        </w:tc>
        <w:tc>
          <w:tcPr>
            <w:tcW w:w="0" w:type="dxa"/>
            <w:vAlign w:val="bottom"/>
          </w:tcPr>
          <w:p>
            <w:pPr>
              <w:spacing w:after="0"/>
              <w:rPr>
                <w:sz w:val="1"/>
                <w:szCs w:val="1"/>
                <w:color w:val="auto"/>
              </w:rPr>
            </w:pPr>
          </w:p>
        </w:tc>
      </w:tr>
      <w:tr>
        <w:trPr>
          <w:trHeight w:val="20"/>
        </w:trPr>
        <w:tc>
          <w:tcPr>
            <w:tcW w:w="3760" w:type="dxa"/>
            <w:vAlign w:val="bottom"/>
            <w:tcBorders>
              <w:bottom w:val="single" w:sz="8" w:color="DDDDDD"/>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760" w:type="dxa"/>
            <w:vAlign w:val="bottom"/>
            <w:shd w:val="clear" w:color="auto" w:fill="DDDDDD"/>
          </w:tcPr>
          <w:p>
            <w:pPr>
              <w:spacing w:after="0"/>
              <w:rPr>
                <w:sz w:val="14"/>
                <w:szCs w:val="14"/>
                <w:color w:val="auto"/>
              </w:rPr>
            </w:pPr>
          </w:p>
        </w:tc>
        <w:tc>
          <w:tcPr>
            <w:tcW w:w="1580" w:type="dxa"/>
            <w:vAlign w:val="bottom"/>
            <w:tcBorders>
              <w:bottom w:val="single" w:sz="8" w:color="auto"/>
            </w:tcBorders>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660" w:type="dxa"/>
            <w:vAlign w:val="bottom"/>
            <w:tcBorders>
              <w:bottom w:val="single" w:sz="8" w:color="auto"/>
            </w:tcBorders>
            <w:shd w:val="clear" w:color="auto" w:fill="DDDDDD"/>
          </w:tcPr>
          <w:p>
            <w:pPr>
              <w:spacing w:after="0"/>
              <w:rPr>
                <w:sz w:val="14"/>
                <w:szCs w:val="14"/>
                <w:color w:val="auto"/>
              </w:rPr>
            </w:pPr>
          </w:p>
        </w:tc>
        <w:tc>
          <w:tcPr>
            <w:tcW w:w="1380" w:type="dxa"/>
            <w:vAlign w:val="bottom"/>
            <w:tcBorders>
              <w:bottom w:val="single" w:sz="8" w:color="auto"/>
            </w:tcBorders>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20" w:type="dxa"/>
            <w:vAlign w:val="bottom"/>
            <w:tcBorders>
              <w:bottom w:val="single" w:sz="8" w:color="auto"/>
            </w:tcBorders>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660" w:type="dxa"/>
            <w:vAlign w:val="bottom"/>
            <w:tcBorders>
              <w:bottom w:val="single" w:sz="8" w:color="auto"/>
            </w:tcBorders>
            <w:shd w:val="clear" w:color="auto" w:fill="DDDDDD"/>
          </w:tcPr>
          <w:p>
            <w:pPr>
              <w:spacing w:after="0"/>
              <w:rPr>
                <w:sz w:val="14"/>
                <w:szCs w:val="14"/>
                <w:color w:val="auto"/>
              </w:rPr>
            </w:pPr>
          </w:p>
        </w:tc>
        <w:tc>
          <w:tcPr>
            <w:tcW w:w="1380" w:type="dxa"/>
            <w:vAlign w:val="bottom"/>
            <w:tcBorders>
              <w:bottom w:val="single" w:sz="8" w:color="auto"/>
            </w:tcBorders>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500"/>
              <w:spacing w:after="0"/>
              <w:rPr>
                <w:sz w:val="20"/>
                <w:szCs w:val="20"/>
                <w:color w:val="auto"/>
              </w:rPr>
            </w:pPr>
            <w:r>
              <w:rPr>
                <w:rFonts w:ascii="Arial" w:cs="Arial" w:eastAsia="Arial" w:hAnsi="Arial"/>
                <w:sz w:val="12"/>
                <w:szCs w:val="12"/>
                <w:color w:val="auto"/>
              </w:rPr>
              <w:t>Fully vested and exercisable options, June 30, 2021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400,641</w:t>
            </w: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13.60</w:t>
            </w:r>
          </w:p>
        </w:tc>
        <w:tc>
          <w:tcPr>
            <w:tcW w:w="80" w:type="dxa"/>
            <w:vAlign w:val="bottom"/>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1,652,083</w:t>
            </w: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1"/>
        </w:trPr>
        <w:tc>
          <w:tcPr>
            <w:tcW w:w="37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27" w:name="page28"/>
    <w:bookmarkEnd w:id="27"/>
    <w:p>
      <w:pPr>
        <w:ind w:left="480"/>
        <w:spacing w:after="0"/>
        <w:rPr>
          <w:sz w:val="20"/>
          <w:szCs w:val="20"/>
          <w:color w:val="auto"/>
        </w:rPr>
      </w:pPr>
      <w:r>
        <w:rPr>
          <w:rFonts w:ascii="Arial" w:cs="Arial" w:eastAsia="Arial" w:hAnsi="Arial"/>
          <w:sz w:val="12"/>
          <w:szCs w:val="12"/>
          <w:color w:val="auto"/>
        </w:rPr>
        <w:t>The following table summarizes the Company's stock option activity as of June 30, 2020: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60" w:type="dxa"/>
            <w:vAlign w:val="bottom"/>
            <w:shd w:val="clear" w:color="auto" w:fill="1D2758"/>
          </w:tcPr>
          <w:p>
            <w:pPr>
              <w:spacing w:after="0"/>
              <w:rPr>
                <w:sz w:val="12"/>
                <w:szCs w:val="12"/>
                <w:color w:val="auto"/>
              </w:rPr>
            </w:pPr>
          </w:p>
        </w:tc>
        <w:tc>
          <w:tcPr>
            <w:tcW w:w="1860" w:type="dxa"/>
            <w:vAlign w:val="bottom"/>
            <w:vMerge w:val="restart"/>
            <w:shd w:val="clear" w:color="auto" w:fill="1D2758"/>
          </w:tcPr>
          <w:p>
            <w:pPr>
              <w:ind w:left="760"/>
              <w:spacing w:after="0"/>
              <w:rPr>
                <w:sz w:val="20"/>
                <w:szCs w:val="20"/>
                <w:color w:val="auto"/>
              </w:rPr>
            </w:pPr>
            <w:r>
              <w:rPr>
                <w:rFonts w:ascii="Arial" w:cs="Arial" w:eastAsia="Arial" w:hAnsi="Arial"/>
                <w:sz w:val="12"/>
                <w:szCs w:val="12"/>
                <w:b w:val="1"/>
                <w:bCs w:val="1"/>
                <w:color w:val="FFFFFF"/>
              </w:rPr>
              <w:t>WillScot Options</w:t>
            </w:r>
          </w:p>
        </w:tc>
        <w:tc>
          <w:tcPr>
            <w:tcW w:w="620" w:type="dxa"/>
            <w:vAlign w:val="bottom"/>
            <w:shd w:val="clear" w:color="auto" w:fill="1D2758"/>
          </w:tcPr>
          <w:p>
            <w:pPr>
              <w:spacing w:after="0"/>
              <w:rPr>
                <w:sz w:val="12"/>
                <w:szCs w:val="12"/>
                <w:color w:val="auto"/>
              </w:rPr>
            </w:pPr>
          </w:p>
        </w:tc>
        <w:tc>
          <w:tcPr>
            <w:tcW w:w="80" w:type="dxa"/>
            <w:vAlign w:val="bottom"/>
            <w:shd w:val="clear" w:color="auto" w:fill="1D2758"/>
          </w:tcPr>
          <w:p>
            <w:pPr>
              <w:spacing w:after="0"/>
              <w:rPr>
                <w:sz w:val="12"/>
                <w:szCs w:val="12"/>
                <w:color w:val="auto"/>
              </w:rPr>
            </w:pPr>
          </w:p>
        </w:tc>
        <w:tc>
          <w:tcPr>
            <w:tcW w:w="120" w:type="dxa"/>
            <w:vAlign w:val="bottom"/>
            <w:shd w:val="clear" w:color="auto" w:fill="1D2758"/>
          </w:tcPr>
          <w:p>
            <w:pPr>
              <w:spacing w:after="0"/>
              <w:rPr>
                <w:sz w:val="12"/>
                <w:szCs w:val="12"/>
                <w:color w:val="auto"/>
              </w:rPr>
            </w:pPr>
          </w:p>
        </w:tc>
        <w:tc>
          <w:tcPr>
            <w:tcW w:w="2340" w:type="dxa"/>
            <w:vAlign w:val="bottom"/>
            <w:shd w:val="clear" w:color="auto" w:fill="1D2758"/>
          </w:tcPr>
          <w:p>
            <w:pPr>
              <w:jc w:val="right"/>
              <w:ind w:right="99"/>
              <w:spacing w:after="0"/>
              <w:rPr>
                <w:sz w:val="20"/>
                <w:szCs w:val="20"/>
                <w:color w:val="auto"/>
              </w:rPr>
            </w:pPr>
            <w:r>
              <w:rPr>
                <w:rFonts w:ascii="Arial" w:cs="Arial" w:eastAsia="Arial" w:hAnsi="Arial"/>
                <w:sz w:val="12"/>
                <w:szCs w:val="12"/>
                <w:b w:val="1"/>
                <w:bCs w:val="1"/>
                <w:color w:val="FFFFFF"/>
              </w:rPr>
              <w:t>Weighted-Average Exercise Price per</w:t>
            </w:r>
          </w:p>
        </w:tc>
        <w:tc>
          <w:tcPr>
            <w:tcW w:w="0" w:type="dxa"/>
            <w:vAlign w:val="bottom"/>
          </w:tcPr>
          <w:p>
            <w:pPr>
              <w:spacing w:after="0"/>
              <w:rPr>
                <w:sz w:val="1"/>
                <w:szCs w:val="1"/>
                <w:color w:val="auto"/>
              </w:rPr>
            </w:pPr>
          </w:p>
        </w:tc>
      </w:tr>
      <w:tr>
        <w:trPr>
          <w:trHeight w:val="161"/>
        </w:trPr>
        <w:tc>
          <w:tcPr>
            <w:tcW w:w="6260" w:type="dxa"/>
            <w:vAlign w:val="bottom"/>
            <w:shd w:val="clear" w:color="auto" w:fill="1D2758"/>
          </w:tcPr>
          <w:p>
            <w:pPr>
              <w:spacing w:after="0"/>
              <w:rPr>
                <w:sz w:val="14"/>
                <w:szCs w:val="14"/>
                <w:color w:val="auto"/>
              </w:rPr>
            </w:pPr>
          </w:p>
        </w:tc>
        <w:tc>
          <w:tcPr>
            <w:tcW w:w="1860" w:type="dxa"/>
            <w:vAlign w:val="bottom"/>
            <w:vMerge w:val="continue"/>
            <w:shd w:val="clear" w:color="auto" w:fill="1D2758"/>
          </w:tcPr>
          <w:p>
            <w:pPr>
              <w:spacing w:after="0"/>
              <w:rPr>
                <w:sz w:val="14"/>
                <w:szCs w:val="14"/>
                <w:color w:val="auto"/>
              </w:rPr>
            </w:pPr>
          </w:p>
        </w:tc>
        <w:tc>
          <w:tcPr>
            <w:tcW w:w="62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2340" w:type="dxa"/>
            <w:vAlign w:val="bottom"/>
            <w:shd w:val="clear" w:color="auto" w:fill="1D2758"/>
          </w:tcPr>
          <w:p>
            <w:pPr>
              <w:jc w:val="right"/>
              <w:ind w:right="999"/>
              <w:spacing w:after="0"/>
              <w:rPr>
                <w:sz w:val="20"/>
                <w:szCs w:val="20"/>
                <w:color w:val="auto"/>
              </w:rPr>
            </w:pPr>
            <w:r>
              <w:rPr>
                <w:rFonts w:ascii="Arial" w:cs="Arial" w:eastAsia="Arial" w:hAnsi="Arial"/>
                <w:sz w:val="12"/>
                <w:szCs w:val="12"/>
                <w:b w:val="1"/>
                <w:bCs w:val="1"/>
                <w:color w:val="FFFFFF"/>
              </w:rPr>
              <w:t>Share</w:t>
            </w:r>
          </w:p>
        </w:tc>
        <w:tc>
          <w:tcPr>
            <w:tcW w:w="0" w:type="dxa"/>
            <w:vAlign w:val="bottom"/>
          </w:tcPr>
          <w:p>
            <w:pPr>
              <w:spacing w:after="0"/>
              <w:rPr>
                <w:sz w:val="1"/>
                <w:szCs w:val="1"/>
                <w:color w:val="auto"/>
              </w:rPr>
            </w:pPr>
          </w:p>
        </w:tc>
      </w:tr>
      <w:tr>
        <w:trPr>
          <w:trHeight w:val="159"/>
        </w:trPr>
        <w:tc>
          <w:tcPr>
            <w:tcW w:w="6260" w:type="dxa"/>
            <w:vAlign w:val="bottom"/>
            <w:shd w:val="clear" w:color="auto" w:fill="DDDDDD"/>
          </w:tcPr>
          <w:p>
            <w:pPr>
              <w:ind w:left="20"/>
              <w:spacing w:after="0"/>
              <w:rPr>
                <w:sz w:val="20"/>
                <w:szCs w:val="20"/>
                <w:color w:val="auto"/>
              </w:rPr>
            </w:pPr>
            <w:r>
              <w:rPr>
                <w:rFonts w:ascii="Arial" w:cs="Arial" w:eastAsia="Arial" w:hAnsi="Arial"/>
                <w:sz w:val="12"/>
                <w:szCs w:val="12"/>
                <w:color w:val="auto"/>
              </w:rPr>
              <w:t>Balance, December 31, 2019</w:t>
            </w:r>
          </w:p>
        </w:tc>
        <w:tc>
          <w:tcPr>
            <w:tcW w:w="1860" w:type="dxa"/>
            <w:vAlign w:val="bottom"/>
            <w:tcBorders>
              <w:bottom w:val="single" w:sz="8" w:color="auto"/>
            </w:tcBorders>
            <w:shd w:val="clear" w:color="auto" w:fill="DDDDDD"/>
          </w:tcPr>
          <w:p>
            <w:pPr>
              <w:spacing w:after="0"/>
              <w:rPr>
                <w:sz w:val="13"/>
                <w:szCs w:val="13"/>
                <w:color w:val="auto"/>
              </w:rPr>
            </w:pPr>
          </w:p>
        </w:tc>
        <w:tc>
          <w:tcPr>
            <w:tcW w:w="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534,188</w:t>
            </w:r>
          </w:p>
        </w:tc>
        <w:tc>
          <w:tcPr>
            <w:tcW w:w="80" w:type="dxa"/>
            <w:vAlign w:val="bottom"/>
            <w:shd w:val="clear" w:color="auto" w:fill="DDDDDD"/>
          </w:tcPr>
          <w:p>
            <w:pPr>
              <w:spacing w:after="0"/>
              <w:rPr>
                <w:sz w:val="13"/>
                <w:szCs w:val="13"/>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w w:val="89"/>
              </w:rPr>
              <w:t>$</w:t>
            </w:r>
          </w:p>
        </w:tc>
        <w:tc>
          <w:tcPr>
            <w:tcW w:w="23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13.60</w:t>
            </w:r>
          </w:p>
        </w:tc>
        <w:tc>
          <w:tcPr>
            <w:tcW w:w="0" w:type="dxa"/>
            <w:vAlign w:val="bottom"/>
          </w:tcPr>
          <w:p>
            <w:pPr>
              <w:spacing w:after="0"/>
              <w:rPr>
                <w:sz w:val="1"/>
                <w:szCs w:val="1"/>
                <w:color w:val="auto"/>
              </w:rPr>
            </w:pPr>
          </w:p>
        </w:tc>
      </w:tr>
      <w:tr>
        <w:trPr>
          <w:trHeight w:val="151"/>
        </w:trPr>
        <w:tc>
          <w:tcPr>
            <w:tcW w:w="8120" w:type="dxa"/>
            <w:vAlign w:val="bottom"/>
            <w:gridSpan w:val="2"/>
          </w:tcPr>
          <w:p>
            <w:pPr>
              <w:ind w:left="20"/>
              <w:spacing w:after="0"/>
              <w:rPr>
                <w:sz w:val="20"/>
                <w:szCs w:val="20"/>
                <w:color w:val="auto"/>
              </w:rPr>
            </w:pPr>
            <w:r>
              <w:rPr>
                <w:rFonts w:ascii="Arial" w:cs="Arial" w:eastAsia="Arial" w:hAnsi="Arial"/>
                <w:sz w:val="12"/>
                <w:szCs w:val="12"/>
                <w:color w:val="auto"/>
              </w:rPr>
              <w:t>Balance, June 30, 2020</w:t>
            </w:r>
          </w:p>
        </w:tc>
        <w:tc>
          <w:tcPr>
            <w:tcW w:w="620" w:type="dxa"/>
            <w:vAlign w:val="bottom"/>
          </w:tcPr>
          <w:p>
            <w:pPr>
              <w:jc w:val="right"/>
              <w:spacing w:after="0"/>
              <w:rPr>
                <w:sz w:val="20"/>
                <w:szCs w:val="20"/>
                <w:color w:val="auto"/>
              </w:rPr>
            </w:pPr>
            <w:r>
              <w:rPr>
                <w:rFonts w:ascii="Arial" w:cs="Arial" w:eastAsia="Arial" w:hAnsi="Arial"/>
                <w:sz w:val="12"/>
                <w:szCs w:val="12"/>
                <w:color w:val="auto"/>
              </w:rPr>
              <w:t>534,188</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2340" w:type="dxa"/>
            <w:vAlign w:val="bottom"/>
          </w:tcPr>
          <w:p>
            <w:pPr>
              <w:jc w:val="right"/>
              <w:spacing w:after="0"/>
              <w:rPr>
                <w:sz w:val="20"/>
                <w:szCs w:val="20"/>
                <w:color w:val="auto"/>
              </w:rPr>
            </w:pPr>
            <w:r>
              <w:rPr>
                <w:rFonts w:ascii="Arial" w:cs="Arial" w:eastAsia="Arial" w:hAnsi="Arial"/>
                <w:sz w:val="12"/>
                <w:szCs w:val="12"/>
                <w:color w:val="auto"/>
              </w:rPr>
              <w:t>13.60</w:t>
            </w:r>
          </w:p>
        </w:tc>
        <w:tc>
          <w:tcPr>
            <w:tcW w:w="0" w:type="dxa"/>
            <w:vAlign w:val="bottom"/>
          </w:tcPr>
          <w:p>
            <w:pPr>
              <w:spacing w:after="0"/>
              <w:rPr>
                <w:sz w:val="1"/>
                <w:szCs w:val="1"/>
                <w:color w:val="auto"/>
              </w:rPr>
            </w:pPr>
          </w:p>
        </w:tc>
      </w:tr>
      <w:tr>
        <w:trPr>
          <w:trHeight w:val="20"/>
        </w:trPr>
        <w:tc>
          <w:tcPr>
            <w:tcW w:w="6260" w:type="dxa"/>
            <w:vAlign w:val="bottom"/>
            <w:tcBorders>
              <w:bottom w:val="single" w:sz="8" w:color="DDDDDD"/>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260" w:type="dxa"/>
            <w:vAlign w:val="bottom"/>
            <w:shd w:val="clear" w:color="auto" w:fill="DDDDDD"/>
          </w:tcPr>
          <w:p>
            <w:pPr>
              <w:spacing w:after="0"/>
              <w:rPr>
                <w:sz w:val="13"/>
                <w:szCs w:val="13"/>
                <w:color w:val="auto"/>
              </w:rPr>
            </w:pPr>
          </w:p>
        </w:tc>
        <w:tc>
          <w:tcPr>
            <w:tcW w:w="1860" w:type="dxa"/>
            <w:vAlign w:val="bottom"/>
            <w:shd w:val="clear" w:color="auto" w:fill="DDDDDD"/>
          </w:tcPr>
          <w:p>
            <w:pPr>
              <w:spacing w:after="0"/>
              <w:rPr>
                <w:sz w:val="13"/>
                <w:szCs w:val="13"/>
                <w:color w:val="auto"/>
              </w:rPr>
            </w:pPr>
          </w:p>
        </w:tc>
        <w:tc>
          <w:tcPr>
            <w:tcW w:w="6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234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120" w:type="dxa"/>
            <w:vAlign w:val="bottom"/>
            <w:gridSpan w:val="2"/>
          </w:tcPr>
          <w:p>
            <w:pPr>
              <w:ind w:left="20"/>
              <w:spacing w:after="0"/>
              <w:rPr>
                <w:sz w:val="20"/>
                <w:szCs w:val="20"/>
                <w:color w:val="auto"/>
              </w:rPr>
            </w:pPr>
            <w:r>
              <w:rPr>
                <w:rFonts w:ascii="Arial" w:cs="Arial" w:eastAsia="Arial" w:hAnsi="Arial"/>
                <w:sz w:val="12"/>
                <w:szCs w:val="12"/>
                <w:color w:val="auto"/>
              </w:rPr>
              <w:t>Fully vested and exercisable options, December 31, 2019</w:t>
            </w:r>
          </w:p>
        </w:tc>
        <w:tc>
          <w:tcPr>
            <w:tcW w:w="620" w:type="dxa"/>
            <w:vAlign w:val="bottom"/>
          </w:tcPr>
          <w:p>
            <w:pPr>
              <w:jc w:val="right"/>
              <w:spacing w:after="0"/>
              <w:rPr>
                <w:sz w:val="20"/>
                <w:szCs w:val="20"/>
                <w:color w:val="auto"/>
              </w:rPr>
            </w:pPr>
            <w:r>
              <w:rPr>
                <w:rFonts w:ascii="Arial" w:cs="Arial" w:eastAsia="Arial" w:hAnsi="Arial"/>
                <w:sz w:val="12"/>
                <w:szCs w:val="12"/>
                <w:color w:val="auto"/>
              </w:rPr>
              <w:t>133,547</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2340" w:type="dxa"/>
            <w:vAlign w:val="bottom"/>
          </w:tcPr>
          <w:p>
            <w:pPr>
              <w:jc w:val="right"/>
              <w:spacing w:after="0"/>
              <w:rPr>
                <w:sz w:val="20"/>
                <w:szCs w:val="20"/>
                <w:color w:val="auto"/>
              </w:rPr>
            </w:pPr>
            <w:r>
              <w:rPr>
                <w:rFonts w:ascii="Arial" w:cs="Arial" w:eastAsia="Arial" w:hAnsi="Arial"/>
                <w:sz w:val="12"/>
                <w:szCs w:val="12"/>
                <w:color w:val="auto"/>
              </w:rPr>
              <w:t>13.60</w:t>
            </w:r>
          </w:p>
        </w:tc>
        <w:tc>
          <w:tcPr>
            <w:tcW w:w="0" w:type="dxa"/>
            <w:vAlign w:val="bottom"/>
          </w:tcPr>
          <w:p>
            <w:pPr>
              <w:spacing w:after="0"/>
              <w:rPr>
                <w:sz w:val="1"/>
                <w:szCs w:val="1"/>
                <w:color w:val="auto"/>
              </w:rPr>
            </w:pPr>
          </w:p>
        </w:tc>
      </w:tr>
      <w:tr>
        <w:trPr>
          <w:trHeight w:val="161"/>
        </w:trPr>
        <w:tc>
          <w:tcPr>
            <w:tcW w:w="6260" w:type="dxa"/>
            <w:vAlign w:val="bottom"/>
            <w:shd w:val="clear" w:color="auto" w:fill="DDDDDD"/>
          </w:tcPr>
          <w:p>
            <w:pPr>
              <w:ind w:left="20"/>
              <w:spacing w:after="0"/>
              <w:rPr>
                <w:sz w:val="20"/>
                <w:szCs w:val="20"/>
                <w:color w:val="auto"/>
              </w:rPr>
            </w:pPr>
            <w:r>
              <w:rPr>
                <w:rFonts w:ascii="Arial" w:cs="Arial" w:eastAsia="Arial" w:hAnsi="Arial"/>
                <w:sz w:val="12"/>
                <w:szCs w:val="12"/>
                <w:color w:val="auto"/>
              </w:rPr>
              <w:t>Vested</w:t>
            </w:r>
          </w:p>
        </w:tc>
        <w:tc>
          <w:tcPr>
            <w:tcW w:w="1860" w:type="dxa"/>
            <w:vAlign w:val="bottom"/>
            <w:tcBorders>
              <w:bottom w:val="single" w:sz="8" w:color="auto"/>
            </w:tcBorders>
            <w:shd w:val="clear" w:color="auto" w:fill="DDDDDD"/>
          </w:tcPr>
          <w:p>
            <w:pPr>
              <w:spacing w:after="0"/>
              <w:rPr>
                <w:sz w:val="14"/>
                <w:szCs w:val="14"/>
                <w:color w:val="auto"/>
              </w:rPr>
            </w:pPr>
          </w:p>
        </w:tc>
        <w:tc>
          <w:tcPr>
            <w:tcW w:w="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133,547</w:t>
            </w:r>
          </w:p>
        </w:tc>
        <w:tc>
          <w:tcPr>
            <w:tcW w:w="80" w:type="dxa"/>
            <w:vAlign w:val="bottom"/>
            <w:shd w:val="clear" w:color="auto" w:fill="DDDDDD"/>
          </w:tcPr>
          <w:p>
            <w:pPr>
              <w:spacing w:after="0"/>
              <w:rPr>
                <w:sz w:val="14"/>
                <w:szCs w:val="14"/>
                <w:color w:val="auto"/>
              </w:rPr>
            </w:pPr>
          </w:p>
        </w:tc>
        <w:tc>
          <w:tcPr>
            <w:tcW w:w="120" w:type="dxa"/>
            <w:vAlign w:val="bottom"/>
            <w:tcBorders>
              <w:bottom w:val="single" w:sz="8" w:color="auto"/>
            </w:tcBorders>
            <w:shd w:val="clear" w:color="auto" w:fill="DDDDDD"/>
          </w:tcPr>
          <w:p>
            <w:pPr>
              <w:spacing w:after="0"/>
              <w:rPr>
                <w:sz w:val="14"/>
                <w:szCs w:val="14"/>
                <w:color w:val="auto"/>
              </w:rPr>
            </w:pPr>
          </w:p>
        </w:tc>
        <w:tc>
          <w:tcPr>
            <w:tcW w:w="23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13.60</w:t>
            </w:r>
          </w:p>
        </w:tc>
        <w:tc>
          <w:tcPr>
            <w:tcW w:w="0" w:type="dxa"/>
            <w:vAlign w:val="bottom"/>
          </w:tcPr>
          <w:p>
            <w:pPr>
              <w:spacing w:after="0"/>
              <w:rPr>
                <w:sz w:val="1"/>
                <w:szCs w:val="1"/>
                <w:color w:val="auto"/>
              </w:rPr>
            </w:pPr>
          </w:p>
        </w:tc>
      </w:tr>
      <w:tr>
        <w:trPr>
          <w:trHeight w:val="151"/>
        </w:trPr>
        <w:tc>
          <w:tcPr>
            <w:tcW w:w="8120" w:type="dxa"/>
            <w:vAlign w:val="bottom"/>
            <w:gridSpan w:val="2"/>
          </w:tcPr>
          <w:p>
            <w:pPr>
              <w:ind w:left="20"/>
              <w:spacing w:after="0"/>
              <w:rPr>
                <w:sz w:val="20"/>
                <w:szCs w:val="20"/>
                <w:color w:val="auto"/>
              </w:rPr>
            </w:pPr>
            <w:r>
              <w:rPr>
                <w:rFonts w:ascii="Arial" w:cs="Arial" w:eastAsia="Arial" w:hAnsi="Arial"/>
                <w:sz w:val="12"/>
                <w:szCs w:val="12"/>
                <w:color w:val="auto"/>
              </w:rPr>
              <w:t>Fully vested and exercisable options, June 30, 2020</w:t>
            </w:r>
          </w:p>
        </w:tc>
        <w:tc>
          <w:tcPr>
            <w:tcW w:w="620" w:type="dxa"/>
            <w:vAlign w:val="bottom"/>
          </w:tcPr>
          <w:p>
            <w:pPr>
              <w:jc w:val="right"/>
              <w:spacing w:after="0"/>
              <w:rPr>
                <w:sz w:val="20"/>
                <w:szCs w:val="20"/>
                <w:color w:val="auto"/>
              </w:rPr>
            </w:pPr>
            <w:r>
              <w:rPr>
                <w:rFonts w:ascii="Arial" w:cs="Arial" w:eastAsia="Arial" w:hAnsi="Arial"/>
                <w:sz w:val="12"/>
                <w:szCs w:val="12"/>
                <w:color w:val="auto"/>
              </w:rPr>
              <w:t>267,094</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2340" w:type="dxa"/>
            <w:vAlign w:val="bottom"/>
          </w:tcPr>
          <w:p>
            <w:pPr>
              <w:jc w:val="right"/>
              <w:spacing w:after="0"/>
              <w:rPr>
                <w:sz w:val="20"/>
                <w:szCs w:val="20"/>
                <w:color w:val="auto"/>
              </w:rPr>
            </w:pPr>
            <w:r>
              <w:rPr>
                <w:rFonts w:ascii="Arial" w:cs="Arial" w:eastAsia="Arial" w:hAnsi="Arial"/>
                <w:sz w:val="12"/>
                <w:szCs w:val="12"/>
                <w:color w:val="auto"/>
              </w:rPr>
              <w:t>13.60</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WillScot Options</w:t>
      </w:r>
    </w:p>
    <w:p>
      <w:pPr>
        <w:spacing w:after="0" w:line="98"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Compensation expense for stock option awards, recognized in SG&amp;A on the condensed consolidated statements of operations, was $0.2 million for each of the three months ended June 30, 2021 and 2020. Compensation expense for stock option awards, recognized in SG&amp;A on the condensed consolidated statements of operations, was $0.4 million for each of the six months ended June 30, 2021 and 2020. At June 30, 2021, unrecognized compensation cost related to stock option awards totaled $0.5 million and is expected to be recognized over the remaining vesting period of 0.7 years.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1D2758"/>
        </w:rPr>
        <w:t>NOTE 16 - Derivatives</w:t>
      </w:r>
    </w:p>
    <w:p>
      <w:pPr>
        <w:spacing w:after="0" w:line="85"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On November 6, 2018, the Company entered into an interest rate swap agreement (the “Swap Agreement”) with a financial counterparty that effectively converts $400.0 million in aggregate notional amount of variable-rate debt under the Company’s ABL Facility into fixed-rate debt. The Swap Agreement will terminate on May 29, 2022. Under the terms of the Swap Agreement, the Company receives a floating rate equal to one-month LIBOR and makes payments based on a fixed rate of 3.06% on the notional amount. The receive rate under the terms of the Swap Agreement was 0.07% and 0.15% at June 30, 2021 and December 31, 2020, respectively.</w:t>
      </w:r>
    </w:p>
    <w:p>
      <w:pPr>
        <w:spacing w:after="0" w:line="3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Swap Agreement was designated and qualified as a hedge of the Company’s exposure to changes in interest payment cash flows created by fluctuations in variable interest rates on the ABL</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auto"/>
        </w:rPr>
        <w:t>Facility.</w:t>
      </w:r>
    </w:p>
    <w:p>
      <w:pPr>
        <w:spacing w:after="0" w:line="4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location and the fair value of derivative instruments designated as hedges, at the respective balance sheet dates,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3740" w:type="dxa"/>
            <w:vAlign w:val="bottom"/>
            <w:shd w:val="clear" w:color="auto" w:fill="1D2758"/>
          </w:tcPr>
          <w:p>
            <w:pPr>
              <w:ind w:left="1920"/>
              <w:spacing w:after="0"/>
              <w:rPr>
                <w:sz w:val="20"/>
                <w:szCs w:val="20"/>
                <w:color w:val="auto"/>
              </w:rPr>
            </w:pPr>
            <w:r>
              <w:rPr>
                <w:rFonts w:ascii="Arial" w:cs="Arial" w:eastAsia="Arial" w:hAnsi="Arial"/>
                <w:sz w:val="12"/>
                <w:szCs w:val="12"/>
                <w:b w:val="1"/>
                <w:bCs w:val="1"/>
                <w:color w:val="FFFFFF"/>
              </w:rPr>
              <w:t>Balance Sheet Account</w:t>
            </w:r>
          </w:p>
        </w:tc>
        <w:tc>
          <w:tcPr>
            <w:tcW w:w="900" w:type="dxa"/>
            <w:vAlign w:val="bottom"/>
            <w:shd w:val="clear" w:color="auto" w:fill="1D2758"/>
          </w:tcPr>
          <w:p>
            <w:pPr>
              <w:spacing w:after="0"/>
              <w:rPr>
                <w:sz w:val="14"/>
                <w:szCs w:val="14"/>
                <w:color w:val="auto"/>
              </w:rPr>
            </w:pPr>
          </w:p>
        </w:tc>
        <w:tc>
          <w:tcPr>
            <w:tcW w:w="2000" w:type="dxa"/>
            <w:vAlign w:val="bottom"/>
            <w:shd w:val="clear" w:color="auto" w:fill="1D2758"/>
          </w:tcPr>
          <w:p>
            <w:pPr>
              <w:jc w:val="right"/>
              <w:ind w:right="759"/>
              <w:spacing w:after="0"/>
              <w:rPr>
                <w:sz w:val="20"/>
                <w:szCs w:val="20"/>
                <w:color w:val="auto"/>
              </w:rPr>
            </w:pPr>
            <w:r>
              <w:rPr>
                <w:rFonts w:ascii="Arial" w:cs="Arial" w:eastAsia="Arial" w:hAnsi="Arial"/>
                <w:sz w:val="12"/>
                <w:szCs w:val="12"/>
                <w:b w:val="1"/>
                <w:bCs w:val="1"/>
                <w:color w:val="FFFFFF"/>
              </w:rPr>
              <w:t>June 30, 2021</w:t>
            </w:r>
          </w:p>
        </w:tc>
        <w:tc>
          <w:tcPr>
            <w:tcW w:w="400" w:type="dxa"/>
            <w:vAlign w:val="bottom"/>
            <w:shd w:val="clear" w:color="auto" w:fill="1D2758"/>
          </w:tcPr>
          <w:p>
            <w:pPr>
              <w:spacing w:after="0"/>
              <w:rPr>
                <w:sz w:val="14"/>
                <w:szCs w:val="14"/>
                <w:color w:val="auto"/>
              </w:rPr>
            </w:pPr>
          </w:p>
        </w:tc>
        <w:tc>
          <w:tcPr>
            <w:tcW w:w="2080" w:type="dxa"/>
            <w:vAlign w:val="bottom"/>
            <w:shd w:val="clear" w:color="auto" w:fill="1D2758"/>
          </w:tcPr>
          <w:p>
            <w:pPr>
              <w:jc w:val="right"/>
              <w:ind w:right="619"/>
              <w:spacing w:after="0"/>
              <w:rPr>
                <w:sz w:val="20"/>
                <w:szCs w:val="20"/>
                <w:color w:val="auto"/>
              </w:rPr>
            </w:pPr>
            <w:r>
              <w:rPr>
                <w:rFonts w:ascii="Arial" w:cs="Arial" w:eastAsia="Arial" w:hAnsi="Arial"/>
                <w:sz w:val="12"/>
                <w:szCs w:val="12"/>
                <w:b w:val="1"/>
                <w:bCs w:val="1"/>
                <w:color w:val="FFFFFF"/>
              </w:rPr>
              <w:t>December 31, 2020</w:t>
            </w:r>
          </w:p>
        </w:tc>
      </w:tr>
      <w:tr>
        <w:trPr>
          <w:trHeight w:val="161"/>
        </w:trPr>
        <w:tc>
          <w:tcPr>
            <w:tcW w:w="2160" w:type="dxa"/>
            <w:vAlign w:val="bottom"/>
            <w:shd w:val="clear" w:color="auto" w:fill="DBDBDB"/>
          </w:tcPr>
          <w:p>
            <w:pPr>
              <w:ind w:left="20"/>
              <w:spacing w:after="0"/>
              <w:rPr>
                <w:sz w:val="20"/>
                <w:szCs w:val="20"/>
                <w:color w:val="auto"/>
              </w:rPr>
            </w:pPr>
            <w:r>
              <w:rPr>
                <w:rFonts w:ascii="Arial" w:cs="Arial" w:eastAsia="Arial" w:hAnsi="Arial"/>
                <w:sz w:val="12"/>
                <w:szCs w:val="12"/>
                <w:color w:val="auto"/>
              </w:rPr>
              <w:t>Cash Flow Hedges:</w:t>
            </w:r>
          </w:p>
        </w:tc>
        <w:tc>
          <w:tcPr>
            <w:tcW w:w="374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200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2080" w:type="dxa"/>
            <w:vAlign w:val="bottom"/>
            <w:shd w:val="clear" w:color="auto" w:fill="DBDBDB"/>
          </w:tcPr>
          <w:p>
            <w:pPr>
              <w:spacing w:after="0"/>
              <w:rPr>
                <w:sz w:val="14"/>
                <w:szCs w:val="14"/>
                <w:color w:val="auto"/>
              </w:rPr>
            </w:pPr>
          </w:p>
        </w:tc>
      </w:tr>
      <w:tr>
        <w:trPr>
          <w:trHeight w:val="159"/>
        </w:trPr>
        <w:tc>
          <w:tcPr>
            <w:tcW w:w="2160" w:type="dxa"/>
            <w:vAlign w:val="bottom"/>
          </w:tcPr>
          <w:p>
            <w:pPr>
              <w:ind w:left="180"/>
              <w:spacing w:after="0"/>
              <w:rPr>
                <w:sz w:val="20"/>
                <w:szCs w:val="20"/>
                <w:color w:val="auto"/>
              </w:rPr>
            </w:pPr>
            <w:r>
              <w:rPr>
                <w:rFonts w:ascii="Arial" w:cs="Arial" w:eastAsia="Arial" w:hAnsi="Arial"/>
                <w:sz w:val="12"/>
                <w:szCs w:val="12"/>
                <w:color w:val="auto"/>
              </w:rPr>
              <w:t>Interest rate swap</w:t>
            </w:r>
          </w:p>
        </w:tc>
        <w:tc>
          <w:tcPr>
            <w:tcW w:w="3740" w:type="dxa"/>
            <w:vAlign w:val="bottom"/>
          </w:tcPr>
          <w:p>
            <w:pPr>
              <w:ind w:left="1020"/>
              <w:spacing w:after="0"/>
              <w:rPr>
                <w:sz w:val="20"/>
                <w:szCs w:val="20"/>
                <w:color w:val="auto"/>
              </w:rPr>
            </w:pPr>
            <w:r>
              <w:rPr>
                <w:rFonts w:ascii="Arial" w:cs="Arial" w:eastAsia="Arial" w:hAnsi="Arial"/>
                <w:sz w:val="12"/>
                <w:szCs w:val="12"/>
                <w:color w:val="auto"/>
              </w:rPr>
              <w:t>Accrued expenses</w:t>
            </w:r>
          </w:p>
        </w:tc>
        <w:tc>
          <w:tcPr>
            <w:tcW w:w="9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2000" w:type="dxa"/>
            <w:vAlign w:val="bottom"/>
          </w:tcPr>
          <w:p>
            <w:pPr>
              <w:jc w:val="right"/>
              <w:spacing w:after="0"/>
              <w:rPr>
                <w:sz w:val="20"/>
                <w:szCs w:val="20"/>
                <w:color w:val="auto"/>
              </w:rPr>
            </w:pPr>
            <w:r>
              <w:rPr>
                <w:rFonts w:ascii="Arial" w:cs="Arial" w:eastAsia="Arial" w:hAnsi="Arial"/>
                <w:sz w:val="12"/>
                <w:szCs w:val="12"/>
                <w:color w:val="auto"/>
              </w:rPr>
              <w:t>11,263</w:t>
            </w:r>
          </w:p>
        </w:tc>
        <w:tc>
          <w:tcPr>
            <w:tcW w:w="40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2080" w:type="dxa"/>
            <w:vAlign w:val="bottom"/>
          </w:tcPr>
          <w:p>
            <w:pPr>
              <w:jc w:val="right"/>
              <w:spacing w:after="0"/>
              <w:rPr>
                <w:sz w:val="20"/>
                <w:szCs w:val="20"/>
                <w:color w:val="auto"/>
              </w:rPr>
            </w:pPr>
            <w:r>
              <w:rPr>
                <w:rFonts w:ascii="Arial" w:cs="Arial" w:eastAsia="Arial" w:hAnsi="Arial"/>
                <w:sz w:val="12"/>
                <w:szCs w:val="12"/>
                <w:color w:val="auto"/>
              </w:rPr>
              <w:t>11,619</w:t>
            </w:r>
          </w:p>
        </w:tc>
      </w:tr>
      <w:tr>
        <w:trPr>
          <w:trHeight w:val="164"/>
        </w:trPr>
        <w:tc>
          <w:tcPr>
            <w:tcW w:w="21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Interest rate swap</w:t>
            </w:r>
          </w:p>
        </w:tc>
        <w:tc>
          <w:tcPr>
            <w:tcW w:w="3740" w:type="dxa"/>
            <w:vAlign w:val="bottom"/>
            <w:shd w:val="clear" w:color="auto" w:fill="DBDBDB"/>
          </w:tcPr>
          <w:p>
            <w:pPr>
              <w:ind w:left="1020"/>
              <w:spacing w:after="0"/>
              <w:rPr>
                <w:sz w:val="20"/>
                <w:szCs w:val="20"/>
                <w:color w:val="auto"/>
              </w:rPr>
            </w:pPr>
            <w:r>
              <w:rPr>
                <w:rFonts w:ascii="Arial" w:cs="Arial" w:eastAsia="Arial" w:hAnsi="Arial"/>
                <w:sz w:val="12"/>
                <w:szCs w:val="12"/>
                <w:color w:val="auto"/>
              </w:rPr>
              <w:t>Other non-current liabilities</w:t>
            </w:r>
          </w:p>
        </w:tc>
        <w:tc>
          <w:tcPr>
            <w:tcW w:w="9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DBDBDB"/>
          </w:tcPr>
          <w:p>
            <w:pPr>
              <w:jc w:val="right"/>
              <w:ind w:right="239"/>
              <w:spacing w:after="0"/>
              <w:rPr>
                <w:sz w:val="20"/>
                <w:szCs w:val="20"/>
                <w:color w:val="auto"/>
              </w:rPr>
            </w:pPr>
            <w:r>
              <w:rPr>
                <w:rFonts w:ascii="Arial" w:cs="Arial" w:eastAsia="Arial" w:hAnsi="Arial"/>
                <w:sz w:val="12"/>
                <w:szCs w:val="12"/>
                <w:color w:val="auto"/>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5,308</w:t>
            </w:r>
          </w:p>
        </w:tc>
      </w:tr>
    </w:tbl>
    <w:p>
      <w:pPr>
        <w:spacing w:after="0" w:line="143"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fair value of the interest rate swap is based on dealer quotes of market forward rates, a Level 2 input on the fair value hierarchy, and reflects the amount that the Company would receive or pay as of June 30, 2021 and December 31, 2020, respectively, for contracts involving the same attributes and maturity dates.</w:t>
      </w:r>
    </w:p>
    <w:p>
      <w:pPr>
        <w:spacing w:after="0" w:line="26"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following table discloses the impact of the interest rate swap, excluding the impact of income taxes, on other comprehensive income (“OCI”), AOCI and the Company’s statements of operations for the six months ended June 30,: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3440" w:type="dxa"/>
            <w:vAlign w:val="bottom"/>
            <w:shd w:val="clear" w:color="auto" w:fill="1D2758"/>
          </w:tcPr>
          <w:p>
            <w:pPr>
              <w:jc w:val="right"/>
              <w:ind w:right="439"/>
              <w:spacing w:after="0"/>
              <w:rPr>
                <w:sz w:val="20"/>
                <w:szCs w:val="20"/>
                <w:color w:val="auto"/>
              </w:rPr>
            </w:pPr>
            <w:r>
              <w:rPr>
                <w:rFonts w:ascii="Arial" w:cs="Arial" w:eastAsia="Arial" w:hAnsi="Arial"/>
                <w:sz w:val="12"/>
                <w:szCs w:val="12"/>
                <w:b w:val="1"/>
                <w:bCs w:val="1"/>
                <w:color w:val="FFFFFF"/>
              </w:rPr>
              <w:t>2021</w:t>
            </w:r>
          </w:p>
        </w:tc>
        <w:tc>
          <w:tcPr>
            <w:tcW w:w="640" w:type="dxa"/>
            <w:vAlign w:val="bottom"/>
            <w:shd w:val="clear" w:color="auto" w:fill="1D2758"/>
          </w:tcPr>
          <w:p>
            <w:pPr>
              <w:spacing w:after="0"/>
              <w:rPr>
                <w:sz w:val="14"/>
                <w:szCs w:val="14"/>
                <w:color w:val="auto"/>
              </w:rPr>
            </w:pPr>
          </w:p>
        </w:tc>
        <w:tc>
          <w:tcPr>
            <w:tcW w:w="480" w:type="dxa"/>
            <w:vAlign w:val="bottom"/>
            <w:shd w:val="clear" w:color="auto" w:fill="1D2758"/>
          </w:tcPr>
          <w:p>
            <w:pPr>
              <w:spacing w:after="0"/>
              <w:rPr>
                <w:sz w:val="14"/>
                <w:szCs w:val="14"/>
                <w:color w:val="auto"/>
              </w:rPr>
            </w:pPr>
          </w:p>
        </w:tc>
        <w:tc>
          <w:tcPr>
            <w:tcW w:w="2020" w:type="dxa"/>
            <w:vAlign w:val="bottom"/>
            <w:shd w:val="clear" w:color="auto" w:fill="1D2758"/>
          </w:tcPr>
          <w:p>
            <w:pPr>
              <w:jc w:val="right"/>
              <w:ind w:right="1039"/>
              <w:spacing w:after="0"/>
              <w:rPr>
                <w:sz w:val="20"/>
                <w:szCs w:val="20"/>
                <w:color w:val="auto"/>
              </w:rPr>
            </w:pPr>
            <w:r>
              <w:rPr>
                <w:rFonts w:ascii="Arial" w:cs="Arial" w:eastAsia="Arial" w:hAnsi="Arial"/>
                <w:sz w:val="12"/>
                <w:szCs w:val="12"/>
                <w:b w:val="1"/>
                <w:bCs w:val="1"/>
                <w:color w:val="FFFFFF"/>
              </w:rPr>
              <w:t>2020</w:t>
            </w:r>
          </w:p>
        </w:tc>
      </w:tr>
      <w:tr>
        <w:trPr>
          <w:trHeight w:val="161"/>
        </w:trPr>
        <w:tc>
          <w:tcPr>
            <w:tcW w:w="4700" w:type="dxa"/>
            <w:vAlign w:val="bottom"/>
            <w:shd w:val="clear" w:color="auto" w:fill="DBDBDB"/>
          </w:tcPr>
          <w:p>
            <w:pPr>
              <w:ind w:left="20"/>
              <w:spacing w:after="0"/>
              <w:rPr>
                <w:sz w:val="20"/>
                <w:szCs w:val="20"/>
                <w:color w:val="auto"/>
              </w:rPr>
            </w:pPr>
            <w:r>
              <w:rPr>
                <w:rFonts w:ascii="Arial" w:cs="Arial" w:eastAsia="Arial" w:hAnsi="Arial"/>
                <w:sz w:val="12"/>
                <w:szCs w:val="12"/>
                <w:color w:val="auto"/>
              </w:rPr>
              <w:t>Gain (loss) recognized in OCI</w:t>
            </w:r>
          </w:p>
        </w:tc>
        <w:tc>
          <w:tcPr>
            <w:tcW w:w="3440" w:type="dxa"/>
            <w:vAlign w:val="bottom"/>
            <w:shd w:val="clear" w:color="auto" w:fill="DBDBDB"/>
          </w:tcPr>
          <w:p>
            <w:pPr>
              <w:jc w:val="right"/>
              <w:ind w:right="1739"/>
              <w:spacing w:after="0"/>
              <w:rPr>
                <w:sz w:val="20"/>
                <w:szCs w:val="20"/>
                <w:color w:val="auto"/>
              </w:rPr>
            </w:pPr>
            <w:r>
              <w:rPr>
                <w:rFonts w:ascii="Arial" w:cs="Arial" w:eastAsia="Arial" w:hAnsi="Arial"/>
                <w:sz w:val="12"/>
                <w:szCs w:val="12"/>
                <w:color w:val="auto"/>
              </w:rPr>
              <w:t>$</w:t>
            </w:r>
          </w:p>
        </w:tc>
        <w:tc>
          <w:tcPr>
            <w:tcW w:w="640" w:type="dxa"/>
            <w:vAlign w:val="bottom"/>
            <w:shd w:val="clear" w:color="auto" w:fill="DBDBDB"/>
          </w:tcPr>
          <w:p>
            <w:pPr>
              <w:jc w:val="right"/>
              <w:ind w:right="39"/>
              <w:spacing w:after="0"/>
              <w:rPr>
                <w:sz w:val="20"/>
                <w:szCs w:val="20"/>
                <w:color w:val="auto"/>
              </w:rPr>
            </w:pPr>
            <w:r>
              <w:rPr>
                <w:rFonts w:ascii="Arial" w:cs="Arial" w:eastAsia="Arial" w:hAnsi="Arial"/>
                <w:sz w:val="12"/>
                <w:szCs w:val="12"/>
                <w:color w:val="auto"/>
              </w:rPr>
              <w:t>4,323</w:t>
            </w:r>
          </w:p>
        </w:tc>
        <w:tc>
          <w:tcPr>
            <w:tcW w:w="480" w:type="dxa"/>
            <w:vAlign w:val="bottom"/>
            <w:shd w:val="clear" w:color="auto" w:fill="DBDBDB"/>
          </w:tcPr>
          <w:p>
            <w:pPr>
              <w:jc w:val="right"/>
              <w:ind w:right="299"/>
              <w:spacing w:after="0"/>
              <w:rPr>
                <w:sz w:val="20"/>
                <w:szCs w:val="20"/>
                <w:color w:val="auto"/>
              </w:rPr>
            </w:pPr>
            <w:r>
              <w:rPr>
                <w:rFonts w:ascii="Arial" w:cs="Arial" w:eastAsia="Arial" w:hAnsi="Arial"/>
                <w:sz w:val="12"/>
                <w:szCs w:val="12"/>
                <w:color w:val="auto"/>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(7,783)</w:t>
            </w:r>
          </w:p>
        </w:tc>
      </w:tr>
      <w:tr>
        <w:trPr>
          <w:trHeight w:val="159"/>
        </w:trPr>
        <w:tc>
          <w:tcPr>
            <w:tcW w:w="4700" w:type="dxa"/>
            <w:vAlign w:val="bottom"/>
          </w:tcPr>
          <w:p>
            <w:pPr>
              <w:ind w:left="20"/>
              <w:spacing w:after="0"/>
              <w:rPr>
                <w:sz w:val="20"/>
                <w:szCs w:val="20"/>
                <w:color w:val="auto"/>
              </w:rPr>
            </w:pPr>
            <w:r>
              <w:rPr>
                <w:rFonts w:ascii="Arial" w:cs="Arial" w:eastAsia="Arial" w:hAnsi="Arial"/>
                <w:sz w:val="12"/>
                <w:szCs w:val="12"/>
                <w:color w:val="auto"/>
              </w:rPr>
              <w:t>Location of gain (loss) recognized in income</w:t>
            </w:r>
          </w:p>
        </w:tc>
        <w:tc>
          <w:tcPr>
            <w:tcW w:w="3440" w:type="dxa"/>
            <w:vAlign w:val="bottom"/>
          </w:tcPr>
          <w:p>
            <w:pPr>
              <w:jc w:val="right"/>
              <w:ind w:right="139"/>
              <w:spacing w:after="0"/>
              <w:rPr>
                <w:sz w:val="20"/>
                <w:szCs w:val="20"/>
                <w:color w:val="auto"/>
              </w:rPr>
            </w:pPr>
            <w:r>
              <w:rPr>
                <w:rFonts w:ascii="Arial" w:cs="Arial" w:eastAsia="Arial" w:hAnsi="Arial"/>
                <w:sz w:val="12"/>
                <w:szCs w:val="12"/>
                <w:color w:val="auto"/>
              </w:rPr>
              <w:t>Interest expense</w:t>
            </w: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20" w:type="dxa"/>
            <w:vAlign w:val="bottom"/>
          </w:tcPr>
          <w:p>
            <w:pPr>
              <w:jc w:val="right"/>
              <w:ind w:right="719"/>
              <w:spacing w:after="0"/>
              <w:rPr>
                <w:sz w:val="20"/>
                <w:szCs w:val="20"/>
                <w:color w:val="auto"/>
              </w:rPr>
            </w:pPr>
            <w:r>
              <w:rPr>
                <w:rFonts w:ascii="Arial" w:cs="Arial" w:eastAsia="Arial" w:hAnsi="Arial"/>
                <w:sz w:val="12"/>
                <w:szCs w:val="12"/>
                <w:color w:val="auto"/>
              </w:rPr>
              <w:t>Interest expense</w:t>
            </w:r>
          </w:p>
        </w:tc>
      </w:tr>
      <w:tr>
        <w:trPr>
          <w:trHeight w:val="164"/>
        </w:trPr>
        <w:tc>
          <w:tcPr>
            <w:tcW w:w="4700" w:type="dxa"/>
            <w:vAlign w:val="bottom"/>
            <w:shd w:val="clear" w:color="auto" w:fill="DBDBDB"/>
          </w:tcPr>
          <w:p>
            <w:pPr>
              <w:ind w:left="20"/>
              <w:spacing w:after="0"/>
              <w:rPr>
                <w:sz w:val="20"/>
                <w:szCs w:val="20"/>
                <w:color w:val="auto"/>
              </w:rPr>
            </w:pPr>
            <w:r>
              <w:rPr>
                <w:rFonts w:ascii="Arial" w:cs="Arial" w:eastAsia="Arial" w:hAnsi="Arial"/>
                <w:sz w:val="12"/>
                <w:szCs w:val="12"/>
                <w:color w:val="auto"/>
              </w:rPr>
              <w:t>Loss reclassified from AOCI into income (effective portion)</w:t>
            </w:r>
          </w:p>
        </w:tc>
        <w:tc>
          <w:tcPr>
            <w:tcW w:w="3440" w:type="dxa"/>
            <w:vAlign w:val="bottom"/>
            <w:shd w:val="clear" w:color="auto" w:fill="DBDBDB"/>
          </w:tcPr>
          <w:p>
            <w:pPr>
              <w:jc w:val="right"/>
              <w:ind w:right="1739"/>
              <w:spacing w:after="0"/>
              <w:rPr>
                <w:sz w:val="20"/>
                <w:szCs w:val="20"/>
                <w:color w:val="auto"/>
              </w:rPr>
            </w:pPr>
            <w:r>
              <w:rPr>
                <w:rFonts w:ascii="Arial" w:cs="Arial" w:eastAsia="Arial" w:hAnsi="Arial"/>
                <w:sz w:val="12"/>
                <w:szCs w:val="12"/>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(5,931)</w:t>
            </w:r>
          </w:p>
        </w:tc>
        <w:tc>
          <w:tcPr>
            <w:tcW w:w="480" w:type="dxa"/>
            <w:vAlign w:val="bottom"/>
            <w:shd w:val="clear" w:color="auto" w:fill="DBDBDB"/>
          </w:tcPr>
          <w:p>
            <w:pPr>
              <w:jc w:val="right"/>
              <w:ind w:right="299"/>
              <w:spacing w:after="0"/>
              <w:rPr>
                <w:sz w:val="20"/>
                <w:szCs w:val="20"/>
                <w:color w:val="auto"/>
              </w:rPr>
            </w:pPr>
            <w:r>
              <w:rPr>
                <w:rFonts w:ascii="Arial" w:cs="Arial" w:eastAsia="Arial" w:hAnsi="Arial"/>
                <w:sz w:val="12"/>
                <w:szCs w:val="12"/>
                <w:color w:val="auto"/>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(4,189)</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1D2758"/>
        </w:rPr>
        <w:t>NOTE 17 - Commitments and Contingencies</w:t>
      </w:r>
    </w:p>
    <w:p>
      <w:pPr>
        <w:spacing w:after="0" w:line="85"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The Company is involved in various lawsuits, claims and legal proceedings that arise in the ordinary course of business. The Company assesses these matters on a case-by-case basis as they arise and establishes reserves as required. As of June 30, 2021,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494030</wp:posOffset>
            </wp:positionV>
            <wp:extent cx="719264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1D2758"/>
        </w:rPr>
        <w:t>NOTE 18 - Segment Reporting</w:t>
      </w:r>
    </w:p>
    <w:p>
      <w:pPr>
        <w:spacing w:after="0" w:line="85"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The Company operates in four reportable segments as follows: North America Modular Solutions ("NA Modular"), North America Storage Solutions ("NA Storage"), United Kingdom Storage Solutions ("UK Storage") and Tank and Pump Solutions ("Tank and Pump"). Total assets for each reportable segment are not available because the Company utilizes a centralized approach to working capital management. Transactions between reportable segments are not significant.</w:t>
      </w:r>
    </w:p>
    <w:p>
      <w:pPr>
        <w:spacing w:after="0" w:line="29"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In connection with the Merger, the Company determined its reportable segments as discussed above and retrospectively adjusted prior year's presentation to conform to the current presentation of reportable segments.</w:t>
      </w:r>
    </w:p>
    <w:p>
      <w:pPr>
        <w:spacing w:after="0" w:line="26"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The Company defines EBITDA as net income (loss) plus interest (income) expense, income tax (benefit) expense, depreciation and amortization. The Company reflects the further adjustments to EBITDA ("Adjusted EBITDA") to exclude certain non-cash items and the effect of what the Company considers transactions or events not related to its core business operations. The Chief Operating Decision Maker ("CODM") evaluates business segment performance utilizing Adjusted EBITDA as shown in the reconciliation of the Company’s consolidated net income (loss) to Adjusted EBITDA below. Management believes that evaluating segment performance excluding such items is meaningful because it provides insight with respect to the intrinsic operating results of the Company.</w:t>
      </w:r>
    </w:p>
    <w:p>
      <w:pPr>
        <w:spacing w:after="0" w:line="33"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Reportable Segments</w:t>
      </w:r>
    </w:p>
    <w:p>
      <w:pPr>
        <w:spacing w:after="0" w:line="111"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The following tables set forth certain information regarding each of the Company’s reportable segments for the three and six months ended June 30, 2021 and 2020, respectively. Consistent with the financial statements, the segment results do not include Mobile Mini's operations for the three and six months ended June 30, 2020. Please refer to the Management Discussion &amp; Analysis of Financial Condition and Results of Operations included in this document, for pro forma results inclusive of Mobile Mini's financial results for periods prior to the Merger date.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9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2160" w:type="dxa"/>
            <w:vAlign w:val="bottom"/>
            <w:gridSpan w:val="4"/>
            <w:shd w:val="clear" w:color="auto" w:fill="1D2758"/>
          </w:tcPr>
          <w:p>
            <w:pPr>
              <w:jc w:val="center"/>
              <w:spacing w:after="0"/>
              <w:rPr>
                <w:sz w:val="20"/>
                <w:szCs w:val="20"/>
                <w:color w:val="auto"/>
              </w:rPr>
            </w:pPr>
            <w:r>
              <w:rPr>
                <w:rFonts w:ascii="Arial" w:cs="Arial" w:eastAsia="Arial" w:hAnsi="Arial"/>
                <w:sz w:val="12"/>
                <w:szCs w:val="12"/>
                <w:b w:val="1"/>
                <w:bCs w:val="1"/>
                <w:color w:val="FFFFFF"/>
              </w:rPr>
              <w:t>Three Months Ended June 30, 2021</w:t>
            </w:r>
          </w:p>
        </w:tc>
        <w:tc>
          <w:tcPr>
            <w:tcW w:w="180" w:type="dxa"/>
            <w:vAlign w:val="bottom"/>
            <w:shd w:val="clear" w:color="auto" w:fill="1D2758"/>
          </w:tcPr>
          <w:p>
            <w:pPr>
              <w:spacing w:after="0"/>
              <w:rPr>
                <w:sz w:val="14"/>
                <w:szCs w:val="14"/>
                <w:color w:val="auto"/>
              </w:rPr>
            </w:pPr>
          </w:p>
        </w:tc>
        <w:tc>
          <w:tcPr>
            <w:tcW w:w="1280" w:type="dxa"/>
            <w:vAlign w:val="bottom"/>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860" w:type="dxa"/>
            <w:vAlign w:val="bottom"/>
            <w:shd w:val="clear" w:color="auto" w:fill="1D2758"/>
          </w:tcPr>
          <w:p>
            <w:pPr>
              <w:spacing w:after="0"/>
              <w:rPr>
                <w:sz w:val="14"/>
                <w:szCs w:val="14"/>
                <w:color w:val="auto"/>
              </w:rPr>
            </w:pPr>
          </w:p>
        </w:tc>
      </w:tr>
      <w:tr>
        <w:trPr>
          <w:trHeight w:val="161"/>
        </w:trPr>
        <w:tc>
          <w:tcPr>
            <w:tcW w:w="39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40" w:type="dxa"/>
            <w:vAlign w:val="bottom"/>
            <w:shd w:val="clear" w:color="auto" w:fill="1D2758"/>
          </w:tcPr>
          <w:p>
            <w:pPr>
              <w:spacing w:after="0"/>
              <w:rPr>
                <w:sz w:val="14"/>
                <w:szCs w:val="14"/>
                <w:color w:val="auto"/>
              </w:rPr>
            </w:pPr>
          </w:p>
        </w:tc>
        <w:tc>
          <w:tcPr>
            <w:tcW w:w="1060" w:type="dxa"/>
            <w:vAlign w:val="bottom"/>
            <w:gridSpan w:val="2"/>
            <w:shd w:val="clear" w:color="auto" w:fill="1D2758"/>
          </w:tcPr>
          <w:p>
            <w:pPr>
              <w:ind w:left="80"/>
              <w:spacing w:after="0"/>
              <w:rPr>
                <w:sz w:val="20"/>
                <w:szCs w:val="20"/>
                <w:color w:val="auto"/>
              </w:rPr>
            </w:pPr>
            <w:r>
              <w:rPr>
                <w:rFonts w:ascii="Arial" w:cs="Arial" w:eastAsia="Arial" w:hAnsi="Arial"/>
                <w:sz w:val="12"/>
                <w:szCs w:val="12"/>
                <w:b w:val="1"/>
                <w:bCs w:val="1"/>
                <w:color w:val="FFFFFF"/>
              </w:rPr>
              <w:t>NA Modular</w:t>
            </w:r>
          </w:p>
        </w:tc>
        <w:tc>
          <w:tcPr>
            <w:tcW w:w="160" w:type="dxa"/>
            <w:vAlign w:val="bottom"/>
            <w:shd w:val="clear" w:color="auto" w:fill="1D2758"/>
          </w:tcPr>
          <w:p>
            <w:pPr>
              <w:spacing w:after="0"/>
              <w:rPr>
                <w:sz w:val="14"/>
                <w:szCs w:val="14"/>
                <w:color w:val="auto"/>
              </w:rPr>
            </w:pPr>
          </w:p>
        </w:tc>
        <w:tc>
          <w:tcPr>
            <w:tcW w:w="1040" w:type="dxa"/>
            <w:vAlign w:val="bottom"/>
            <w:gridSpan w:val="2"/>
            <w:shd w:val="clear" w:color="auto" w:fill="1D2758"/>
          </w:tcPr>
          <w:p>
            <w:pPr>
              <w:ind w:left="60"/>
              <w:spacing w:after="0"/>
              <w:rPr>
                <w:sz w:val="20"/>
                <w:szCs w:val="20"/>
                <w:color w:val="auto"/>
              </w:rPr>
            </w:pPr>
            <w:r>
              <w:rPr>
                <w:rFonts w:ascii="Arial" w:cs="Arial" w:eastAsia="Arial" w:hAnsi="Arial"/>
                <w:sz w:val="12"/>
                <w:szCs w:val="12"/>
                <w:b w:val="1"/>
                <w:bCs w:val="1"/>
                <w:color w:val="FFFFFF"/>
              </w:rPr>
              <w:t>NA Storage</w:t>
            </w:r>
          </w:p>
        </w:tc>
        <w:tc>
          <w:tcPr>
            <w:tcW w:w="160" w:type="dxa"/>
            <w:vAlign w:val="bottom"/>
            <w:shd w:val="clear" w:color="auto" w:fill="1D2758"/>
          </w:tcPr>
          <w:p>
            <w:pPr>
              <w:spacing w:after="0"/>
              <w:rPr>
                <w:sz w:val="14"/>
                <w:szCs w:val="14"/>
                <w:color w:val="auto"/>
              </w:rPr>
            </w:pPr>
          </w:p>
        </w:tc>
        <w:tc>
          <w:tcPr>
            <w:tcW w:w="1040" w:type="dxa"/>
            <w:vAlign w:val="bottom"/>
            <w:gridSpan w:val="2"/>
            <w:shd w:val="clear" w:color="auto" w:fill="1D2758"/>
          </w:tcPr>
          <w:p>
            <w:pPr>
              <w:ind w:left="60"/>
              <w:spacing w:after="0"/>
              <w:rPr>
                <w:sz w:val="20"/>
                <w:szCs w:val="20"/>
                <w:color w:val="auto"/>
              </w:rPr>
            </w:pPr>
            <w:r>
              <w:rPr>
                <w:rFonts w:ascii="Arial" w:cs="Arial" w:eastAsia="Arial" w:hAnsi="Arial"/>
                <w:sz w:val="12"/>
                <w:szCs w:val="12"/>
                <w:b w:val="1"/>
                <w:bCs w:val="1"/>
                <w:color w:val="FFFFFF"/>
              </w:rPr>
              <w:t>UK Storage</w:t>
            </w:r>
          </w:p>
        </w:tc>
        <w:tc>
          <w:tcPr>
            <w:tcW w:w="100" w:type="dxa"/>
            <w:vAlign w:val="bottom"/>
            <w:shd w:val="clear" w:color="auto" w:fill="1D2758"/>
          </w:tcPr>
          <w:p>
            <w:pPr>
              <w:spacing w:after="0"/>
              <w:rPr>
                <w:sz w:val="14"/>
                <w:szCs w:val="14"/>
                <w:color w:val="auto"/>
              </w:rPr>
            </w:pPr>
          </w:p>
        </w:tc>
        <w:tc>
          <w:tcPr>
            <w:tcW w:w="1020" w:type="dxa"/>
            <w:vAlign w:val="bottom"/>
            <w:shd w:val="clear" w:color="auto" w:fill="1D2758"/>
          </w:tcPr>
          <w:p>
            <w:pPr>
              <w:jc w:val="right"/>
              <w:ind w:right="59"/>
              <w:spacing w:after="0"/>
              <w:rPr>
                <w:sz w:val="20"/>
                <w:szCs w:val="20"/>
                <w:color w:val="auto"/>
              </w:rPr>
            </w:pPr>
            <w:r>
              <w:rPr>
                <w:rFonts w:ascii="Arial" w:cs="Arial" w:eastAsia="Arial" w:hAnsi="Arial"/>
                <w:sz w:val="12"/>
                <w:szCs w:val="12"/>
                <w:b w:val="1"/>
                <w:bCs w:val="1"/>
                <w:color w:val="FFFFFF"/>
                <w:w w:val="98"/>
              </w:rPr>
              <w:t>Tank and Pump</w:t>
            </w:r>
          </w:p>
        </w:tc>
        <w:tc>
          <w:tcPr>
            <w:tcW w:w="180" w:type="dxa"/>
            <w:vAlign w:val="bottom"/>
            <w:shd w:val="clear" w:color="auto" w:fill="1D2758"/>
          </w:tcPr>
          <w:p>
            <w:pPr>
              <w:spacing w:after="0"/>
              <w:rPr>
                <w:sz w:val="14"/>
                <w:szCs w:val="14"/>
                <w:color w:val="auto"/>
              </w:rPr>
            </w:pPr>
          </w:p>
        </w:tc>
        <w:tc>
          <w:tcPr>
            <w:tcW w:w="1280" w:type="dxa"/>
            <w:vAlign w:val="bottom"/>
            <w:shd w:val="clear" w:color="auto" w:fill="1D2758"/>
          </w:tcPr>
          <w:p>
            <w:pPr>
              <w:jc w:val="right"/>
              <w:ind w:right="139"/>
              <w:spacing w:after="0"/>
              <w:rPr>
                <w:sz w:val="20"/>
                <w:szCs w:val="20"/>
                <w:color w:val="auto"/>
              </w:rPr>
            </w:pPr>
            <w:r>
              <w:rPr>
                <w:rFonts w:ascii="Arial" w:cs="Arial" w:eastAsia="Arial" w:hAnsi="Arial"/>
                <w:sz w:val="12"/>
                <w:szCs w:val="12"/>
                <w:b w:val="1"/>
                <w:bCs w:val="1"/>
                <w:color w:val="FFFFFF"/>
              </w:rPr>
              <w:t>Unallocated Costs</w:t>
            </w:r>
          </w:p>
        </w:tc>
        <w:tc>
          <w:tcPr>
            <w:tcW w:w="260" w:type="dxa"/>
            <w:vAlign w:val="bottom"/>
            <w:shd w:val="clear" w:color="auto" w:fill="1D2758"/>
          </w:tcPr>
          <w:p>
            <w:pPr>
              <w:spacing w:after="0"/>
              <w:rPr>
                <w:sz w:val="14"/>
                <w:szCs w:val="14"/>
                <w:color w:val="auto"/>
              </w:rPr>
            </w:pPr>
          </w:p>
        </w:tc>
        <w:tc>
          <w:tcPr>
            <w:tcW w:w="860" w:type="dxa"/>
            <w:vAlign w:val="bottom"/>
            <w:shd w:val="clear" w:color="auto" w:fill="1D2758"/>
          </w:tcPr>
          <w:p>
            <w:pPr>
              <w:jc w:val="right"/>
              <w:ind w:right="359"/>
              <w:spacing w:after="0"/>
              <w:rPr>
                <w:sz w:val="20"/>
                <w:szCs w:val="20"/>
                <w:color w:val="auto"/>
              </w:rPr>
            </w:pPr>
            <w:r>
              <w:rPr>
                <w:rFonts w:ascii="Arial" w:cs="Arial" w:eastAsia="Arial" w:hAnsi="Arial"/>
                <w:sz w:val="12"/>
                <w:szCs w:val="12"/>
                <w:b w:val="1"/>
                <w:bCs w:val="1"/>
                <w:color w:val="FFFFFF"/>
              </w:rPr>
              <w:t>Total</w:t>
            </w:r>
          </w:p>
        </w:tc>
      </w:tr>
      <w:tr>
        <w:trPr>
          <w:trHeight w:val="161"/>
        </w:trPr>
        <w:tc>
          <w:tcPr>
            <w:tcW w:w="398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Revenues:</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r>
      <w:tr>
        <w:trPr>
          <w:trHeight w:val="159"/>
        </w:trPr>
        <w:tc>
          <w:tcPr>
            <w:tcW w:w="3980" w:type="dxa"/>
            <w:vAlign w:val="bottom"/>
          </w:tcPr>
          <w:p>
            <w:pPr>
              <w:ind w:left="20"/>
              <w:spacing w:after="0"/>
              <w:rPr>
                <w:sz w:val="20"/>
                <w:szCs w:val="20"/>
                <w:color w:val="auto"/>
              </w:rPr>
            </w:pPr>
            <w:r>
              <w:rPr>
                <w:rFonts w:ascii="Arial" w:cs="Arial" w:eastAsia="Arial" w:hAnsi="Arial"/>
                <w:sz w:val="12"/>
                <w:szCs w:val="12"/>
                <w:color w:val="auto"/>
              </w:rPr>
              <w:t>Leasing and services revenue: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Leasing</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217,635</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85,966</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21,014</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jc w:val="center"/>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18,564</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343,179</w:t>
            </w: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Delivery and installation</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54,851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23,519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5,839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7,471</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91,680</w:t>
            </w:r>
          </w:p>
        </w:tc>
      </w:tr>
      <w:tr>
        <w:trPr>
          <w:trHeight w:val="164"/>
        </w:trPr>
        <w:tc>
          <w:tcPr>
            <w:tcW w:w="3980" w:type="dxa"/>
            <w:vAlign w:val="bottom"/>
            <w:shd w:val="clear" w:color="auto" w:fill="DBDBDB"/>
          </w:tcPr>
          <w:p>
            <w:pPr>
              <w:ind w:left="20"/>
              <w:spacing w:after="0"/>
              <w:rPr>
                <w:sz w:val="20"/>
                <w:szCs w:val="20"/>
                <w:color w:val="auto"/>
              </w:rPr>
            </w:pPr>
            <w:r>
              <w:rPr>
                <w:rFonts w:ascii="Arial" w:cs="Arial" w:eastAsia="Arial" w:hAnsi="Arial"/>
                <w:sz w:val="12"/>
                <w:szCs w:val="12"/>
                <w:color w:val="auto"/>
              </w:rPr>
              <w:t>Sales revenue:</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New units</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6,871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1,864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1,295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978</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11,008</w:t>
            </w: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Rental units</w:t>
            </w:r>
          </w:p>
        </w:tc>
        <w:tc>
          <w:tcPr>
            <w:tcW w:w="140" w:type="dxa"/>
            <w:vAlign w:val="bottom"/>
            <w:tcBorders>
              <w:bottom w:val="single" w:sz="8" w:color="auto"/>
            </w:tcBorders>
            <w:shd w:val="clear" w:color="auto" w:fill="DBDBDB"/>
          </w:tcPr>
          <w:p>
            <w:pPr>
              <w:spacing w:after="0"/>
              <w:rPr>
                <w:sz w:val="14"/>
                <w:szCs w:val="14"/>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10,025</w:t>
            </w:r>
          </w:p>
        </w:tc>
        <w:tc>
          <w:tcPr>
            <w:tcW w:w="80" w:type="dxa"/>
            <w:vAlign w:val="bottom"/>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4,445</w:t>
            </w:r>
          </w:p>
        </w:tc>
        <w:tc>
          <w:tcPr>
            <w:tcW w:w="80" w:type="dxa"/>
            <w:vAlign w:val="bottom"/>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284</w:t>
            </w:r>
          </w:p>
        </w:tc>
        <w:tc>
          <w:tcPr>
            <w:tcW w:w="80" w:type="dxa"/>
            <w:vAlign w:val="bottom"/>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481</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spacing w:after="0"/>
              <w:rPr>
                <w:sz w:val="14"/>
                <w:szCs w:val="14"/>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15,235</w:t>
            </w:r>
          </w:p>
        </w:tc>
      </w:tr>
      <w:tr>
        <w:trPr>
          <w:trHeight w:val="149"/>
        </w:trPr>
        <w:tc>
          <w:tcPr>
            <w:tcW w:w="3980" w:type="dxa"/>
            <w:vAlign w:val="bottom"/>
          </w:tcPr>
          <w:p>
            <w:pPr>
              <w:ind w:left="340"/>
              <w:spacing w:after="0"/>
              <w:rPr>
                <w:sz w:val="20"/>
                <w:szCs w:val="20"/>
                <w:color w:val="auto"/>
              </w:rPr>
            </w:pPr>
            <w:r>
              <w:rPr>
                <w:rFonts w:ascii="Arial" w:cs="Arial" w:eastAsia="Arial" w:hAnsi="Arial"/>
                <w:sz w:val="12"/>
                <w:szCs w:val="12"/>
                <w:color w:val="auto"/>
              </w:rPr>
              <w:t>Total revenues</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289,382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115,794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28,432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27,494</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461,102</w:t>
            </w:r>
          </w:p>
        </w:tc>
      </w:tr>
      <w:tr>
        <w:trPr>
          <w:trHeight w:val="194"/>
        </w:trPr>
        <w:tc>
          <w:tcPr>
            <w:tcW w:w="39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r>
      <w:tr>
        <w:trPr>
          <w:trHeight w:val="159"/>
        </w:trPr>
        <w:tc>
          <w:tcPr>
            <w:tcW w:w="3980" w:type="dxa"/>
            <w:vAlign w:val="bottom"/>
          </w:tcPr>
          <w:p>
            <w:pPr>
              <w:ind w:left="20"/>
              <w:spacing w:after="0"/>
              <w:rPr>
                <w:sz w:val="20"/>
                <w:szCs w:val="20"/>
                <w:color w:val="auto"/>
              </w:rPr>
            </w:pPr>
            <w:r>
              <w:rPr>
                <w:rFonts w:ascii="Arial" w:cs="Arial" w:eastAsia="Arial" w:hAnsi="Arial"/>
                <w:sz w:val="12"/>
                <w:szCs w:val="12"/>
                <w:color w:val="auto"/>
              </w:rPr>
              <w:t>Costs: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3980" w:type="dxa"/>
            <w:vAlign w:val="bottom"/>
            <w:shd w:val="clear" w:color="auto" w:fill="DBDBDB"/>
          </w:tcPr>
          <w:p>
            <w:pPr>
              <w:ind w:left="20"/>
              <w:spacing w:after="0"/>
              <w:rPr>
                <w:sz w:val="20"/>
                <w:szCs w:val="20"/>
                <w:color w:val="auto"/>
              </w:rPr>
            </w:pPr>
            <w:r>
              <w:rPr>
                <w:rFonts w:ascii="Arial" w:cs="Arial" w:eastAsia="Arial" w:hAnsi="Arial"/>
                <w:sz w:val="12"/>
                <w:szCs w:val="12"/>
                <w:color w:val="auto"/>
              </w:rPr>
              <w:t>Cost of leasing and services:</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Leasing</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61,773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12,174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4,729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4,356</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83,032</w:t>
            </w: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Delivery and installation</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51,154</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16,743</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3,309</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5,947</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77,153</w:t>
            </w:r>
          </w:p>
        </w:tc>
      </w:tr>
      <w:tr>
        <w:trPr>
          <w:trHeight w:val="159"/>
        </w:trPr>
        <w:tc>
          <w:tcPr>
            <w:tcW w:w="3980" w:type="dxa"/>
            <w:vAlign w:val="bottom"/>
          </w:tcPr>
          <w:p>
            <w:pPr>
              <w:ind w:left="20"/>
              <w:spacing w:after="0"/>
              <w:rPr>
                <w:sz w:val="20"/>
                <w:szCs w:val="20"/>
                <w:color w:val="auto"/>
              </w:rPr>
            </w:pPr>
            <w:r>
              <w:rPr>
                <w:rFonts w:ascii="Arial" w:cs="Arial" w:eastAsia="Arial" w:hAnsi="Arial"/>
                <w:sz w:val="12"/>
                <w:szCs w:val="12"/>
                <w:color w:val="auto"/>
              </w:rPr>
              <w:t>Cost of sales: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New units</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4,376</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1,122</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845</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709</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7,052</w:t>
            </w: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Rental units</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5,127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2,558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183</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8,162</w:t>
            </w:r>
          </w:p>
        </w:tc>
      </w:tr>
      <w:tr>
        <w:trPr>
          <w:trHeight w:val="164"/>
        </w:trPr>
        <w:tc>
          <w:tcPr>
            <w:tcW w:w="3980" w:type="dxa"/>
            <w:vAlign w:val="bottom"/>
            <w:shd w:val="clear" w:color="auto" w:fill="DBDBDB"/>
          </w:tcPr>
          <w:p>
            <w:pPr>
              <w:ind w:left="20"/>
              <w:spacing w:after="0"/>
              <w:rPr>
                <w:sz w:val="20"/>
                <w:szCs w:val="20"/>
                <w:color w:val="auto"/>
              </w:rPr>
            </w:pPr>
            <w:r>
              <w:rPr>
                <w:rFonts w:ascii="Arial" w:cs="Arial" w:eastAsia="Arial" w:hAnsi="Arial"/>
                <w:sz w:val="12"/>
                <w:szCs w:val="12"/>
                <w:color w:val="auto"/>
              </w:rPr>
              <w:t>Depreciation of rental equipment</w:t>
            </w:r>
          </w:p>
        </w:tc>
        <w:tc>
          <w:tcPr>
            <w:tcW w:w="140" w:type="dxa"/>
            <w:vAlign w:val="bottom"/>
            <w:tcBorders>
              <w:bottom w:val="single" w:sz="8" w:color="auto"/>
            </w:tcBorders>
            <w:shd w:val="clear" w:color="auto" w:fill="DBDBDB"/>
          </w:tcPr>
          <w:p>
            <w:pPr>
              <w:spacing w:after="0"/>
              <w:rPr>
                <w:sz w:val="14"/>
                <w:szCs w:val="14"/>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50,816</w:t>
            </w:r>
          </w:p>
        </w:tc>
        <w:tc>
          <w:tcPr>
            <w:tcW w:w="80" w:type="dxa"/>
            <w:vAlign w:val="bottom"/>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7,476</w:t>
            </w:r>
          </w:p>
        </w:tc>
        <w:tc>
          <w:tcPr>
            <w:tcW w:w="80" w:type="dxa"/>
            <w:vAlign w:val="bottom"/>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1,318</w:t>
            </w:r>
          </w:p>
        </w:tc>
        <w:tc>
          <w:tcPr>
            <w:tcW w:w="80" w:type="dxa"/>
            <w:vAlign w:val="bottom"/>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3,283</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spacing w:after="0"/>
              <w:rPr>
                <w:sz w:val="14"/>
                <w:szCs w:val="14"/>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62,893</w:t>
            </w:r>
          </w:p>
        </w:tc>
      </w:tr>
      <w:tr>
        <w:trPr>
          <w:trHeight w:val="149"/>
        </w:trPr>
        <w:tc>
          <w:tcPr>
            <w:tcW w:w="3980" w:type="dxa"/>
            <w:vAlign w:val="bottom"/>
          </w:tcPr>
          <w:p>
            <w:pPr>
              <w:ind w:left="340"/>
              <w:spacing w:after="0"/>
              <w:rPr>
                <w:sz w:val="20"/>
                <w:szCs w:val="20"/>
                <w:color w:val="auto"/>
              </w:rPr>
            </w:pPr>
            <w:r>
              <w:rPr>
                <w:rFonts w:ascii="Arial" w:cs="Arial" w:eastAsia="Arial" w:hAnsi="Arial"/>
                <w:sz w:val="12"/>
                <w:szCs w:val="12"/>
                <w:color w:val="auto"/>
              </w:rPr>
              <w:t>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116,136</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75,721</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17,937</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13,016</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222,810</w:t>
            </w:r>
          </w:p>
        </w:tc>
      </w:tr>
      <w:tr>
        <w:trPr>
          <w:trHeight w:val="20"/>
        </w:trPr>
        <w:tc>
          <w:tcPr>
            <w:tcW w:w="39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4"/>
        </w:trPr>
        <w:tc>
          <w:tcPr>
            <w:tcW w:w="3980" w:type="dxa"/>
            <w:vAlign w:val="bottom"/>
            <w:shd w:val="clear" w:color="auto" w:fill="DBDBDB"/>
          </w:tcPr>
          <w:p>
            <w:pPr>
              <w:ind w:left="20"/>
              <w:spacing w:after="0" w:line="124" w:lineRule="exact"/>
              <w:rPr>
                <w:sz w:val="20"/>
                <w:szCs w:val="20"/>
                <w:color w:val="auto"/>
              </w:rPr>
            </w:pPr>
            <w:r>
              <w:rPr>
                <w:rFonts w:ascii="Arial" w:cs="Arial" w:eastAsia="Arial" w:hAnsi="Arial"/>
                <w:sz w:val="12"/>
                <w:szCs w:val="12"/>
                <w:color w:val="auto"/>
              </w:rPr>
              <w:t>Other selected data:</w:t>
            </w:r>
          </w:p>
        </w:tc>
        <w:tc>
          <w:tcPr>
            <w:tcW w:w="140" w:type="dxa"/>
            <w:vAlign w:val="bottom"/>
            <w:shd w:val="clear" w:color="auto" w:fill="DBDBDB"/>
          </w:tcPr>
          <w:p>
            <w:pPr>
              <w:spacing w:after="0"/>
              <w:rPr>
                <w:sz w:val="10"/>
                <w:szCs w:val="10"/>
                <w:color w:val="auto"/>
              </w:rPr>
            </w:pPr>
          </w:p>
        </w:tc>
        <w:tc>
          <w:tcPr>
            <w:tcW w:w="9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9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9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1280" w:type="dxa"/>
            <w:vAlign w:val="bottom"/>
            <w:shd w:val="clear" w:color="auto" w:fill="DBDBDB"/>
          </w:tcPr>
          <w:p>
            <w:pPr>
              <w:spacing w:after="0"/>
              <w:rPr>
                <w:sz w:val="10"/>
                <w:szCs w:val="10"/>
                <w:color w:val="auto"/>
              </w:rPr>
            </w:pPr>
          </w:p>
        </w:tc>
        <w:tc>
          <w:tcPr>
            <w:tcW w:w="26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Adjusted EBITDA</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103,545</w:t>
            </w:r>
          </w:p>
        </w:tc>
        <w:tc>
          <w:tcPr>
            <w:tcW w:w="8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49,526</w:t>
            </w:r>
          </w:p>
        </w:tc>
        <w:tc>
          <w:tcPr>
            <w:tcW w:w="8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12,328</w:t>
            </w:r>
          </w:p>
        </w:tc>
        <w:tc>
          <w:tcPr>
            <w:tcW w:w="80" w:type="dxa"/>
            <w:vAlign w:val="bottom"/>
          </w:tcPr>
          <w:p>
            <w:pPr>
              <w:spacing w:after="0"/>
              <w:rPr>
                <w:sz w:val="13"/>
                <w:szCs w:val="13"/>
                <w:color w:val="auto"/>
              </w:rPr>
            </w:pPr>
          </w:p>
        </w:tc>
        <w:tc>
          <w:tcPr>
            <w:tcW w:w="100" w:type="dxa"/>
            <w:vAlign w:val="bottom"/>
          </w:tcPr>
          <w:p>
            <w:pPr>
              <w:jc w:val="center"/>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10,096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175,495</w:t>
            </w: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Selling, general and administrative expense</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63,406</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33,672</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6,926</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jc w:val="center"/>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6,203</w:t>
            </w:r>
          </w:p>
        </w:tc>
        <w:tc>
          <w:tcPr>
            <w:tcW w:w="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12,180</w:t>
            </w:r>
          </w:p>
        </w:tc>
        <w:tc>
          <w:tcPr>
            <w:tcW w:w="26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122,387</w:t>
            </w:r>
          </w:p>
        </w:tc>
      </w:tr>
      <w:tr>
        <w:trPr>
          <w:trHeight w:val="157"/>
        </w:trPr>
        <w:tc>
          <w:tcPr>
            <w:tcW w:w="3980" w:type="dxa"/>
            <w:vAlign w:val="bottom"/>
          </w:tcPr>
          <w:p>
            <w:pPr>
              <w:ind w:left="180"/>
              <w:spacing w:after="0"/>
              <w:rPr>
                <w:sz w:val="20"/>
                <w:szCs w:val="20"/>
                <w:color w:val="auto"/>
              </w:rPr>
            </w:pPr>
            <w:r>
              <w:rPr>
                <w:rFonts w:ascii="Arial" w:cs="Arial" w:eastAsia="Arial" w:hAnsi="Arial"/>
                <w:sz w:val="12"/>
                <w:szCs w:val="12"/>
                <w:color w:val="auto"/>
              </w:rPr>
              <w:t>Purchases of rental equipment and refurbishments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49,364</w:t>
            </w:r>
          </w:p>
        </w:tc>
        <w:tc>
          <w:tcPr>
            <w:tcW w:w="8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8,773</w:t>
            </w:r>
          </w:p>
        </w:tc>
        <w:tc>
          <w:tcPr>
            <w:tcW w:w="8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4,226</w:t>
            </w:r>
          </w:p>
        </w:tc>
        <w:tc>
          <w:tcPr>
            <w:tcW w:w="80" w:type="dxa"/>
            <w:vAlign w:val="bottom"/>
          </w:tcPr>
          <w:p>
            <w:pPr>
              <w:spacing w:after="0"/>
              <w:rPr>
                <w:sz w:val="13"/>
                <w:szCs w:val="13"/>
                <w:color w:val="auto"/>
              </w:rPr>
            </w:pPr>
          </w:p>
        </w:tc>
        <w:tc>
          <w:tcPr>
            <w:tcW w:w="100" w:type="dxa"/>
            <w:vAlign w:val="bottom"/>
          </w:tcPr>
          <w:p>
            <w:pPr>
              <w:jc w:val="center"/>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2,919</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65,282</w:t>
            </w:r>
          </w:p>
        </w:tc>
      </w:tr>
      <w:tr>
        <w:trPr>
          <w:trHeight w:val="1225"/>
        </w:trPr>
        <w:tc>
          <w:tcPr>
            <w:tcW w:w="3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050"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39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9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2160" w:type="dxa"/>
            <w:vAlign w:val="bottom"/>
            <w:gridSpan w:val="4"/>
            <w:shd w:val="clear" w:color="auto" w:fill="1D2758"/>
          </w:tcPr>
          <w:p>
            <w:pPr>
              <w:jc w:val="center"/>
              <w:spacing w:after="0"/>
              <w:rPr>
                <w:sz w:val="20"/>
                <w:szCs w:val="20"/>
                <w:color w:val="auto"/>
              </w:rPr>
            </w:pPr>
            <w:r>
              <w:rPr>
                <w:rFonts w:ascii="Arial" w:cs="Arial" w:eastAsia="Arial" w:hAnsi="Arial"/>
                <w:sz w:val="12"/>
                <w:szCs w:val="12"/>
                <w:b w:val="1"/>
                <w:bCs w:val="1"/>
                <w:color w:val="FFFFFF"/>
              </w:rPr>
              <w:t>Three Months Ended June 30, 2020</w:t>
            </w:r>
          </w:p>
        </w:tc>
        <w:tc>
          <w:tcPr>
            <w:tcW w:w="180" w:type="dxa"/>
            <w:vAlign w:val="bottom"/>
            <w:shd w:val="clear" w:color="auto" w:fill="1D2758"/>
          </w:tcPr>
          <w:p>
            <w:pPr>
              <w:spacing w:after="0"/>
              <w:rPr>
                <w:sz w:val="14"/>
                <w:szCs w:val="14"/>
                <w:color w:val="auto"/>
              </w:rPr>
            </w:pPr>
          </w:p>
        </w:tc>
        <w:tc>
          <w:tcPr>
            <w:tcW w:w="1280" w:type="dxa"/>
            <w:vAlign w:val="bottom"/>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860" w:type="dxa"/>
            <w:vAlign w:val="bottom"/>
            <w:shd w:val="clear" w:color="auto" w:fill="1D2758"/>
          </w:tcPr>
          <w:p>
            <w:pPr>
              <w:spacing w:after="0"/>
              <w:rPr>
                <w:sz w:val="14"/>
                <w:szCs w:val="14"/>
                <w:color w:val="auto"/>
              </w:rPr>
            </w:pPr>
          </w:p>
        </w:tc>
      </w:tr>
      <w:tr>
        <w:trPr>
          <w:trHeight w:val="161"/>
        </w:trPr>
        <w:tc>
          <w:tcPr>
            <w:tcW w:w="39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40" w:type="dxa"/>
            <w:vAlign w:val="bottom"/>
            <w:shd w:val="clear" w:color="auto" w:fill="1D2758"/>
          </w:tcPr>
          <w:p>
            <w:pPr>
              <w:spacing w:after="0"/>
              <w:rPr>
                <w:sz w:val="14"/>
                <w:szCs w:val="14"/>
                <w:color w:val="auto"/>
              </w:rPr>
            </w:pPr>
          </w:p>
        </w:tc>
        <w:tc>
          <w:tcPr>
            <w:tcW w:w="1060" w:type="dxa"/>
            <w:vAlign w:val="bottom"/>
            <w:gridSpan w:val="2"/>
            <w:shd w:val="clear" w:color="auto" w:fill="1D2758"/>
          </w:tcPr>
          <w:p>
            <w:pPr>
              <w:ind w:left="80"/>
              <w:spacing w:after="0"/>
              <w:rPr>
                <w:sz w:val="20"/>
                <w:szCs w:val="20"/>
                <w:color w:val="auto"/>
              </w:rPr>
            </w:pPr>
            <w:r>
              <w:rPr>
                <w:rFonts w:ascii="Arial" w:cs="Arial" w:eastAsia="Arial" w:hAnsi="Arial"/>
                <w:sz w:val="12"/>
                <w:szCs w:val="12"/>
                <w:b w:val="1"/>
                <w:bCs w:val="1"/>
                <w:color w:val="FFFFFF"/>
              </w:rPr>
              <w:t>NA Modular</w:t>
            </w:r>
          </w:p>
        </w:tc>
        <w:tc>
          <w:tcPr>
            <w:tcW w:w="160" w:type="dxa"/>
            <w:vAlign w:val="bottom"/>
            <w:shd w:val="clear" w:color="auto" w:fill="1D2758"/>
          </w:tcPr>
          <w:p>
            <w:pPr>
              <w:spacing w:after="0"/>
              <w:rPr>
                <w:sz w:val="14"/>
                <w:szCs w:val="14"/>
                <w:color w:val="auto"/>
              </w:rPr>
            </w:pPr>
          </w:p>
        </w:tc>
        <w:tc>
          <w:tcPr>
            <w:tcW w:w="1040" w:type="dxa"/>
            <w:vAlign w:val="bottom"/>
            <w:gridSpan w:val="2"/>
            <w:shd w:val="clear" w:color="auto" w:fill="1D2758"/>
          </w:tcPr>
          <w:p>
            <w:pPr>
              <w:ind w:left="60"/>
              <w:spacing w:after="0"/>
              <w:rPr>
                <w:sz w:val="20"/>
                <w:szCs w:val="20"/>
                <w:color w:val="auto"/>
              </w:rPr>
            </w:pPr>
            <w:r>
              <w:rPr>
                <w:rFonts w:ascii="Arial" w:cs="Arial" w:eastAsia="Arial" w:hAnsi="Arial"/>
                <w:sz w:val="12"/>
                <w:szCs w:val="12"/>
                <w:b w:val="1"/>
                <w:bCs w:val="1"/>
                <w:color w:val="FFFFFF"/>
              </w:rPr>
              <w:t>NA Storage</w:t>
            </w:r>
          </w:p>
        </w:tc>
        <w:tc>
          <w:tcPr>
            <w:tcW w:w="160" w:type="dxa"/>
            <w:vAlign w:val="bottom"/>
            <w:shd w:val="clear" w:color="auto" w:fill="1D2758"/>
          </w:tcPr>
          <w:p>
            <w:pPr>
              <w:spacing w:after="0"/>
              <w:rPr>
                <w:sz w:val="14"/>
                <w:szCs w:val="14"/>
                <w:color w:val="auto"/>
              </w:rPr>
            </w:pPr>
          </w:p>
        </w:tc>
        <w:tc>
          <w:tcPr>
            <w:tcW w:w="1040" w:type="dxa"/>
            <w:vAlign w:val="bottom"/>
            <w:gridSpan w:val="2"/>
            <w:shd w:val="clear" w:color="auto" w:fill="1D2758"/>
          </w:tcPr>
          <w:p>
            <w:pPr>
              <w:ind w:left="80"/>
              <w:spacing w:after="0"/>
              <w:rPr>
                <w:sz w:val="20"/>
                <w:szCs w:val="20"/>
                <w:color w:val="auto"/>
              </w:rPr>
            </w:pPr>
            <w:r>
              <w:rPr>
                <w:rFonts w:ascii="Arial" w:cs="Arial" w:eastAsia="Arial" w:hAnsi="Arial"/>
                <w:sz w:val="12"/>
                <w:szCs w:val="12"/>
                <w:b w:val="1"/>
                <w:bCs w:val="1"/>
                <w:color w:val="FFFFFF"/>
              </w:rPr>
              <w:t>UK Storage</w:t>
            </w:r>
          </w:p>
        </w:tc>
        <w:tc>
          <w:tcPr>
            <w:tcW w:w="100" w:type="dxa"/>
            <w:vAlign w:val="bottom"/>
            <w:shd w:val="clear" w:color="auto" w:fill="1D2758"/>
          </w:tcPr>
          <w:p>
            <w:pPr>
              <w:spacing w:after="0"/>
              <w:rPr>
                <w:sz w:val="14"/>
                <w:szCs w:val="14"/>
                <w:color w:val="auto"/>
              </w:rPr>
            </w:pPr>
          </w:p>
        </w:tc>
        <w:tc>
          <w:tcPr>
            <w:tcW w:w="1020" w:type="dxa"/>
            <w:vAlign w:val="bottom"/>
            <w:shd w:val="clear" w:color="auto" w:fill="1D2758"/>
          </w:tcPr>
          <w:p>
            <w:pPr>
              <w:ind w:left="20"/>
              <w:spacing w:after="0"/>
              <w:rPr>
                <w:sz w:val="20"/>
                <w:szCs w:val="20"/>
                <w:color w:val="auto"/>
              </w:rPr>
            </w:pPr>
            <w:r>
              <w:rPr>
                <w:rFonts w:ascii="Arial" w:cs="Arial" w:eastAsia="Arial" w:hAnsi="Arial"/>
                <w:sz w:val="12"/>
                <w:szCs w:val="12"/>
                <w:b w:val="1"/>
                <w:bCs w:val="1"/>
                <w:color w:val="FFFFFF"/>
              </w:rPr>
              <w:t>Tank and Pump</w:t>
            </w:r>
          </w:p>
        </w:tc>
        <w:tc>
          <w:tcPr>
            <w:tcW w:w="180" w:type="dxa"/>
            <w:vAlign w:val="bottom"/>
            <w:shd w:val="clear" w:color="auto" w:fill="1D2758"/>
          </w:tcPr>
          <w:p>
            <w:pPr>
              <w:spacing w:after="0"/>
              <w:rPr>
                <w:sz w:val="14"/>
                <w:szCs w:val="14"/>
                <w:color w:val="auto"/>
              </w:rPr>
            </w:pPr>
          </w:p>
        </w:tc>
        <w:tc>
          <w:tcPr>
            <w:tcW w:w="1280" w:type="dxa"/>
            <w:vAlign w:val="bottom"/>
            <w:shd w:val="clear" w:color="auto" w:fill="1D2758"/>
          </w:tcPr>
          <w:p>
            <w:pPr>
              <w:jc w:val="right"/>
              <w:ind w:right="139"/>
              <w:spacing w:after="0"/>
              <w:rPr>
                <w:sz w:val="20"/>
                <w:szCs w:val="20"/>
                <w:color w:val="auto"/>
              </w:rPr>
            </w:pPr>
            <w:r>
              <w:rPr>
                <w:rFonts w:ascii="Arial" w:cs="Arial" w:eastAsia="Arial" w:hAnsi="Arial"/>
                <w:sz w:val="12"/>
                <w:szCs w:val="12"/>
                <w:b w:val="1"/>
                <w:bCs w:val="1"/>
                <w:color w:val="FFFFFF"/>
              </w:rPr>
              <w:t>Unallocated Costs</w:t>
            </w:r>
          </w:p>
        </w:tc>
        <w:tc>
          <w:tcPr>
            <w:tcW w:w="260" w:type="dxa"/>
            <w:vAlign w:val="bottom"/>
            <w:shd w:val="clear" w:color="auto" w:fill="1D2758"/>
          </w:tcPr>
          <w:p>
            <w:pPr>
              <w:spacing w:after="0"/>
              <w:rPr>
                <w:sz w:val="14"/>
                <w:szCs w:val="14"/>
                <w:color w:val="auto"/>
              </w:rPr>
            </w:pPr>
          </w:p>
        </w:tc>
        <w:tc>
          <w:tcPr>
            <w:tcW w:w="860" w:type="dxa"/>
            <w:vAlign w:val="bottom"/>
            <w:shd w:val="clear" w:color="auto" w:fill="1D2758"/>
          </w:tcPr>
          <w:p>
            <w:pPr>
              <w:jc w:val="right"/>
              <w:ind w:right="359"/>
              <w:spacing w:after="0"/>
              <w:rPr>
                <w:sz w:val="20"/>
                <w:szCs w:val="20"/>
                <w:color w:val="auto"/>
              </w:rPr>
            </w:pPr>
            <w:r>
              <w:rPr>
                <w:rFonts w:ascii="Arial" w:cs="Arial" w:eastAsia="Arial" w:hAnsi="Arial"/>
                <w:sz w:val="12"/>
                <w:szCs w:val="12"/>
                <w:b w:val="1"/>
                <w:bCs w:val="1"/>
                <w:color w:val="FFFFFF"/>
              </w:rPr>
              <w:t>Total</w:t>
            </w:r>
          </w:p>
        </w:tc>
      </w:tr>
      <w:tr>
        <w:trPr>
          <w:trHeight w:val="161"/>
        </w:trPr>
        <w:tc>
          <w:tcPr>
            <w:tcW w:w="398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Revenues:</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r>
      <w:tr>
        <w:trPr>
          <w:trHeight w:val="159"/>
        </w:trPr>
        <w:tc>
          <w:tcPr>
            <w:tcW w:w="3980" w:type="dxa"/>
            <w:vAlign w:val="bottom"/>
          </w:tcPr>
          <w:p>
            <w:pPr>
              <w:ind w:left="20"/>
              <w:spacing w:after="0"/>
              <w:rPr>
                <w:sz w:val="20"/>
                <w:szCs w:val="20"/>
                <w:color w:val="auto"/>
              </w:rPr>
            </w:pPr>
            <w:r>
              <w:rPr>
                <w:rFonts w:ascii="Arial" w:cs="Arial" w:eastAsia="Arial" w:hAnsi="Arial"/>
                <w:sz w:val="12"/>
                <w:szCs w:val="12"/>
                <w:color w:val="auto"/>
              </w:rPr>
              <w:t>Leasing and services revenue: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Leasing</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190,143</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DBDBDB"/>
          </w:tcPr>
          <w:p>
            <w:pPr>
              <w:ind w:left="78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DBDBDB"/>
          </w:tcPr>
          <w:p>
            <w:pPr>
              <w:ind w:left="800"/>
              <w:spacing w:after="0"/>
              <w:rPr>
                <w:sz w:val="20"/>
                <w:szCs w:val="20"/>
                <w:color w:val="auto"/>
              </w:rPr>
            </w:pPr>
            <w:r>
              <w:rPr>
                <w:rFonts w:ascii="Arial" w:cs="Arial" w:eastAsia="Arial" w:hAnsi="Arial"/>
                <w:sz w:val="12"/>
                <w:szCs w:val="12"/>
                <w:color w:val="auto"/>
              </w:rPr>
              <w:t>—</w:t>
            </w:r>
          </w:p>
        </w:tc>
        <w:tc>
          <w:tcPr>
            <w:tcW w:w="10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BDBDB"/>
          </w:tcPr>
          <w:p>
            <w:pPr>
              <w:ind w:left="860"/>
              <w:spacing w:after="0"/>
              <w:rPr>
                <w:sz w:val="20"/>
                <w:szCs w:val="20"/>
                <w:color w:val="auto"/>
              </w:rPr>
            </w:pPr>
            <w:r>
              <w:rPr>
                <w:rFonts w:ascii="Arial" w:cs="Arial" w:eastAsia="Arial" w:hAnsi="Arial"/>
                <w:sz w:val="12"/>
                <w:szCs w:val="12"/>
                <w:color w:val="auto"/>
              </w:rPr>
              <w:t>—</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190,143</w:t>
            </w: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Delivery and installation</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51,640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51,640</w:t>
            </w:r>
          </w:p>
        </w:tc>
      </w:tr>
      <w:tr>
        <w:trPr>
          <w:trHeight w:val="164"/>
        </w:trPr>
        <w:tc>
          <w:tcPr>
            <w:tcW w:w="3980" w:type="dxa"/>
            <w:vAlign w:val="bottom"/>
            <w:shd w:val="clear" w:color="auto" w:fill="DBDBDB"/>
          </w:tcPr>
          <w:p>
            <w:pPr>
              <w:ind w:left="20"/>
              <w:spacing w:after="0"/>
              <w:rPr>
                <w:sz w:val="20"/>
                <w:szCs w:val="20"/>
                <w:color w:val="auto"/>
              </w:rPr>
            </w:pPr>
            <w:r>
              <w:rPr>
                <w:rFonts w:ascii="Arial" w:cs="Arial" w:eastAsia="Arial" w:hAnsi="Arial"/>
                <w:sz w:val="12"/>
                <w:szCs w:val="12"/>
                <w:color w:val="auto"/>
              </w:rPr>
              <w:t>Sales revenue:</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New units</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9,763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9,763</w:t>
            </w: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Rental units</w:t>
            </w:r>
          </w:p>
        </w:tc>
        <w:tc>
          <w:tcPr>
            <w:tcW w:w="140" w:type="dxa"/>
            <w:vAlign w:val="bottom"/>
            <w:tcBorders>
              <w:bottom w:val="single" w:sz="8" w:color="auto"/>
            </w:tcBorders>
            <w:shd w:val="clear" w:color="auto" w:fill="DBDBDB"/>
          </w:tcPr>
          <w:p>
            <w:pPr>
              <w:spacing w:after="0"/>
              <w:rPr>
                <w:sz w:val="14"/>
                <w:szCs w:val="14"/>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5,316</w:t>
            </w:r>
          </w:p>
        </w:tc>
        <w:tc>
          <w:tcPr>
            <w:tcW w:w="80" w:type="dxa"/>
            <w:vAlign w:val="bottom"/>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ind w:left="80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1020" w:type="dxa"/>
            <w:vAlign w:val="bottom"/>
            <w:tcBorders>
              <w:bottom w:val="single" w:sz="8" w:color="auto"/>
            </w:tcBorders>
            <w:shd w:val="clear" w:color="auto" w:fill="DBDBDB"/>
          </w:tcPr>
          <w:p>
            <w:pPr>
              <w:ind w:left="860"/>
              <w:spacing w:after="0"/>
              <w:rPr>
                <w:sz w:val="20"/>
                <w:szCs w:val="20"/>
                <w:color w:val="auto"/>
              </w:rPr>
            </w:pPr>
            <w:r>
              <w:rPr>
                <w:rFonts w:ascii="Arial" w:cs="Arial" w:eastAsia="Arial" w:hAnsi="Arial"/>
                <w:sz w:val="12"/>
                <w:szCs w:val="12"/>
                <w:color w:val="auto"/>
              </w:rPr>
              <w:t>—</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spacing w:after="0"/>
              <w:rPr>
                <w:sz w:val="14"/>
                <w:szCs w:val="14"/>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5,316</w:t>
            </w:r>
          </w:p>
        </w:tc>
      </w:tr>
      <w:tr>
        <w:trPr>
          <w:trHeight w:val="149"/>
        </w:trPr>
        <w:tc>
          <w:tcPr>
            <w:tcW w:w="3980" w:type="dxa"/>
            <w:vAlign w:val="bottom"/>
          </w:tcPr>
          <w:p>
            <w:pPr>
              <w:ind w:left="20"/>
              <w:spacing w:after="0"/>
              <w:rPr>
                <w:sz w:val="20"/>
                <w:szCs w:val="20"/>
                <w:color w:val="auto"/>
              </w:rPr>
            </w:pPr>
            <w:r>
              <w:rPr>
                <w:rFonts w:ascii="Arial" w:cs="Arial" w:eastAsia="Arial" w:hAnsi="Arial"/>
                <w:sz w:val="12"/>
                <w:szCs w:val="12"/>
                <w:color w:val="auto"/>
              </w:rPr>
              <w:t>Total revenues</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256,862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256,862</w:t>
            </w:r>
          </w:p>
        </w:tc>
      </w:tr>
      <w:tr>
        <w:trPr>
          <w:trHeight w:val="194"/>
        </w:trPr>
        <w:tc>
          <w:tcPr>
            <w:tcW w:w="39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r>
      <w:tr>
        <w:trPr>
          <w:trHeight w:val="159"/>
        </w:trPr>
        <w:tc>
          <w:tcPr>
            <w:tcW w:w="3980" w:type="dxa"/>
            <w:vAlign w:val="bottom"/>
          </w:tcPr>
          <w:p>
            <w:pPr>
              <w:ind w:left="20"/>
              <w:spacing w:after="0"/>
              <w:rPr>
                <w:sz w:val="20"/>
                <w:szCs w:val="20"/>
                <w:color w:val="auto"/>
              </w:rPr>
            </w:pPr>
            <w:r>
              <w:rPr>
                <w:rFonts w:ascii="Arial" w:cs="Arial" w:eastAsia="Arial" w:hAnsi="Arial"/>
                <w:sz w:val="12"/>
                <w:szCs w:val="12"/>
                <w:color w:val="auto"/>
              </w:rPr>
              <w:t>Costs: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3980" w:type="dxa"/>
            <w:vAlign w:val="bottom"/>
            <w:shd w:val="clear" w:color="auto" w:fill="DBDBDB"/>
          </w:tcPr>
          <w:p>
            <w:pPr>
              <w:ind w:left="20"/>
              <w:spacing w:after="0"/>
              <w:rPr>
                <w:sz w:val="20"/>
                <w:szCs w:val="20"/>
                <w:color w:val="auto"/>
              </w:rPr>
            </w:pPr>
            <w:r>
              <w:rPr>
                <w:rFonts w:ascii="Arial" w:cs="Arial" w:eastAsia="Arial" w:hAnsi="Arial"/>
                <w:sz w:val="12"/>
                <w:szCs w:val="12"/>
                <w:color w:val="auto"/>
              </w:rPr>
              <w:t>Cost of leasing and services:</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Leasing</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47,747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47,747</w:t>
            </w: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Delivery and installation</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43,523</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gridSpan w:val="2"/>
            <w:shd w:val="clear" w:color="auto" w:fill="DBDBDB"/>
          </w:tcPr>
          <w:p>
            <w:pPr>
              <w:ind w:left="78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spacing w:after="0"/>
              <w:rPr>
                <w:sz w:val="14"/>
                <w:szCs w:val="14"/>
                <w:color w:val="auto"/>
              </w:rPr>
            </w:pPr>
          </w:p>
        </w:tc>
        <w:tc>
          <w:tcPr>
            <w:tcW w:w="1040" w:type="dxa"/>
            <w:vAlign w:val="bottom"/>
            <w:gridSpan w:val="2"/>
            <w:shd w:val="clear" w:color="auto" w:fill="DBDBDB"/>
          </w:tcPr>
          <w:p>
            <w:pPr>
              <w:ind w:left="800"/>
              <w:spacing w:after="0"/>
              <w:rPr>
                <w:sz w:val="20"/>
                <w:szCs w:val="20"/>
                <w:color w:val="auto"/>
              </w:rPr>
            </w:pPr>
            <w:r>
              <w:rPr>
                <w:rFonts w:ascii="Arial" w:cs="Arial" w:eastAsia="Arial" w:hAnsi="Arial"/>
                <w:sz w:val="12"/>
                <w:szCs w:val="12"/>
                <w:color w:val="auto"/>
              </w:rPr>
              <w:t>—</w:t>
            </w: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ind w:left="860"/>
              <w:spacing w:after="0"/>
              <w:rPr>
                <w:sz w:val="20"/>
                <w:szCs w:val="20"/>
                <w:color w:val="auto"/>
              </w:rPr>
            </w:pPr>
            <w:r>
              <w:rPr>
                <w:rFonts w:ascii="Arial" w:cs="Arial" w:eastAsia="Arial" w:hAnsi="Arial"/>
                <w:sz w:val="12"/>
                <w:szCs w:val="12"/>
                <w:color w:val="auto"/>
              </w:rPr>
              <w:t>—</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43,523</w:t>
            </w:r>
          </w:p>
        </w:tc>
      </w:tr>
      <w:tr>
        <w:trPr>
          <w:trHeight w:val="159"/>
        </w:trPr>
        <w:tc>
          <w:tcPr>
            <w:tcW w:w="3980" w:type="dxa"/>
            <w:vAlign w:val="bottom"/>
          </w:tcPr>
          <w:p>
            <w:pPr>
              <w:ind w:left="20"/>
              <w:spacing w:after="0"/>
              <w:rPr>
                <w:sz w:val="20"/>
                <w:szCs w:val="20"/>
                <w:color w:val="auto"/>
              </w:rPr>
            </w:pPr>
            <w:r>
              <w:rPr>
                <w:rFonts w:ascii="Arial" w:cs="Arial" w:eastAsia="Arial" w:hAnsi="Arial"/>
                <w:sz w:val="12"/>
                <w:szCs w:val="12"/>
                <w:color w:val="auto"/>
              </w:rPr>
              <w:t>Cost of sales: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New units</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6,331</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gridSpan w:val="2"/>
            <w:shd w:val="clear" w:color="auto" w:fill="DBDBDB"/>
          </w:tcPr>
          <w:p>
            <w:pPr>
              <w:ind w:left="78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spacing w:after="0"/>
              <w:rPr>
                <w:sz w:val="14"/>
                <w:szCs w:val="14"/>
                <w:color w:val="auto"/>
              </w:rPr>
            </w:pPr>
          </w:p>
        </w:tc>
        <w:tc>
          <w:tcPr>
            <w:tcW w:w="1040" w:type="dxa"/>
            <w:vAlign w:val="bottom"/>
            <w:gridSpan w:val="2"/>
            <w:shd w:val="clear" w:color="auto" w:fill="DBDBDB"/>
          </w:tcPr>
          <w:p>
            <w:pPr>
              <w:ind w:left="800"/>
              <w:spacing w:after="0"/>
              <w:rPr>
                <w:sz w:val="20"/>
                <w:szCs w:val="20"/>
                <w:color w:val="auto"/>
              </w:rPr>
            </w:pPr>
            <w:r>
              <w:rPr>
                <w:rFonts w:ascii="Arial" w:cs="Arial" w:eastAsia="Arial" w:hAnsi="Arial"/>
                <w:sz w:val="12"/>
                <w:szCs w:val="12"/>
                <w:color w:val="auto"/>
              </w:rPr>
              <w:t>—</w:t>
            </w: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ind w:left="860"/>
              <w:spacing w:after="0"/>
              <w:rPr>
                <w:sz w:val="20"/>
                <w:szCs w:val="20"/>
                <w:color w:val="auto"/>
              </w:rPr>
            </w:pPr>
            <w:r>
              <w:rPr>
                <w:rFonts w:ascii="Arial" w:cs="Arial" w:eastAsia="Arial" w:hAnsi="Arial"/>
                <w:sz w:val="12"/>
                <w:szCs w:val="12"/>
                <w:color w:val="auto"/>
              </w:rPr>
              <w:t>—</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6,331</w:t>
            </w: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Rental units</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3,803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3,803</w:t>
            </w: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Depreciation of rental equipment</w:t>
            </w:r>
          </w:p>
        </w:tc>
        <w:tc>
          <w:tcPr>
            <w:tcW w:w="140" w:type="dxa"/>
            <w:vAlign w:val="bottom"/>
            <w:tcBorders>
              <w:bottom w:val="single" w:sz="8" w:color="auto"/>
            </w:tcBorders>
            <w:shd w:val="clear" w:color="auto" w:fill="DBDBDB"/>
          </w:tcPr>
          <w:p>
            <w:pPr>
              <w:spacing w:after="0"/>
              <w:rPr>
                <w:sz w:val="14"/>
                <w:szCs w:val="14"/>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45,494</w:t>
            </w:r>
          </w:p>
        </w:tc>
        <w:tc>
          <w:tcPr>
            <w:tcW w:w="80" w:type="dxa"/>
            <w:vAlign w:val="bottom"/>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ind w:left="80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1020" w:type="dxa"/>
            <w:vAlign w:val="bottom"/>
            <w:tcBorders>
              <w:bottom w:val="single" w:sz="8" w:color="auto"/>
            </w:tcBorders>
            <w:shd w:val="clear" w:color="auto" w:fill="DBDBDB"/>
          </w:tcPr>
          <w:p>
            <w:pPr>
              <w:ind w:left="860"/>
              <w:spacing w:after="0"/>
              <w:rPr>
                <w:sz w:val="20"/>
                <w:szCs w:val="20"/>
                <w:color w:val="auto"/>
              </w:rPr>
            </w:pPr>
            <w:r>
              <w:rPr>
                <w:rFonts w:ascii="Arial" w:cs="Arial" w:eastAsia="Arial" w:hAnsi="Arial"/>
                <w:sz w:val="12"/>
                <w:szCs w:val="12"/>
                <w:color w:val="auto"/>
              </w:rPr>
              <w:t>—</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spacing w:after="0"/>
              <w:rPr>
                <w:sz w:val="14"/>
                <w:szCs w:val="14"/>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45,494</w:t>
            </w:r>
          </w:p>
        </w:tc>
      </w:tr>
      <w:tr>
        <w:trPr>
          <w:trHeight w:val="149"/>
        </w:trPr>
        <w:tc>
          <w:tcPr>
            <w:tcW w:w="3980" w:type="dxa"/>
            <w:vAlign w:val="bottom"/>
          </w:tcPr>
          <w:p>
            <w:pPr>
              <w:ind w:left="340"/>
              <w:spacing w:after="0"/>
              <w:rPr>
                <w:sz w:val="20"/>
                <w:szCs w:val="20"/>
                <w:color w:val="auto"/>
              </w:rPr>
            </w:pPr>
            <w:r>
              <w:rPr>
                <w:rFonts w:ascii="Arial" w:cs="Arial" w:eastAsia="Arial" w:hAnsi="Arial"/>
                <w:sz w:val="12"/>
                <w:szCs w:val="12"/>
                <w:color w:val="auto"/>
              </w:rPr>
              <w:t>Gross profit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109,964</w:t>
            </w:r>
          </w:p>
        </w:tc>
        <w:tc>
          <w:tcPr>
            <w:tcW w:w="80" w:type="dxa"/>
            <w:vAlign w:val="bottom"/>
          </w:tcPr>
          <w:p>
            <w:pPr>
              <w:spacing w:after="0"/>
              <w:rPr>
                <w:sz w:val="12"/>
                <w:szCs w:val="12"/>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1020" w:type="dxa"/>
            <w:vAlign w:val="bottom"/>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109,964</w:t>
            </w:r>
          </w:p>
        </w:tc>
      </w:tr>
      <w:tr>
        <w:trPr>
          <w:trHeight w:val="20"/>
        </w:trPr>
        <w:tc>
          <w:tcPr>
            <w:tcW w:w="398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24"/>
        </w:trPr>
        <w:tc>
          <w:tcPr>
            <w:tcW w:w="3980" w:type="dxa"/>
            <w:vAlign w:val="bottom"/>
            <w:shd w:val="clear" w:color="auto" w:fill="DBDBDB"/>
          </w:tcPr>
          <w:p>
            <w:pPr>
              <w:ind w:left="20"/>
              <w:spacing w:after="0" w:line="124" w:lineRule="exact"/>
              <w:rPr>
                <w:sz w:val="20"/>
                <w:szCs w:val="20"/>
                <w:color w:val="auto"/>
              </w:rPr>
            </w:pPr>
            <w:r>
              <w:rPr>
                <w:rFonts w:ascii="Arial" w:cs="Arial" w:eastAsia="Arial" w:hAnsi="Arial"/>
                <w:sz w:val="12"/>
                <w:szCs w:val="12"/>
                <w:color w:val="auto"/>
              </w:rPr>
              <w:t>Other selected data:</w:t>
            </w:r>
          </w:p>
        </w:tc>
        <w:tc>
          <w:tcPr>
            <w:tcW w:w="140" w:type="dxa"/>
            <w:vAlign w:val="bottom"/>
            <w:shd w:val="clear" w:color="auto" w:fill="DBDBDB"/>
          </w:tcPr>
          <w:p>
            <w:pPr>
              <w:spacing w:after="0"/>
              <w:rPr>
                <w:sz w:val="10"/>
                <w:szCs w:val="10"/>
                <w:color w:val="auto"/>
              </w:rPr>
            </w:pPr>
          </w:p>
        </w:tc>
        <w:tc>
          <w:tcPr>
            <w:tcW w:w="9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9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9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1280" w:type="dxa"/>
            <w:vAlign w:val="bottom"/>
            <w:shd w:val="clear" w:color="auto" w:fill="DBDBDB"/>
          </w:tcPr>
          <w:p>
            <w:pPr>
              <w:spacing w:after="0"/>
              <w:rPr>
                <w:sz w:val="10"/>
                <w:szCs w:val="10"/>
                <w:color w:val="auto"/>
              </w:rPr>
            </w:pPr>
          </w:p>
        </w:tc>
        <w:tc>
          <w:tcPr>
            <w:tcW w:w="26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Adjusted EBITDA</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97,520</w:t>
            </w:r>
          </w:p>
        </w:tc>
        <w:tc>
          <w:tcPr>
            <w:tcW w:w="8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1020" w:type="dxa"/>
            <w:vAlign w:val="bottom"/>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97,520</w:t>
            </w: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Selling, general and administrative expense (a)</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59,347</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DBDBDB"/>
          </w:tcPr>
          <w:p>
            <w:pPr>
              <w:ind w:left="78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DBDBDB"/>
          </w:tcPr>
          <w:p>
            <w:pPr>
              <w:ind w:left="800"/>
              <w:spacing w:after="0"/>
              <w:rPr>
                <w:sz w:val="20"/>
                <w:szCs w:val="20"/>
                <w:color w:val="auto"/>
              </w:rPr>
            </w:pPr>
            <w:r>
              <w:rPr>
                <w:rFonts w:ascii="Arial" w:cs="Arial" w:eastAsia="Arial" w:hAnsi="Arial"/>
                <w:sz w:val="12"/>
                <w:szCs w:val="12"/>
                <w:color w:val="auto"/>
              </w:rPr>
              <w:t>—</w:t>
            </w:r>
          </w:p>
        </w:tc>
        <w:tc>
          <w:tcPr>
            <w:tcW w:w="10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BDBDB"/>
          </w:tcPr>
          <w:p>
            <w:pPr>
              <w:ind w:left="860"/>
              <w:spacing w:after="0"/>
              <w:rPr>
                <w:sz w:val="20"/>
                <w:szCs w:val="20"/>
                <w:color w:val="auto"/>
              </w:rPr>
            </w:pPr>
            <w:r>
              <w:rPr>
                <w:rFonts w:ascii="Arial" w:cs="Arial" w:eastAsia="Arial" w:hAnsi="Arial"/>
                <w:sz w:val="12"/>
                <w:szCs w:val="12"/>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5,925</w:t>
            </w:r>
          </w:p>
        </w:tc>
        <w:tc>
          <w:tcPr>
            <w:tcW w:w="26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65,272</w:t>
            </w:r>
          </w:p>
        </w:tc>
      </w:tr>
      <w:tr>
        <w:trPr>
          <w:trHeight w:val="157"/>
        </w:trPr>
        <w:tc>
          <w:tcPr>
            <w:tcW w:w="3980" w:type="dxa"/>
            <w:vAlign w:val="bottom"/>
          </w:tcPr>
          <w:p>
            <w:pPr>
              <w:ind w:left="180"/>
              <w:spacing w:after="0"/>
              <w:rPr>
                <w:sz w:val="20"/>
                <w:szCs w:val="20"/>
                <w:color w:val="auto"/>
              </w:rPr>
            </w:pPr>
            <w:r>
              <w:rPr>
                <w:rFonts w:ascii="Arial" w:cs="Arial" w:eastAsia="Arial" w:hAnsi="Arial"/>
                <w:sz w:val="12"/>
                <w:szCs w:val="12"/>
                <w:color w:val="auto"/>
              </w:rPr>
              <w:t>Purchases of rental equipment and refurbishments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40,034</w:t>
            </w:r>
          </w:p>
        </w:tc>
        <w:tc>
          <w:tcPr>
            <w:tcW w:w="8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1020" w:type="dxa"/>
            <w:vAlign w:val="bottom"/>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40,034</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(a) Includes both SG&amp;A expense and Transaction costs from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551815</wp:posOffset>
            </wp:positionV>
            <wp:extent cx="719264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86"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39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9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2160" w:type="dxa"/>
            <w:vAlign w:val="bottom"/>
            <w:gridSpan w:val="4"/>
            <w:shd w:val="clear" w:color="auto" w:fill="1D2758"/>
          </w:tcPr>
          <w:p>
            <w:pPr>
              <w:jc w:val="center"/>
              <w:spacing w:after="0"/>
              <w:rPr>
                <w:sz w:val="20"/>
                <w:szCs w:val="20"/>
                <w:color w:val="auto"/>
              </w:rPr>
            </w:pPr>
            <w:r>
              <w:rPr>
                <w:rFonts w:ascii="Arial" w:cs="Arial" w:eastAsia="Arial" w:hAnsi="Arial"/>
                <w:sz w:val="12"/>
                <w:szCs w:val="12"/>
                <w:b w:val="1"/>
                <w:bCs w:val="1"/>
                <w:color w:val="FFFFFF"/>
              </w:rPr>
              <w:t>Six Months Ended June 30, 2021</w:t>
            </w:r>
          </w:p>
        </w:tc>
        <w:tc>
          <w:tcPr>
            <w:tcW w:w="180" w:type="dxa"/>
            <w:vAlign w:val="bottom"/>
            <w:shd w:val="clear" w:color="auto" w:fill="1D2758"/>
          </w:tcPr>
          <w:p>
            <w:pPr>
              <w:spacing w:after="0"/>
              <w:rPr>
                <w:sz w:val="14"/>
                <w:szCs w:val="14"/>
                <w:color w:val="auto"/>
              </w:rPr>
            </w:pPr>
          </w:p>
        </w:tc>
        <w:tc>
          <w:tcPr>
            <w:tcW w:w="1280" w:type="dxa"/>
            <w:vAlign w:val="bottom"/>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860" w:type="dxa"/>
            <w:vAlign w:val="bottom"/>
            <w:shd w:val="clear" w:color="auto" w:fill="1D2758"/>
          </w:tcPr>
          <w:p>
            <w:pPr>
              <w:spacing w:after="0"/>
              <w:rPr>
                <w:sz w:val="14"/>
                <w:szCs w:val="14"/>
                <w:color w:val="auto"/>
              </w:rPr>
            </w:pPr>
          </w:p>
        </w:tc>
      </w:tr>
      <w:tr>
        <w:trPr>
          <w:trHeight w:val="161"/>
        </w:trPr>
        <w:tc>
          <w:tcPr>
            <w:tcW w:w="39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40" w:type="dxa"/>
            <w:vAlign w:val="bottom"/>
            <w:shd w:val="clear" w:color="auto" w:fill="1D2758"/>
          </w:tcPr>
          <w:p>
            <w:pPr>
              <w:spacing w:after="0"/>
              <w:rPr>
                <w:sz w:val="14"/>
                <w:szCs w:val="14"/>
                <w:color w:val="auto"/>
              </w:rPr>
            </w:pPr>
          </w:p>
        </w:tc>
        <w:tc>
          <w:tcPr>
            <w:tcW w:w="1060" w:type="dxa"/>
            <w:vAlign w:val="bottom"/>
            <w:gridSpan w:val="2"/>
            <w:shd w:val="clear" w:color="auto" w:fill="1D2758"/>
          </w:tcPr>
          <w:p>
            <w:pPr>
              <w:ind w:left="80"/>
              <w:spacing w:after="0"/>
              <w:rPr>
                <w:sz w:val="20"/>
                <w:szCs w:val="20"/>
                <w:color w:val="auto"/>
              </w:rPr>
            </w:pPr>
            <w:r>
              <w:rPr>
                <w:rFonts w:ascii="Arial" w:cs="Arial" w:eastAsia="Arial" w:hAnsi="Arial"/>
                <w:sz w:val="12"/>
                <w:szCs w:val="12"/>
                <w:b w:val="1"/>
                <w:bCs w:val="1"/>
                <w:color w:val="FFFFFF"/>
              </w:rPr>
              <w:t>NA Modular</w:t>
            </w:r>
          </w:p>
        </w:tc>
        <w:tc>
          <w:tcPr>
            <w:tcW w:w="160" w:type="dxa"/>
            <w:vAlign w:val="bottom"/>
            <w:shd w:val="clear" w:color="auto" w:fill="1D2758"/>
          </w:tcPr>
          <w:p>
            <w:pPr>
              <w:spacing w:after="0"/>
              <w:rPr>
                <w:sz w:val="14"/>
                <w:szCs w:val="14"/>
                <w:color w:val="auto"/>
              </w:rPr>
            </w:pPr>
          </w:p>
        </w:tc>
        <w:tc>
          <w:tcPr>
            <w:tcW w:w="1040" w:type="dxa"/>
            <w:vAlign w:val="bottom"/>
            <w:gridSpan w:val="2"/>
            <w:shd w:val="clear" w:color="auto" w:fill="1D2758"/>
          </w:tcPr>
          <w:p>
            <w:pPr>
              <w:ind w:left="60"/>
              <w:spacing w:after="0"/>
              <w:rPr>
                <w:sz w:val="20"/>
                <w:szCs w:val="20"/>
                <w:color w:val="auto"/>
              </w:rPr>
            </w:pPr>
            <w:r>
              <w:rPr>
                <w:rFonts w:ascii="Arial" w:cs="Arial" w:eastAsia="Arial" w:hAnsi="Arial"/>
                <w:sz w:val="12"/>
                <w:szCs w:val="12"/>
                <w:b w:val="1"/>
                <w:bCs w:val="1"/>
                <w:color w:val="FFFFFF"/>
              </w:rPr>
              <w:t>NA Storage</w:t>
            </w:r>
          </w:p>
        </w:tc>
        <w:tc>
          <w:tcPr>
            <w:tcW w:w="160" w:type="dxa"/>
            <w:vAlign w:val="bottom"/>
            <w:shd w:val="clear" w:color="auto" w:fill="1D2758"/>
          </w:tcPr>
          <w:p>
            <w:pPr>
              <w:spacing w:after="0"/>
              <w:rPr>
                <w:sz w:val="14"/>
                <w:szCs w:val="14"/>
                <w:color w:val="auto"/>
              </w:rPr>
            </w:pPr>
          </w:p>
        </w:tc>
        <w:tc>
          <w:tcPr>
            <w:tcW w:w="1040" w:type="dxa"/>
            <w:vAlign w:val="bottom"/>
            <w:gridSpan w:val="2"/>
            <w:shd w:val="clear" w:color="auto" w:fill="1D2758"/>
          </w:tcPr>
          <w:p>
            <w:pPr>
              <w:ind w:left="60"/>
              <w:spacing w:after="0"/>
              <w:rPr>
                <w:sz w:val="20"/>
                <w:szCs w:val="20"/>
                <w:color w:val="auto"/>
              </w:rPr>
            </w:pPr>
            <w:r>
              <w:rPr>
                <w:rFonts w:ascii="Arial" w:cs="Arial" w:eastAsia="Arial" w:hAnsi="Arial"/>
                <w:sz w:val="12"/>
                <w:szCs w:val="12"/>
                <w:b w:val="1"/>
                <w:bCs w:val="1"/>
                <w:color w:val="FFFFFF"/>
              </w:rPr>
              <w:t>UK Storage</w:t>
            </w:r>
          </w:p>
        </w:tc>
        <w:tc>
          <w:tcPr>
            <w:tcW w:w="100" w:type="dxa"/>
            <w:vAlign w:val="bottom"/>
            <w:shd w:val="clear" w:color="auto" w:fill="1D2758"/>
          </w:tcPr>
          <w:p>
            <w:pPr>
              <w:spacing w:after="0"/>
              <w:rPr>
                <w:sz w:val="14"/>
                <w:szCs w:val="14"/>
                <w:color w:val="auto"/>
              </w:rPr>
            </w:pPr>
          </w:p>
        </w:tc>
        <w:tc>
          <w:tcPr>
            <w:tcW w:w="1020" w:type="dxa"/>
            <w:vAlign w:val="bottom"/>
            <w:shd w:val="clear" w:color="auto" w:fill="1D2758"/>
          </w:tcPr>
          <w:p>
            <w:pPr>
              <w:jc w:val="right"/>
              <w:ind w:right="59"/>
              <w:spacing w:after="0"/>
              <w:rPr>
                <w:sz w:val="20"/>
                <w:szCs w:val="20"/>
                <w:color w:val="auto"/>
              </w:rPr>
            </w:pPr>
            <w:r>
              <w:rPr>
                <w:rFonts w:ascii="Arial" w:cs="Arial" w:eastAsia="Arial" w:hAnsi="Arial"/>
                <w:sz w:val="12"/>
                <w:szCs w:val="12"/>
                <w:b w:val="1"/>
                <w:bCs w:val="1"/>
                <w:color w:val="FFFFFF"/>
                <w:w w:val="98"/>
              </w:rPr>
              <w:t>Tank and Pump</w:t>
            </w:r>
          </w:p>
        </w:tc>
        <w:tc>
          <w:tcPr>
            <w:tcW w:w="180" w:type="dxa"/>
            <w:vAlign w:val="bottom"/>
            <w:shd w:val="clear" w:color="auto" w:fill="1D2758"/>
          </w:tcPr>
          <w:p>
            <w:pPr>
              <w:spacing w:after="0"/>
              <w:rPr>
                <w:sz w:val="14"/>
                <w:szCs w:val="14"/>
                <w:color w:val="auto"/>
              </w:rPr>
            </w:pPr>
          </w:p>
        </w:tc>
        <w:tc>
          <w:tcPr>
            <w:tcW w:w="1280" w:type="dxa"/>
            <w:vAlign w:val="bottom"/>
            <w:shd w:val="clear" w:color="auto" w:fill="1D2758"/>
          </w:tcPr>
          <w:p>
            <w:pPr>
              <w:jc w:val="right"/>
              <w:ind w:right="139"/>
              <w:spacing w:after="0"/>
              <w:rPr>
                <w:sz w:val="20"/>
                <w:szCs w:val="20"/>
                <w:color w:val="auto"/>
              </w:rPr>
            </w:pPr>
            <w:r>
              <w:rPr>
                <w:rFonts w:ascii="Arial" w:cs="Arial" w:eastAsia="Arial" w:hAnsi="Arial"/>
                <w:sz w:val="12"/>
                <w:szCs w:val="12"/>
                <w:b w:val="1"/>
                <w:bCs w:val="1"/>
                <w:color w:val="FFFFFF"/>
              </w:rPr>
              <w:t>Unallocated Costs</w:t>
            </w:r>
          </w:p>
        </w:tc>
        <w:tc>
          <w:tcPr>
            <w:tcW w:w="260" w:type="dxa"/>
            <w:vAlign w:val="bottom"/>
            <w:shd w:val="clear" w:color="auto" w:fill="1D2758"/>
          </w:tcPr>
          <w:p>
            <w:pPr>
              <w:spacing w:after="0"/>
              <w:rPr>
                <w:sz w:val="14"/>
                <w:szCs w:val="14"/>
                <w:color w:val="auto"/>
              </w:rPr>
            </w:pPr>
          </w:p>
        </w:tc>
        <w:tc>
          <w:tcPr>
            <w:tcW w:w="860" w:type="dxa"/>
            <w:vAlign w:val="bottom"/>
            <w:shd w:val="clear" w:color="auto" w:fill="1D2758"/>
          </w:tcPr>
          <w:p>
            <w:pPr>
              <w:jc w:val="right"/>
              <w:ind w:right="359"/>
              <w:spacing w:after="0"/>
              <w:rPr>
                <w:sz w:val="20"/>
                <w:szCs w:val="20"/>
                <w:color w:val="auto"/>
              </w:rPr>
            </w:pPr>
            <w:r>
              <w:rPr>
                <w:rFonts w:ascii="Arial" w:cs="Arial" w:eastAsia="Arial" w:hAnsi="Arial"/>
                <w:sz w:val="12"/>
                <w:szCs w:val="12"/>
                <w:b w:val="1"/>
                <w:bCs w:val="1"/>
                <w:color w:val="FFFFFF"/>
              </w:rPr>
              <w:t>Total</w:t>
            </w:r>
          </w:p>
        </w:tc>
      </w:tr>
      <w:tr>
        <w:trPr>
          <w:trHeight w:val="161"/>
        </w:trPr>
        <w:tc>
          <w:tcPr>
            <w:tcW w:w="398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Revenues:</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r>
      <w:tr>
        <w:trPr>
          <w:trHeight w:val="159"/>
        </w:trPr>
        <w:tc>
          <w:tcPr>
            <w:tcW w:w="3980" w:type="dxa"/>
            <w:vAlign w:val="bottom"/>
          </w:tcPr>
          <w:p>
            <w:pPr>
              <w:ind w:left="20"/>
              <w:spacing w:after="0"/>
              <w:rPr>
                <w:sz w:val="20"/>
                <w:szCs w:val="20"/>
                <w:color w:val="auto"/>
              </w:rPr>
            </w:pPr>
            <w:r>
              <w:rPr>
                <w:rFonts w:ascii="Arial" w:cs="Arial" w:eastAsia="Arial" w:hAnsi="Arial"/>
                <w:sz w:val="12"/>
                <w:szCs w:val="12"/>
                <w:color w:val="auto"/>
              </w:rPr>
              <w:t>Leasing and services revenue: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Leasing</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417,243</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166,317</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39,735</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jc w:val="center"/>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35,546</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658,841</w:t>
            </w: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Delivery and installation</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103,531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44,884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12,589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14,180</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175,184</w:t>
            </w:r>
          </w:p>
        </w:tc>
      </w:tr>
      <w:tr>
        <w:trPr>
          <w:trHeight w:val="164"/>
        </w:trPr>
        <w:tc>
          <w:tcPr>
            <w:tcW w:w="3980" w:type="dxa"/>
            <w:vAlign w:val="bottom"/>
            <w:shd w:val="clear" w:color="auto" w:fill="DBDBDB"/>
          </w:tcPr>
          <w:p>
            <w:pPr>
              <w:ind w:left="20"/>
              <w:spacing w:after="0"/>
              <w:rPr>
                <w:sz w:val="20"/>
                <w:szCs w:val="20"/>
                <w:color w:val="auto"/>
              </w:rPr>
            </w:pPr>
            <w:r>
              <w:rPr>
                <w:rFonts w:ascii="Arial" w:cs="Arial" w:eastAsia="Arial" w:hAnsi="Arial"/>
                <w:sz w:val="12"/>
                <w:szCs w:val="12"/>
                <w:color w:val="auto"/>
              </w:rPr>
              <w:t>Sales revenue:</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New units</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14,331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4,048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2,166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1,418</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21,963</w:t>
            </w: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Rental units</w:t>
            </w:r>
          </w:p>
        </w:tc>
        <w:tc>
          <w:tcPr>
            <w:tcW w:w="140" w:type="dxa"/>
            <w:vAlign w:val="bottom"/>
            <w:tcBorders>
              <w:bottom w:val="single" w:sz="8" w:color="auto"/>
            </w:tcBorders>
            <w:shd w:val="clear" w:color="auto" w:fill="DBDBDB"/>
          </w:tcPr>
          <w:p>
            <w:pPr>
              <w:spacing w:after="0"/>
              <w:rPr>
                <w:sz w:val="14"/>
                <w:szCs w:val="14"/>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20,501</w:t>
            </w:r>
          </w:p>
        </w:tc>
        <w:tc>
          <w:tcPr>
            <w:tcW w:w="80" w:type="dxa"/>
            <w:vAlign w:val="bottom"/>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8,293</w:t>
            </w:r>
          </w:p>
        </w:tc>
        <w:tc>
          <w:tcPr>
            <w:tcW w:w="80" w:type="dxa"/>
            <w:vAlign w:val="bottom"/>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949</w:t>
            </w:r>
          </w:p>
        </w:tc>
        <w:tc>
          <w:tcPr>
            <w:tcW w:w="80" w:type="dxa"/>
            <w:vAlign w:val="bottom"/>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694</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spacing w:after="0"/>
              <w:rPr>
                <w:sz w:val="14"/>
                <w:szCs w:val="14"/>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30,437</w:t>
            </w:r>
          </w:p>
        </w:tc>
      </w:tr>
      <w:tr>
        <w:trPr>
          <w:trHeight w:val="149"/>
        </w:trPr>
        <w:tc>
          <w:tcPr>
            <w:tcW w:w="3980" w:type="dxa"/>
            <w:vAlign w:val="bottom"/>
          </w:tcPr>
          <w:p>
            <w:pPr>
              <w:ind w:left="340"/>
              <w:spacing w:after="0"/>
              <w:rPr>
                <w:sz w:val="20"/>
                <w:szCs w:val="20"/>
                <w:color w:val="auto"/>
              </w:rPr>
            </w:pPr>
            <w:r>
              <w:rPr>
                <w:rFonts w:ascii="Arial" w:cs="Arial" w:eastAsia="Arial" w:hAnsi="Arial"/>
                <w:sz w:val="12"/>
                <w:szCs w:val="12"/>
                <w:color w:val="auto"/>
              </w:rPr>
              <w:t>Total revenues</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555,606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223,542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55,439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51,838</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886,425</w:t>
            </w:r>
          </w:p>
        </w:tc>
      </w:tr>
      <w:tr>
        <w:trPr>
          <w:trHeight w:val="194"/>
        </w:trPr>
        <w:tc>
          <w:tcPr>
            <w:tcW w:w="39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r>
      <w:tr>
        <w:trPr>
          <w:trHeight w:val="159"/>
        </w:trPr>
        <w:tc>
          <w:tcPr>
            <w:tcW w:w="3980" w:type="dxa"/>
            <w:vAlign w:val="bottom"/>
          </w:tcPr>
          <w:p>
            <w:pPr>
              <w:ind w:left="20"/>
              <w:spacing w:after="0"/>
              <w:rPr>
                <w:sz w:val="20"/>
                <w:szCs w:val="20"/>
                <w:color w:val="auto"/>
              </w:rPr>
            </w:pPr>
            <w:r>
              <w:rPr>
                <w:rFonts w:ascii="Arial" w:cs="Arial" w:eastAsia="Arial" w:hAnsi="Arial"/>
                <w:sz w:val="12"/>
                <w:szCs w:val="12"/>
                <w:color w:val="auto"/>
              </w:rPr>
              <w:t>Costs: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3980" w:type="dxa"/>
            <w:vAlign w:val="bottom"/>
            <w:shd w:val="clear" w:color="auto" w:fill="DBDBDB"/>
          </w:tcPr>
          <w:p>
            <w:pPr>
              <w:ind w:left="20"/>
              <w:spacing w:after="0"/>
              <w:rPr>
                <w:sz w:val="20"/>
                <w:szCs w:val="20"/>
                <w:color w:val="auto"/>
              </w:rPr>
            </w:pPr>
            <w:r>
              <w:rPr>
                <w:rFonts w:ascii="Arial" w:cs="Arial" w:eastAsia="Arial" w:hAnsi="Arial"/>
                <w:sz w:val="12"/>
                <w:szCs w:val="12"/>
                <w:color w:val="auto"/>
              </w:rPr>
              <w:t>Cost of leasing and services:</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Leasing</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112,848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22,907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9,025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8,147</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152,927</w:t>
            </w: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Delivery and installation</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95,859</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32,483</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7,400</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11,547</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147,289</w:t>
            </w:r>
          </w:p>
        </w:tc>
      </w:tr>
      <w:tr>
        <w:trPr>
          <w:trHeight w:val="159"/>
        </w:trPr>
        <w:tc>
          <w:tcPr>
            <w:tcW w:w="3980" w:type="dxa"/>
            <w:vAlign w:val="bottom"/>
          </w:tcPr>
          <w:p>
            <w:pPr>
              <w:ind w:left="20"/>
              <w:spacing w:after="0"/>
              <w:rPr>
                <w:sz w:val="20"/>
                <w:szCs w:val="20"/>
                <w:color w:val="auto"/>
              </w:rPr>
            </w:pPr>
            <w:r>
              <w:rPr>
                <w:rFonts w:ascii="Arial" w:cs="Arial" w:eastAsia="Arial" w:hAnsi="Arial"/>
                <w:sz w:val="12"/>
                <w:szCs w:val="12"/>
                <w:color w:val="auto"/>
              </w:rPr>
              <w:t>Cost of sales: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New units</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9,250</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2,463</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1,434</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1,014</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14,161</w:t>
            </w: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Rental units</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10,975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5,080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918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294</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17,267</w:t>
            </w:r>
          </w:p>
        </w:tc>
      </w:tr>
      <w:tr>
        <w:trPr>
          <w:trHeight w:val="164"/>
        </w:trPr>
        <w:tc>
          <w:tcPr>
            <w:tcW w:w="3980" w:type="dxa"/>
            <w:vAlign w:val="bottom"/>
            <w:shd w:val="clear" w:color="auto" w:fill="DBDBDB"/>
          </w:tcPr>
          <w:p>
            <w:pPr>
              <w:ind w:left="20"/>
              <w:spacing w:after="0"/>
              <w:rPr>
                <w:sz w:val="20"/>
                <w:szCs w:val="20"/>
                <w:color w:val="auto"/>
              </w:rPr>
            </w:pPr>
            <w:r>
              <w:rPr>
                <w:rFonts w:ascii="Arial" w:cs="Arial" w:eastAsia="Arial" w:hAnsi="Arial"/>
                <w:sz w:val="12"/>
                <w:szCs w:val="12"/>
                <w:color w:val="auto"/>
              </w:rPr>
              <w:t>Depreciation of rental equipment</w:t>
            </w:r>
          </w:p>
        </w:tc>
        <w:tc>
          <w:tcPr>
            <w:tcW w:w="140" w:type="dxa"/>
            <w:vAlign w:val="bottom"/>
            <w:tcBorders>
              <w:bottom w:val="single" w:sz="8" w:color="auto"/>
            </w:tcBorders>
            <w:shd w:val="clear" w:color="auto" w:fill="DBDBDB"/>
          </w:tcPr>
          <w:p>
            <w:pPr>
              <w:spacing w:after="0"/>
              <w:rPr>
                <w:sz w:val="14"/>
                <w:szCs w:val="14"/>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97,536</w:t>
            </w:r>
          </w:p>
        </w:tc>
        <w:tc>
          <w:tcPr>
            <w:tcW w:w="80" w:type="dxa"/>
            <w:vAlign w:val="bottom"/>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12,269</w:t>
            </w:r>
          </w:p>
        </w:tc>
        <w:tc>
          <w:tcPr>
            <w:tcW w:w="80" w:type="dxa"/>
            <w:vAlign w:val="bottom"/>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2,232</w:t>
            </w:r>
          </w:p>
        </w:tc>
        <w:tc>
          <w:tcPr>
            <w:tcW w:w="80" w:type="dxa"/>
            <w:vAlign w:val="bottom"/>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6,554</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spacing w:after="0"/>
              <w:rPr>
                <w:sz w:val="14"/>
                <w:szCs w:val="14"/>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118,591</w:t>
            </w:r>
          </w:p>
        </w:tc>
      </w:tr>
      <w:tr>
        <w:trPr>
          <w:trHeight w:val="149"/>
        </w:trPr>
        <w:tc>
          <w:tcPr>
            <w:tcW w:w="3980" w:type="dxa"/>
            <w:vAlign w:val="bottom"/>
          </w:tcPr>
          <w:p>
            <w:pPr>
              <w:ind w:left="340"/>
              <w:spacing w:after="0"/>
              <w:rPr>
                <w:sz w:val="20"/>
                <w:szCs w:val="20"/>
                <w:color w:val="auto"/>
              </w:rPr>
            </w:pPr>
            <w:r>
              <w:rPr>
                <w:rFonts w:ascii="Arial" w:cs="Arial" w:eastAsia="Arial" w:hAnsi="Arial"/>
                <w:sz w:val="12"/>
                <w:szCs w:val="12"/>
                <w:color w:val="auto"/>
              </w:rPr>
              <w:t>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229,138</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148,340</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34,430</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24,282</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436,190</w:t>
            </w:r>
          </w:p>
        </w:tc>
      </w:tr>
      <w:tr>
        <w:trPr>
          <w:trHeight w:val="20"/>
        </w:trPr>
        <w:tc>
          <w:tcPr>
            <w:tcW w:w="39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4"/>
        </w:trPr>
        <w:tc>
          <w:tcPr>
            <w:tcW w:w="3980" w:type="dxa"/>
            <w:vAlign w:val="bottom"/>
            <w:shd w:val="clear" w:color="auto" w:fill="DBDBDB"/>
          </w:tcPr>
          <w:p>
            <w:pPr>
              <w:ind w:left="20"/>
              <w:spacing w:after="0" w:line="124" w:lineRule="exact"/>
              <w:rPr>
                <w:sz w:val="20"/>
                <w:szCs w:val="20"/>
                <w:color w:val="auto"/>
              </w:rPr>
            </w:pPr>
            <w:r>
              <w:rPr>
                <w:rFonts w:ascii="Arial" w:cs="Arial" w:eastAsia="Arial" w:hAnsi="Arial"/>
                <w:sz w:val="12"/>
                <w:szCs w:val="12"/>
                <w:color w:val="auto"/>
              </w:rPr>
              <w:t>Other selected data:</w:t>
            </w:r>
          </w:p>
        </w:tc>
        <w:tc>
          <w:tcPr>
            <w:tcW w:w="140" w:type="dxa"/>
            <w:vAlign w:val="bottom"/>
            <w:shd w:val="clear" w:color="auto" w:fill="DBDBDB"/>
          </w:tcPr>
          <w:p>
            <w:pPr>
              <w:spacing w:after="0"/>
              <w:rPr>
                <w:sz w:val="10"/>
                <w:szCs w:val="10"/>
                <w:color w:val="auto"/>
              </w:rPr>
            </w:pPr>
          </w:p>
        </w:tc>
        <w:tc>
          <w:tcPr>
            <w:tcW w:w="9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9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9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1280" w:type="dxa"/>
            <w:vAlign w:val="bottom"/>
            <w:shd w:val="clear" w:color="auto" w:fill="DBDBDB"/>
          </w:tcPr>
          <w:p>
            <w:pPr>
              <w:spacing w:after="0"/>
              <w:rPr>
                <w:sz w:val="10"/>
                <w:szCs w:val="10"/>
                <w:color w:val="auto"/>
              </w:rPr>
            </w:pPr>
          </w:p>
        </w:tc>
        <w:tc>
          <w:tcPr>
            <w:tcW w:w="26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Adjusted EBITDA</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200,916</w:t>
            </w:r>
          </w:p>
        </w:tc>
        <w:tc>
          <w:tcPr>
            <w:tcW w:w="8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95,848</w:t>
            </w:r>
          </w:p>
        </w:tc>
        <w:tc>
          <w:tcPr>
            <w:tcW w:w="8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23,392</w:t>
            </w:r>
          </w:p>
        </w:tc>
        <w:tc>
          <w:tcPr>
            <w:tcW w:w="80" w:type="dxa"/>
            <w:vAlign w:val="bottom"/>
          </w:tcPr>
          <w:p>
            <w:pPr>
              <w:spacing w:after="0"/>
              <w:rPr>
                <w:sz w:val="13"/>
                <w:szCs w:val="13"/>
                <w:color w:val="auto"/>
              </w:rPr>
            </w:pPr>
          </w:p>
        </w:tc>
        <w:tc>
          <w:tcPr>
            <w:tcW w:w="100" w:type="dxa"/>
            <w:vAlign w:val="bottom"/>
          </w:tcPr>
          <w:p>
            <w:pPr>
              <w:jc w:val="center"/>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18,924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339,080</w:t>
            </w: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Selling, general and administrative expense (a)</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125,756</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64,761</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13,269</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jc w:val="center"/>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11,913</w:t>
            </w:r>
          </w:p>
        </w:tc>
        <w:tc>
          <w:tcPr>
            <w:tcW w:w="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24,017</w:t>
            </w:r>
          </w:p>
        </w:tc>
        <w:tc>
          <w:tcPr>
            <w:tcW w:w="26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239,716</w:t>
            </w:r>
          </w:p>
        </w:tc>
      </w:tr>
      <w:tr>
        <w:trPr>
          <w:trHeight w:val="157"/>
        </w:trPr>
        <w:tc>
          <w:tcPr>
            <w:tcW w:w="3980" w:type="dxa"/>
            <w:vAlign w:val="bottom"/>
          </w:tcPr>
          <w:p>
            <w:pPr>
              <w:ind w:left="180"/>
              <w:spacing w:after="0"/>
              <w:rPr>
                <w:sz w:val="20"/>
                <w:szCs w:val="20"/>
                <w:color w:val="auto"/>
              </w:rPr>
            </w:pPr>
            <w:r>
              <w:rPr>
                <w:rFonts w:ascii="Arial" w:cs="Arial" w:eastAsia="Arial" w:hAnsi="Arial"/>
                <w:sz w:val="12"/>
                <w:szCs w:val="12"/>
                <w:color w:val="auto"/>
              </w:rPr>
              <w:t>Purchases of rental equipment and refurbishments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88,499</w:t>
            </w:r>
          </w:p>
        </w:tc>
        <w:tc>
          <w:tcPr>
            <w:tcW w:w="8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12,245</w:t>
            </w:r>
          </w:p>
        </w:tc>
        <w:tc>
          <w:tcPr>
            <w:tcW w:w="8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10,996</w:t>
            </w:r>
          </w:p>
        </w:tc>
        <w:tc>
          <w:tcPr>
            <w:tcW w:w="80" w:type="dxa"/>
            <w:vAlign w:val="bottom"/>
          </w:tcPr>
          <w:p>
            <w:pPr>
              <w:spacing w:after="0"/>
              <w:rPr>
                <w:sz w:val="13"/>
                <w:szCs w:val="13"/>
                <w:color w:val="auto"/>
              </w:rPr>
            </w:pPr>
          </w:p>
        </w:tc>
        <w:tc>
          <w:tcPr>
            <w:tcW w:w="100" w:type="dxa"/>
            <w:vAlign w:val="bottom"/>
          </w:tcPr>
          <w:p>
            <w:pPr>
              <w:jc w:val="center"/>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6,077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117,817</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(a) Includes both SG&amp;A expense and Transaction costs from the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551815</wp:posOffset>
            </wp:positionV>
            <wp:extent cx="719264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86"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39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9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2160" w:type="dxa"/>
            <w:vAlign w:val="bottom"/>
            <w:gridSpan w:val="4"/>
            <w:shd w:val="clear" w:color="auto" w:fill="1D2758"/>
          </w:tcPr>
          <w:p>
            <w:pPr>
              <w:jc w:val="center"/>
              <w:spacing w:after="0"/>
              <w:rPr>
                <w:sz w:val="20"/>
                <w:szCs w:val="20"/>
                <w:color w:val="auto"/>
              </w:rPr>
            </w:pPr>
            <w:r>
              <w:rPr>
                <w:rFonts w:ascii="Arial" w:cs="Arial" w:eastAsia="Arial" w:hAnsi="Arial"/>
                <w:sz w:val="12"/>
                <w:szCs w:val="12"/>
                <w:b w:val="1"/>
                <w:bCs w:val="1"/>
                <w:color w:val="FFFFFF"/>
              </w:rPr>
              <w:t>Six Months Ended June 30, 2020</w:t>
            </w:r>
          </w:p>
        </w:tc>
        <w:tc>
          <w:tcPr>
            <w:tcW w:w="180" w:type="dxa"/>
            <w:vAlign w:val="bottom"/>
            <w:shd w:val="clear" w:color="auto" w:fill="1D2758"/>
          </w:tcPr>
          <w:p>
            <w:pPr>
              <w:spacing w:after="0"/>
              <w:rPr>
                <w:sz w:val="14"/>
                <w:szCs w:val="14"/>
                <w:color w:val="auto"/>
              </w:rPr>
            </w:pPr>
          </w:p>
        </w:tc>
        <w:tc>
          <w:tcPr>
            <w:tcW w:w="1280" w:type="dxa"/>
            <w:vAlign w:val="bottom"/>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860" w:type="dxa"/>
            <w:vAlign w:val="bottom"/>
            <w:shd w:val="clear" w:color="auto" w:fill="1D2758"/>
          </w:tcPr>
          <w:p>
            <w:pPr>
              <w:spacing w:after="0"/>
              <w:rPr>
                <w:sz w:val="14"/>
                <w:szCs w:val="14"/>
                <w:color w:val="auto"/>
              </w:rPr>
            </w:pPr>
          </w:p>
        </w:tc>
      </w:tr>
      <w:tr>
        <w:trPr>
          <w:trHeight w:val="161"/>
        </w:trPr>
        <w:tc>
          <w:tcPr>
            <w:tcW w:w="39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40" w:type="dxa"/>
            <w:vAlign w:val="bottom"/>
            <w:shd w:val="clear" w:color="auto" w:fill="1D2758"/>
          </w:tcPr>
          <w:p>
            <w:pPr>
              <w:spacing w:after="0"/>
              <w:rPr>
                <w:sz w:val="14"/>
                <w:szCs w:val="14"/>
                <w:color w:val="auto"/>
              </w:rPr>
            </w:pPr>
          </w:p>
        </w:tc>
        <w:tc>
          <w:tcPr>
            <w:tcW w:w="1060" w:type="dxa"/>
            <w:vAlign w:val="bottom"/>
            <w:gridSpan w:val="2"/>
            <w:shd w:val="clear" w:color="auto" w:fill="1D2758"/>
          </w:tcPr>
          <w:p>
            <w:pPr>
              <w:ind w:left="80"/>
              <w:spacing w:after="0"/>
              <w:rPr>
                <w:sz w:val="20"/>
                <w:szCs w:val="20"/>
                <w:color w:val="auto"/>
              </w:rPr>
            </w:pPr>
            <w:r>
              <w:rPr>
                <w:rFonts w:ascii="Arial" w:cs="Arial" w:eastAsia="Arial" w:hAnsi="Arial"/>
                <w:sz w:val="12"/>
                <w:szCs w:val="12"/>
                <w:b w:val="1"/>
                <w:bCs w:val="1"/>
                <w:color w:val="FFFFFF"/>
              </w:rPr>
              <w:t>NA Modular</w:t>
            </w:r>
          </w:p>
        </w:tc>
        <w:tc>
          <w:tcPr>
            <w:tcW w:w="160" w:type="dxa"/>
            <w:vAlign w:val="bottom"/>
            <w:shd w:val="clear" w:color="auto" w:fill="1D2758"/>
          </w:tcPr>
          <w:p>
            <w:pPr>
              <w:spacing w:after="0"/>
              <w:rPr>
                <w:sz w:val="14"/>
                <w:szCs w:val="14"/>
                <w:color w:val="auto"/>
              </w:rPr>
            </w:pPr>
          </w:p>
        </w:tc>
        <w:tc>
          <w:tcPr>
            <w:tcW w:w="1040" w:type="dxa"/>
            <w:vAlign w:val="bottom"/>
            <w:gridSpan w:val="2"/>
            <w:shd w:val="clear" w:color="auto" w:fill="1D2758"/>
          </w:tcPr>
          <w:p>
            <w:pPr>
              <w:ind w:left="60"/>
              <w:spacing w:after="0"/>
              <w:rPr>
                <w:sz w:val="20"/>
                <w:szCs w:val="20"/>
                <w:color w:val="auto"/>
              </w:rPr>
            </w:pPr>
            <w:r>
              <w:rPr>
                <w:rFonts w:ascii="Arial" w:cs="Arial" w:eastAsia="Arial" w:hAnsi="Arial"/>
                <w:sz w:val="12"/>
                <w:szCs w:val="12"/>
                <w:b w:val="1"/>
                <w:bCs w:val="1"/>
                <w:color w:val="FFFFFF"/>
              </w:rPr>
              <w:t>NA Storage</w:t>
            </w:r>
          </w:p>
        </w:tc>
        <w:tc>
          <w:tcPr>
            <w:tcW w:w="160" w:type="dxa"/>
            <w:vAlign w:val="bottom"/>
            <w:shd w:val="clear" w:color="auto" w:fill="1D2758"/>
          </w:tcPr>
          <w:p>
            <w:pPr>
              <w:spacing w:after="0"/>
              <w:rPr>
                <w:sz w:val="14"/>
                <w:szCs w:val="14"/>
                <w:color w:val="auto"/>
              </w:rPr>
            </w:pPr>
          </w:p>
        </w:tc>
        <w:tc>
          <w:tcPr>
            <w:tcW w:w="1040" w:type="dxa"/>
            <w:vAlign w:val="bottom"/>
            <w:gridSpan w:val="2"/>
            <w:shd w:val="clear" w:color="auto" w:fill="1D2758"/>
          </w:tcPr>
          <w:p>
            <w:pPr>
              <w:ind w:left="80"/>
              <w:spacing w:after="0"/>
              <w:rPr>
                <w:sz w:val="20"/>
                <w:szCs w:val="20"/>
                <w:color w:val="auto"/>
              </w:rPr>
            </w:pPr>
            <w:r>
              <w:rPr>
                <w:rFonts w:ascii="Arial" w:cs="Arial" w:eastAsia="Arial" w:hAnsi="Arial"/>
                <w:sz w:val="12"/>
                <w:szCs w:val="12"/>
                <w:b w:val="1"/>
                <w:bCs w:val="1"/>
                <w:color w:val="FFFFFF"/>
              </w:rPr>
              <w:t>UK Storage</w:t>
            </w:r>
          </w:p>
        </w:tc>
        <w:tc>
          <w:tcPr>
            <w:tcW w:w="100" w:type="dxa"/>
            <w:vAlign w:val="bottom"/>
            <w:shd w:val="clear" w:color="auto" w:fill="1D2758"/>
          </w:tcPr>
          <w:p>
            <w:pPr>
              <w:spacing w:after="0"/>
              <w:rPr>
                <w:sz w:val="14"/>
                <w:szCs w:val="14"/>
                <w:color w:val="auto"/>
              </w:rPr>
            </w:pPr>
          </w:p>
        </w:tc>
        <w:tc>
          <w:tcPr>
            <w:tcW w:w="1020" w:type="dxa"/>
            <w:vAlign w:val="bottom"/>
            <w:shd w:val="clear" w:color="auto" w:fill="1D2758"/>
          </w:tcPr>
          <w:p>
            <w:pPr>
              <w:ind w:left="20"/>
              <w:spacing w:after="0"/>
              <w:rPr>
                <w:sz w:val="20"/>
                <w:szCs w:val="20"/>
                <w:color w:val="auto"/>
              </w:rPr>
            </w:pPr>
            <w:r>
              <w:rPr>
                <w:rFonts w:ascii="Arial" w:cs="Arial" w:eastAsia="Arial" w:hAnsi="Arial"/>
                <w:sz w:val="12"/>
                <w:szCs w:val="12"/>
                <w:b w:val="1"/>
                <w:bCs w:val="1"/>
                <w:color w:val="FFFFFF"/>
              </w:rPr>
              <w:t>Tank and Pump</w:t>
            </w:r>
          </w:p>
        </w:tc>
        <w:tc>
          <w:tcPr>
            <w:tcW w:w="180" w:type="dxa"/>
            <w:vAlign w:val="bottom"/>
            <w:shd w:val="clear" w:color="auto" w:fill="1D2758"/>
          </w:tcPr>
          <w:p>
            <w:pPr>
              <w:spacing w:after="0"/>
              <w:rPr>
                <w:sz w:val="14"/>
                <w:szCs w:val="14"/>
                <w:color w:val="auto"/>
              </w:rPr>
            </w:pPr>
          </w:p>
        </w:tc>
        <w:tc>
          <w:tcPr>
            <w:tcW w:w="1280" w:type="dxa"/>
            <w:vAlign w:val="bottom"/>
            <w:shd w:val="clear" w:color="auto" w:fill="1D2758"/>
          </w:tcPr>
          <w:p>
            <w:pPr>
              <w:jc w:val="right"/>
              <w:ind w:right="139"/>
              <w:spacing w:after="0"/>
              <w:rPr>
                <w:sz w:val="20"/>
                <w:szCs w:val="20"/>
                <w:color w:val="auto"/>
              </w:rPr>
            </w:pPr>
            <w:r>
              <w:rPr>
                <w:rFonts w:ascii="Arial" w:cs="Arial" w:eastAsia="Arial" w:hAnsi="Arial"/>
                <w:sz w:val="12"/>
                <w:szCs w:val="12"/>
                <w:b w:val="1"/>
                <w:bCs w:val="1"/>
                <w:color w:val="FFFFFF"/>
              </w:rPr>
              <w:t>Unallocated Costs</w:t>
            </w:r>
          </w:p>
        </w:tc>
        <w:tc>
          <w:tcPr>
            <w:tcW w:w="260" w:type="dxa"/>
            <w:vAlign w:val="bottom"/>
            <w:shd w:val="clear" w:color="auto" w:fill="1D2758"/>
          </w:tcPr>
          <w:p>
            <w:pPr>
              <w:spacing w:after="0"/>
              <w:rPr>
                <w:sz w:val="14"/>
                <w:szCs w:val="14"/>
                <w:color w:val="auto"/>
              </w:rPr>
            </w:pPr>
          </w:p>
        </w:tc>
        <w:tc>
          <w:tcPr>
            <w:tcW w:w="860" w:type="dxa"/>
            <w:vAlign w:val="bottom"/>
            <w:shd w:val="clear" w:color="auto" w:fill="1D2758"/>
          </w:tcPr>
          <w:p>
            <w:pPr>
              <w:jc w:val="right"/>
              <w:ind w:right="359"/>
              <w:spacing w:after="0"/>
              <w:rPr>
                <w:sz w:val="20"/>
                <w:szCs w:val="20"/>
                <w:color w:val="auto"/>
              </w:rPr>
            </w:pPr>
            <w:r>
              <w:rPr>
                <w:rFonts w:ascii="Arial" w:cs="Arial" w:eastAsia="Arial" w:hAnsi="Arial"/>
                <w:sz w:val="12"/>
                <w:szCs w:val="12"/>
                <w:b w:val="1"/>
                <w:bCs w:val="1"/>
                <w:color w:val="FFFFFF"/>
              </w:rPr>
              <w:t>Total</w:t>
            </w:r>
          </w:p>
        </w:tc>
      </w:tr>
      <w:tr>
        <w:trPr>
          <w:trHeight w:val="161"/>
        </w:trPr>
        <w:tc>
          <w:tcPr>
            <w:tcW w:w="398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Revenues:</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r>
      <w:tr>
        <w:trPr>
          <w:trHeight w:val="159"/>
        </w:trPr>
        <w:tc>
          <w:tcPr>
            <w:tcW w:w="3980" w:type="dxa"/>
            <w:vAlign w:val="bottom"/>
          </w:tcPr>
          <w:p>
            <w:pPr>
              <w:ind w:left="20"/>
              <w:spacing w:after="0"/>
              <w:rPr>
                <w:sz w:val="20"/>
                <w:szCs w:val="20"/>
                <w:color w:val="auto"/>
              </w:rPr>
            </w:pPr>
            <w:r>
              <w:rPr>
                <w:rFonts w:ascii="Arial" w:cs="Arial" w:eastAsia="Arial" w:hAnsi="Arial"/>
                <w:sz w:val="12"/>
                <w:szCs w:val="12"/>
                <w:color w:val="auto"/>
              </w:rPr>
              <w:t>Leasing and services revenue: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Leasing</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378,495</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DBDBDB"/>
          </w:tcPr>
          <w:p>
            <w:pPr>
              <w:ind w:left="78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DBDBDB"/>
          </w:tcPr>
          <w:p>
            <w:pPr>
              <w:ind w:left="800"/>
              <w:spacing w:after="0"/>
              <w:rPr>
                <w:sz w:val="20"/>
                <w:szCs w:val="20"/>
                <w:color w:val="auto"/>
              </w:rPr>
            </w:pPr>
            <w:r>
              <w:rPr>
                <w:rFonts w:ascii="Arial" w:cs="Arial" w:eastAsia="Arial" w:hAnsi="Arial"/>
                <w:sz w:val="12"/>
                <w:szCs w:val="12"/>
                <w:color w:val="auto"/>
              </w:rPr>
              <w:t>—</w:t>
            </w:r>
          </w:p>
        </w:tc>
        <w:tc>
          <w:tcPr>
            <w:tcW w:w="10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BDBDB"/>
          </w:tcPr>
          <w:p>
            <w:pPr>
              <w:ind w:left="860"/>
              <w:spacing w:after="0"/>
              <w:rPr>
                <w:sz w:val="20"/>
                <w:szCs w:val="20"/>
                <w:color w:val="auto"/>
              </w:rPr>
            </w:pPr>
            <w:r>
              <w:rPr>
                <w:rFonts w:ascii="Arial" w:cs="Arial" w:eastAsia="Arial" w:hAnsi="Arial"/>
                <w:sz w:val="12"/>
                <w:szCs w:val="12"/>
                <w:color w:val="auto"/>
              </w:rPr>
              <w:t>—</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378,495</w:t>
            </w: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Delivery and installation</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102,710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102,710</w:t>
            </w:r>
          </w:p>
        </w:tc>
      </w:tr>
      <w:tr>
        <w:trPr>
          <w:trHeight w:val="164"/>
        </w:trPr>
        <w:tc>
          <w:tcPr>
            <w:tcW w:w="3980" w:type="dxa"/>
            <w:vAlign w:val="bottom"/>
            <w:shd w:val="clear" w:color="auto" w:fill="DBDBDB"/>
          </w:tcPr>
          <w:p>
            <w:pPr>
              <w:ind w:left="20"/>
              <w:spacing w:after="0"/>
              <w:rPr>
                <w:sz w:val="20"/>
                <w:szCs w:val="20"/>
                <w:color w:val="auto"/>
              </w:rPr>
            </w:pPr>
            <w:r>
              <w:rPr>
                <w:rFonts w:ascii="Arial" w:cs="Arial" w:eastAsia="Arial" w:hAnsi="Arial"/>
                <w:sz w:val="12"/>
                <w:szCs w:val="12"/>
                <w:color w:val="auto"/>
              </w:rPr>
              <w:t>Sales revenue:</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New units</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19,376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19,376</w:t>
            </w: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Rental units</w:t>
            </w:r>
          </w:p>
        </w:tc>
        <w:tc>
          <w:tcPr>
            <w:tcW w:w="140" w:type="dxa"/>
            <w:vAlign w:val="bottom"/>
            <w:tcBorders>
              <w:bottom w:val="single" w:sz="8" w:color="auto"/>
            </w:tcBorders>
            <w:shd w:val="clear" w:color="auto" w:fill="DBDBDB"/>
          </w:tcPr>
          <w:p>
            <w:pPr>
              <w:spacing w:after="0"/>
              <w:rPr>
                <w:sz w:val="14"/>
                <w:szCs w:val="14"/>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12,102</w:t>
            </w:r>
          </w:p>
        </w:tc>
        <w:tc>
          <w:tcPr>
            <w:tcW w:w="80" w:type="dxa"/>
            <w:vAlign w:val="bottom"/>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ind w:left="80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1020" w:type="dxa"/>
            <w:vAlign w:val="bottom"/>
            <w:tcBorders>
              <w:bottom w:val="single" w:sz="8" w:color="auto"/>
            </w:tcBorders>
            <w:shd w:val="clear" w:color="auto" w:fill="DBDBDB"/>
          </w:tcPr>
          <w:p>
            <w:pPr>
              <w:ind w:left="860"/>
              <w:spacing w:after="0"/>
              <w:rPr>
                <w:sz w:val="20"/>
                <w:szCs w:val="20"/>
                <w:color w:val="auto"/>
              </w:rPr>
            </w:pPr>
            <w:r>
              <w:rPr>
                <w:rFonts w:ascii="Arial" w:cs="Arial" w:eastAsia="Arial" w:hAnsi="Arial"/>
                <w:sz w:val="12"/>
                <w:szCs w:val="12"/>
                <w:color w:val="auto"/>
              </w:rPr>
              <w:t>—</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spacing w:after="0"/>
              <w:rPr>
                <w:sz w:val="14"/>
                <w:szCs w:val="14"/>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12,102</w:t>
            </w:r>
          </w:p>
        </w:tc>
      </w:tr>
      <w:tr>
        <w:trPr>
          <w:trHeight w:val="149"/>
        </w:trPr>
        <w:tc>
          <w:tcPr>
            <w:tcW w:w="3980" w:type="dxa"/>
            <w:vAlign w:val="bottom"/>
          </w:tcPr>
          <w:p>
            <w:pPr>
              <w:ind w:left="20"/>
              <w:spacing w:after="0"/>
              <w:rPr>
                <w:sz w:val="20"/>
                <w:szCs w:val="20"/>
                <w:color w:val="auto"/>
              </w:rPr>
            </w:pPr>
            <w:r>
              <w:rPr>
                <w:rFonts w:ascii="Arial" w:cs="Arial" w:eastAsia="Arial" w:hAnsi="Arial"/>
                <w:sz w:val="12"/>
                <w:szCs w:val="12"/>
                <w:color w:val="auto"/>
              </w:rPr>
              <w:t>Total revenues</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512,683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512,683</w:t>
            </w:r>
          </w:p>
        </w:tc>
      </w:tr>
      <w:tr>
        <w:trPr>
          <w:trHeight w:val="194"/>
        </w:trPr>
        <w:tc>
          <w:tcPr>
            <w:tcW w:w="39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r>
      <w:tr>
        <w:trPr>
          <w:trHeight w:val="159"/>
        </w:trPr>
        <w:tc>
          <w:tcPr>
            <w:tcW w:w="3980" w:type="dxa"/>
            <w:vAlign w:val="bottom"/>
          </w:tcPr>
          <w:p>
            <w:pPr>
              <w:ind w:left="20"/>
              <w:spacing w:after="0"/>
              <w:rPr>
                <w:sz w:val="20"/>
                <w:szCs w:val="20"/>
                <w:color w:val="auto"/>
              </w:rPr>
            </w:pPr>
            <w:r>
              <w:rPr>
                <w:rFonts w:ascii="Arial" w:cs="Arial" w:eastAsia="Arial" w:hAnsi="Arial"/>
                <w:sz w:val="12"/>
                <w:szCs w:val="12"/>
                <w:color w:val="auto"/>
              </w:rPr>
              <w:t>Costs: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3980" w:type="dxa"/>
            <w:vAlign w:val="bottom"/>
            <w:shd w:val="clear" w:color="auto" w:fill="DBDBDB"/>
          </w:tcPr>
          <w:p>
            <w:pPr>
              <w:ind w:left="20"/>
              <w:spacing w:after="0"/>
              <w:rPr>
                <w:sz w:val="20"/>
                <w:szCs w:val="20"/>
                <w:color w:val="auto"/>
              </w:rPr>
            </w:pPr>
            <w:r>
              <w:rPr>
                <w:rFonts w:ascii="Arial" w:cs="Arial" w:eastAsia="Arial" w:hAnsi="Arial"/>
                <w:sz w:val="12"/>
                <w:szCs w:val="12"/>
                <w:color w:val="auto"/>
              </w:rPr>
              <w:t>Cost of leasing and services:</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Leasing</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97,556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97,556</w:t>
            </w: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Delivery and installation</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87,388</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gridSpan w:val="2"/>
            <w:shd w:val="clear" w:color="auto" w:fill="DBDBDB"/>
          </w:tcPr>
          <w:p>
            <w:pPr>
              <w:ind w:left="78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spacing w:after="0"/>
              <w:rPr>
                <w:sz w:val="14"/>
                <w:szCs w:val="14"/>
                <w:color w:val="auto"/>
              </w:rPr>
            </w:pPr>
          </w:p>
        </w:tc>
        <w:tc>
          <w:tcPr>
            <w:tcW w:w="1040" w:type="dxa"/>
            <w:vAlign w:val="bottom"/>
            <w:gridSpan w:val="2"/>
            <w:shd w:val="clear" w:color="auto" w:fill="DBDBDB"/>
          </w:tcPr>
          <w:p>
            <w:pPr>
              <w:ind w:left="800"/>
              <w:spacing w:after="0"/>
              <w:rPr>
                <w:sz w:val="20"/>
                <w:szCs w:val="20"/>
                <w:color w:val="auto"/>
              </w:rPr>
            </w:pPr>
            <w:r>
              <w:rPr>
                <w:rFonts w:ascii="Arial" w:cs="Arial" w:eastAsia="Arial" w:hAnsi="Arial"/>
                <w:sz w:val="12"/>
                <w:szCs w:val="12"/>
                <w:color w:val="auto"/>
              </w:rPr>
              <w:t>—</w:t>
            </w: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ind w:left="860"/>
              <w:spacing w:after="0"/>
              <w:rPr>
                <w:sz w:val="20"/>
                <w:szCs w:val="20"/>
                <w:color w:val="auto"/>
              </w:rPr>
            </w:pPr>
            <w:r>
              <w:rPr>
                <w:rFonts w:ascii="Arial" w:cs="Arial" w:eastAsia="Arial" w:hAnsi="Arial"/>
                <w:sz w:val="12"/>
                <w:szCs w:val="12"/>
                <w:color w:val="auto"/>
              </w:rPr>
              <w:t>—</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87,388</w:t>
            </w:r>
          </w:p>
        </w:tc>
      </w:tr>
      <w:tr>
        <w:trPr>
          <w:trHeight w:val="159"/>
        </w:trPr>
        <w:tc>
          <w:tcPr>
            <w:tcW w:w="3980" w:type="dxa"/>
            <w:vAlign w:val="bottom"/>
          </w:tcPr>
          <w:p>
            <w:pPr>
              <w:ind w:left="20"/>
              <w:spacing w:after="0"/>
              <w:rPr>
                <w:sz w:val="20"/>
                <w:szCs w:val="20"/>
                <w:color w:val="auto"/>
              </w:rPr>
            </w:pPr>
            <w:r>
              <w:rPr>
                <w:rFonts w:ascii="Arial" w:cs="Arial" w:eastAsia="Arial" w:hAnsi="Arial"/>
                <w:sz w:val="12"/>
                <w:szCs w:val="12"/>
                <w:color w:val="auto"/>
              </w:rPr>
              <w:t>Cost of sales: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New units</w:t>
            </w:r>
          </w:p>
        </w:tc>
        <w:tc>
          <w:tcPr>
            <w:tcW w:w="14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12,534</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gridSpan w:val="2"/>
            <w:shd w:val="clear" w:color="auto" w:fill="DBDBDB"/>
          </w:tcPr>
          <w:p>
            <w:pPr>
              <w:ind w:left="78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spacing w:after="0"/>
              <w:rPr>
                <w:sz w:val="14"/>
                <w:szCs w:val="14"/>
                <w:color w:val="auto"/>
              </w:rPr>
            </w:pPr>
          </w:p>
        </w:tc>
        <w:tc>
          <w:tcPr>
            <w:tcW w:w="1040" w:type="dxa"/>
            <w:vAlign w:val="bottom"/>
            <w:gridSpan w:val="2"/>
            <w:shd w:val="clear" w:color="auto" w:fill="DBDBDB"/>
          </w:tcPr>
          <w:p>
            <w:pPr>
              <w:ind w:left="800"/>
              <w:spacing w:after="0"/>
              <w:rPr>
                <w:sz w:val="20"/>
                <w:szCs w:val="20"/>
                <w:color w:val="auto"/>
              </w:rPr>
            </w:pPr>
            <w:r>
              <w:rPr>
                <w:rFonts w:ascii="Arial" w:cs="Arial" w:eastAsia="Arial" w:hAnsi="Arial"/>
                <w:sz w:val="12"/>
                <w:szCs w:val="12"/>
                <w:color w:val="auto"/>
              </w:rPr>
              <w:t>—</w:t>
            </w:r>
          </w:p>
        </w:tc>
        <w:tc>
          <w:tcPr>
            <w:tcW w:w="100" w:type="dxa"/>
            <w:vAlign w:val="bottom"/>
            <w:shd w:val="clear" w:color="auto" w:fill="DBDBDB"/>
          </w:tcPr>
          <w:p>
            <w:pPr>
              <w:spacing w:after="0"/>
              <w:rPr>
                <w:sz w:val="14"/>
                <w:szCs w:val="14"/>
                <w:color w:val="auto"/>
              </w:rPr>
            </w:pPr>
          </w:p>
        </w:tc>
        <w:tc>
          <w:tcPr>
            <w:tcW w:w="1020" w:type="dxa"/>
            <w:vAlign w:val="bottom"/>
            <w:shd w:val="clear" w:color="auto" w:fill="DBDBDB"/>
          </w:tcPr>
          <w:p>
            <w:pPr>
              <w:ind w:left="860"/>
              <w:spacing w:after="0"/>
              <w:rPr>
                <w:sz w:val="20"/>
                <w:szCs w:val="20"/>
                <w:color w:val="auto"/>
              </w:rPr>
            </w:pPr>
            <w:r>
              <w:rPr>
                <w:rFonts w:ascii="Arial" w:cs="Arial" w:eastAsia="Arial" w:hAnsi="Arial"/>
                <w:sz w:val="12"/>
                <w:szCs w:val="12"/>
                <w:color w:val="auto"/>
              </w:rPr>
              <w:t>—</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12,534</w:t>
            </w: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Rental units</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7,609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20" w:type="dxa"/>
            <w:vAlign w:val="bottom"/>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7,609</w:t>
            </w: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Depreciation of rental equipment</w:t>
            </w:r>
          </w:p>
        </w:tc>
        <w:tc>
          <w:tcPr>
            <w:tcW w:w="140" w:type="dxa"/>
            <w:vAlign w:val="bottom"/>
            <w:tcBorders>
              <w:bottom w:val="single" w:sz="8" w:color="auto"/>
            </w:tcBorders>
            <w:shd w:val="clear" w:color="auto" w:fill="DBDBDB"/>
          </w:tcPr>
          <w:p>
            <w:pPr>
              <w:spacing w:after="0"/>
              <w:rPr>
                <w:sz w:val="14"/>
                <w:szCs w:val="14"/>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91,442</w:t>
            </w:r>
          </w:p>
        </w:tc>
        <w:tc>
          <w:tcPr>
            <w:tcW w:w="80" w:type="dxa"/>
            <w:vAlign w:val="bottom"/>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ind w:left="80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1020" w:type="dxa"/>
            <w:vAlign w:val="bottom"/>
            <w:tcBorders>
              <w:bottom w:val="single" w:sz="8" w:color="auto"/>
            </w:tcBorders>
            <w:shd w:val="clear" w:color="auto" w:fill="DBDBDB"/>
          </w:tcPr>
          <w:p>
            <w:pPr>
              <w:ind w:left="860"/>
              <w:spacing w:after="0"/>
              <w:rPr>
                <w:sz w:val="20"/>
                <w:szCs w:val="20"/>
                <w:color w:val="auto"/>
              </w:rPr>
            </w:pPr>
            <w:r>
              <w:rPr>
                <w:rFonts w:ascii="Arial" w:cs="Arial" w:eastAsia="Arial" w:hAnsi="Arial"/>
                <w:sz w:val="12"/>
                <w:szCs w:val="12"/>
                <w:color w:val="auto"/>
              </w:rPr>
              <w:t>—</w:t>
            </w: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spacing w:after="0"/>
              <w:rPr>
                <w:sz w:val="14"/>
                <w:szCs w:val="14"/>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91,442</w:t>
            </w:r>
          </w:p>
        </w:tc>
      </w:tr>
      <w:tr>
        <w:trPr>
          <w:trHeight w:val="149"/>
        </w:trPr>
        <w:tc>
          <w:tcPr>
            <w:tcW w:w="3980" w:type="dxa"/>
            <w:vAlign w:val="bottom"/>
          </w:tcPr>
          <w:p>
            <w:pPr>
              <w:ind w:left="340"/>
              <w:spacing w:after="0"/>
              <w:rPr>
                <w:sz w:val="20"/>
                <w:szCs w:val="20"/>
                <w:color w:val="auto"/>
              </w:rPr>
            </w:pPr>
            <w:r>
              <w:rPr>
                <w:rFonts w:ascii="Arial" w:cs="Arial" w:eastAsia="Arial" w:hAnsi="Arial"/>
                <w:sz w:val="12"/>
                <w:szCs w:val="12"/>
                <w:color w:val="auto"/>
              </w:rPr>
              <w:t>Gross profit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216,154</w:t>
            </w:r>
          </w:p>
        </w:tc>
        <w:tc>
          <w:tcPr>
            <w:tcW w:w="80" w:type="dxa"/>
            <w:vAlign w:val="bottom"/>
          </w:tcPr>
          <w:p>
            <w:pPr>
              <w:spacing w:after="0"/>
              <w:rPr>
                <w:sz w:val="12"/>
                <w:szCs w:val="12"/>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1020" w:type="dxa"/>
            <w:vAlign w:val="bottom"/>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216,154</w:t>
            </w:r>
          </w:p>
        </w:tc>
      </w:tr>
      <w:tr>
        <w:trPr>
          <w:trHeight w:val="20"/>
        </w:trPr>
        <w:tc>
          <w:tcPr>
            <w:tcW w:w="398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24"/>
        </w:trPr>
        <w:tc>
          <w:tcPr>
            <w:tcW w:w="3980" w:type="dxa"/>
            <w:vAlign w:val="bottom"/>
            <w:shd w:val="clear" w:color="auto" w:fill="DBDBDB"/>
          </w:tcPr>
          <w:p>
            <w:pPr>
              <w:ind w:left="20"/>
              <w:spacing w:after="0" w:line="124" w:lineRule="exact"/>
              <w:rPr>
                <w:sz w:val="20"/>
                <w:szCs w:val="20"/>
                <w:color w:val="auto"/>
              </w:rPr>
            </w:pPr>
            <w:r>
              <w:rPr>
                <w:rFonts w:ascii="Arial" w:cs="Arial" w:eastAsia="Arial" w:hAnsi="Arial"/>
                <w:sz w:val="12"/>
                <w:szCs w:val="12"/>
                <w:color w:val="auto"/>
              </w:rPr>
              <w:t>Other selected data:</w:t>
            </w:r>
          </w:p>
        </w:tc>
        <w:tc>
          <w:tcPr>
            <w:tcW w:w="140" w:type="dxa"/>
            <w:vAlign w:val="bottom"/>
            <w:shd w:val="clear" w:color="auto" w:fill="DBDBDB"/>
          </w:tcPr>
          <w:p>
            <w:pPr>
              <w:spacing w:after="0"/>
              <w:rPr>
                <w:sz w:val="10"/>
                <w:szCs w:val="10"/>
                <w:color w:val="auto"/>
              </w:rPr>
            </w:pPr>
          </w:p>
        </w:tc>
        <w:tc>
          <w:tcPr>
            <w:tcW w:w="9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9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9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1280" w:type="dxa"/>
            <w:vAlign w:val="bottom"/>
            <w:shd w:val="clear" w:color="auto" w:fill="DBDBDB"/>
          </w:tcPr>
          <w:p>
            <w:pPr>
              <w:spacing w:after="0"/>
              <w:rPr>
                <w:sz w:val="10"/>
                <w:szCs w:val="10"/>
                <w:color w:val="auto"/>
              </w:rPr>
            </w:pPr>
          </w:p>
        </w:tc>
        <w:tc>
          <w:tcPr>
            <w:tcW w:w="26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r>
      <w:tr>
        <w:trPr>
          <w:trHeight w:val="159"/>
        </w:trPr>
        <w:tc>
          <w:tcPr>
            <w:tcW w:w="3980" w:type="dxa"/>
            <w:vAlign w:val="bottom"/>
          </w:tcPr>
          <w:p>
            <w:pPr>
              <w:ind w:left="180"/>
              <w:spacing w:after="0"/>
              <w:rPr>
                <w:sz w:val="20"/>
                <w:szCs w:val="20"/>
                <w:color w:val="auto"/>
              </w:rPr>
            </w:pPr>
            <w:r>
              <w:rPr>
                <w:rFonts w:ascii="Arial" w:cs="Arial" w:eastAsia="Arial" w:hAnsi="Arial"/>
                <w:sz w:val="12"/>
                <w:szCs w:val="12"/>
                <w:color w:val="auto"/>
              </w:rPr>
              <w:t>Adjusted EBITDA</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187,062</w:t>
            </w:r>
          </w:p>
        </w:tc>
        <w:tc>
          <w:tcPr>
            <w:tcW w:w="8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1020" w:type="dxa"/>
            <w:vAlign w:val="bottom"/>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187,062</w:t>
            </w:r>
          </w:p>
        </w:tc>
      </w:tr>
      <w:tr>
        <w:trPr>
          <w:trHeight w:val="164"/>
        </w:trPr>
        <w:tc>
          <w:tcPr>
            <w:tcW w:w="3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Selling, general and administrative expense (a)</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121,919</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DBDBDB"/>
          </w:tcPr>
          <w:p>
            <w:pPr>
              <w:ind w:left="780"/>
              <w:spacing w:after="0"/>
              <w:rPr>
                <w:sz w:val="20"/>
                <w:szCs w:val="20"/>
                <w:color w:val="auto"/>
              </w:rPr>
            </w:pPr>
            <w:r>
              <w:rPr>
                <w:rFonts w:ascii="Arial" w:cs="Arial" w:eastAsia="Arial" w:hAnsi="Arial"/>
                <w:sz w:val="12"/>
                <w:szCs w:val="12"/>
                <w:color w:val="auto"/>
              </w:rPr>
              <w:t>—</w:t>
            </w:r>
          </w:p>
        </w:tc>
        <w:tc>
          <w:tcPr>
            <w:tcW w:w="16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DBDBDB"/>
          </w:tcPr>
          <w:p>
            <w:pPr>
              <w:ind w:left="800"/>
              <w:spacing w:after="0"/>
              <w:rPr>
                <w:sz w:val="20"/>
                <w:szCs w:val="20"/>
                <w:color w:val="auto"/>
              </w:rPr>
            </w:pPr>
            <w:r>
              <w:rPr>
                <w:rFonts w:ascii="Arial" w:cs="Arial" w:eastAsia="Arial" w:hAnsi="Arial"/>
                <w:sz w:val="12"/>
                <w:szCs w:val="12"/>
                <w:color w:val="auto"/>
              </w:rPr>
              <w:t>—</w:t>
            </w:r>
          </w:p>
        </w:tc>
        <w:tc>
          <w:tcPr>
            <w:tcW w:w="10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BDBDB"/>
          </w:tcPr>
          <w:p>
            <w:pPr>
              <w:ind w:left="860"/>
              <w:spacing w:after="0"/>
              <w:rPr>
                <w:sz w:val="20"/>
                <w:szCs w:val="20"/>
                <w:color w:val="auto"/>
              </w:rPr>
            </w:pPr>
            <w:r>
              <w:rPr>
                <w:rFonts w:ascii="Arial" w:cs="Arial" w:eastAsia="Arial" w:hAnsi="Arial"/>
                <w:sz w:val="12"/>
                <w:szCs w:val="12"/>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18,321</w:t>
            </w:r>
          </w:p>
        </w:tc>
        <w:tc>
          <w:tcPr>
            <w:tcW w:w="26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140,240</w:t>
            </w:r>
          </w:p>
        </w:tc>
      </w:tr>
      <w:tr>
        <w:trPr>
          <w:trHeight w:val="157"/>
        </w:trPr>
        <w:tc>
          <w:tcPr>
            <w:tcW w:w="3980" w:type="dxa"/>
            <w:vAlign w:val="bottom"/>
          </w:tcPr>
          <w:p>
            <w:pPr>
              <w:ind w:left="180"/>
              <w:spacing w:after="0"/>
              <w:rPr>
                <w:sz w:val="20"/>
                <w:szCs w:val="20"/>
                <w:color w:val="auto"/>
              </w:rPr>
            </w:pPr>
            <w:r>
              <w:rPr>
                <w:rFonts w:ascii="Arial" w:cs="Arial" w:eastAsia="Arial" w:hAnsi="Arial"/>
                <w:sz w:val="12"/>
                <w:szCs w:val="12"/>
                <w:color w:val="auto"/>
              </w:rPr>
              <w:t>Purchases of rental equipment and refurbishments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79,682</w:t>
            </w:r>
          </w:p>
        </w:tc>
        <w:tc>
          <w:tcPr>
            <w:tcW w:w="8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0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1020" w:type="dxa"/>
            <w:vAlign w:val="bottom"/>
          </w:tcPr>
          <w:p>
            <w:pPr>
              <w:ind w:left="860"/>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79,682</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(a) Includes both SG&amp;A expense and Transaction costs from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718820</wp:posOffset>
            </wp:positionV>
            <wp:extent cx="719264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86" w:right="319" w:bottom="1440" w:gutter="0" w:footer="0" w:header="0"/>
        </w:sectPr>
      </w:pPr>
    </w:p>
    <w:bookmarkStart w:id="32" w:name="page33"/>
    <w:bookmarkEnd w:id="32"/>
    <w:p>
      <w:pPr>
        <w:ind w:left="480"/>
        <w:spacing w:after="0"/>
        <w:rPr>
          <w:sz w:val="20"/>
          <w:szCs w:val="20"/>
          <w:color w:val="auto"/>
        </w:rPr>
      </w:pPr>
      <w:r>
        <w:rPr>
          <w:rFonts w:ascii="Arial" w:cs="Arial" w:eastAsia="Arial" w:hAnsi="Arial"/>
          <w:sz w:val="12"/>
          <w:szCs w:val="12"/>
          <w:color w:val="auto"/>
        </w:rPr>
        <w:t>The following tables present a reconciliation of the Company’s income (loss) from operations to Adjusted EBITDA for the three and six months ended June 30, 2021 and 2020, respectively: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740" w:type="dxa"/>
            <w:vAlign w:val="bottom"/>
            <w:shd w:val="clear" w:color="auto" w:fill="1D2758"/>
          </w:tcPr>
          <w:p>
            <w:pPr>
              <w:spacing w:after="0"/>
              <w:rPr>
                <w:sz w:val="13"/>
                <w:szCs w:val="13"/>
                <w:color w:val="auto"/>
              </w:rPr>
            </w:pPr>
          </w:p>
        </w:tc>
        <w:tc>
          <w:tcPr>
            <w:tcW w:w="860" w:type="dxa"/>
            <w:vAlign w:val="bottom"/>
            <w:shd w:val="clear" w:color="auto" w:fill="1D2758"/>
          </w:tcPr>
          <w:p>
            <w:pPr>
              <w:spacing w:after="0"/>
              <w:rPr>
                <w:sz w:val="13"/>
                <w:szCs w:val="13"/>
                <w:color w:val="auto"/>
              </w:rPr>
            </w:pPr>
          </w:p>
        </w:tc>
        <w:tc>
          <w:tcPr>
            <w:tcW w:w="2400" w:type="dxa"/>
            <w:vAlign w:val="bottom"/>
            <w:gridSpan w:val="3"/>
            <w:shd w:val="clear" w:color="auto" w:fill="1D2758"/>
          </w:tcPr>
          <w:p>
            <w:pPr>
              <w:jc w:val="right"/>
              <w:spacing w:after="0"/>
              <w:rPr>
                <w:sz w:val="20"/>
                <w:szCs w:val="20"/>
                <w:color w:val="auto"/>
              </w:rPr>
            </w:pPr>
            <w:r>
              <w:rPr>
                <w:rFonts w:ascii="Arial" w:cs="Arial" w:eastAsia="Arial" w:hAnsi="Arial"/>
                <w:sz w:val="12"/>
                <w:szCs w:val="12"/>
                <w:b w:val="1"/>
                <w:bCs w:val="1"/>
                <w:color w:val="FFFFFF"/>
              </w:rPr>
              <w:t>Three Months Ended June 30,</w:t>
            </w:r>
          </w:p>
        </w:tc>
        <w:tc>
          <w:tcPr>
            <w:tcW w:w="98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840" w:type="dxa"/>
            <w:vAlign w:val="bottom"/>
            <w:shd w:val="clear" w:color="auto" w:fill="1D2758"/>
          </w:tcPr>
          <w:p>
            <w:pPr>
              <w:spacing w:after="0"/>
              <w:rPr>
                <w:sz w:val="13"/>
                <w:szCs w:val="13"/>
                <w:color w:val="auto"/>
              </w:rPr>
            </w:pPr>
          </w:p>
        </w:tc>
        <w:tc>
          <w:tcPr>
            <w:tcW w:w="2380" w:type="dxa"/>
            <w:vAlign w:val="bottom"/>
            <w:gridSpan w:val="3"/>
            <w:shd w:val="clear" w:color="auto" w:fill="1D2758"/>
          </w:tcPr>
          <w:p>
            <w:pPr>
              <w:jc w:val="right"/>
              <w:ind w:right="19"/>
              <w:spacing w:after="0"/>
              <w:rPr>
                <w:sz w:val="20"/>
                <w:szCs w:val="20"/>
                <w:color w:val="auto"/>
              </w:rPr>
            </w:pPr>
            <w:r>
              <w:rPr>
                <w:rFonts w:ascii="Arial" w:cs="Arial" w:eastAsia="Arial" w:hAnsi="Arial"/>
                <w:sz w:val="12"/>
                <w:szCs w:val="12"/>
                <w:b w:val="1"/>
                <w:bCs w:val="1"/>
                <w:color w:val="FFFFFF"/>
              </w:rPr>
              <w:t>Six Months Ended June 30,</w:t>
            </w:r>
          </w:p>
        </w:tc>
        <w:tc>
          <w:tcPr>
            <w:tcW w:w="1000" w:type="dxa"/>
            <w:vAlign w:val="bottom"/>
            <w:shd w:val="clear" w:color="auto" w:fill="1D2758"/>
          </w:tcPr>
          <w:p>
            <w:pPr>
              <w:spacing w:after="0"/>
              <w:rPr>
                <w:sz w:val="13"/>
                <w:szCs w:val="13"/>
                <w:color w:val="auto"/>
              </w:rPr>
            </w:pPr>
          </w:p>
        </w:tc>
      </w:tr>
      <w:tr>
        <w:trPr>
          <w:trHeight w:val="161"/>
        </w:trPr>
        <w:tc>
          <w:tcPr>
            <w:tcW w:w="2740" w:type="dxa"/>
            <w:vAlign w:val="bottom"/>
            <w:shd w:val="clear" w:color="auto" w:fill="1D2758"/>
          </w:tcPr>
          <w:p>
            <w:pPr>
              <w:ind w:left="500"/>
              <w:spacing w:after="0"/>
              <w:rPr>
                <w:sz w:val="20"/>
                <w:szCs w:val="20"/>
                <w:color w:val="auto"/>
              </w:rPr>
            </w:pPr>
            <w:r>
              <w:rPr>
                <w:rFonts w:ascii="Arial" w:cs="Arial" w:eastAsia="Arial" w:hAnsi="Arial"/>
                <w:sz w:val="12"/>
                <w:szCs w:val="12"/>
                <w:b w:val="1"/>
                <w:bCs w:val="1"/>
                <w:i w:val="1"/>
                <w:iCs w:val="1"/>
                <w:color w:val="FFFFFF"/>
              </w:rPr>
              <w:t>(in thousands)</w:t>
            </w:r>
          </w:p>
        </w:tc>
        <w:tc>
          <w:tcPr>
            <w:tcW w:w="860" w:type="dxa"/>
            <w:vAlign w:val="bottom"/>
            <w:shd w:val="clear" w:color="auto" w:fill="1D2758"/>
          </w:tcPr>
          <w:p>
            <w:pPr>
              <w:spacing w:after="0"/>
              <w:rPr>
                <w:sz w:val="14"/>
                <w:szCs w:val="14"/>
                <w:color w:val="auto"/>
              </w:rPr>
            </w:pPr>
          </w:p>
        </w:tc>
        <w:tc>
          <w:tcPr>
            <w:tcW w:w="1220" w:type="dxa"/>
            <w:vAlign w:val="bottom"/>
            <w:shd w:val="clear" w:color="auto" w:fill="1D2758"/>
          </w:tcPr>
          <w:p>
            <w:pPr>
              <w:jc w:val="right"/>
              <w:ind w:right="599"/>
              <w:spacing w:after="0"/>
              <w:rPr>
                <w:sz w:val="20"/>
                <w:szCs w:val="20"/>
                <w:color w:val="auto"/>
              </w:rPr>
            </w:pPr>
            <w:r>
              <w:rPr>
                <w:rFonts w:ascii="Arial" w:cs="Arial" w:eastAsia="Arial" w:hAnsi="Arial"/>
                <w:sz w:val="12"/>
                <w:szCs w:val="12"/>
                <w:b w:val="1"/>
                <w:bCs w:val="1"/>
                <w:color w:val="FFFFFF"/>
              </w:rPr>
              <w:t>2021</w:t>
            </w:r>
          </w:p>
        </w:tc>
        <w:tc>
          <w:tcPr>
            <w:tcW w:w="80" w:type="dxa"/>
            <w:vAlign w:val="bottom"/>
            <w:shd w:val="clear" w:color="auto" w:fill="1D2758"/>
          </w:tcPr>
          <w:p>
            <w:pPr>
              <w:spacing w:after="0"/>
              <w:rPr>
                <w:sz w:val="14"/>
                <w:szCs w:val="14"/>
                <w:color w:val="auto"/>
              </w:rPr>
            </w:pPr>
          </w:p>
        </w:tc>
        <w:tc>
          <w:tcPr>
            <w:tcW w:w="1100" w:type="dxa"/>
            <w:vAlign w:val="bottom"/>
            <w:shd w:val="clear" w:color="auto" w:fill="1D2758"/>
          </w:tcPr>
          <w:p>
            <w:pPr>
              <w:spacing w:after="0"/>
              <w:rPr>
                <w:sz w:val="14"/>
                <w:szCs w:val="14"/>
                <w:color w:val="auto"/>
              </w:rPr>
            </w:pPr>
          </w:p>
        </w:tc>
        <w:tc>
          <w:tcPr>
            <w:tcW w:w="980" w:type="dxa"/>
            <w:vAlign w:val="bottom"/>
            <w:shd w:val="clear" w:color="auto" w:fill="1D2758"/>
          </w:tcPr>
          <w:p>
            <w:pPr>
              <w:jc w:val="right"/>
              <w:ind w:right="599"/>
              <w:spacing w:after="0"/>
              <w:rPr>
                <w:sz w:val="20"/>
                <w:szCs w:val="20"/>
                <w:color w:val="auto"/>
              </w:rPr>
            </w:pPr>
            <w:r>
              <w:rPr>
                <w:rFonts w:ascii="Arial" w:cs="Arial" w:eastAsia="Arial" w:hAnsi="Arial"/>
                <w:sz w:val="12"/>
                <w:szCs w:val="12"/>
                <w:b w:val="1"/>
                <w:bCs w:val="1"/>
                <w:color w:val="FFFFFF"/>
              </w:rPr>
              <w:t>2020</w:t>
            </w:r>
          </w:p>
        </w:tc>
        <w:tc>
          <w:tcPr>
            <w:tcW w:w="80" w:type="dxa"/>
            <w:vAlign w:val="bottom"/>
            <w:shd w:val="clear" w:color="auto" w:fill="1D2758"/>
          </w:tcPr>
          <w:p>
            <w:pPr>
              <w:spacing w:after="0"/>
              <w:rPr>
                <w:sz w:val="14"/>
                <w:szCs w:val="14"/>
                <w:color w:val="auto"/>
              </w:rPr>
            </w:pPr>
          </w:p>
        </w:tc>
        <w:tc>
          <w:tcPr>
            <w:tcW w:w="840" w:type="dxa"/>
            <w:vAlign w:val="bottom"/>
            <w:shd w:val="clear" w:color="auto" w:fill="1D2758"/>
          </w:tcPr>
          <w:p>
            <w:pPr>
              <w:spacing w:after="0"/>
              <w:rPr>
                <w:sz w:val="14"/>
                <w:szCs w:val="14"/>
                <w:color w:val="auto"/>
              </w:rPr>
            </w:pPr>
          </w:p>
        </w:tc>
        <w:tc>
          <w:tcPr>
            <w:tcW w:w="1220" w:type="dxa"/>
            <w:vAlign w:val="bottom"/>
            <w:shd w:val="clear" w:color="auto" w:fill="1D2758"/>
          </w:tcPr>
          <w:p>
            <w:pPr>
              <w:jc w:val="right"/>
              <w:ind w:right="599"/>
              <w:spacing w:after="0"/>
              <w:rPr>
                <w:sz w:val="20"/>
                <w:szCs w:val="20"/>
                <w:color w:val="auto"/>
              </w:rPr>
            </w:pPr>
            <w:r>
              <w:rPr>
                <w:rFonts w:ascii="Arial" w:cs="Arial" w:eastAsia="Arial" w:hAnsi="Arial"/>
                <w:sz w:val="12"/>
                <w:szCs w:val="12"/>
                <w:b w:val="1"/>
                <w:bCs w:val="1"/>
                <w:color w:val="FFFFFF"/>
              </w:rPr>
              <w:t>2021</w:t>
            </w:r>
          </w:p>
        </w:tc>
        <w:tc>
          <w:tcPr>
            <w:tcW w:w="80" w:type="dxa"/>
            <w:vAlign w:val="bottom"/>
            <w:shd w:val="clear" w:color="auto" w:fill="1D2758"/>
          </w:tcPr>
          <w:p>
            <w:pPr>
              <w:spacing w:after="0"/>
              <w:rPr>
                <w:sz w:val="14"/>
                <w:szCs w:val="14"/>
                <w:color w:val="auto"/>
              </w:rPr>
            </w:pPr>
          </w:p>
        </w:tc>
        <w:tc>
          <w:tcPr>
            <w:tcW w:w="1080" w:type="dxa"/>
            <w:vAlign w:val="bottom"/>
            <w:shd w:val="clear" w:color="auto" w:fill="1D2758"/>
          </w:tcPr>
          <w:p>
            <w:pPr>
              <w:spacing w:after="0"/>
              <w:rPr>
                <w:sz w:val="14"/>
                <w:szCs w:val="14"/>
                <w:color w:val="auto"/>
              </w:rPr>
            </w:pPr>
          </w:p>
        </w:tc>
        <w:tc>
          <w:tcPr>
            <w:tcW w:w="1000" w:type="dxa"/>
            <w:vAlign w:val="bottom"/>
            <w:shd w:val="clear" w:color="auto" w:fill="1D2758"/>
          </w:tcPr>
          <w:p>
            <w:pPr>
              <w:jc w:val="right"/>
              <w:ind w:right="599"/>
              <w:spacing w:after="0"/>
              <w:rPr>
                <w:sz w:val="20"/>
                <w:szCs w:val="20"/>
                <w:color w:val="auto"/>
              </w:rPr>
            </w:pPr>
            <w:r>
              <w:rPr>
                <w:rFonts w:ascii="Arial" w:cs="Arial" w:eastAsia="Arial" w:hAnsi="Arial"/>
                <w:sz w:val="12"/>
                <w:szCs w:val="12"/>
                <w:b w:val="1"/>
                <w:bCs w:val="1"/>
                <w:color w:val="FFFFFF"/>
              </w:rPr>
              <w:t>2020</w:t>
            </w:r>
          </w:p>
        </w:tc>
      </w:tr>
      <w:tr>
        <w:trPr>
          <w:trHeight w:val="161"/>
        </w:trPr>
        <w:tc>
          <w:tcPr>
            <w:tcW w:w="2740" w:type="dxa"/>
            <w:vAlign w:val="bottom"/>
            <w:shd w:val="clear" w:color="auto" w:fill="DBDBDB"/>
          </w:tcPr>
          <w:p>
            <w:pPr>
              <w:ind w:left="500"/>
              <w:spacing w:after="0"/>
              <w:rPr>
                <w:sz w:val="20"/>
                <w:szCs w:val="20"/>
                <w:color w:val="auto"/>
              </w:rPr>
            </w:pPr>
            <w:r>
              <w:rPr>
                <w:rFonts w:ascii="Arial" w:cs="Arial" w:eastAsia="Arial" w:hAnsi="Arial"/>
                <w:sz w:val="12"/>
                <w:szCs w:val="12"/>
                <w:color w:val="auto"/>
              </w:rPr>
              <w:t>Net income (loss)</w:t>
            </w:r>
          </w:p>
        </w:tc>
        <w:tc>
          <w:tcPr>
            <w:tcW w:w="860" w:type="dxa"/>
            <w:vAlign w:val="bottom"/>
            <w:shd w:val="clear" w:color="auto" w:fill="DBDBDB"/>
          </w:tcPr>
          <w:p>
            <w:pPr>
              <w:jc w:val="right"/>
              <w:ind w:right="239"/>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20,371</w:t>
            </w:r>
          </w:p>
        </w:tc>
        <w:tc>
          <w:tcPr>
            <w:tcW w:w="80" w:type="dxa"/>
            <w:vAlign w:val="bottom"/>
            <w:shd w:val="clear" w:color="auto" w:fill="DBDBDB"/>
          </w:tcPr>
          <w:p>
            <w:pPr>
              <w:spacing w:after="0"/>
              <w:rPr>
                <w:sz w:val="14"/>
                <w:szCs w:val="14"/>
                <w:color w:val="auto"/>
              </w:rPr>
            </w:pPr>
          </w:p>
        </w:tc>
        <w:tc>
          <w:tcPr>
            <w:tcW w:w="1100" w:type="dxa"/>
            <w:vAlign w:val="bottom"/>
            <w:shd w:val="clear" w:color="auto" w:fill="DBDBDB"/>
          </w:tcPr>
          <w:p>
            <w:pPr>
              <w:jc w:val="right"/>
              <w:ind w:right="479"/>
              <w:spacing w:after="0"/>
              <w:rPr>
                <w:sz w:val="20"/>
                <w:szCs w:val="20"/>
                <w:color w:val="auto"/>
              </w:rPr>
            </w:pPr>
            <w:r>
              <w:rPr>
                <w:rFonts w:ascii="Arial" w:cs="Arial" w:eastAsia="Arial" w:hAnsi="Arial"/>
                <w:sz w:val="12"/>
                <w:szCs w:val="12"/>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(14,130)</w:t>
            </w:r>
          </w:p>
        </w:tc>
        <w:tc>
          <w:tcPr>
            <w:tcW w:w="80" w:type="dxa"/>
            <w:vAlign w:val="bottom"/>
            <w:shd w:val="clear" w:color="auto" w:fill="DBDBDB"/>
          </w:tcPr>
          <w:p>
            <w:pPr>
              <w:spacing w:after="0"/>
              <w:rPr>
                <w:sz w:val="14"/>
                <w:szCs w:val="14"/>
                <w:color w:val="auto"/>
              </w:rPr>
            </w:pPr>
          </w:p>
        </w:tc>
        <w:tc>
          <w:tcPr>
            <w:tcW w:w="840" w:type="dxa"/>
            <w:vAlign w:val="bottom"/>
            <w:shd w:val="clear" w:color="auto" w:fill="DBDBDB"/>
          </w:tcPr>
          <w:p>
            <w:pPr>
              <w:jc w:val="right"/>
              <w:ind w:right="219"/>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24,818</w:t>
            </w:r>
          </w:p>
        </w:tc>
        <w:tc>
          <w:tcPr>
            <w:tcW w:w="80" w:type="dxa"/>
            <w:vAlign w:val="bottom"/>
            <w:shd w:val="clear" w:color="auto" w:fill="DBDBDB"/>
          </w:tcPr>
          <w:p>
            <w:pPr>
              <w:spacing w:after="0"/>
              <w:rPr>
                <w:sz w:val="14"/>
                <w:szCs w:val="14"/>
                <w:color w:val="auto"/>
              </w:rPr>
            </w:pPr>
          </w:p>
        </w:tc>
        <w:tc>
          <w:tcPr>
            <w:tcW w:w="1080" w:type="dxa"/>
            <w:vAlign w:val="bottom"/>
            <w:shd w:val="clear" w:color="auto" w:fill="DBDBDB"/>
          </w:tcPr>
          <w:p>
            <w:pPr>
              <w:jc w:val="right"/>
              <w:ind w:right="439"/>
              <w:spacing w:after="0"/>
              <w:rPr>
                <w:sz w:val="20"/>
                <w:szCs w:val="20"/>
                <w:color w:val="auto"/>
              </w:rPr>
            </w:pPr>
            <w:r>
              <w:rPr>
                <w:rFonts w:ascii="Arial" w:cs="Arial" w:eastAsia="Arial" w:hAnsi="Arial"/>
                <w:sz w:val="12"/>
                <w:szCs w:val="12"/>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77,525</w:t>
            </w:r>
          </w:p>
        </w:tc>
      </w:tr>
      <w:tr>
        <w:trPr>
          <w:trHeight w:val="159"/>
        </w:trPr>
        <w:tc>
          <w:tcPr>
            <w:tcW w:w="2740" w:type="dxa"/>
            <w:vAlign w:val="bottom"/>
          </w:tcPr>
          <w:p>
            <w:pPr>
              <w:ind w:left="660"/>
              <w:spacing w:after="0"/>
              <w:rPr>
                <w:sz w:val="20"/>
                <w:szCs w:val="20"/>
                <w:color w:val="auto"/>
              </w:rPr>
            </w:pPr>
            <w:r>
              <w:rPr>
                <w:rFonts w:ascii="Arial" w:cs="Arial" w:eastAsia="Arial" w:hAnsi="Arial"/>
                <w:sz w:val="12"/>
                <w:szCs w:val="12"/>
                <w:color w:val="auto"/>
              </w:rPr>
              <w:t>Income tax expense (benefit)</w:t>
            </w:r>
          </w:p>
        </w:tc>
        <w:tc>
          <w:tcPr>
            <w:tcW w:w="8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18,828</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(285)</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29,309</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505</w:t>
            </w:r>
          </w:p>
        </w:tc>
      </w:tr>
      <w:tr>
        <w:trPr>
          <w:trHeight w:val="164"/>
        </w:trPr>
        <w:tc>
          <w:tcPr>
            <w:tcW w:w="2740" w:type="dxa"/>
            <w:vAlign w:val="bottom"/>
            <w:shd w:val="clear" w:color="auto" w:fill="DBDBDB"/>
          </w:tcPr>
          <w:p>
            <w:pPr>
              <w:ind w:left="660"/>
              <w:spacing w:after="0"/>
              <w:rPr>
                <w:sz w:val="20"/>
                <w:szCs w:val="20"/>
                <w:color w:val="auto"/>
              </w:rPr>
            </w:pPr>
            <w:r>
              <w:rPr>
                <w:rFonts w:ascii="Arial" w:cs="Arial" w:eastAsia="Arial" w:hAnsi="Arial"/>
                <w:sz w:val="12"/>
                <w:szCs w:val="12"/>
                <w:color w:val="auto"/>
              </w:rPr>
              <w:t>Loss on extinguishment of debt</w:t>
            </w:r>
          </w:p>
        </w:tc>
        <w:tc>
          <w:tcPr>
            <w:tcW w:w="86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2,814</w:t>
            </w:r>
          </w:p>
        </w:tc>
        <w:tc>
          <w:tcPr>
            <w:tcW w:w="8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106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5,999</w:t>
            </w:r>
          </w:p>
        </w:tc>
        <w:tc>
          <w:tcPr>
            <w:tcW w:w="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59"/>
        </w:trPr>
        <w:tc>
          <w:tcPr>
            <w:tcW w:w="2740" w:type="dxa"/>
            <w:vAlign w:val="bottom"/>
          </w:tcPr>
          <w:p>
            <w:pPr>
              <w:ind w:left="660"/>
              <w:spacing w:after="0"/>
              <w:rPr>
                <w:sz w:val="20"/>
                <w:szCs w:val="20"/>
                <w:color w:val="auto"/>
              </w:rPr>
            </w:pPr>
            <w:r>
              <w:rPr>
                <w:rFonts w:ascii="Arial" w:cs="Arial" w:eastAsia="Arial" w:hAnsi="Arial"/>
                <w:sz w:val="12"/>
                <w:szCs w:val="12"/>
                <w:color w:val="auto"/>
              </w:rPr>
              <w:t>Interest expense</w:t>
            </w:r>
          </w:p>
        </w:tc>
        <w:tc>
          <w:tcPr>
            <w:tcW w:w="8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29,212</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28,519</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59,176</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56,776</w:t>
            </w:r>
          </w:p>
        </w:tc>
      </w:tr>
      <w:tr>
        <w:trPr>
          <w:trHeight w:val="164"/>
        </w:trPr>
        <w:tc>
          <w:tcPr>
            <w:tcW w:w="2740" w:type="dxa"/>
            <w:vAlign w:val="bottom"/>
            <w:shd w:val="clear" w:color="auto" w:fill="DBDBDB"/>
          </w:tcPr>
          <w:p>
            <w:pPr>
              <w:ind w:left="660"/>
              <w:spacing w:after="0"/>
              <w:rPr>
                <w:sz w:val="20"/>
                <w:szCs w:val="20"/>
                <w:color w:val="auto"/>
              </w:rPr>
            </w:pPr>
            <w:r>
              <w:rPr>
                <w:rFonts w:ascii="Arial" w:cs="Arial" w:eastAsia="Arial" w:hAnsi="Arial"/>
                <w:sz w:val="12"/>
                <w:szCs w:val="12"/>
                <w:color w:val="auto"/>
              </w:rPr>
              <w:t>Depreciation and amortization</w:t>
            </w:r>
          </w:p>
        </w:tc>
        <w:tc>
          <w:tcPr>
            <w:tcW w:w="86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84,515</w:t>
            </w:r>
          </w:p>
        </w:tc>
        <w:tc>
          <w:tcPr>
            <w:tcW w:w="8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48,377</w:t>
            </w:r>
          </w:p>
        </w:tc>
        <w:tc>
          <w:tcPr>
            <w:tcW w:w="8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158,537</w:t>
            </w:r>
          </w:p>
        </w:tc>
        <w:tc>
          <w:tcPr>
            <w:tcW w:w="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97,399</w:t>
            </w:r>
          </w:p>
        </w:tc>
      </w:tr>
      <w:tr>
        <w:trPr>
          <w:trHeight w:val="133"/>
        </w:trPr>
        <w:tc>
          <w:tcPr>
            <w:tcW w:w="2740" w:type="dxa"/>
            <w:vAlign w:val="bottom"/>
          </w:tcPr>
          <w:p>
            <w:pPr>
              <w:ind w:left="660"/>
              <w:spacing w:after="0" w:line="133" w:lineRule="exact"/>
              <w:rPr>
                <w:sz w:val="20"/>
                <w:szCs w:val="20"/>
                <w:color w:val="auto"/>
              </w:rPr>
            </w:pPr>
            <w:r>
              <w:rPr>
                <w:rFonts w:ascii="Arial" w:cs="Arial" w:eastAsia="Arial" w:hAnsi="Arial"/>
                <w:sz w:val="12"/>
                <w:szCs w:val="12"/>
                <w:color w:val="auto"/>
              </w:rPr>
              <w:t>Fair value loss (gain) on common</w:t>
            </w:r>
          </w:p>
        </w:tc>
        <w:tc>
          <w:tcPr>
            <w:tcW w:w="860" w:type="dxa"/>
            <w:vAlign w:val="bottom"/>
          </w:tcPr>
          <w:p>
            <w:pPr>
              <w:spacing w:after="0"/>
              <w:rPr>
                <w:sz w:val="11"/>
                <w:szCs w:val="11"/>
                <w:color w:val="auto"/>
              </w:rPr>
            </w:pPr>
          </w:p>
        </w:tc>
        <w:tc>
          <w:tcPr>
            <w:tcW w:w="1220" w:type="dxa"/>
            <w:vAlign w:val="bottom"/>
          </w:tcPr>
          <w:p>
            <w:pPr>
              <w:jc w:val="right"/>
              <w:spacing w:after="0" w:line="133" w:lineRule="exact"/>
              <w:rPr>
                <w:sz w:val="20"/>
                <w:szCs w:val="20"/>
                <w:color w:val="auto"/>
              </w:rPr>
            </w:pPr>
            <w:r>
              <w:rPr>
                <w:rFonts w:ascii="Arial" w:cs="Arial" w:eastAsia="Arial" w:hAnsi="Arial"/>
                <w:sz w:val="12"/>
                <w:szCs w:val="12"/>
                <w:color w:val="auto"/>
              </w:rPr>
              <w:t>(610)</w:t>
            </w: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Arial" w:cs="Arial" w:eastAsia="Arial" w:hAnsi="Arial"/>
                <w:sz w:val="12"/>
                <w:szCs w:val="12"/>
                <w:color w:val="auto"/>
              </w:rPr>
              <w:t>26,963</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jc w:val="right"/>
              <w:spacing w:after="0" w:line="133" w:lineRule="exact"/>
              <w:rPr>
                <w:sz w:val="20"/>
                <w:szCs w:val="20"/>
                <w:color w:val="auto"/>
              </w:rPr>
            </w:pPr>
            <w:r>
              <w:rPr>
                <w:rFonts w:ascii="Arial" w:cs="Arial" w:eastAsia="Arial" w:hAnsi="Arial"/>
                <w:sz w:val="12"/>
                <w:szCs w:val="12"/>
                <w:color w:val="auto"/>
              </w:rPr>
              <w:t>26,597</w:t>
            </w: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(68,366)</w:t>
            </w:r>
          </w:p>
        </w:tc>
      </w:tr>
      <w:tr>
        <w:trPr>
          <w:trHeight w:val="148"/>
        </w:trPr>
        <w:tc>
          <w:tcPr>
            <w:tcW w:w="2740" w:type="dxa"/>
            <w:vAlign w:val="bottom"/>
          </w:tcPr>
          <w:p>
            <w:pPr>
              <w:ind w:left="180"/>
              <w:spacing w:after="0"/>
              <w:rPr>
                <w:sz w:val="20"/>
                <w:szCs w:val="20"/>
                <w:color w:val="auto"/>
              </w:rPr>
            </w:pPr>
            <w:r>
              <w:rPr>
                <w:rFonts w:ascii="Arial" w:cs="Arial" w:eastAsia="Arial" w:hAnsi="Arial"/>
                <w:sz w:val="12"/>
                <w:szCs w:val="12"/>
                <w:color w:val="auto"/>
              </w:rPr>
              <w:t>stock warrant liabilities</w:t>
            </w: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4"/>
        </w:trPr>
        <w:tc>
          <w:tcPr>
            <w:tcW w:w="2740" w:type="dxa"/>
            <w:vAlign w:val="bottom"/>
            <w:shd w:val="clear" w:color="auto" w:fill="DBDBDB"/>
          </w:tcPr>
          <w:p>
            <w:pPr>
              <w:ind w:left="660"/>
              <w:spacing w:after="0"/>
              <w:rPr>
                <w:sz w:val="20"/>
                <w:szCs w:val="20"/>
                <w:color w:val="auto"/>
              </w:rPr>
            </w:pPr>
            <w:r>
              <w:rPr>
                <w:rFonts w:ascii="Arial" w:cs="Arial" w:eastAsia="Arial" w:hAnsi="Arial"/>
                <w:sz w:val="12"/>
                <w:szCs w:val="12"/>
                <w:color w:val="auto"/>
              </w:rPr>
              <w:t>Currency losses (gains), net</w:t>
            </w:r>
          </w:p>
        </w:tc>
        <w:tc>
          <w:tcPr>
            <w:tcW w:w="86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w:t>
            </w:r>
          </w:p>
        </w:tc>
        <w:tc>
          <w:tcPr>
            <w:tcW w:w="8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(380)</w:t>
            </w:r>
          </w:p>
        </w:tc>
        <w:tc>
          <w:tcPr>
            <w:tcW w:w="8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69</w:t>
            </w:r>
          </w:p>
        </w:tc>
        <w:tc>
          <w:tcPr>
            <w:tcW w:w="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518</w:t>
            </w:r>
          </w:p>
        </w:tc>
      </w:tr>
      <w:tr>
        <w:trPr>
          <w:trHeight w:val="133"/>
        </w:trPr>
        <w:tc>
          <w:tcPr>
            <w:tcW w:w="2740" w:type="dxa"/>
            <w:vAlign w:val="bottom"/>
          </w:tcPr>
          <w:p>
            <w:pPr>
              <w:ind w:left="660"/>
              <w:spacing w:after="0" w:line="133" w:lineRule="exact"/>
              <w:rPr>
                <w:sz w:val="20"/>
                <w:szCs w:val="20"/>
                <w:color w:val="auto"/>
              </w:rPr>
            </w:pPr>
            <w:r>
              <w:rPr>
                <w:rFonts w:ascii="Arial" w:cs="Arial" w:eastAsia="Arial" w:hAnsi="Arial"/>
                <w:sz w:val="12"/>
                <w:szCs w:val="12"/>
                <w:color w:val="auto"/>
              </w:rPr>
              <w:t>Restructuring costs, lease impairment</w:t>
            </w: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8"/>
        </w:trPr>
        <w:tc>
          <w:tcPr>
            <w:tcW w:w="2740" w:type="dxa"/>
            <w:vAlign w:val="bottom"/>
          </w:tcPr>
          <w:p>
            <w:pPr>
              <w:ind w:left="180"/>
              <w:spacing w:after="0"/>
              <w:rPr>
                <w:sz w:val="20"/>
                <w:szCs w:val="20"/>
                <w:color w:val="auto"/>
              </w:rPr>
            </w:pPr>
            <w:r>
              <w:rPr>
                <w:rFonts w:ascii="Arial" w:cs="Arial" w:eastAsia="Arial" w:hAnsi="Arial"/>
                <w:sz w:val="12"/>
                <w:szCs w:val="12"/>
                <w:color w:val="auto"/>
              </w:rPr>
              <w:t>expense and other related charges</w:t>
            </w:r>
          </w:p>
        </w:tc>
        <w:tc>
          <w:tcPr>
            <w:tcW w:w="8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7,434</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2,143</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11,829</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3,744</w:t>
            </w:r>
          </w:p>
        </w:tc>
      </w:tr>
      <w:tr>
        <w:trPr>
          <w:trHeight w:val="164"/>
        </w:trPr>
        <w:tc>
          <w:tcPr>
            <w:tcW w:w="2740" w:type="dxa"/>
            <w:vAlign w:val="bottom"/>
            <w:shd w:val="clear" w:color="auto" w:fill="DBDBDB"/>
          </w:tcPr>
          <w:p>
            <w:pPr>
              <w:ind w:left="660"/>
              <w:spacing w:after="0"/>
              <w:rPr>
                <w:sz w:val="20"/>
                <w:szCs w:val="20"/>
                <w:color w:val="auto"/>
              </w:rPr>
            </w:pPr>
            <w:r>
              <w:rPr>
                <w:rFonts w:ascii="Arial" w:cs="Arial" w:eastAsia="Arial" w:hAnsi="Arial"/>
                <w:sz w:val="12"/>
                <w:szCs w:val="12"/>
                <w:color w:val="auto"/>
              </w:rPr>
              <w:t>Transaction costs</w:t>
            </w:r>
          </w:p>
        </w:tc>
        <w:tc>
          <w:tcPr>
            <w:tcW w:w="860" w:type="dxa"/>
            <w:vAlign w:val="bottom"/>
            <w:shd w:val="clear" w:color="auto" w:fill="DBDBDB"/>
          </w:tcPr>
          <w:p>
            <w:pPr>
              <w:spacing w:after="0"/>
              <w:rPr>
                <w:sz w:val="14"/>
                <w:szCs w:val="14"/>
                <w:color w:val="auto"/>
              </w:rPr>
            </w:pPr>
          </w:p>
        </w:tc>
        <w:tc>
          <w:tcPr>
            <w:tcW w:w="130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1,619</w:t>
            </w:r>
          </w:p>
        </w:tc>
        <w:tc>
          <w:tcPr>
            <w:tcW w:w="8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844</w:t>
            </w:r>
          </w:p>
        </w:tc>
        <w:tc>
          <w:tcPr>
            <w:tcW w:w="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11,050</w:t>
            </w:r>
          </w:p>
        </w:tc>
      </w:tr>
      <w:tr>
        <w:trPr>
          <w:trHeight w:val="159"/>
        </w:trPr>
        <w:tc>
          <w:tcPr>
            <w:tcW w:w="2740" w:type="dxa"/>
            <w:vAlign w:val="bottom"/>
          </w:tcPr>
          <w:p>
            <w:pPr>
              <w:ind w:left="660"/>
              <w:spacing w:after="0"/>
              <w:rPr>
                <w:sz w:val="20"/>
                <w:szCs w:val="20"/>
                <w:color w:val="auto"/>
              </w:rPr>
            </w:pPr>
            <w:r>
              <w:rPr>
                <w:rFonts w:ascii="Arial" w:cs="Arial" w:eastAsia="Arial" w:hAnsi="Arial"/>
                <w:sz w:val="12"/>
                <w:szCs w:val="12"/>
                <w:color w:val="auto"/>
              </w:rPr>
              <w:t>Integration costs</w:t>
            </w:r>
          </w:p>
        </w:tc>
        <w:tc>
          <w:tcPr>
            <w:tcW w:w="8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7,622</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2,153</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14,964</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3,839</w:t>
            </w:r>
          </w:p>
        </w:tc>
      </w:tr>
      <w:tr>
        <w:trPr>
          <w:trHeight w:val="164"/>
        </w:trPr>
        <w:tc>
          <w:tcPr>
            <w:tcW w:w="2740" w:type="dxa"/>
            <w:vAlign w:val="bottom"/>
            <w:shd w:val="clear" w:color="auto" w:fill="DBDBDB"/>
          </w:tcPr>
          <w:p>
            <w:pPr>
              <w:ind w:left="660"/>
              <w:spacing w:after="0"/>
              <w:rPr>
                <w:sz w:val="20"/>
                <w:szCs w:val="20"/>
                <w:color w:val="auto"/>
              </w:rPr>
            </w:pPr>
            <w:r>
              <w:rPr>
                <w:rFonts w:ascii="Arial" w:cs="Arial" w:eastAsia="Arial" w:hAnsi="Arial"/>
                <w:sz w:val="12"/>
                <w:szCs w:val="12"/>
                <w:color w:val="auto"/>
              </w:rPr>
              <w:t>Stock compensation expense</w:t>
            </w:r>
          </w:p>
        </w:tc>
        <w:tc>
          <w:tcPr>
            <w:tcW w:w="86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4,707</w:t>
            </w:r>
          </w:p>
        </w:tc>
        <w:tc>
          <w:tcPr>
            <w:tcW w:w="8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2,227</w:t>
            </w:r>
          </w:p>
        </w:tc>
        <w:tc>
          <w:tcPr>
            <w:tcW w:w="8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8,221</w:t>
            </w:r>
          </w:p>
        </w:tc>
        <w:tc>
          <w:tcPr>
            <w:tcW w:w="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4,014</w:t>
            </w:r>
          </w:p>
        </w:tc>
      </w:tr>
      <w:tr>
        <w:trPr>
          <w:trHeight w:val="159"/>
        </w:trPr>
        <w:tc>
          <w:tcPr>
            <w:tcW w:w="2740" w:type="dxa"/>
            <w:vAlign w:val="bottom"/>
            <w:tcBorders>
              <w:bottom w:val="single" w:sz="8" w:color="DBDBDB"/>
            </w:tcBorders>
          </w:tcPr>
          <w:p>
            <w:pPr>
              <w:ind w:left="660"/>
              <w:spacing w:after="0"/>
              <w:rPr>
                <w:sz w:val="20"/>
                <w:szCs w:val="20"/>
                <w:color w:val="auto"/>
              </w:rPr>
            </w:pPr>
            <w:r>
              <w:rPr>
                <w:rFonts w:ascii="Arial" w:cs="Arial" w:eastAsia="Arial" w:hAnsi="Arial"/>
                <w:sz w:val="12"/>
                <w:szCs w:val="12"/>
                <w:color w:val="auto"/>
              </w:rPr>
              <w:t>Other</w:t>
            </w:r>
          </w:p>
        </w:tc>
        <w:tc>
          <w:tcPr>
            <w:tcW w:w="8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569</w:t>
            </w:r>
          </w:p>
        </w:tc>
        <w:tc>
          <w:tcPr>
            <w:tcW w:w="80" w:type="dxa"/>
            <w:vAlign w:val="bottom"/>
            <w:tcBorders>
              <w:bottom w:val="single" w:sz="8" w:color="DBDBDB"/>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314</w:t>
            </w:r>
          </w:p>
        </w:tc>
        <w:tc>
          <w:tcPr>
            <w:tcW w:w="80" w:type="dxa"/>
            <w:vAlign w:val="bottom"/>
            <w:tcBorders>
              <w:bottom w:val="single" w:sz="8" w:color="DBDBDB"/>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(1,283)</w:t>
            </w:r>
          </w:p>
        </w:tc>
        <w:tc>
          <w:tcPr>
            <w:tcW w:w="80" w:type="dxa"/>
            <w:vAlign w:val="bottom"/>
            <w:tcBorders>
              <w:bottom w:val="single" w:sz="8" w:color="DBDBDB"/>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w:t>
            </w:r>
          </w:p>
        </w:tc>
      </w:tr>
      <w:tr>
        <w:trPr>
          <w:trHeight w:val="179"/>
        </w:trPr>
        <w:tc>
          <w:tcPr>
            <w:tcW w:w="2740" w:type="dxa"/>
            <w:vAlign w:val="bottom"/>
            <w:tcBorders>
              <w:bottom w:val="single" w:sz="8" w:color="DBDBDB"/>
            </w:tcBorders>
            <w:shd w:val="clear" w:color="auto" w:fill="DBDBDB"/>
          </w:tcPr>
          <w:p>
            <w:pPr>
              <w:ind w:left="500"/>
              <w:spacing w:after="0"/>
              <w:rPr>
                <w:sz w:val="20"/>
                <w:szCs w:val="20"/>
                <w:color w:val="auto"/>
              </w:rPr>
            </w:pPr>
            <w:r>
              <w:rPr>
                <w:rFonts w:ascii="Arial" w:cs="Arial" w:eastAsia="Arial" w:hAnsi="Arial"/>
                <w:sz w:val="12"/>
                <w:szCs w:val="12"/>
                <w:color w:val="auto"/>
              </w:rPr>
              <w:t>Adjusted EBITDA</w:t>
            </w:r>
          </w:p>
        </w:tc>
        <w:tc>
          <w:tcPr>
            <w:tcW w:w="86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175,495</w:t>
            </w:r>
          </w:p>
        </w:tc>
        <w:tc>
          <w:tcPr>
            <w:tcW w:w="8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ind w:right="479"/>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97,520</w:t>
            </w:r>
          </w:p>
        </w:tc>
        <w:tc>
          <w:tcPr>
            <w:tcW w:w="8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339,080</w:t>
            </w:r>
          </w:p>
        </w:tc>
        <w:tc>
          <w:tcPr>
            <w:tcW w:w="8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ind w:right="439"/>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187,062</w:t>
            </w:r>
          </w:p>
        </w:tc>
      </w:tr>
      <w:tr>
        <w:trPr>
          <w:trHeight w:val="20"/>
        </w:trPr>
        <w:tc>
          <w:tcPr>
            <w:tcW w:w="274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Included in restructuring costs for the three and six months ended June 30, 2021 was expense of approximately $4.3 million and $5.8 million, respectively, recognized as a result of the modification of certain equity awards associated with the Transition, Separation and Release Agreement entered into on February 25, 2021 with the Company's President and Chief Operating Officer. For the six months ended June 30, 2021, stock-based compensation expense reported in the Statement of Cash Flows included these charges.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1D2758"/>
        </w:rPr>
        <w:t>NOTE 19 - Earnings (Loss) Per Share</w:t>
      </w:r>
    </w:p>
    <w:p>
      <w:pPr>
        <w:spacing w:after="0" w:line="85"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Basic earnings (loss) per share (“EPS”) is calculated by dividing net income (loss) attributable to WillScot Mobile Mini by the weighted average number of shares of Common Stock outstanding during the period. The shares of Common Stock issued as a result of the vesting of RSUs and RSAs as well as the exercise of stock options or redemption of warrants were included in EPS based on the weighted average number of days in which they were vested and outstanding during the period.</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Prior to June 30, 2020, the Company had shares of Class B Common Stock which had no rights to dividends or distributions made by the Company and, in turn, were excluded from the EPS calculation.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auto"/>
        </w:rPr>
        <w:t>On June 30, 2020, the Sapphire Exchange was completed, and all shares of Class B Common Stock were cancelled, and Sapphire Holdings received 10,641,182 shares of Common Stock.</w:t>
      </w:r>
    </w:p>
    <w:p>
      <w:pPr>
        <w:spacing w:after="0" w:line="44" w:lineRule="exact"/>
        <w:rPr>
          <w:sz w:val="20"/>
          <w:szCs w:val="20"/>
          <w:color w:val="auto"/>
        </w:rPr>
      </w:pPr>
    </w:p>
    <w:p>
      <w:pPr>
        <w:jc w:val="both"/>
        <w:ind w:firstLine="484"/>
        <w:spacing w:after="0" w:line="251" w:lineRule="auto"/>
        <w:rPr>
          <w:sz w:val="20"/>
          <w:szCs w:val="20"/>
          <w:color w:val="auto"/>
        </w:rPr>
      </w:pPr>
      <w:r>
        <w:rPr>
          <w:rFonts w:ascii="Arial" w:cs="Arial" w:eastAsia="Arial" w:hAnsi="Arial"/>
          <w:sz w:val="12"/>
          <w:szCs w:val="12"/>
          <w:color w:val="auto"/>
        </w:rPr>
        <w:t>Diluted EPS is computed similarly to basic EPS, except that it includes the potential dilution that would occur if dilutive securities were exercised. Effects of potentially dilutive securities are presented only in periods in which they are dilutive. When liability-classified warrants are in the money and the impact of their inclusion on diluted EPS is dilutive, diluted EPS also assumes share settlement of such instruments through an adjustment to net income available to common stockholders for the fair value (gain) loss on common stock warrant liabilities and inclusion of the number of dilutive shares in the 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608330</wp:posOffset>
            </wp:positionV>
            <wp:extent cx="719264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41"/>
        </w:trPr>
        <w:tc>
          <w:tcPr>
            <w:tcW w:w="420" w:type="dxa"/>
            <w:vAlign w:val="bottom"/>
          </w:tcPr>
          <w:p>
            <w:pPr>
              <w:spacing w:after="0"/>
              <w:rPr>
                <w:sz w:val="12"/>
                <w:szCs w:val="12"/>
                <w:color w:val="auto"/>
              </w:rPr>
            </w:pPr>
          </w:p>
        </w:tc>
        <w:tc>
          <w:tcPr>
            <w:tcW w:w="10860" w:type="dxa"/>
            <w:vAlign w:val="bottom"/>
            <w:gridSpan w:val="12"/>
          </w:tcPr>
          <w:p>
            <w:pPr>
              <w:ind w:left="60"/>
              <w:spacing w:after="0"/>
              <w:rPr>
                <w:sz w:val="20"/>
                <w:szCs w:val="20"/>
                <w:color w:val="auto"/>
              </w:rPr>
            </w:pPr>
            <w:r>
              <w:rPr>
                <w:rFonts w:ascii="Arial" w:cs="Arial" w:eastAsia="Arial" w:hAnsi="Arial"/>
                <w:sz w:val="12"/>
                <w:szCs w:val="12"/>
                <w:color w:val="auto"/>
              </w:rPr>
              <w:t>The following table reconciles net income attributable to WillScot Mobile Mini common shareholders and the weighted average shares outstanding for the basic calculation to the weighted average</w:t>
            </w:r>
          </w:p>
        </w:tc>
      </w:tr>
      <w:tr>
        <w:trPr>
          <w:trHeight w:val="153"/>
        </w:trPr>
        <w:tc>
          <w:tcPr>
            <w:tcW w:w="420" w:type="dxa"/>
            <w:vAlign w:val="bottom"/>
          </w:tcPr>
          <w:p>
            <w:pPr>
              <w:spacing w:after="0"/>
              <w:rPr>
                <w:sz w:val="20"/>
                <w:szCs w:val="20"/>
                <w:color w:val="auto"/>
              </w:rPr>
            </w:pPr>
            <w:r>
              <w:rPr>
                <w:rFonts w:ascii="Arial" w:cs="Arial" w:eastAsia="Arial" w:hAnsi="Arial"/>
                <w:sz w:val="12"/>
                <w:szCs w:val="12"/>
                <w:color w:val="auto"/>
              </w:rPr>
              <w:t>shares</w:t>
            </w:r>
          </w:p>
        </w:tc>
        <w:tc>
          <w:tcPr>
            <w:tcW w:w="3880" w:type="dxa"/>
            <w:vAlign w:val="bottom"/>
          </w:tcPr>
          <w:p>
            <w:pPr>
              <w:ind w:left="1740"/>
              <w:spacing w:after="0"/>
              <w:rPr>
                <w:sz w:val="20"/>
                <w:szCs w:val="20"/>
                <w:color w:val="auto"/>
              </w:rPr>
            </w:pPr>
            <w:r>
              <w:rPr>
                <w:rFonts w:ascii="Arial" w:cs="Arial" w:eastAsia="Arial" w:hAnsi="Arial"/>
                <w:sz w:val="12"/>
                <w:szCs w:val="12"/>
                <w:color w:val="auto"/>
              </w:rPr>
              <w:t>outstanding</w:t>
            </w:r>
          </w:p>
        </w:tc>
        <w:tc>
          <w:tcPr>
            <w:tcW w:w="760" w:type="dxa"/>
            <w:vAlign w:val="bottom"/>
          </w:tcPr>
          <w:p>
            <w:pPr>
              <w:jc w:val="right"/>
              <w:ind w:right="259"/>
              <w:spacing w:after="0"/>
              <w:rPr>
                <w:sz w:val="20"/>
                <w:szCs w:val="20"/>
                <w:color w:val="auto"/>
              </w:rPr>
            </w:pPr>
            <w:r>
              <w:rPr>
                <w:rFonts w:ascii="Arial" w:cs="Arial" w:eastAsia="Arial" w:hAnsi="Arial"/>
                <w:sz w:val="12"/>
                <w:szCs w:val="12"/>
                <w:color w:val="auto"/>
              </w:rPr>
              <w:t>for</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left="119"/>
              <w:spacing w:after="0"/>
              <w:rPr>
                <w:sz w:val="20"/>
                <w:szCs w:val="20"/>
                <w:color w:val="auto"/>
              </w:rPr>
            </w:pPr>
            <w:r>
              <w:rPr>
                <w:rFonts w:ascii="Arial" w:cs="Arial" w:eastAsia="Arial" w:hAnsi="Arial"/>
                <w:sz w:val="12"/>
                <w:szCs w:val="12"/>
                <w:color w:val="auto"/>
              </w:rPr>
              <w:t>the</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color w:val="auto"/>
              </w:rPr>
              <w:t>diluted</w:t>
            </w:r>
          </w:p>
        </w:tc>
        <w:tc>
          <w:tcPr>
            <w:tcW w:w="8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calculation.</w:t>
            </w:r>
          </w:p>
        </w:tc>
      </w:tr>
      <w:tr>
        <w:trPr>
          <w:trHeight w:val="167"/>
        </w:trPr>
        <w:tc>
          <w:tcPr>
            <w:tcW w:w="420" w:type="dxa"/>
            <w:vAlign w:val="bottom"/>
            <w:shd w:val="clear" w:color="auto" w:fill="1D2758"/>
          </w:tcPr>
          <w:p>
            <w:pPr>
              <w:spacing w:after="0"/>
              <w:rPr>
                <w:sz w:val="14"/>
                <w:szCs w:val="14"/>
                <w:color w:val="auto"/>
              </w:rPr>
            </w:pPr>
          </w:p>
        </w:tc>
        <w:tc>
          <w:tcPr>
            <w:tcW w:w="3880" w:type="dxa"/>
            <w:vAlign w:val="bottom"/>
            <w:shd w:val="clear" w:color="auto" w:fill="1D2758"/>
          </w:tcPr>
          <w:p>
            <w:pPr>
              <w:spacing w:after="0"/>
              <w:rPr>
                <w:sz w:val="14"/>
                <w:szCs w:val="14"/>
                <w:color w:val="auto"/>
              </w:rPr>
            </w:pPr>
          </w:p>
        </w:tc>
        <w:tc>
          <w:tcPr>
            <w:tcW w:w="760" w:type="dxa"/>
            <w:vAlign w:val="bottom"/>
            <w:shd w:val="clear" w:color="auto" w:fill="1D2758"/>
          </w:tcPr>
          <w:p>
            <w:pPr>
              <w:spacing w:after="0"/>
              <w:rPr>
                <w:sz w:val="14"/>
                <w:szCs w:val="14"/>
                <w:color w:val="auto"/>
              </w:rPr>
            </w:pPr>
          </w:p>
        </w:tc>
        <w:tc>
          <w:tcPr>
            <w:tcW w:w="1920" w:type="dxa"/>
            <w:vAlign w:val="bottom"/>
            <w:gridSpan w:val="3"/>
            <w:shd w:val="clear" w:color="auto" w:fill="1D2758"/>
          </w:tcPr>
          <w:p>
            <w:pPr>
              <w:jc w:val="center"/>
              <w:ind w:left="499"/>
              <w:spacing w:after="0"/>
              <w:rPr>
                <w:sz w:val="20"/>
                <w:szCs w:val="20"/>
                <w:color w:val="auto"/>
              </w:rPr>
            </w:pPr>
            <w:r>
              <w:rPr>
                <w:rFonts w:ascii="Arial" w:cs="Arial" w:eastAsia="Arial" w:hAnsi="Arial"/>
                <w:sz w:val="12"/>
                <w:szCs w:val="12"/>
                <w:b w:val="1"/>
                <w:bCs w:val="1"/>
                <w:color w:val="FFFFFF"/>
              </w:rPr>
              <w:t>Three Months Ended</w:t>
            </w:r>
          </w:p>
        </w:tc>
        <w:tc>
          <w:tcPr>
            <w:tcW w:w="82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600" w:type="dxa"/>
            <w:vAlign w:val="bottom"/>
            <w:shd w:val="clear" w:color="auto" w:fill="1D2758"/>
          </w:tcPr>
          <w:p>
            <w:pPr>
              <w:spacing w:after="0"/>
              <w:rPr>
                <w:sz w:val="14"/>
                <w:szCs w:val="14"/>
                <w:color w:val="auto"/>
              </w:rPr>
            </w:pPr>
          </w:p>
        </w:tc>
        <w:tc>
          <w:tcPr>
            <w:tcW w:w="1960" w:type="dxa"/>
            <w:vAlign w:val="bottom"/>
            <w:gridSpan w:val="3"/>
            <w:shd w:val="clear" w:color="auto" w:fill="1D2758"/>
          </w:tcPr>
          <w:p>
            <w:pPr>
              <w:jc w:val="right"/>
              <w:ind w:right="19"/>
              <w:spacing w:after="0"/>
              <w:rPr>
                <w:sz w:val="20"/>
                <w:szCs w:val="20"/>
                <w:color w:val="auto"/>
              </w:rPr>
            </w:pPr>
            <w:r>
              <w:rPr>
                <w:rFonts w:ascii="Arial" w:cs="Arial" w:eastAsia="Arial" w:hAnsi="Arial"/>
                <w:sz w:val="12"/>
                <w:szCs w:val="12"/>
                <w:b w:val="1"/>
                <w:bCs w:val="1"/>
                <w:color w:val="FFFFFF"/>
              </w:rPr>
              <w:t>Six Months Ended</w:t>
            </w:r>
          </w:p>
        </w:tc>
        <w:tc>
          <w:tcPr>
            <w:tcW w:w="840" w:type="dxa"/>
            <w:vAlign w:val="bottom"/>
            <w:shd w:val="clear" w:color="auto" w:fill="1D2758"/>
          </w:tcPr>
          <w:p>
            <w:pPr>
              <w:spacing w:after="0"/>
              <w:rPr>
                <w:sz w:val="14"/>
                <w:szCs w:val="14"/>
                <w:color w:val="auto"/>
              </w:rPr>
            </w:pPr>
          </w:p>
        </w:tc>
      </w:tr>
      <w:tr>
        <w:trPr>
          <w:trHeight w:val="160"/>
        </w:trPr>
        <w:tc>
          <w:tcPr>
            <w:tcW w:w="420" w:type="dxa"/>
            <w:vAlign w:val="bottom"/>
            <w:shd w:val="clear" w:color="auto" w:fill="1D2758"/>
          </w:tcPr>
          <w:p>
            <w:pPr>
              <w:spacing w:after="0"/>
              <w:rPr>
                <w:sz w:val="13"/>
                <w:szCs w:val="13"/>
                <w:color w:val="auto"/>
              </w:rPr>
            </w:pPr>
          </w:p>
        </w:tc>
        <w:tc>
          <w:tcPr>
            <w:tcW w:w="3880" w:type="dxa"/>
            <w:vAlign w:val="bottom"/>
            <w:shd w:val="clear" w:color="auto" w:fill="1D2758"/>
          </w:tcPr>
          <w:p>
            <w:pPr>
              <w:spacing w:after="0"/>
              <w:rPr>
                <w:sz w:val="13"/>
                <w:szCs w:val="13"/>
                <w:color w:val="auto"/>
              </w:rPr>
            </w:pPr>
          </w:p>
        </w:tc>
        <w:tc>
          <w:tcPr>
            <w:tcW w:w="760" w:type="dxa"/>
            <w:vAlign w:val="bottom"/>
            <w:shd w:val="clear" w:color="auto" w:fill="1D2758"/>
          </w:tcPr>
          <w:p>
            <w:pPr>
              <w:spacing w:after="0"/>
              <w:rPr>
                <w:sz w:val="13"/>
                <w:szCs w:val="13"/>
                <w:color w:val="auto"/>
              </w:rPr>
            </w:pPr>
          </w:p>
        </w:tc>
        <w:tc>
          <w:tcPr>
            <w:tcW w:w="960" w:type="dxa"/>
            <w:vAlign w:val="bottom"/>
            <w:shd w:val="clear" w:color="auto" w:fill="1D2758"/>
          </w:tcPr>
          <w:p>
            <w:pPr>
              <w:spacing w:after="0"/>
              <w:rPr>
                <w:sz w:val="13"/>
                <w:szCs w:val="13"/>
                <w:color w:val="auto"/>
              </w:rPr>
            </w:pPr>
          </w:p>
        </w:tc>
        <w:tc>
          <w:tcPr>
            <w:tcW w:w="960" w:type="dxa"/>
            <w:vAlign w:val="bottom"/>
            <w:gridSpan w:val="2"/>
            <w:shd w:val="clear" w:color="auto" w:fill="1D2758"/>
          </w:tcPr>
          <w:p>
            <w:pPr>
              <w:jc w:val="center"/>
              <w:ind w:right="339"/>
              <w:spacing w:after="0"/>
              <w:rPr>
                <w:sz w:val="20"/>
                <w:szCs w:val="20"/>
                <w:color w:val="auto"/>
              </w:rPr>
            </w:pPr>
            <w:r>
              <w:rPr>
                <w:rFonts w:ascii="Arial" w:cs="Arial" w:eastAsia="Arial" w:hAnsi="Arial"/>
                <w:sz w:val="12"/>
                <w:szCs w:val="12"/>
                <w:b w:val="1"/>
                <w:bCs w:val="1"/>
                <w:color w:val="FFFFFF"/>
                <w:w w:val="98"/>
              </w:rPr>
              <w:t>June 30</w:t>
            </w:r>
          </w:p>
        </w:tc>
        <w:tc>
          <w:tcPr>
            <w:tcW w:w="82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600" w:type="dxa"/>
            <w:vAlign w:val="bottom"/>
            <w:shd w:val="clear" w:color="auto" w:fill="1D2758"/>
          </w:tcPr>
          <w:p>
            <w:pPr>
              <w:spacing w:after="0"/>
              <w:rPr>
                <w:sz w:val="13"/>
                <w:szCs w:val="13"/>
                <w:color w:val="auto"/>
              </w:rPr>
            </w:pPr>
          </w:p>
        </w:tc>
        <w:tc>
          <w:tcPr>
            <w:tcW w:w="102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860" w:type="dxa"/>
            <w:vAlign w:val="bottom"/>
            <w:shd w:val="clear" w:color="auto" w:fill="1D2758"/>
          </w:tcPr>
          <w:p>
            <w:pPr>
              <w:jc w:val="right"/>
              <w:ind w:right="319"/>
              <w:spacing w:after="0"/>
              <w:rPr>
                <w:sz w:val="20"/>
                <w:szCs w:val="20"/>
                <w:color w:val="auto"/>
              </w:rPr>
            </w:pPr>
            <w:r>
              <w:rPr>
                <w:rFonts w:ascii="Arial" w:cs="Arial" w:eastAsia="Arial" w:hAnsi="Arial"/>
                <w:sz w:val="12"/>
                <w:szCs w:val="12"/>
                <w:b w:val="1"/>
                <w:bCs w:val="1"/>
                <w:color w:val="FFFFFF"/>
              </w:rPr>
              <w:t>June 30</w:t>
            </w:r>
          </w:p>
        </w:tc>
        <w:tc>
          <w:tcPr>
            <w:tcW w:w="840" w:type="dxa"/>
            <w:vAlign w:val="bottom"/>
            <w:shd w:val="clear" w:color="auto" w:fill="1D2758"/>
          </w:tcPr>
          <w:p>
            <w:pPr>
              <w:spacing w:after="0"/>
              <w:rPr>
                <w:sz w:val="13"/>
                <w:szCs w:val="13"/>
                <w:color w:val="auto"/>
              </w:rPr>
            </w:pPr>
          </w:p>
        </w:tc>
      </w:tr>
      <w:tr>
        <w:trPr>
          <w:trHeight w:val="165"/>
        </w:trPr>
        <w:tc>
          <w:tcPr>
            <w:tcW w:w="420" w:type="dxa"/>
            <w:vAlign w:val="bottom"/>
            <w:shd w:val="clear" w:color="auto" w:fill="1D2758"/>
          </w:tcPr>
          <w:p>
            <w:pPr>
              <w:spacing w:after="0"/>
              <w:rPr>
                <w:sz w:val="14"/>
                <w:szCs w:val="14"/>
                <w:color w:val="auto"/>
              </w:rPr>
            </w:pPr>
          </w:p>
        </w:tc>
        <w:tc>
          <w:tcPr>
            <w:tcW w:w="3880" w:type="dxa"/>
            <w:vAlign w:val="bottom"/>
            <w:shd w:val="clear" w:color="auto" w:fill="1D2758"/>
          </w:tcPr>
          <w:p>
            <w:pPr>
              <w:ind w:left="80"/>
              <w:spacing w:after="0"/>
              <w:rPr>
                <w:sz w:val="20"/>
                <w:szCs w:val="20"/>
                <w:color w:val="auto"/>
              </w:rPr>
            </w:pPr>
            <w:r>
              <w:rPr>
                <w:rFonts w:ascii="Arial" w:cs="Arial" w:eastAsia="Arial" w:hAnsi="Arial"/>
                <w:sz w:val="12"/>
                <w:szCs w:val="12"/>
                <w:b w:val="1"/>
                <w:bCs w:val="1"/>
                <w:i w:val="1"/>
                <w:iCs w:val="1"/>
                <w:color w:val="FFFFFF"/>
              </w:rPr>
              <w:t>(in thousands)</w:t>
            </w:r>
          </w:p>
        </w:tc>
        <w:tc>
          <w:tcPr>
            <w:tcW w:w="760" w:type="dxa"/>
            <w:vAlign w:val="bottom"/>
            <w:shd w:val="clear" w:color="auto" w:fill="1D2758"/>
          </w:tcPr>
          <w:p>
            <w:pPr>
              <w:spacing w:after="0"/>
              <w:rPr>
                <w:sz w:val="14"/>
                <w:szCs w:val="14"/>
                <w:color w:val="auto"/>
              </w:rPr>
            </w:pPr>
          </w:p>
        </w:tc>
        <w:tc>
          <w:tcPr>
            <w:tcW w:w="960" w:type="dxa"/>
            <w:vAlign w:val="bottom"/>
            <w:shd w:val="clear" w:color="auto" w:fill="1D2758"/>
          </w:tcPr>
          <w:p>
            <w:pPr>
              <w:jc w:val="right"/>
              <w:ind w:right="419"/>
              <w:spacing w:after="0"/>
              <w:rPr>
                <w:sz w:val="20"/>
                <w:szCs w:val="20"/>
                <w:color w:val="auto"/>
              </w:rPr>
            </w:pPr>
            <w:r>
              <w:rPr>
                <w:rFonts w:ascii="Arial" w:cs="Arial" w:eastAsia="Arial" w:hAnsi="Arial"/>
                <w:sz w:val="12"/>
                <w:szCs w:val="12"/>
                <w:b w:val="1"/>
                <w:bCs w:val="1"/>
                <w:color w:val="FFFFFF"/>
              </w:rPr>
              <w:t>2021</w:t>
            </w:r>
          </w:p>
        </w:tc>
        <w:tc>
          <w:tcPr>
            <w:tcW w:w="80" w:type="dxa"/>
            <w:vAlign w:val="bottom"/>
            <w:shd w:val="clear" w:color="auto" w:fill="1D2758"/>
          </w:tcPr>
          <w:p>
            <w:pPr>
              <w:spacing w:after="0"/>
              <w:rPr>
                <w:sz w:val="14"/>
                <w:szCs w:val="14"/>
                <w:color w:val="auto"/>
              </w:rPr>
            </w:pPr>
          </w:p>
        </w:tc>
        <w:tc>
          <w:tcPr>
            <w:tcW w:w="880" w:type="dxa"/>
            <w:vAlign w:val="bottom"/>
            <w:shd w:val="clear" w:color="auto" w:fill="1D2758"/>
          </w:tcPr>
          <w:p>
            <w:pPr>
              <w:spacing w:after="0"/>
              <w:rPr>
                <w:sz w:val="14"/>
                <w:szCs w:val="14"/>
                <w:color w:val="auto"/>
              </w:rPr>
            </w:pPr>
          </w:p>
        </w:tc>
        <w:tc>
          <w:tcPr>
            <w:tcW w:w="820" w:type="dxa"/>
            <w:vAlign w:val="bottom"/>
            <w:shd w:val="clear" w:color="auto" w:fill="1D2758"/>
          </w:tcPr>
          <w:p>
            <w:pPr>
              <w:jc w:val="right"/>
              <w:ind w:right="419"/>
              <w:spacing w:after="0"/>
              <w:rPr>
                <w:sz w:val="20"/>
                <w:szCs w:val="20"/>
                <w:color w:val="auto"/>
              </w:rPr>
            </w:pPr>
            <w:r>
              <w:rPr>
                <w:rFonts w:ascii="Arial" w:cs="Arial" w:eastAsia="Arial" w:hAnsi="Arial"/>
                <w:sz w:val="12"/>
                <w:szCs w:val="12"/>
                <w:b w:val="1"/>
                <w:bCs w:val="1"/>
                <w:color w:val="FFFFFF"/>
              </w:rPr>
              <w:t>2020</w:t>
            </w:r>
          </w:p>
        </w:tc>
        <w:tc>
          <w:tcPr>
            <w:tcW w:w="80" w:type="dxa"/>
            <w:vAlign w:val="bottom"/>
            <w:shd w:val="clear" w:color="auto" w:fill="1D2758"/>
          </w:tcPr>
          <w:p>
            <w:pPr>
              <w:spacing w:after="0"/>
              <w:rPr>
                <w:sz w:val="14"/>
                <w:szCs w:val="14"/>
                <w:color w:val="auto"/>
              </w:rPr>
            </w:pPr>
          </w:p>
        </w:tc>
        <w:tc>
          <w:tcPr>
            <w:tcW w:w="600" w:type="dxa"/>
            <w:vAlign w:val="bottom"/>
            <w:shd w:val="clear" w:color="auto" w:fill="1D2758"/>
          </w:tcPr>
          <w:p>
            <w:pPr>
              <w:spacing w:after="0"/>
              <w:rPr>
                <w:sz w:val="14"/>
                <w:szCs w:val="14"/>
                <w:color w:val="auto"/>
              </w:rPr>
            </w:pPr>
          </w:p>
        </w:tc>
        <w:tc>
          <w:tcPr>
            <w:tcW w:w="1020" w:type="dxa"/>
            <w:vAlign w:val="bottom"/>
            <w:shd w:val="clear" w:color="auto" w:fill="1D2758"/>
          </w:tcPr>
          <w:p>
            <w:pPr>
              <w:jc w:val="right"/>
              <w:ind w:right="359"/>
              <w:spacing w:after="0"/>
              <w:rPr>
                <w:sz w:val="20"/>
                <w:szCs w:val="20"/>
                <w:color w:val="auto"/>
              </w:rPr>
            </w:pPr>
            <w:r>
              <w:rPr>
                <w:rFonts w:ascii="Arial" w:cs="Arial" w:eastAsia="Arial" w:hAnsi="Arial"/>
                <w:sz w:val="12"/>
                <w:szCs w:val="12"/>
                <w:b w:val="1"/>
                <w:bCs w:val="1"/>
                <w:color w:val="FFFFFF"/>
              </w:rPr>
              <w:t>2021</w:t>
            </w:r>
          </w:p>
        </w:tc>
        <w:tc>
          <w:tcPr>
            <w:tcW w:w="80" w:type="dxa"/>
            <w:vAlign w:val="bottom"/>
            <w:shd w:val="clear" w:color="auto" w:fill="1D2758"/>
          </w:tcPr>
          <w:p>
            <w:pPr>
              <w:spacing w:after="0"/>
              <w:rPr>
                <w:sz w:val="14"/>
                <w:szCs w:val="14"/>
                <w:color w:val="auto"/>
              </w:rPr>
            </w:pPr>
          </w:p>
        </w:tc>
        <w:tc>
          <w:tcPr>
            <w:tcW w:w="860" w:type="dxa"/>
            <w:vAlign w:val="bottom"/>
            <w:shd w:val="clear" w:color="auto" w:fill="1D2758"/>
          </w:tcPr>
          <w:p>
            <w:pPr>
              <w:spacing w:after="0"/>
              <w:rPr>
                <w:sz w:val="14"/>
                <w:szCs w:val="14"/>
                <w:color w:val="auto"/>
              </w:rPr>
            </w:pPr>
          </w:p>
        </w:tc>
        <w:tc>
          <w:tcPr>
            <w:tcW w:w="840" w:type="dxa"/>
            <w:vAlign w:val="bottom"/>
            <w:shd w:val="clear" w:color="auto" w:fill="1D2758"/>
          </w:tcPr>
          <w:p>
            <w:pPr>
              <w:jc w:val="right"/>
              <w:ind w:right="399"/>
              <w:spacing w:after="0"/>
              <w:rPr>
                <w:sz w:val="20"/>
                <w:szCs w:val="20"/>
                <w:color w:val="auto"/>
              </w:rPr>
            </w:pPr>
            <w:r>
              <w:rPr>
                <w:rFonts w:ascii="Arial" w:cs="Arial" w:eastAsia="Arial" w:hAnsi="Arial"/>
                <w:sz w:val="12"/>
                <w:szCs w:val="12"/>
                <w:b w:val="1"/>
                <w:bCs w:val="1"/>
                <w:color w:val="FFFFFF"/>
              </w:rPr>
              <w:t>2020</w:t>
            </w:r>
          </w:p>
        </w:tc>
      </w:tr>
      <w:tr>
        <w:trPr>
          <w:trHeight w:val="161"/>
        </w:trPr>
        <w:tc>
          <w:tcPr>
            <w:tcW w:w="420" w:type="dxa"/>
            <w:vAlign w:val="bottom"/>
            <w:shd w:val="clear" w:color="auto" w:fill="DBDBDB"/>
          </w:tcPr>
          <w:p>
            <w:pPr>
              <w:spacing w:after="0"/>
              <w:rPr>
                <w:sz w:val="14"/>
                <w:szCs w:val="14"/>
                <w:color w:val="auto"/>
              </w:rPr>
            </w:pPr>
          </w:p>
        </w:tc>
        <w:tc>
          <w:tcPr>
            <w:tcW w:w="3880" w:type="dxa"/>
            <w:vAlign w:val="bottom"/>
            <w:shd w:val="clear" w:color="auto" w:fill="DBDBDB"/>
          </w:tcPr>
          <w:p>
            <w:pPr>
              <w:ind w:left="80"/>
              <w:spacing w:after="0"/>
              <w:rPr>
                <w:sz w:val="20"/>
                <w:szCs w:val="20"/>
                <w:color w:val="auto"/>
              </w:rPr>
            </w:pPr>
            <w:r>
              <w:rPr>
                <w:rFonts w:ascii="Arial" w:cs="Arial" w:eastAsia="Arial" w:hAnsi="Arial"/>
                <w:sz w:val="12"/>
                <w:szCs w:val="12"/>
                <w:color w:val="auto"/>
              </w:rPr>
              <w:t>Numerator:</w:t>
            </w:r>
          </w:p>
        </w:tc>
        <w:tc>
          <w:tcPr>
            <w:tcW w:w="7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r>
      <w:tr>
        <w:trPr>
          <w:trHeight w:val="159"/>
        </w:trPr>
        <w:tc>
          <w:tcPr>
            <w:tcW w:w="420" w:type="dxa"/>
            <w:vAlign w:val="bottom"/>
          </w:tcPr>
          <w:p>
            <w:pPr>
              <w:spacing w:after="0"/>
              <w:rPr>
                <w:sz w:val="13"/>
                <w:szCs w:val="13"/>
                <w:color w:val="auto"/>
              </w:rPr>
            </w:pPr>
          </w:p>
        </w:tc>
        <w:tc>
          <w:tcPr>
            <w:tcW w:w="3880" w:type="dxa"/>
            <w:vAlign w:val="bottom"/>
          </w:tcPr>
          <w:p>
            <w:pPr>
              <w:ind w:left="80"/>
              <w:spacing w:after="0"/>
              <w:rPr>
                <w:sz w:val="20"/>
                <w:szCs w:val="20"/>
                <w:color w:val="auto"/>
              </w:rPr>
            </w:pPr>
            <w:r>
              <w:rPr>
                <w:rFonts w:ascii="Arial" w:cs="Arial" w:eastAsia="Arial" w:hAnsi="Arial"/>
                <w:sz w:val="12"/>
                <w:szCs w:val="12"/>
                <w:color w:val="auto"/>
              </w:rPr>
              <w:t>Net income attributable to common shareholders - basic</w:t>
            </w:r>
          </w:p>
        </w:tc>
        <w:tc>
          <w:tcPr>
            <w:tcW w:w="76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20,371</w:t>
            </w:r>
          </w:p>
        </w:tc>
        <w:tc>
          <w:tcPr>
            <w:tcW w:w="960" w:type="dxa"/>
            <w:vAlign w:val="bottom"/>
            <w:gridSpan w:val="2"/>
          </w:tcPr>
          <w:p>
            <w:pPr>
              <w:jc w:val="center"/>
              <w:ind w:left="199"/>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(15,473)</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24,818</w:t>
            </w:r>
          </w:p>
        </w:tc>
        <w:tc>
          <w:tcPr>
            <w:tcW w:w="80" w:type="dxa"/>
            <w:vAlign w:val="bottom"/>
          </w:tcPr>
          <w:p>
            <w:pPr>
              <w:spacing w:after="0"/>
              <w:rPr>
                <w:sz w:val="13"/>
                <w:szCs w:val="13"/>
                <w:color w:val="auto"/>
              </w:rPr>
            </w:pPr>
          </w:p>
        </w:tc>
        <w:tc>
          <w:tcPr>
            <w:tcW w:w="86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76,312</w:t>
            </w:r>
          </w:p>
        </w:tc>
      </w:tr>
      <w:tr>
        <w:trPr>
          <w:trHeight w:val="161"/>
        </w:trPr>
        <w:tc>
          <w:tcPr>
            <w:tcW w:w="420" w:type="dxa"/>
            <w:vAlign w:val="bottom"/>
            <w:shd w:val="clear" w:color="auto" w:fill="DBDBDB"/>
          </w:tcPr>
          <w:p>
            <w:pPr>
              <w:spacing w:after="0"/>
              <w:rPr>
                <w:sz w:val="14"/>
                <w:szCs w:val="14"/>
                <w:color w:val="auto"/>
              </w:rPr>
            </w:pPr>
          </w:p>
        </w:tc>
        <w:tc>
          <w:tcPr>
            <w:tcW w:w="3880" w:type="dxa"/>
            <w:vAlign w:val="bottom"/>
            <w:shd w:val="clear" w:color="auto" w:fill="DBDBDB"/>
          </w:tcPr>
          <w:p>
            <w:pPr>
              <w:ind w:left="320"/>
              <w:spacing w:after="0"/>
              <w:rPr>
                <w:sz w:val="20"/>
                <w:szCs w:val="20"/>
                <w:color w:val="auto"/>
              </w:rPr>
            </w:pPr>
            <w:r>
              <w:rPr>
                <w:rFonts w:ascii="Arial" w:cs="Arial" w:eastAsia="Arial" w:hAnsi="Arial"/>
                <w:sz w:val="12"/>
                <w:szCs w:val="12"/>
                <w:color w:val="auto"/>
              </w:rPr>
              <w:t>Fair value (gain) loss on common stock warrant liabilities</w:t>
            </w:r>
          </w:p>
        </w:tc>
        <w:tc>
          <w:tcPr>
            <w:tcW w:w="76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(610)</w:t>
            </w:r>
          </w:p>
        </w:tc>
        <w:tc>
          <w:tcPr>
            <w:tcW w:w="80" w:type="dxa"/>
            <w:vAlign w:val="bottom"/>
            <w:shd w:val="clear" w:color="auto" w:fill="DBDBDB"/>
          </w:tcPr>
          <w:p>
            <w:pPr>
              <w:spacing w:after="0"/>
              <w:rPr>
                <w:sz w:val="14"/>
                <w:szCs w:val="14"/>
                <w:color w:val="auto"/>
              </w:rPr>
            </w:pPr>
          </w:p>
        </w:tc>
        <w:tc>
          <w:tcPr>
            <w:tcW w:w="880" w:type="dxa"/>
            <w:vAlign w:val="bottom"/>
            <w:tcBorders>
              <w:bottom w:val="single" w:sz="8" w:color="auto"/>
            </w:tcBorders>
            <w:shd w:val="clear" w:color="auto" w:fill="DBDBDB"/>
          </w:tcPr>
          <w:p>
            <w:pPr>
              <w:spacing w:after="0"/>
              <w:rPr>
                <w:sz w:val="14"/>
                <w:szCs w:val="14"/>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600" w:type="dxa"/>
            <w:vAlign w:val="bottom"/>
            <w:tcBorders>
              <w:bottom w:val="single" w:sz="8" w:color="auto"/>
            </w:tcBorders>
            <w:shd w:val="clear" w:color="auto" w:fill="DBDBDB"/>
          </w:tcPr>
          <w:p>
            <w:pPr>
              <w:spacing w:after="0"/>
              <w:rPr>
                <w:sz w:val="14"/>
                <w:szCs w:val="14"/>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860" w:type="dxa"/>
            <w:vAlign w:val="bottom"/>
            <w:tcBorders>
              <w:bottom w:val="single" w:sz="8" w:color="auto"/>
            </w:tcBorders>
            <w:shd w:val="clear" w:color="auto" w:fill="DBDBDB"/>
          </w:tcPr>
          <w:p>
            <w:pPr>
              <w:spacing w:after="0"/>
              <w:rPr>
                <w:sz w:val="14"/>
                <w:szCs w:val="14"/>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(70,021)</w:t>
            </w:r>
          </w:p>
        </w:tc>
      </w:tr>
      <w:tr>
        <w:trPr>
          <w:trHeight w:val="154"/>
        </w:trPr>
        <w:tc>
          <w:tcPr>
            <w:tcW w:w="420" w:type="dxa"/>
            <w:vAlign w:val="bottom"/>
          </w:tcPr>
          <w:p>
            <w:pPr>
              <w:spacing w:after="0"/>
              <w:rPr>
                <w:sz w:val="13"/>
                <w:szCs w:val="13"/>
                <w:color w:val="auto"/>
              </w:rPr>
            </w:pPr>
          </w:p>
        </w:tc>
        <w:tc>
          <w:tcPr>
            <w:tcW w:w="3880" w:type="dxa"/>
            <w:vAlign w:val="bottom"/>
          </w:tcPr>
          <w:p>
            <w:pPr>
              <w:ind w:left="80"/>
              <w:spacing w:after="0"/>
              <w:rPr>
                <w:sz w:val="20"/>
                <w:szCs w:val="20"/>
                <w:color w:val="auto"/>
              </w:rPr>
            </w:pPr>
            <w:r>
              <w:rPr>
                <w:rFonts w:ascii="Arial" w:cs="Arial" w:eastAsia="Arial" w:hAnsi="Arial"/>
                <w:sz w:val="12"/>
                <w:szCs w:val="12"/>
                <w:color w:val="auto"/>
              </w:rPr>
              <w:t>Net income (loss) attributable to common shareholders - dilutive</w:t>
            </w:r>
          </w:p>
        </w:tc>
        <w:tc>
          <w:tcPr>
            <w:tcW w:w="76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19,761</w:t>
            </w:r>
          </w:p>
        </w:tc>
        <w:tc>
          <w:tcPr>
            <w:tcW w:w="960" w:type="dxa"/>
            <w:vAlign w:val="bottom"/>
            <w:gridSpan w:val="2"/>
          </w:tcPr>
          <w:p>
            <w:pPr>
              <w:jc w:val="center"/>
              <w:ind w:left="199"/>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(15,473)</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24,818</w:t>
            </w:r>
          </w:p>
        </w:tc>
        <w:tc>
          <w:tcPr>
            <w:tcW w:w="80" w:type="dxa"/>
            <w:vAlign w:val="bottom"/>
          </w:tcPr>
          <w:p>
            <w:pPr>
              <w:spacing w:after="0"/>
              <w:rPr>
                <w:sz w:val="13"/>
                <w:szCs w:val="13"/>
                <w:color w:val="auto"/>
              </w:rPr>
            </w:pPr>
          </w:p>
        </w:tc>
        <w:tc>
          <w:tcPr>
            <w:tcW w:w="86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6,291</w:t>
            </w:r>
          </w:p>
        </w:tc>
      </w:tr>
      <w:tr>
        <w:trPr>
          <w:trHeight w:val="20"/>
        </w:trPr>
        <w:tc>
          <w:tcPr>
            <w:tcW w:w="420" w:type="dxa"/>
            <w:vAlign w:val="bottom"/>
            <w:tcBorders>
              <w:bottom w:val="single" w:sz="8" w:color="DBDBDB"/>
            </w:tcBorders>
          </w:tcPr>
          <w:p>
            <w:pPr>
              <w:spacing w:after="0" w:line="20" w:lineRule="exact"/>
              <w:rPr>
                <w:sz w:val="1"/>
                <w:szCs w:val="1"/>
                <w:color w:val="auto"/>
              </w:rPr>
            </w:pPr>
          </w:p>
        </w:tc>
        <w:tc>
          <w:tcPr>
            <w:tcW w:w="3880" w:type="dxa"/>
            <w:vAlign w:val="bottom"/>
            <w:tcBorders>
              <w:bottom w:val="single" w:sz="8" w:color="DBDBDB"/>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62"/>
        </w:trPr>
        <w:tc>
          <w:tcPr>
            <w:tcW w:w="420" w:type="dxa"/>
            <w:vAlign w:val="bottom"/>
            <w:shd w:val="clear" w:color="auto" w:fill="DBDBDB"/>
          </w:tcPr>
          <w:p>
            <w:pPr>
              <w:spacing w:after="0"/>
              <w:rPr>
                <w:sz w:val="14"/>
                <w:szCs w:val="14"/>
                <w:color w:val="auto"/>
              </w:rPr>
            </w:pPr>
          </w:p>
        </w:tc>
        <w:tc>
          <w:tcPr>
            <w:tcW w:w="38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r>
      <w:tr>
        <w:trPr>
          <w:trHeight w:val="159"/>
        </w:trPr>
        <w:tc>
          <w:tcPr>
            <w:tcW w:w="420" w:type="dxa"/>
            <w:vAlign w:val="bottom"/>
          </w:tcPr>
          <w:p>
            <w:pPr>
              <w:spacing w:after="0"/>
              <w:rPr>
                <w:sz w:val="13"/>
                <w:szCs w:val="13"/>
                <w:color w:val="auto"/>
              </w:rPr>
            </w:pPr>
          </w:p>
        </w:tc>
        <w:tc>
          <w:tcPr>
            <w:tcW w:w="3880" w:type="dxa"/>
            <w:vAlign w:val="bottom"/>
          </w:tcPr>
          <w:p>
            <w:pPr>
              <w:ind w:left="80"/>
              <w:spacing w:after="0"/>
              <w:rPr>
                <w:sz w:val="20"/>
                <w:szCs w:val="20"/>
                <w:color w:val="auto"/>
              </w:rPr>
            </w:pPr>
            <w:r>
              <w:rPr>
                <w:rFonts w:ascii="Arial" w:cs="Arial" w:eastAsia="Arial" w:hAnsi="Arial"/>
                <w:sz w:val="12"/>
                <w:szCs w:val="12"/>
                <w:color w:val="auto"/>
              </w:rPr>
              <w:t>Denominator:</w:t>
            </w: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4"/>
        </w:trPr>
        <w:tc>
          <w:tcPr>
            <w:tcW w:w="420" w:type="dxa"/>
            <w:vAlign w:val="bottom"/>
            <w:shd w:val="clear" w:color="auto" w:fill="DBDBDB"/>
          </w:tcPr>
          <w:p>
            <w:pPr>
              <w:spacing w:after="0"/>
              <w:rPr>
                <w:sz w:val="14"/>
                <w:szCs w:val="14"/>
                <w:color w:val="auto"/>
              </w:rPr>
            </w:pPr>
          </w:p>
        </w:tc>
        <w:tc>
          <w:tcPr>
            <w:tcW w:w="3880" w:type="dxa"/>
            <w:vAlign w:val="bottom"/>
            <w:shd w:val="clear" w:color="auto" w:fill="DBDBDB"/>
          </w:tcPr>
          <w:p>
            <w:pPr>
              <w:ind w:left="80"/>
              <w:spacing w:after="0"/>
              <w:rPr>
                <w:sz w:val="20"/>
                <w:szCs w:val="20"/>
                <w:color w:val="auto"/>
              </w:rPr>
            </w:pPr>
            <w:r>
              <w:rPr>
                <w:rFonts w:ascii="Arial" w:cs="Arial" w:eastAsia="Arial" w:hAnsi="Arial"/>
                <w:sz w:val="12"/>
                <w:szCs w:val="12"/>
                <w:color w:val="auto"/>
              </w:rPr>
              <w:t>Weighted average Common Shares outstanding - basic</w:t>
            </w:r>
          </w:p>
        </w:tc>
        <w:tc>
          <w:tcPr>
            <w:tcW w:w="760" w:type="dxa"/>
            <w:vAlign w:val="bottom"/>
            <w:shd w:val="clear" w:color="auto" w:fill="DBDBDB"/>
          </w:tcPr>
          <w:p>
            <w:pPr>
              <w:spacing w:after="0"/>
              <w:rPr>
                <w:sz w:val="14"/>
                <w:szCs w:val="1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228,407</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110,692</w:t>
            </w:r>
          </w:p>
        </w:tc>
        <w:tc>
          <w:tcPr>
            <w:tcW w:w="8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228,350</w:t>
            </w: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110,175</w:t>
            </w:r>
          </w:p>
        </w:tc>
      </w:tr>
      <w:tr>
        <w:trPr>
          <w:trHeight w:val="159"/>
        </w:trPr>
        <w:tc>
          <w:tcPr>
            <w:tcW w:w="420" w:type="dxa"/>
            <w:vAlign w:val="bottom"/>
          </w:tcPr>
          <w:p>
            <w:pPr>
              <w:spacing w:after="0"/>
              <w:rPr>
                <w:sz w:val="13"/>
                <w:szCs w:val="13"/>
                <w:color w:val="auto"/>
              </w:rPr>
            </w:pPr>
          </w:p>
        </w:tc>
        <w:tc>
          <w:tcPr>
            <w:tcW w:w="3880" w:type="dxa"/>
            <w:vAlign w:val="bottom"/>
          </w:tcPr>
          <w:p>
            <w:pPr>
              <w:ind w:left="240"/>
              <w:spacing w:after="0"/>
              <w:rPr>
                <w:sz w:val="20"/>
                <w:szCs w:val="20"/>
                <w:color w:val="auto"/>
              </w:rPr>
            </w:pPr>
            <w:r>
              <w:rPr>
                <w:rFonts w:ascii="Arial" w:cs="Arial" w:eastAsia="Arial" w:hAnsi="Arial"/>
                <w:sz w:val="12"/>
                <w:szCs w:val="12"/>
                <w:color w:val="auto"/>
              </w:rPr>
              <w:t>Dilutive effect of shares outstanding</w:t>
            </w: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4"/>
        </w:trPr>
        <w:tc>
          <w:tcPr>
            <w:tcW w:w="420" w:type="dxa"/>
            <w:vAlign w:val="bottom"/>
            <w:shd w:val="clear" w:color="auto" w:fill="DBDBDB"/>
          </w:tcPr>
          <w:p>
            <w:pPr>
              <w:spacing w:after="0"/>
              <w:rPr>
                <w:sz w:val="14"/>
                <w:szCs w:val="14"/>
                <w:color w:val="auto"/>
              </w:rPr>
            </w:pPr>
          </w:p>
        </w:tc>
        <w:tc>
          <w:tcPr>
            <w:tcW w:w="3880" w:type="dxa"/>
            <w:vAlign w:val="bottom"/>
            <w:shd w:val="clear" w:color="auto" w:fill="DBDBDB"/>
          </w:tcPr>
          <w:p>
            <w:pPr>
              <w:ind w:left="320"/>
              <w:spacing w:after="0"/>
              <w:rPr>
                <w:sz w:val="20"/>
                <w:szCs w:val="20"/>
                <w:color w:val="auto"/>
              </w:rPr>
            </w:pPr>
            <w:r>
              <w:rPr>
                <w:rFonts w:ascii="Arial" w:cs="Arial" w:eastAsia="Arial" w:hAnsi="Arial"/>
                <w:sz w:val="12"/>
                <w:szCs w:val="12"/>
                <w:color w:val="auto"/>
              </w:rPr>
              <w:t>Warrants</w:t>
            </w:r>
          </w:p>
        </w:tc>
        <w:tc>
          <w:tcPr>
            <w:tcW w:w="760" w:type="dxa"/>
            <w:vAlign w:val="bottom"/>
            <w:shd w:val="clear" w:color="auto" w:fill="DBDBDB"/>
          </w:tcPr>
          <w:p>
            <w:pPr>
              <w:spacing w:after="0"/>
              <w:rPr>
                <w:sz w:val="14"/>
                <w:szCs w:val="1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5,705</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90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shd w:val="clear" w:color="auto" w:fill="DBDBDB"/>
          </w:tcPr>
          <w:p>
            <w:pPr>
              <w:spacing w:after="0"/>
              <w:rPr>
                <w:sz w:val="14"/>
                <w:szCs w:val="1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4,000</w:t>
            </w: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1,805</w:t>
            </w:r>
          </w:p>
        </w:tc>
      </w:tr>
      <w:tr>
        <w:trPr>
          <w:trHeight w:val="159"/>
        </w:trPr>
        <w:tc>
          <w:tcPr>
            <w:tcW w:w="420" w:type="dxa"/>
            <w:vAlign w:val="bottom"/>
          </w:tcPr>
          <w:p>
            <w:pPr>
              <w:spacing w:after="0"/>
              <w:rPr>
                <w:sz w:val="13"/>
                <w:szCs w:val="13"/>
                <w:color w:val="auto"/>
              </w:rPr>
            </w:pPr>
          </w:p>
        </w:tc>
        <w:tc>
          <w:tcPr>
            <w:tcW w:w="3880" w:type="dxa"/>
            <w:vAlign w:val="bottom"/>
          </w:tcPr>
          <w:p>
            <w:pPr>
              <w:ind w:left="320"/>
              <w:spacing w:after="0"/>
              <w:rPr>
                <w:sz w:val="20"/>
                <w:szCs w:val="20"/>
                <w:color w:val="auto"/>
              </w:rPr>
            </w:pPr>
            <w:r>
              <w:rPr>
                <w:rFonts w:ascii="Arial" w:cs="Arial" w:eastAsia="Arial" w:hAnsi="Arial"/>
                <w:sz w:val="12"/>
                <w:szCs w:val="12"/>
                <w:color w:val="auto"/>
              </w:rPr>
              <w:t>RSAs</w:t>
            </w:r>
          </w:p>
        </w:tc>
        <w:tc>
          <w:tcPr>
            <w:tcW w:w="7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64"/>
        </w:trPr>
        <w:tc>
          <w:tcPr>
            <w:tcW w:w="420" w:type="dxa"/>
            <w:vAlign w:val="bottom"/>
            <w:shd w:val="clear" w:color="auto" w:fill="DBDBDB"/>
          </w:tcPr>
          <w:p>
            <w:pPr>
              <w:spacing w:after="0"/>
              <w:rPr>
                <w:sz w:val="14"/>
                <w:szCs w:val="14"/>
                <w:color w:val="auto"/>
              </w:rPr>
            </w:pPr>
          </w:p>
        </w:tc>
        <w:tc>
          <w:tcPr>
            <w:tcW w:w="3880" w:type="dxa"/>
            <w:vAlign w:val="bottom"/>
            <w:shd w:val="clear" w:color="auto" w:fill="DBDBDB"/>
          </w:tcPr>
          <w:p>
            <w:pPr>
              <w:ind w:left="320"/>
              <w:spacing w:after="0"/>
              <w:rPr>
                <w:sz w:val="20"/>
                <w:szCs w:val="20"/>
                <w:color w:val="auto"/>
              </w:rPr>
            </w:pPr>
            <w:r>
              <w:rPr>
                <w:rFonts w:ascii="Arial" w:cs="Arial" w:eastAsia="Arial" w:hAnsi="Arial"/>
                <w:sz w:val="12"/>
                <w:szCs w:val="12"/>
                <w:color w:val="auto"/>
              </w:rPr>
              <w:t>Time-based RSUs</w:t>
            </w:r>
          </w:p>
        </w:tc>
        <w:tc>
          <w:tcPr>
            <w:tcW w:w="760" w:type="dxa"/>
            <w:vAlign w:val="bottom"/>
            <w:shd w:val="clear" w:color="auto" w:fill="DBDBDB"/>
          </w:tcPr>
          <w:p>
            <w:pPr>
              <w:spacing w:after="0"/>
              <w:rPr>
                <w:sz w:val="14"/>
                <w:szCs w:val="1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599</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90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shd w:val="clear" w:color="auto" w:fill="DBDBDB"/>
          </w:tcPr>
          <w:p>
            <w:pPr>
              <w:spacing w:after="0"/>
              <w:rPr>
                <w:sz w:val="14"/>
                <w:szCs w:val="1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622</w:t>
            </w: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107</w:t>
            </w:r>
          </w:p>
        </w:tc>
      </w:tr>
      <w:tr>
        <w:trPr>
          <w:trHeight w:val="159"/>
        </w:trPr>
        <w:tc>
          <w:tcPr>
            <w:tcW w:w="420" w:type="dxa"/>
            <w:vAlign w:val="bottom"/>
          </w:tcPr>
          <w:p>
            <w:pPr>
              <w:spacing w:after="0"/>
              <w:rPr>
                <w:sz w:val="13"/>
                <w:szCs w:val="13"/>
                <w:color w:val="auto"/>
              </w:rPr>
            </w:pPr>
          </w:p>
        </w:tc>
        <w:tc>
          <w:tcPr>
            <w:tcW w:w="3880" w:type="dxa"/>
            <w:vAlign w:val="bottom"/>
          </w:tcPr>
          <w:p>
            <w:pPr>
              <w:ind w:left="320"/>
              <w:spacing w:after="0"/>
              <w:rPr>
                <w:sz w:val="20"/>
                <w:szCs w:val="20"/>
                <w:color w:val="auto"/>
              </w:rPr>
            </w:pPr>
            <w:r>
              <w:rPr>
                <w:rFonts w:ascii="Arial" w:cs="Arial" w:eastAsia="Arial" w:hAnsi="Arial"/>
                <w:sz w:val="12"/>
                <w:szCs w:val="12"/>
                <w:color w:val="auto"/>
              </w:rPr>
              <w:t>Performance-based RSUs</w:t>
            </w:r>
          </w:p>
        </w:tc>
        <w:tc>
          <w:tcPr>
            <w:tcW w:w="7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725</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817</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215</w:t>
            </w:r>
          </w:p>
        </w:tc>
      </w:tr>
      <w:tr>
        <w:trPr>
          <w:trHeight w:val="161"/>
        </w:trPr>
        <w:tc>
          <w:tcPr>
            <w:tcW w:w="420" w:type="dxa"/>
            <w:vAlign w:val="bottom"/>
            <w:shd w:val="clear" w:color="auto" w:fill="DBDBDB"/>
          </w:tcPr>
          <w:p>
            <w:pPr>
              <w:spacing w:after="0"/>
              <w:rPr>
                <w:sz w:val="14"/>
                <w:szCs w:val="14"/>
                <w:color w:val="auto"/>
              </w:rPr>
            </w:pPr>
          </w:p>
        </w:tc>
        <w:tc>
          <w:tcPr>
            <w:tcW w:w="3880" w:type="dxa"/>
            <w:vAlign w:val="bottom"/>
            <w:shd w:val="clear" w:color="auto" w:fill="DBDBDB"/>
          </w:tcPr>
          <w:p>
            <w:pPr>
              <w:ind w:left="320"/>
              <w:spacing w:after="0"/>
              <w:rPr>
                <w:sz w:val="20"/>
                <w:szCs w:val="20"/>
                <w:color w:val="auto"/>
              </w:rPr>
            </w:pPr>
            <w:r>
              <w:rPr>
                <w:rFonts w:ascii="Arial" w:cs="Arial" w:eastAsia="Arial" w:hAnsi="Arial"/>
                <w:sz w:val="12"/>
                <w:szCs w:val="12"/>
                <w:color w:val="auto"/>
              </w:rPr>
              <w:t>Stock Options</w:t>
            </w:r>
          </w:p>
        </w:tc>
        <w:tc>
          <w:tcPr>
            <w:tcW w:w="760" w:type="dxa"/>
            <w:vAlign w:val="bottom"/>
            <w:shd w:val="clear" w:color="auto" w:fill="DBDBDB"/>
          </w:tcPr>
          <w:p>
            <w:pPr>
              <w:spacing w:after="0"/>
              <w:rPr>
                <w:sz w:val="14"/>
                <w:szCs w:val="1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1,081</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90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shd w:val="clear" w:color="auto" w:fill="DBDBDB"/>
          </w:tcPr>
          <w:p>
            <w:pPr>
              <w:spacing w:after="0"/>
              <w:rPr>
                <w:sz w:val="14"/>
                <w:szCs w:val="1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1,074</w:t>
            </w: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420" w:type="dxa"/>
            <w:vAlign w:val="bottom"/>
          </w:tcPr>
          <w:p>
            <w:pPr>
              <w:spacing w:after="0"/>
              <w:rPr>
                <w:sz w:val="13"/>
                <w:szCs w:val="13"/>
                <w:color w:val="auto"/>
              </w:rPr>
            </w:pPr>
          </w:p>
        </w:tc>
        <w:tc>
          <w:tcPr>
            <w:tcW w:w="3880" w:type="dxa"/>
            <w:vAlign w:val="bottom"/>
          </w:tcPr>
          <w:p>
            <w:pPr>
              <w:ind w:left="80"/>
              <w:spacing w:after="0"/>
              <w:rPr>
                <w:sz w:val="20"/>
                <w:szCs w:val="20"/>
                <w:color w:val="auto"/>
              </w:rPr>
            </w:pPr>
            <w:r>
              <w:rPr>
                <w:rFonts w:ascii="Arial" w:cs="Arial" w:eastAsia="Arial" w:hAnsi="Arial"/>
                <w:sz w:val="12"/>
                <w:szCs w:val="12"/>
                <w:color w:val="auto"/>
              </w:rPr>
              <w:t>Weighted average Common Shares outstanding - dilutive</w:t>
            </w:r>
          </w:p>
        </w:tc>
        <w:tc>
          <w:tcPr>
            <w:tcW w:w="7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236,537</w:t>
            </w:r>
          </w:p>
        </w:tc>
        <w:tc>
          <w:tcPr>
            <w:tcW w:w="80" w:type="dxa"/>
            <w:vAlign w:val="bottom"/>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110,692</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234,899</w:t>
            </w:r>
          </w:p>
        </w:tc>
        <w:tc>
          <w:tcPr>
            <w:tcW w:w="80" w:type="dxa"/>
            <w:vAlign w:val="bottom"/>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112,336</w:t>
            </w:r>
          </w:p>
        </w:tc>
      </w:tr>
      <w:tr>
        <w:trPr>
          <w:trHeight w:val="20"/>
        </w:trPr>
        <w:tc>
          <w:tcPr>
            <w:tcW w:w="4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potential common shares were excluded from the computation of dilutive EPS because their effect would have been anti-dilutive: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shd w:val="clear" w:color="auto" w:fill="1D2758"/>
          </w:tcPr>
          <w:p>
            <w:pPr>
              <w:spacing w:after="0"/>
              <w:rPr>
                <w:sz w:val="14"/>
                <w:szCs w:val="14"/>
                <w:color w:val="auto"/>
              </w:rPr>
            </w:pPr>
          </w:p>
        </w:tc>
        <w:tc>
          <w:tcPr>
            <w:tcW w:w="2280" w:type="dxa"/>
            <w:vAlign w:val="bottom"/>
            <w:gridSpan w:val="2"/>
            <w:shd w:val="clear" w:color="auto" w:fill="1D2758"/>
          </w:tcPr>
          <w:p>
            <w:pPr>
              <w:ind w:left="780"/>
              <w:spacing w:after="0"/>
              <w:rPr>
                <w:sz w:val="20"/>
                <w:szCs w:val="20"/>
                <w:color w:val="auto"/>
              </w:rPr>
            </w:pPr>
            <w:r>
              <w:rPr>
                <w:rFonts w:ascii="Arial" w:cs="Arial" w:eastAsia="Arial" w:hAnsi="Arial"/>
                <w:sz w:val="12"/>
                <w:szCs w:val="12"/>
                <w:b w:val="1"/>
                <w:bCs w:val="1"/>
                <w:color w:val="FFFFFF"/>
              </w:rPr>
              <w:t>Three Months Ended</w:t>
            </w:r>
          </w:p>
        </w:tc>
        <w:tc>
          <w:tcPr>
            <w:tcW w:w="1320" w:type="dxa"/>
            <w:vAlign w:val="bottom"/>
            <w:shd w:val="clear" w:color="auto" w:fill="1D2758"/>
          </w:tcPr>
          <w:p>
            <w:pPr>
              <w:spacing w:after="0"/>
              <w:rPr>
                <w:sz w:val="14"/>
                <w:szCs w:val="14"/>
                <w:color w:val="auto"/>
              </w:rPr>
            </w:pPr>
          </w:p>
        </w:tc>
        <w:tc>
          <w:tcPr>
            <w:tcW w:w="1480" w:type="dxa"/>
            <w:vAlign w:val="bottom"/>
            <w:shd w:val="clear" w:color="auto" w:fill="1D2758"/>
          </w:tcPr>
          <w:p>
            <w:pPr>
              <w:ind w:left="20"/>
              <w:spacing w:after="0"/>
              <w:rPr>
                <w:sz w:val="20"/>
                <w:szCs w:val="20"/>
                <w:color w:val="auto"/>
              </w:rPr>
            </w:pPr>
            <w:r>
              <w:rPr>
                <w:rFonts w:ascii="Arial" w:cs="Arial" w:eastAsia="Arial" w:hAnsi="Arial"/>
                <w:sz w:val="12"/>
                <w:szCs w:val="12"/>
                <w:b w:val="1"/>
                <w:bCs w:val="1"/>
                <w:color w:val="FFFFFF"/>
              </w:rPr>
              <w:t>Six Months Ended</w:t>
            </w:r>
          </w:p>
        </w:tc>
        <w:tc>
          <w:tcPr>
            <w:tcW w:w="380" w:type="dxa"/>
            <w:vAlign w:val="bottom"/>
            <w:shd w:val="clear" w:color="auto" w:fill="1D2758"/>
          </w:tcPr>
          <w:p>
            <w:pPr>
              <w:spacing w:after="0"/>
              <w:rPr>
                <w:sz w:val="14"/>
                <w:szCs w:val="14"/>
                <w:color w:val="auto"/>
              </w:rPr>
            </w:pPr>
          </w:p>
        </w:tc>
      </w:tr>
      <w:tr>
        <w:trPr>
          <w:trHeight w:val="159"/>
        </w:trPr>
        <w:tc>
          <w:tcPr>
            <w:tcW w:w="5820" w:type="dxa"/>
            <w:vAlign w:val="bottom"/>
            <w:shd w:val="clear" w:color="auto" w:fill="1D2758"/>
          </w:tcPr>
          <w:p>
            <w:pPr>
              <w:spacing w:after="0"/>
              <w:rPr>
                <w:sz w:val="13"/>
                <w:szCs w:val="13"/>
                <w:color w:val="auto"/>
              </w:rPr>
            </w:pPr>
          </w:p>
        </w:tc>
        <w:tc>
          <w:tcPr>
            <w:tcW w:w="980" w:type="dxa"/>
            <w:vAlign w:val="bottom"/>
            <w:shd w:val="clear" w:color="auto" w:fill="1D2758"/>
          </w:tcPr>
          <w:p>
            <w:pPr>
              <w:spacing w:after="0"/>
              <w:rPr>
                <w:sz w:val="13"/>
                <w:szCs w:val="13"/>
                <w:color w:val="auto"/>
              </w:rPr>
            </w:pPr>
          </w:p>
        </w:tc>
        <w:tc>
          <w:tcPr>
            <w:tcW w:w="1300" w:type="dxa"/>
            <w:vAlign w:val="bottom"/>
            <w:shd w:val="clear" w:color="auto" w:fill="1D2758"/>
          </w:tcPr>
          <w:p>
            <w:pPr>
              <w:ind w:left="160"/>
              <w:spacing w:after="0"/>
              <w:rPr>
                <w:sz w:val="20"/>
                <w:szCs w:val="20"/>
                <w:color w:val="auto"/>
              </w:rPr>
            </w:pPr>
            <w:r>
              <w:rPr>
                <w:rFonts w:ascii="Arial" w:cs="Arial" w:eastAsia="Arial" w:hAnsi="Arial"/>
                <w:sz w:val="12"/>
                <w:szCs w:val="12"/>
                <w:b w:val="1"/>
                <w:bCs w:val="1"/>
                <w:color w:val="FFFFFF"/>
              </w:rPr>
              <w:t>June 30</w:t>
            </w:r>
          </w:p>
        </w:tc>
        <w:tc>
          <w:tcPr>
            <w:tcW w:w="1320" w:type="dxa"/>
            <w:vAlign w:val="bottom"/>
            <w:shd w:val="clear" w:color="auto" w:fill="1D2758"/>
          </w:tcPr>
          <w:p>
            <w:pPr>
              <w:spacing w:after="0"/>
              <w:rPr>
                <w:sz w:val="13"/>
                <w:szCs w:val="13"/>
                <w:color w:val="auto"/>
              </w:rPr>
            </w:pPr>
          </w:p>
        </w:tc>
        <w:tc>
          <w:tcPr>
            <w:tcW w:w="1480" w:type="dxa"/>
            <w:vAlign w:val="bottom"/>
            <w:shd w:val="clear" w:color="auto" w:fill="1D2758"/>
          </w:tcPr>
          <w:p>
            <w:pPr>
              <w:ind w:left="320"/>
              <w:spacing w:after="0"/>
              <w:rPr>
                <w:sz w:val="20"/>
                <w:szCs w:val="20"/>
                <w:color w:val="auto"/>
              </w:rPr>
            </w:pPr>
            <w:r>
              <w:rPr>
                <w:rFonts w:ascii="Arial" w:cs="Arial" w:eastAsia="Arial" w:hAnsi="Arial"/>
                <w:sz w:val="12"/>
                <w:szCs w:val="12"/>
                <w:b w:val="1"/>
                <w:bCs w:val="1"/>
                <w:color w:val="FFFFFF"/>
              </w:rPr>
              <w:t>June 30</w:t>
            </w:r>
          </w:p>
        </w:tc>
        <w:tc>
          <w:tcPr>
            <w:tcW w:w="380" w:type="dxa"/>
            <w:vAlign w:val="bottom"/>
            <w:shd w:val="clear" w:color="auto" w:fill="1D2758"/>
          </w:tcPr>
          <w:p>
            <w:pPr>
              <w:spacing w:after="0"/>
              <w:rPr>
                <w:sz w:val="13"/>
                <w:szCs w:val="13"/>
                <w:color w:val="auto"/>
              </w:rPr>
            </w:pPr>
          </w:p>
        </w:tc>
      </w:tr>
      <w:tr>
        <w:trPr>
          <w:trHeight w:val="164"/>
        </w:trPr>
        <w:tc>
          <w:tcPr>
            <w:tcW w:w="582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980" w:type="dxa"/>
            <w:vAlign w:val="bottom"/>
            <w:shd w:val="clear" w:color="auto" w:fill="1D2758"/>
          </w:tcPr>
          <w:p>
            <w:pPr>
              <w:jc w:val="right"/>
              <w:ind w:right="119"/>
              <w:spacing w:after="0"/>
              <w:rPr>
                <w:sz w:val="20"/>
                <w:szCs w:val="20"/>
                <w:color w:val="auto"/>
              </w:rPr>
            </w:pPr>
            <w:r>
              <w:rPr>
                <w:rFonts w:ascii="Arial" w:cs="Arial" w:eastAsia="Arial" w:hAnsi="Arial"/>
                <w:sz w:val="12"/>
                <w:szCs w:val="12"/>
                <w:b w:val="1"/>
                <w:bCs w:val="1"/>
                <w:color w:val="FFFFFF"/>
              </w:rPr>
              <w:t>2021</w:t>
            </w:r>
          </w:p>
        </w:tc>
        <w:tc>
          <w:tcPr>
            <w:tcW w:w="1300" w:type="dxa"/>
            <w:vAlign w:val="bottom"/>
            <w:shd w:val="clear" w:color="auto" w:fill="1D2758"/>
          </w:tcPr>
          <w:p>
            <w:pPr>
              <w:ind w:left="960"/>
              <w:spacing w:after="0"/>
              <w:rPr>
                <w:sz w:val="20"/>
                <w:szCs w:val="20"/>
                <w:color w:val="auto"/>
              </w:rPr>
            </w:pPr>
            <w:r>
              <w:rPr>
                <w:rFonts w:ascii="Arial" w:cs="Arial" w:eastAsia="Arial" w:hAnsi="Arial"/>
                <w:sz w:val="12"/>
                <w:szCs w:val="12"/>
                <w:b w:val="1"/>
                <w:bCs w:val="1"/>
                <w:color w:val="FFFFFF"/>
              </w:rPr>
              <w:t>2020</w:t>
            </w:r>
          </w:p>
        </w:tc>
        <w:tc>
          <w:tcPr>
            <w:tcW w:w="132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2021</w:t>
            </w:r>
          </w:p>
        </w:tc>
        <w:tc>
          <w:tcPr>
            <w:tcW w:w="1480" w:type="dxa"/>
            <w:vAlign w:val="bottom"/>
            <w:shd w:val="clear" w:color="auto" w:fill="1D2758"/>
          </w:tcPr>
          <w:p>
            <w:pPr>
              <w:ind w:left="1060"/>
              <w:spacing w:after="0"/>
              <w:rPr>
                <w:sz w:val="20"/>
                <w:szCs w:val="20"/>
                <w:color w:val="auto"/>
              </w:rPr>
            </w:pPr>
            <w:r>
              <w:rPr>
                <w:rFonts w:ascii="Arial" w:cs="Arial" w:eastAsia="Arial" w:hAnsi="Arial"/>
                <w:sz w:val="12"/>
                <w:szCs w:val="12"/>
                <w:b w:val="1"/>
                <w:bCs w:val="1"/>
                <w:color w:val="FFFFFF"/>
              </w:rPr>
              <w:t>2020</w:t>
            </w:r>
          </w:p>
        </w:tc>
        <w:tc>
          <w:tcPr>
            <w:tcW w:w="380" w:type="dxa"/>
            <w:vAlign w:val="bottom"/>
            <w:shd w:val="clear" w:color="auto" w:fill="1D2758"/>
          </w:tcPr>
          <w:p>
            <w:pPr>
              <w:spacing w:after="0"/>
              <w:rPr>
                <w:sz w:val="14"/>
                <w:szCs w:val="14"/>
                <w:color w:val="auto"/>
              </w:rPr>
            </w:pPr>
          </w:p>
        </w:tc>
      </w:tr>
      <w:tr>
        <w:trPr>
          <w:trHeight w:val="161"/>
        </w:trPr>
        <w:tc>
          <w:tcPr>
            <w:tcW w:w="5820" w:type="dxa"/>
            <w:vAlign w:val="bottom"/>
            <w:shd w:val="clear" w:color="auto" w:fill="DBDBDB"/>
          </w:tcPr>
          <w:p>
            <w:pPr>
              <w:ind w:left="20"/>
              <w:spacing w:after="0"/>
              <w:rPr>
                <w:sz w:val="20"/>
                <w:szCs w:val="20"/>
                <w:color w:val="auto"/>
              </w:rPr>
            </w:pPr>
            <w:r>
              <w:rPr>
                <w:rFonts w:ascii="Arial" w:cs="Arial" w:eastAsia="Arial" w:hAnsi="Arial"/>
                <w:sz w:val="12"/>
                <w:szCs w:val="12"/>
                <w:color w:val="auto"/>
              </w:rPr>
              <w:t>Warrants</w:t>
            </w:r>
          </w:p>
        </w:tc>
        <w:tc>
          <w:tcPr>
            <w:tcW w:w="980" w:type="dxa"/>
            <w:vAlign w:val="bottom"/>
            <w:shd w:val="clear" w:color="auto" w:fill="DBDBDB"/>
          </w:tcPr>
          <w:p>
            <w:pPr>
              <w:spacing w:after="0"/>
              <w:rPr>
                <w:sz w:val="14"/>
                <w:szCs w:val="14"/>
                <w:color w:val="auto"/>
              </w:rPr>
            </w:pPr>
          </w:p>
        </w:tc>
        <w:tc>
          <w:tcPr>
            <w:tcW w:w="1300" w:type="dxa"/>
            <w:vAlign w:val="bottom"/>
            <w:shd w:val="clear" w:color="auto" w:fill="DBDBDB"/>
          </w:tcPr>
          <w:p>
            <w:pPr>
              <w:ind w:left="180"/>
              <w:spacing w:after="0"/>
              <w:rPr>
                <w:sz w:val="20"/>
                <w:szCs w:val="20"/>
                <w:color w:val="auto"/>
              </w:rPr>
            </w:pPr>
            <w:r>
              <w:rPr>
                <w:rFonts w:ascii="Arial" w:cs="Arial" w:eastAsia="Arial" w:hAnsi="Arial"/>
                <w:sz w:val="12"/>
                <w:szCs w:val="12"/>
                <w:color w:val="auto"/>
              </w:rPr>
              <w:t>—</w:t>
            </w:r>
          </w:p>
        </w:tc>
        <w:tc>
          <w:tcPr>
            <w:tcW w:w="1320" w:type="dxa"/>
            <w:vAlign w:val="bottom"/>
            <w:shd w:val="clear" w:color="auto" w:fill="DBDBDB"/>
          </w:tcPr>
          <w:p>
            <w:pPr>
              <w:jc w:val="right"/>
              <w:ind w:right="839"/>
              <w:spacing w:after="0"/>
              <w:rPr>
                <w:sz w:val="20"/>
                <w:szCs w:val="20"/>
                <w:color w:val="auto"/>
              </w:rPr>
            </w:pPr>
            <w:r>
              <w:rPr>
                <w:rFonts w:ascii="Arial" w:cs="Arial" w:eastAsia="Arial" w:hAnsi="Arial"/>
                <w:sz w:val="12"/>
                <w:szCs w:val="12"/>
                <w:color w:val="auto"/>
              </w:rPr>
              <w:t>18,563</w:t>
            </w:r>
          </w:p>
        </w:tc>
        <w:tc>
          <w:tcPr>
            <w:tcW w:w="1480" w:type="dxa"/>
            <w:vAlign w:val="bottom"/>
            <w:shd w:val="clear" w:color="auto" w:fill="DBDBDB"/>
          </w:tcPr>
          <w:p>
            <w:pPr>
              <w:ind w:left="280"/>
              <w:spacing w:after="0"/>
              <w:rPr>
                <w:sz w:val="20"/>
                <w:szCs w:val="20"/>
                <w:color w:val="auto"/>
              </w:rPr>
            </w:pPr>
            <w:r>
              <w:rPr>
                <w:rFonts w:ascii="Arial" w:cs="Arial" w:eastAsia="Arial" w:hAnsi="Arial"/>
                <w:sz w:val="12"/>
                <w:szCs w:val="12"/>
                <w:color w:val="auto"/>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59"/>
        </w:trPr>
        <w:tc>
          <w:tcPr>
            <w:tcW w:w="5820" w:type="dxa"/>
            <w:vAlign w:val="bottom"/>
          </w:tcPr>
          <w:p>
            <w:pPr>
              <w:ind w:left="20"/>
              <w:spacing w:after="0"/>
              <w:rPr>
                <w:sz w:val="20"/>
                <w:szCs w:val="20"/>
                <w:color w:val="auto"/>
              </w:rPr>
            </w:pPr>
            <w:r>
              <w:rPr>
                <w:rFonts w:ascii="Arial" w:cs="Arial" w:eastAsia="Arial" w:hAnsi="Arial"/>
                <w:sz w:val="12"/>
                <w:szCs w:val="12"/>
                <w:color w:val="auto"/>
              </w:rPr>
              <w:t>RSAs</w:t>
            </w:r>
          </w:p>
        </w:tc>
        <w:tc>
          <w:tcPr>
            <w:tcW w:w="980" w:type="dxa"/>
            <w:vAlign w:val="bottom"/>
          </w:tcPr>
          <w:p>
            <w:pPr>
              <w:spacing w:after="0"/>
              <w:rPr>
                <w:sz w:val="13"/>
                <w:szCs w:val="13"/>
                <w:color w:val="auto"/>
              </w:rPr>
            </w:pPr>
          </w:p>
        </w:tc>
        <w:tc>
          <w:tcPr>
            <w:tcW w:w="1300" w:type="dxa"/>
            <w:vAlign w:val="bottom"/>
          </w:tcPr>
          <w:p>
            <w:pPr>
              <w:ind w:left="18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839"/>
              <w:spacing w:after="0"/>
              <w:rPr>
                <w:sz w:val="20"/>
                <w:szCs w:val="20"/>
                <w:color w:val="auto"/>
              </w:rPr>
            </w:pPr>
            <w:r>
              <w:rPr>
                <w:rFonts w:ascii="Arial" w:cs="Arial" w:eastAsia="Arial" w:hAnsi="Arial"/>
                <w:sz w:val="12"/>
                <w:szCs w:val="12"/>
                <w:color w:val="auto"/>
              </w:rPr>
              <w:t>66</w:t>
            </w:r>
          </w:p>
        </w:tc>
        <w:tc>
          <w:tcPr>
            <w:tcW w:w="1480" w:type="dxa"/>
            <w:vAlign w:val="bottom"/>
          </w:tcPr>
          <w:p>
            <w:pPr>
              <w:ind w:left="28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4"/>
        </w:trPr>
        <w:tc>
          <w:tcPr>
            <w:tcW w:w="5820" w:type="dxa"/>
            <w:vAlign w:val="bottom"/>
            <w:shd w:val="clear" w:color="auto" w:fill="DBDBDB"/>
          </w:tcPr>
          <w:p>
            <w:pPr>
              <w:ind w:left="20"/>
              <w:spacing w:after="0"/>
              <w:rPr>
                <w:sz w:val="20"/>
                <w:szCs w:val="20"/>
                <w:color w:val="auto"/>
              </w:rPr>
            </w:pPr>
            <w:r>
              <w:rPr>
                <w:rFonts w:ascii="Arial" w:cs="Arial" w:eastAsia="Arial" w:hAnsi="Arial"/>
                <w:sz w:val="12"/>
                <w:szCs w:val="12"/>
                <w:color w:val="auto"/>
              </w:rPr>
              <w:t>Time-based RSUs</w:t>
            </w:r>
          </w:p>
        </w:tc>
        <w:tc>
          <w:tcPr>
            <w:tcW w:w="980" w:type="dxa"/>
            <w:vAlign w:val="bottom"/>
            <w:shd w:val="clear" w:color="auto" w:fill="DBDBDB"/>
          </w:tcPr>
          <w:p>
            <w:pPr>
              <w:spacing w:after="0"/>
              <w:rPr>
                <w:sz w:val="14"/>
                <w:szCs w:val="14"/>
                <w:color w:val="auto"/>
              </w:rPr>
            </w:pPr>
          </w:p>
        </w:tc>
        <w:tc>
          <w:tcPr>
            <w:tcW w:w="1300" w:type="dxa"/>
            <w:vAlign w:val="bottom"/>
            <w:shd w:val="clear" w:color="auto" w:fill="DBDBDB"/>
          </w:tcPr>
          <w:p>
            <w:pPr>
              <w:ind w:left="180"/>
              <w:spacing w:after="0"/>
              <w:rPr>
                <w:sz w:val="20"/>
                <w:szCs w:val="20"/>
                <w:color w:val="auto"/>
              </w:rPr>
            </w:pPr>
            <w:r>
              <w:rPr>
                <w:rFonts w:ascii="Arial" w:cs="Arial" w:eastAsia="Arial" w:hAnsi="Arial"/>
                <w:sz w:val="12"/>
                <w:szCs w:val="12"/>
                <w:color w:val="auto"/>
              </w:rPr>
              <w:t>—</w:t>
            </w:r>
          </w:p>
        </w:tc>
        <w:tc>
          <w:tcPr>
            <w:tcW w:w="1320" w:type="dxa"/>
            <w:vAlign w:val="bottom"/>
            <w:shd w:val="clear" w:color="auto" w:fill="DBDBDB"/>
          </w:tcPr>
          <w:p>
            <w:pPr>
              <w:jc w:val="right"/>
              <w:ind w:right="839"/>
              <w:spacing w:after="0"/>
              <w:rPr>
                <w:sz w:val="20"/>
                <w:szCs w:val="20"/>
                <w:color w:val="auto"/>
              </w:rPr>
            </w:pPr>
            <w:r>
              <w:rPr>
                <w:rFonts w:ascii="Arial" w:cs="Arial" w:eastAsia="Arial" w:hAnsi="Arial"/>
                <w:sz w:val="12"/>
                <w:szCs w:val="12"/>
                <w:color w:val="auto"/>
              </w:rPr>
              <w:t>901</w:t>
            </w:r>
          </w:p>
        </w:tc>
        <w:tc>
          <w:tcPr>
            <w:tcW w:w="1480" w:type="dxa"/>
            <w:vAlign w:val="bottom"/>
            <w:shd w:val="clear" w:color="auto" w:fill="DBDBDB"/>
          </w:tcPr>
          <w:p>
            <w:pPr>
              <w:ind w:left="280"/>
              <w:spacing w:after="0"/>
              <w:rPr>
                <w:sz w:val="20"/>
                <w:szCs w:val="20"/>
                <w:color w:val="auto"/>
              </w:rPr>
            </w:pPr>
            <w:r>
              <w:rPr>
                <w:rFonts w:ascii="Arial" w:cs="Arial" w:eastAsia="Arial" w:hAnsi="Arial"/>
                <w:sz w:val="12"/>
                <w:szCs w:val="12"/>
                <w:color w:val="auto"/>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59"/>
        </w:trPr>
        <w:tc>
          <w:tcPr>
            <w:tcW w:w="5820" w:type="dxa"/>
            <w:vAlign w:val="bottom"/>
          </w:tcPr>
          <w:p>
            <w:pPr>
              <w:ind w:left="20"/>
              <w:spacing w:after="0"/>
              <w:rPr>
                <w:sz w:val="20"/>
                <w:szCs w:val="20"/>
                <w:color w:val="auto"/>
              </w:rPr>
            </w:pPr>
            <w:r>
              <w:rPr>
                <w:rFonts w:ascii="Arial" w:cs="Arial" w:eastAsia="Arial" w:hAnsi="Arial"/>
                <w:sz w:val="12"/>
                <w:szCs w:val="12"/>
                <w:color w:val="auto"/>
              </w:rPr>
              <w:t>Performance-based RSUs</w:t>
            </w:r>
          </w:p>
        </w:tc>
        <w:tc>
          <w:tcPr>
            <w:tcW w:w="980" w:type="dxa"/>
            <w:vAlign w:val="bottom"/>
          </w:tcPr>
          <w:p>
            <w:pPr>
              <w:spacing w:after="0"/>
              <w:rPr>
                <w:sz w:val="13"/>
                <w:szCs w:val="13"/>
                <w:color w:val="auto"/>
              </w:rPr>
            </w:pPr>
          </w:p>
        </w:tc>
        <w:tc>
          <w:tcPr>
            <w:tcW w:w="1300" w:type="dxa"/>
            <w:vAlign w:val="bottom"/>
          </w:tcPr>
          <w:p>
            <w:pPr>
              <w:ind w:left="18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839"/>
              <w:spacing w:after="0"/>
              <w:rPr>
                <w:sz w:val="20"/>
                <w:szCs w:val="20"/>
                <w:color w:val="auto"/>
              </w:rPr>
            </w:pPr>
            <w:r>
              <w:rPr>
                <w:rFonts w:ascii="Arial" w:cs="Arial" w:eastAsia="Arial" w:hAnsi="Arial"/>
                <w:sz w:val="12"/>
                <w:szCs w:val="12"/>
                <w:color w:val="auto"/>
              </w:rPr>
              <w:t>408</w:t>
            </w:r>
          </w:p>
        </w:tc>
        <w:tc>
          <w:tcPr>
            <w:tcW w:w="1480" w:type="dxa"/>
            <w:vAlign w:val="bottom"/>
          </w:tcPr>
          <w:p>
            <w:pPr>
              <w:ind w:left="28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4"/>
        </w:trPr>
        <w:tc>
          <w:tcPr>
            <w:tcW w:w="5820" w:type="dxa"/>
            <w:vAlign w:val="bottom"/>
            <w:shd w:val="clear" w:color="auto" w:fill="DBDBDB"/>
          </w:tcPr>
          <w:p>
            <w:pPr>
              <w:ind w:left="20"/>
              <w:spacing w:after="0"/>
              <w:rPr>
                <w:sz w:val="20"/>
                <w:szCs w:val="20"/>
                <w:color w:val="auto"/>
              </w:rPr>
            </w:pPr>
            <w:r>
              <w:rPr>
                <w:rFonts w:ascii="Arial" w:cs="Arial" w:eastAsia="Arial" w:hAnsi="Arial"/>
                <w:sz w:val="12"/>
                <w:szCs w:val="12"/>
                <w:color w:val="auto"/>
              </w:rPr>
              <w:t>Stock Options</w:t>
            </w:r>
          </w:p>
        </w:tc>
        <w:tc>
          <w:tcPr>
            <w:tcW w:w="980" w:type="dxa"/>
            <w:vAlign w:val="bottom"/>
            <w:shd w:val="clear" w:color="auto" w:fill="DBDBDB"/>
          </w:tcPr>
          <w:p>
            <w:pPr>
              <w:spacing w:after="0"/>
              <w:rPr>
                <w:sz w:val="14"/>
                <w:szCs w:val="14"/>
                <w:color w:val="auto"/>
              </w:rPr>
            </w:pPr>
          </w:p>
        </w:tc>
        <w:tc>
          <w:tcPr>
            <w:tcW w:w="1300" w:type="dxa"/>
            <w:vAlign w:val="bottom"/>
            <w:shd w:val="clear" w:color="auto" w:fill="DBDBDB"/>
          </w:tcPr>
          <w:p>
            <w:pPr>
              <w:ind w:left="180"/>
              <w:spacing w:after="0"/>
              <w:rPr>
                <w:sz w:val="20"/>
                <w:szCs w:val="20"/>
                <w:color w:val="auto"/>
              </w:rPr>
            </w:pPr>
            <w:r>
              <w:rPr>
                <w:rFonts w:ascii="Arial" w:cs="Arial" w:eastAsia="Arial" w:hAnsi="Arial"/>
                <w:sz w:val="12"/>
                <w:szCs w:val="12"/>
                <w:color w:val="auto"/>
              </w:rPr>
              <w:t>—</w:t>
            </w:r>
          </w:p>
        </w:tc>
        <w:tc>
          <w:tcPr>
            <w:tcW w:w="1320" w:type="dxa"/>
            <w:vAlign w:val="bottom"/>
            <w:shd w:val="clear" w:color="auto" w:fill="DBDBDB"/>
          </w:tcPr>
          <w:p>
            <w:pPr>
              <w:jc w:val="right"/>
              <w:ind w:right="839"/>
              <w:spacing w:after="0"/>
              <w:rPr>
                <w:sz w:val="20"/>
                <w:szCs w:val="20"/>
                <w:color w:val="auto"/>
              </w:rPr>
            </w:pPr>
            <w:r>
              <w:rPr>
                <w:rFonts w:ascii="Arial" w:cs="Arial" w:eastAsia="Arial" w:hAnsi="Arial"/>
                <w:sz w:val="12"/>
                <w:szCs w:val="12"/>
                <w:color w:val="auto"/>
              </w:rPr>
              <w:t>534</w:t>
            </w:r>
          </w:p>
        </w:tc>
        <w:tc>
          <w:tcPr>
            <w:tcW w:w="1480" w:type="dxa"/>
            <w:vAlign w:val="bottom"/>
            <w:shd w:val="clear" w:color="auto" w:fill="DBDBDB"/>
          </w:tcPr>
          <w:p>
            <w:pPr>
              <w:ind w:left="280"/>
              <w:spacing w:after="0"/>
              <w:rPr>
                <w:sz w:val="20"/>
                <w:szCs w:val="20"/>
                <w:color w:val="auto"/>
              </w:rPr>
            </w:pPr>
            <w:r>
              <w:rPr>
                <w:rFonts w:ascii="Arial" w:cs="Arial" w:eastAsia="Arial" w:hAnsi="Arial"/>
                <w:sz w:val="12"/>
                <w:szCs w:val="12"/>
                <w:color w:val="auto"/>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534</w:t>
            </w:r>
          </w:p>
        </w:tc>
      </w:tr>
      <w:tr>
        <w:trPr>
          <w:trHeight w:val="908"/>
        </w:trPr>
        <w:tc>
          <w:tcPr>
            <w:tcW w:w="58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1D2758"/>
        </w:rPr>
        <w:t>NOTE 20 - Related Parties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9140" w:type="dxa"/>
            <w:vAlign w:val="bottom"/>
            <w:gridSpan w:val="5"/>
          </w:tcPr>
          <w:p>
            <w:pPr>
              <w:ind w:left="480"/>
              <w:spacing w:after="0"/>
              <w:rPr>
                <w:sz w:val="20"/>
                <w:szCs w:val="20"/>
                <w:color w:val="auto"/>
              </w:rPr>
            </w:pPr>
            <w:r>
              <w:rPr>
                <w:rFonts w:ascii="Arial" w:cs="Arial" w:eastAsia="Arial" w:hAnsi="Arial"/>
                <w:sz w:val="12"/>
                <w:szCs w:val="12"/>
                <w:color w:val="auto"/>
              </w:rPr>
              <w:t>Related party balances included in the Company’s condensed consolidated balance sheets at June 30, 2021 and December 31, 2020, consisted of the following:</w:t>
            </w:r>
          </w:p>
        </w:tc>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95"/>
        </w:trPr>
        <w:tc>
          <w:tcPr>
            <w:tcW w:w="2380" w:type="dxa"/>
            <w:vAlign w:val="bottom"/>
          </w:tcPr>
          <w:p>
            <w:pPr>
              <w:spacing w:after="0"/>
              <w:rPr>
                <w:sz w:val="8"/>
                <w:szCs w:val="8"/>
                <w:color w:val="auto"/>
              </w:rPr>
            </w:pPr>
          </w:p>
        </w:tc>
        <w:tc>
          <w:tcPr>
            <w:tcW w:w="4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20" w:type="dxa"/>
            <w:vAlign w:val="bottom"/>
          </w:tcPr>
          <w:p>
            <w:pPr>
              <w:spacing w:after="0"/>
              <w:rPr>
                <w:sz w:val="8"/>
                <w:szCs w:val="8"/>
                <w:color w:val="auto"/>
              </w:rPr>
            </w:pPr>
          </w:p>
        </w:tc>
      </w:tr>
      <w:tr>
        <w:trPr>
          <w:trHeight w:val="161"/>
        </w:trPr>
        <w:tc>
          <w:tcPr>
            <w:tcW w:w="23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4560" w:type="dxa"/>
            <w:vAlign w:val="bottom"/>
            <w:shd w:val="clear" w:color="auto" w:fill="1D2758"/>
          </w:tcPr>
          <w:p>
            <w:pPr>
              <w:ind w:left="1740"/>
              <w:spacing w:after="0"/>
              <w:rPr>
                <w:sz w:val="20"/>
                <w:szCs w:val="20"/>
                <w:color w:val="auto"/>
              </w:rPr>
            </w:pPr>
            <w:r>
              <w:rPr>
                <w:rFonts w:ascii="Arial" w:cs="Arial" w:eastAsia="Arial" w:hAnsi="Arial"/>
                <w:sz w:val="12"/>
                <w:szCs w:val="12"/>
                <w:b w:val="1"/>
                <w:bCs w:val="1"/>
                <w:color w:val="FFFFFF"/>
              </w:rPr>
              <w:t>Financial Statement Line Item</w:t>
            </w:r>
          </w:p>
        </w:tc>
        <w:tc>
          <w:tcPr>
            <w:tcW w:w="360" w:type="dxa"/>
            <w:vAlign w:val="bottom"/>
            <w:shd w:val="clear" w:color="auto" w:fill="1D2758"/>
          </w:tcPr>
          <w:p>
            <w:pPr>
              <w:spacing w:after="0"/>
              <w:rPr>
                <w:sz w:val="14"/>
                <w:szCs w:val="14"/>
                <w:color w:val="auto"/>
              </w:rPr>
            </w:pPr>
          </w:p>
        </w:tc>
        <w:tc>
          <w:tcPr>
            <w:tcW w:w="1840" w:type="dxa"/>
            <w:vAlign w:val="bottom"/>
            <w:gridSpan w:val="2"/>
            <w:shd w:val="clear" w:color="auto" w:fill="1D2758"/>
          </w:tcPr>
          <w:p>
            <w:pPr>
              <w:ind w:left="300"/>
              <w:spacing w:after="0"/>
              <w:rPr>
                <w:sz w:val="20"/>
                <w:szCs w:val="20"/>
                <w:color w:val="auto"/>
              </w:rPr>
            </w:pPr>
            <w:r>
              <w:rPr>
                <w:rFonts w:ascii="Arial" w:cs="Arial" w:eastAsia="Arial" w:hAnsi="Arial"/>
                <w:sz w:val="12"/>
                <w:szCs w:val="12"/>
                <w:b w:val="1"/>
                <w:bCs w:val="1"/>
                <w:color w:val="FFFFFF"/>
              </w:rPr>
              <w:t>June 30, 2021</w:t>
            </w:r>
          </w:p>
        </w:tc>
        <w:tc>
          <w:tcPr>
            <w:tcW w:w="320" w:type="dxa"/>
            <w:vAlign w:val="bottom"/>
            <w:shd w:val="clear" w:color="auto" w:fill="1D2758"/>
          </w:tcPr>
          <w:p>
            <w:pPr>
              <w:spacing w:after="0"/>
              <w:rPr>
                <w:sz w:val="14"/>
                <w:szCs w:val="14"/>
                <w:color w:val="auto"/>
              </w:rPr>
            </w:pPr>
          </w:p>
        </w:tc>
        <w:tc>
          <w:tcPr>
            <w:tcW w:w="1820" w:type="dxa"/>
            <w:vAlign w:val="bottom"/>
            <w:shd w:val="clear" w:color="auto" w:fill="1D2758"/>
          </w:tcPr>
          <w:p>
            <w:pPr>
              <w:jc w:val="right"/>
              <w:ind w:right="459"/>
              <w:spacing w:after="0"/>
              <w:rPr>
                <w:sz w:val="20"/>
                <w:szCs w:val="20"/>
                <w:color w:val="auto"/>
              </w:rPr>
            </w:pPr>
            <w:r>
              <w:rPr>
                <w:rFonts w:ascii="Arial" w:cs="Arial" w:eastAsia="Arial" w:hAnsi="Arial"/>
                <w:sz w:val="12"/>
                <w:szCs w:val="12"/>
                <w:b w:val="1"/>
                <w:bCs w:val="1"/>
                <w:color w:val="FFFFFF"/>
              </w:rPr>
              <w:t>December 31, 2020</w:t>
            </w:r>
          </w:p>
        </w:tc>
      </w:tr>
      <w:tr>
        <w:trPr>
          <w:trHeight w:val="161"/>
        </w:trPr>
        <w:tc>
          <w:tcPr>
            <w:tcW w:w="238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Receivables due from affiliates</w:t>
            </w:r>
          </w:p>
        </w:tc>
        <w:tc>
          <w:tcPr>
            <w:tcW w:w="4560" w:type="dxa"/>
            <w:vAlign w:val="bottom"/>
            <w:shd w:val="clear" w:color="auto" w:fill="DBDBDB"/>
          </w:tcPr>
          <w:p>
            <w:pPr>
              <w:ind w:left="660"/>
              <w:spacing w:after="0"/>
              <w:rPr>
                <w:sz w:val="20"/>
                <w:szCs w:val="20"/>
                <w:color w:val="auto"/>
              </w:rPr>
            </w:pPr>
            <w:r>
              <w:rPr>
                <w:rFonts w:ascii="Arial" w:cs="Arial" w:eastAsia="Arial" w:hAnsi="Arial"/>
                <w:sz w:val="12"/>
                <w:szCs w:val="12"/>
                <w:color w:val="auto"/>
              </w:rPr>
              <w:t>Trade receivables, net of allowances for credit losses</w:t>
            </w:r>
          </w:p>
        </w:tc>
        <w:tc>
          <w:tcPr>
            <w:tcW w:w="360" w:type="dxa"/>
            <w:vAlign w:val="bottom"/>
            <w:shd w:val="clear" w:color="auto" w:fill="DBDBDB"/>
          </w:tcPr>
          <w:p>
            <w:pPr>
              <w:jc w:val="right"/>
              <w:ind w:right="219"/>
              <w:spacing w:after="0"/>
              <w:rPr>
                <w:sz w:val="20"/>
                <w:szCs w:val="20"/>
                <w:color w:val="auto"/>
              </w:rPr>
            </w:pPr>
            <w:r>
              <w:rPr>
                <w:rFonts w:ascii="Arial" w:cs="Arial" w:eastAsia="Arial" w:hAnsi="Arial"/>
                <w:sz w:val="12"/>
                <w:szCs w:val="12"/>
                <w:color w:val="auto"/>
                <w:w w:val="89"/>
              </w:rPr>
              <w:t>$</w:t>
            </w:r>
          </w:p>
        </w:tc>
        <w:tc>
          <w:tcPr>
            <w:tcW w:w="1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w:t>
            </w:r>
          </w:p>
        </w:tc>
        <w:tc>
          <w:tcPr>
            <w:tcW w:w="80" w:type="dxa"/>
            <w:vAlign w:val="bottom"/>
            <w:shd w:val="clear" w:color="auto" w:fill="DBDBDB"/>
          </w:tcPr>
          <w:p>
            <w:pPr>
              <w:spacing w:after="0"/>
              <w:rPr>
                <w:sz w:val="14"/>
                <w:szCs w:val="14"/>
                <w:color w:val="auto"/>
              </w:rPr>
            </w:pPr>
          </w:p>
        </w:tc>
        <w:tc>
          <w:tcPr>
            <w:tcW w:w="320" w:type="dxa"/>
            <w:vAlign w:val="bottom"/>
            <w:shd w:val="clear" w:color="auto" w:fill="DBDBDB"/>
          </w:tcPr>
          <w:p>
            <w:pPr>
              <w:jc w:val="right"/>
              <w:ind w:right="179"/>
              <w:spacing w:after="0"/>
              <w:rPr>
                <w:sz w:val="20"/>
                <w:szCs w:val="20"/>
                <w:color w:val="auto"/>
              </w:rPr>
            </w:pPr>
            <w:r>
              <w:rPr>
                <w:rFonts w:ascii="Arial" w:cs="Arial" w:eastAsia="Arial" w:hAnsi="Arial"/>
                <w:sz w:val="12"/>
                <w:szCs w:val="12"/>
                <w:color w:val="auto"/>
                <w:w w:val="89"/>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w:t>
            </w:r>
          </w:p>
        </w:tc>
      </w:tr>
      <w:tr>
        <w:trPr>
          <w:trHeight w:val="159"/>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Amounts due to affiliates</w:t>
            </w:r>
          </w:p>
        </w:tc>
        <w:tc>
          <w:tcPr>
            <w:tcW w:w="4560" w:type="dxa"/>
            <w:vAlign w:val="bottom"/>
            <w:tcBorders>
              <w:bottom w:val="single" w:sz="8" w:color="DBDBDB"/>
            </w:tcBorders>
          </w:tcPr>
          <w:p>
            <w:pPr>
              <w:ind w:left="660"/>
              <w:spacing w:after="0"/>
              <w:rPr>
                <w:sz w:val="20"/>
                <w:szCs w:val="20"/>
                <w:color w:val="auto"/>
              </w:rPr>
            </w:pPr>
            <w:r>
              <w:rPr>
                <w:rFonts w:ascii="Arial" w:cs="Arial" w:eastAsia="Arial" w:hAnsi="Arial"/>
                <w:sz w:val="12"/>
                <w:szCs w:val="12"/>
                <w:color w:val="auto"/>
              </w:rPr>
              <w:t>Accrued expenses</w:t>
            </w:r>
          </w:p>
        </w:tc>
        <w:tc>
          <w:tcPr>
            <w:tcW w:w="3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(476)</w:t>
            </w:r>
          </w:p>
        </w:tc>
        <w:tc>
          <w:tcPr>
            <w:tcW w:w="80" w:type="dxa"/>
            <w:vAlign w:val="bottom"/>
            <w:tcBorders>
              <w:bottom w:val="single" w:sz="8" w:color="DBDBDB"/>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(461)</w:t>
            </w:r>
          </w:p>
        </w:tc>
      </w:tr>
      <w:tr>
        <w:trPr>
          <w:trHeight w:val="179"/>
        </w:trPr>
        <w:tc>
          <w:tcPr>
            <w:tcW w:w="2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Total related party liabilities, net</w:t>
            </w:r>
          </w:p>
        </w:tc>
        <w:tc>
          <w:tcPr>
            <w:tcW w:w="456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2"/>
                <w:szCs w:val="12"/>
                <w:color w:val="auto"/>
                <w:w w:val="89"/>
              </w:rPr>
              <w:t>$</w:t>
            </w: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(457)</w:t>
            </w:r>
          </w:p>
        </w:tc>
        <w:tc>
          <w:tcPr>
            <w:tcW w:w="80" w:type="dxa"/>
            <w:vAlign w:val="bottom"/>
            <w:tcBorders>
              <w:bottom w:val="single" w:sz="8" w:color="DBDBDB"/>
            </w:tcBorders>
            <w:shd w:val="clear" w:color="auto" w:fill="DBDBDB"/>
          </w:tcPr>
          <w:p>
            <w:pPr>
              <w:spacing w:after="0"/>
              <w:rPr>
                <w:sz w:val="15"/>
                <w:szCs w:val="15"/>
                <w:color w:val="auto"/>
              </w:rPr>
            </w:pPr>
          </w:p>
        </w:tc>
        <w:tc>
          <w:tcPr>
            <w:tcW w:w="32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2"/>
                <w:szCs w:val="12"/>
                <w:color w:val="auto"/>
                <w:w w:val="89"/>
              </w:rPr>
              <w:t>$</w:t>
            </w: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(431)</w:t>
            </w:r>
          </w:p>
        </w:tc>
      </w:tr>
      <w:tr>
        <w:trPr>
          <w:trHeight w:val="20"/>
        </w:trPr>
        <w:tc>
          <w:tcPr>
            <w:tcW w:w="2380" w:type="dxa"/>
            <w:vAlign w:val="bottom"/>
            <w:tcBorders>
              <w:top w:val="single" w:sz="8" w:color="DBDBDB"/>
            </w:tcBorders>
          </w:tcPr>
          <w:p>
            <w:pPr>
              <w:spacing w:after="0" w:line="20" w:lineRule="exact"/>
              <w:rPr>
                <w:sz w:val="1"/>
                <w:szCs w:val="1"/>
                <w:color w:val="auto"/>
              </w:rPr>
            </w:pPr>
          </w:p>
        </w:tc>
        <w:tc>
          <w:tcPr>
            <w:tcW w:w="45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7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820" w:type="dxa"/>
            <w:vAlign w:val="bottom"/>
            <w:tcBorders>
              <w:top w:val="single" w:sz="8" w:color="DBDBDB"/>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Related party transactions included in the Company’s condensed consolidated statements of operations for the three and six months ended June 30, 2021 and 2020, respectively,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20" w:type="dxa"/>
            <w:vAlign w:val="bottom"/>
            <w:shd w:val="clear" w:color="auto" w:fill="1D2758"/>
          </w:tcPr>
          <w:p>
            <w:pPr>
              <w:spacing w:after="0"/>
              <w:rPr>
                <w:sz w:val="12"/>
                <w:szCs w:val="12"/>
                <w:color w:val="auto"/>
              </w:rPr>
            </w:pPr>
          </w:p>
        </w:tc>
        <w:tc>
          <w:tcPr>
            <w:tcW w:w="2620" w:type="dxa"/>
            <w:vAlign w:val="bottom"/>
            <w:shd w:val="clear" w:color="auto" w:fill="1D2758"/>
          </w:tcPr>
          <w:p>
            <w:pPr>
              <w:spacing w:after="0"/>
              <w:rPr>
                <w:sz w:val="12"/>
                <w:szCs w:val="12"/>
                <w:color w:val="auto"/>
              </w:rPr>
            </w:pPr>
          </w:p>
        </w:tc>
        <w:tc>
          <w:tcPr>
            <w:tcW w:w="860" w:type="dxa"/>
            <w:vAlign w:val="bottom"/>
            <w:shd w:val="clear" w:color="auto" w:fill="1D2758"/>
          </w:tcPr>
          <w:p>
            <w:pPr>
              <w:spacing w:after="0"/>
              <w:rPr>
                <w:sz w:val="12"/>
                <w:szCs w:val="12"/>
                <w:color w:val="auto"/>
              </w:rPr>
            </w:pPr>
          </w:p>
        </w:tc>
        <w:tc>
          <w:tcPr>
            <w:tcW w:w="1600" w:type="dxa"/>
            <w:vAlign w:val="bottom"/>
            <w:gridSpan w:val="3"/>
            <w:shd w:val="clear" w:color="auto" w:fill="1D2758"/>
          </w:tcPr>
          <w:p>
            <w:pPr>
              <w:jc w:val="right"/>
              <w:ind w:right="339"/>
              <w:spacing w:after="0"/>
              <w:rPr>
                <w:sz w:val="20"/>
                <w:szCs w:val="20"/>
                <w:color w:val="auto"/>
              </w:rPr>
            </w:pPr>
            <w:r>
              <w:rPr>
                <w:rFonts w:ascii="Arial" w:cs="Arial" w:eastAsia="Arial" w:hAnsi="Arial"/>
                <w:sz w:val="12"/>
                <w:szCs w:val="12"/>
                <w:b w:val="1"/>
                <w:bCs w:val="1"/>
                <w:color w:val="FFFFFF"/>
                <w:w w:val="99"/>
              </w:rPr>
              <w:t>Three Months Ended</w:t>
            </w:r>
          </w:p>
        </w:tc>
        <w:tc>
          <w:tcPr>
            <w:tcW w:w="500" w:type="dxa"/>
            <w:vAlign w:val="bottom"/>
            <w:shd w:val="clear" w:color="auto" w:fill="1D2758"/>
          </w:tcPr>
          <w:p>
            <w:pPr>
              <w:spacing w:after="0"/>
              <w:rPr>
                <w:sz w:val="12"/>
                <w:szCs w:val="12"/>
                <w:color w:val="auto"/>
              </w:rPr>
            </w:pPr>
          </w:p>
        </w:tc>
        <w:tc>
          <w:tcPr>
            <w:tcW w:w="80" w:type="dxa"/>
            <w:vAlign w:val="bottom"/>
            <w:shd w:val="clear" w:color="auto" w:fill="1D2758"/>
          </w:tcPr>
          <w:p>
            <w:pPr>
              <w:spacing w:after="0"/>
              <w:rPr>
                <w:sz w:val="12"/>
                <w:szCs w:val="12"/>
                <w:color w:val="auto"/>
              </w:rPr>
            </w:pPr>
          </w:p>
        </w:tc>
        <w:tc>
          <w:tcPr>
            <w:tcW w:w="920" w:type="dxa"/>
            <w:vAlign w:val="bottom"/>
            <w:shd w:val="clear" w:color="auto" w:fill="1D2758"/>
          </w:tcPr>
          <w:p>
            <w:pPr>
              <w:spacing w:after="0"/>
              <w:rPr>
                <w:sz w:val="12"/>
                <w:szCs w:val="12"/>
                <w:color w:val="auto"/>
              </w:rPr>
            </w:pPr>
          </w:p>
        </w:tc>
        <w:tc>
          <w:tcPr>
            <w:tcW w:w="1160" w:type="dxa"/>
            <w:vAlign w:val="bottom"/>
            <w:gridSpan w:val="3"/>
            <w:shd w:val="clear" w:color="auto" w:fill="1D2758"/>
          </w:tcPr>
          <w:p>
            <w:pPr>
              <w:jc w:val="right"/>
              <w:spacing w:after="0"/>
              <w:rPr>
                <w:sz w:val="20"/>
                <w:szCs w:val="20"/>
                <w:color w:val="auto"/>
              </w:rPr>
            </w:pPr>
            <w:r>
              <w:rPr>
                <w:rFonts w:ascii="Arial" w:cs="Arial" w:eastAsia="Arial" w:hAnsi="Arial"/>
                <w:sz w:val="12"/>
                <w:szCs w:val="12"/>
                <w:b w:val="1"/>
                <w:bCs w:val="1"/>
                <w:color w:val="FFFFFF"/>
              </w:rPr>
              <w:t>Six Months Ended</w:t>
            </w:r>
          </w:p>
        </w:tc>
        <w:tc>
          <w:tcPr>
            <w:tcW w:w="920" w:type="dxa"/>
            <w:vAlign w:val="bottom"/>
            <w:shd w:val="clear" w:color="auto" w:fill="1D2758"/>
          </w:tcPr>
          <w:p>
            <w:pPr>
              <w:spacing w:after="0"/>
              <w:rPr>
                <w:sz w:val="12"/>
                <w:szCs w:val="12"/>
                <w:color w:val="auto"/>
              </w:rPr>
            </w:pPr>
          </w:p>
        </w:tc>
      </w:tr>
      <w:tr>
        <w:trPr>
          <w:trHeight w:val="160"/>
        </w:trPr>
        <w:tc>
          <w:tcPr>
            <w:tcW w:w="2620" w:type="dxa"/>
            <w:vAlign w:val="bottom"/>
            <w:shd w:val="clear" w:color="auto" w:fill="1D2758"/>
          </w:tcPr>
          <w:p>
            <w:pPr>
              <w:spacing w:after="0"/>
              <w:rPr>
                <w:sz w:val="13"/>
                <w:szCs w:val="13"/>
                <w:color w:val="auto"/>
              </w:rPr>
            </w:pPr>
          </w:p>
        </w:tc>
        <w:tc>
          <w:tcPr>
            <w:tcW w:w="2620" w:type="dxa"/>
            <w:vAlign w:val="bottom"/>
            <w:shd w:val="clear" w:color="auto" w:fill="1D2758"/>
          </w:tcPr>
          <w:p>
            <w:pPr>
              <w:spacing w:after="0"/>
              <w:rPr>
                <w:sz w:val="13"/>
                <w:szCs w:val="13"/>
                <w:color w:val="auto"/>
              </w:rPr>
            </w:pPr>
          </w:p>
        </w:tc>
        <w:tc>
          <w:tcPr>
            <w:tcW w:w="860" w:type="dxa"/>
            <w:vAlign w:val="bottom"/>
            <w:shd w:val="clear" w:color="auto" w:fill="1D2758"/>
          </w:tcPr>
          <w:p>
            <w:pPr>
              <w:spacing w:after="0"/>
              <w:rPr>
                <w:sz w:val="13"/>
                <w:szCs w:val="13"/>
                <w:color w:val="auto"/>
              </w:rPr>
            </w:pPr>
          </w:p>
        </w:tc>
        <w:tc>
          <w:tcPr>
            <w:tcW w:w="1600" w:type="dxa"/>
            <w:vAlign w:val="bottom"/>
            <w:gridSpan w:val="3"/>
            <w:shd w:val="clear" w:color="auto" w:fill="1D2758"/>
          </w:tcPr>
          <w:p>
            <w:pPr>
              <w:jc w:val="right"/>
              <w:ind w:right="679"/>
              <w:spacing w:after="0"/>
              <w:rPr>
                <w:sz w:val="20"/>
                <w:szCs w:val="20"/>
                <w:color w:val="auto"/>
              </w:rPr>
            </w:pPr>
            <w:r>
              <w:rPr>
                <w:rFonts w:ascii="Arial" w:cs="Arial" w:eastAsia="Arial" w:hAnsi="Arial"/>
                <w:sz w:val="12"/>
                <w:szCs w:val="12"/>
                <w:b w:val="1"/>
                <w:bCs w:val="1"/>
                <w:color w:val="FFFFFF"/>
              </w:rPr>
              <w:t>June 30,</w:t>
            </w:r>
          </w:p>
        </w:tc>
        <w:tc>
          <w:tcPr>
            <w:tcW w:w="50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920" w:type="dxa"/>
            <w:vAlign w:val="bottom"/>
            <w:shd w:val="clear" w:color="auto" w:fill="1D2758"/>
          </w:tcPr>
          <w:p>
            <w:pPr>
              <w:spacing w:after="0"/>
              <w:rPr>
                <w:sz w:val="13"/>
                <w:szCs w:val="13"/>
                <w:color w:val="auto"/>
              </w:rPr>
            </w:pPr>
          </w:p>
        </w:tc>
        <w:tc>
          <w:tcPr>
            <w:tcW w:w="1160" w:type="dxa"/>
            <w:vAlign w:val="bottom"/>
            <w:gridSpan w:val="3"/>
            <w:shd w:val="clear" w:color="auto" w:fill="1D2758"/>
          </w:tcPr>
          <w:p>
            <w:pPr>
              <w:jc w:val="right"/>
              <w:ind w:right="279"/>
              <w:spacing w:after="0"/>
              <w:rPr>
                <w:sz w:val="20"/>
                <w:szCs w:val="20"/>
                <w:color w:val="auto"/>
              </w:rPr>
            </w:pPr>
            <w:r>
              <w:rPr>
                <w:rFonts w:ascii="Arial" w:cs="Arial" w:eastAsia="Arial" w:hAnsi="Arial"/>
                <w:sz w:val="12"/>
                <w:szCs w:val="12"/>
                <w:b w:val="1"/>
                <w:bCs w:val="1"/>
                <w:color w:val="FFFFFF"/>
              </w:rPr>
              <w:t>June 30,</w:t>
            </w:r>
          </w:p>
        </w:tc>
        <w:tc>
          <w:tcPr>
            <w:tcW w:w="920" w:type="dxa"/>
            <w:vAlign w:val="bottom"/>
            <w:shd w:val="clear" w:color="auto" w:fill="1D2758"/>
          </w:tcPr>
          <w:p>
            <w:pPr>
              <w:spacing w:after="0"/>
              <w:rPr>
                <w:sz w:val="13"/>
                <w:szCs w:val="13"/>
                <w:color w:val="auto"/>
              </w:rPr>
            </w:pPr>
          </w:p>
        </w:tc>
      </w:tr>
      <w:tr>
        <w:trPr>
          <w:trHeight w:val="163"/>
        </w:trPr>
        <w:tc>
          <w:tcPr>
            <w:tcW w:w="262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2620" w:type="dxa"/>
            <w:vAlign w:val="bottom"/>
            <w:shd w:val="clear" w:color="auto" w:fill="1D2758"/>
          </w:tcPr>
          <w:p>
            <w:pPr>
              <w:ind w:left="460"/>
              <w:spacing w:after="0"/>
              <w:rPr>
                <w:sz w:val="20"/>
                <w:szCs w:val="20"/>
                <w:color w:val="auto"/>
              </w:rPr>
            </w:pPr>
            <w:r>
              <w:rPr>
                <w:rFonts w:ascii="Arial" w:cs="Arial" w:eastAsia="Arial" w:hAnsi="Arial"/>
                <w:sz w:val="12"/>
                <w:szCs w:val="12"/>
                <w:b w:val="1"/>
                <w:bCs w:val="1"/>
                <w:color w:val="FFFFFF"/>
              </w:rPr>
              <w:t>Financial Statement Line Item</w:t>
            </w:r>
          </w:p>
        </w:tc>
        <w:tc>
          <w:tcPr>
            <w:tcW w:w="86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2021</w:t>
            </w:r>
          </w:p>
        </w:tc>
        <w:tc>
          <w:tcPr>
            <w:tcW w:w="5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940" w:type="dxa"/>
            <w:vAlign w:val="bottom"/>
            <w:shd w:val="clear" w:color="auto" w:fill="1D2758"/>
          </w:tcPr>
          <w:p>
            <w:pPr>
              <w:jc w:val="right"/>
              <w:ind w:right="19"/>
              <w:spacing w:after="0"/>
              <w:rPr>
                <w:sz w:val="20"/>
                <w:szCs w:val="20"/>
                <w:color w:val="auto"/>
              </w:rPr>
            </w:pPr>
            <w:r>
              <w:rPr>
                <w:rFonts w:ascii="Arial" w:cs="Arial" w:eastAsia="Arial" w:hAnsi="Arial"/>
                <w:sz w:val="12"/>
                <w:szCs w:val="12"/>
                <w:b w:val="1"/>
                <w:bCs w:val="1"/>
                <w:color w:val="FFFFFF"/>
              </w:rPr>
              <w:t>2020</w:t>
            </w:r>
          </w:p>
        </w:tc>
        <w:tc>
          <w:tcPr>
            <w:tcW w:w="5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92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2021</w:t>
            </w:r>
          </w:p>
        </w:tc>
        <w:tc>
          <w:tcPr>
            <w:tcW w:w="54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540" w:type="dxa"/>
            <w:vAlign w:val="bottom"/>
            <w:shd w:val="clear" w:color="auto" w:fill="1D2758"/>
          </w:tcPr>
          <w:p>
            <w:pPr>
              <w:spacing w:after="0"/>
              <w:rPr>
                <w:sz w:val="14"/>
                <w:szCs w:val="14"/>
                <w:color w:val="auto"/>
              </w:rPr>
            </w:pPr>
          </w:p>
        </w:tc>
        <w:tc>
          <w:tcPr>
            <w:tcW w:w="920" w:type="dxa"/>
            <w:vAlign w:val="bottom"/>
            <w:shd w:val="clear" w:color="auto" w:fill="1D2758"/>
          </w:tcPr>
          <w:p>
            <w:pPr>
              <w:jc w:val="right"/>
              <w:ind w:right="519"/>
              <w:spacing w:after="0"/>
              <w:rPr>
                <w:sz w:val="20"/>
                <w:szCs w:val="20"/>
                <w:color w:val="auto"/>
              </w:rPr>
            </w:pPr>
            <w:r>
              <w:rPr>
                <w:rFonts w:ascii="Arial" w:cs="Arial" w:eastAsia="Arial" w:hAnsi="Arial"/>
                <w:sz w:val="12"/>
                <w:szCs w:val="12"/>
                <w:b w:val="1"/>
                <w:bCs w:val="1"/>
                <w:color w:val="FFFFFF"/>
              </w:rPr>
              <w:t>2020</w:t>
            </w:r>
          </w:p>
        </w:tc>
      </w:tr>
      <w:tr>
        <w:trPr>
          <w:trHeight w:val="161"/>
        </w:trPr>
        <w:tc>
          <w:tcPr>
            <w:tcW w:w="2620" w:type="dxa"/>
            <w:vAlign w:val="bottom"/>
            <w:shd w:val="clear" w:color="auto" w:fill="DBDBDB"/>
          </w:tcPr>
          <w:p>
            <w:pPr>
              <w:ind w:left="20"/>
              <w:spacing w:after="0"/>
              <w:rPr>
                <w:sz w:val="20"/>
                <w:szCs w:val="20"/>
                <w:color w:val="auto"/>
              </w:rPr>
            </w:pPr>
            <w:r>
              <w:rPr>
                <w:rFonts w:ascii="Arial" w:cs="Arial" w:eastAsia="Arial" w:hAnsi="Arial"/>
                <w:sz w:val="12"/>
                <w:szCs w:val="12"/>
                <w:color w:val="auto"/>
              </w:rPr>
              <w:t>Leasing revenue from related parties</w:t>
            </w:r>
          </w:p>
        </w:tc>
        <w:tc>
          <w:tcPr>
            <w:tcW w:w="2620" w:type="dxa"/>
            <w:vAlign w:val="bottom"/>
            <w:shd w:val="clear" w:color="auto" w:fill="DBDBDB"/>
          </w:tcPr>
          <w:p>
            <w:pPr>
              <w:spacing w:after="0"/>
              <w:rPr>
                <w:sz w:val="20"/>
                <w:szCs w:val="20"/>
                <w:color w:val="auto"/>
              </w:rPr>
            </w:pPr>
            <w:r>
              <w:rPr>
                <w:rFonts w:ascii="Arial" w:cs="Arial" w:eastAsia="Arial" w:hAnsi="Arial"/>
                <w:sz w:val="12"/>
                <w:szCs w:val="12"/>
                <w:color w:val="auto"/>
              </w:rPr>
              <w:t>Leasing revenue</w:t>
            </w:r>
          </w:p>
        </w:tc>
        <w:tc>
          <w:tcPr>
            <w:tcW w:w="860" w:type="dxa"/>
            <w:vAlign w:val="bottom"/>
            <w:shd w:val="clear" w:color="auto" w:fill="DBDBDB"/>
          </w:tcPr>
          <w:p>
            <w:pPr>
              <w:jc w:val="right"/>
              <w:ind w:right="719"/>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59</w:t>
            </w:r>
          </w:p>
        </w:tc>
        <w:tc>
          <w:tcPr>
            <w:tcW w:w="80" w:type="dxa"/>
            <w:vAlign w:val="bottom"/>
            <w:shd w:val="clear" w:color="auto" w:fill="DBDBDB"/>
          </w:tcPr>
          <w:p>
            <w:pPr>
              <w:spacing w:after="0"/>
              <w:rPr>
                <w:sz w:val="14"/>
                <w:szCs w:val="14"/>
                <w:color w:val="auto"/>
              </w:rPr>
            </w:pPr>
          </w:p>
        </w:tc>
        <w:tc>
          <w:tcPr>
            <w:tcW w:w="940" w:type="dxa"/>
            <w:vAlign w:val="bottom"/>
            <w:shd w:val="clear" w:color="auto" w:fill="DBDBDB"/>
          </w:tcPr>
          <w:p>
            <w:pPr>
              <w:jc w:val="right"/>
              <w:ind w:right="799"/>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294</w:t>
            </w:r>
          </w:p>
        </w:tc>
        <w:tc>
          <w:tcPr>
            <w:tcW w:w="80" w:type="dxa"/>
            <w:vAlign w:val="bottom"/>
            <w:shd w:val="clear" w:color="auto" w:fill="DBDBDB"/>
          </w:tcPr>
          <w:p>
            <w:pPr>
              <w:spacing w:after="0"/>
              <w:rPr>
                <w:sz w:val="14"/>
                <w:szCs w:val="14"/>
                <w:color w:val="auto"/>
              </w:rPr>
            </w:pPr>
          </w:p>
        </w:tc>
        <w:tc>
          <w:tcPr>
            <w:tcW w:w="920" w:type="dxa"/>
            <w:vAlign w:val="bottom"/>
            <w:shd w:val="clear" w:color="auto" w:fill="DBDBDB"/>
          </w:tcPr>
          <w:p>
            <w:pPr>
              <w:jc w:val="right"/>
              <w:ind w:right="779"/>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165</w:t>
            </w:r>
          </w:p>
        </w:tc>
        <w:tc>
          <w:tcPr>
            <w:tcW w:w="80" w:type="dxa"/>
            <w:vAlign w:val="bottom"/>
            <w:shd w:val="clear" w:color="auto" w:fill="DBDBDB"/>
          </w:tcPr>
          <w:p>
            <w:pPr>
              <w:spacing w:after="0"/>
              <w:rPr>
                <w:sz w:val="14"/>
                <w:szCs w:val="14"/>
                <w:color w:val="auto"/>
              </w:rPr>
            </w:pPr>
          </w:p>
        </w:tc>
        <w:tc>
          <w:tcPr>
            <w:tcW w:w="540" w:type="dxa"/>
            <w:vAlign w:val="bottom"/>
            <w:shd w:val="clear" w:color="auto" w:fill="DBDBDB"/>
          </w:tcPr>
          <w:p>
            <w:pPr>
              <w:jc w:val="right"/>
              <w:ind w:right="399"/>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827</w:t>
            </w:r>
          </w:p>
        </w:tc>
      </w:tr>
      <w:tr>
        <w:trPr>
          <w:trHeight w:val="159"/>
        </w:trPr>
        <w:tc>
          <w:tcPr>
            <w:tcW w:w="262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Consulting expense to related party</w:t>
            </w:r>
          </w:p>
        </w:tc>
        <w:tc>
          <w:tcPr>
            <w:tcW w:w="262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Selling, general &amp; administrative expense</w:t>
            </w: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w:t>
            </w:r>
          </w:p>
        </w:tc>
        <w:tc>
          <w:tcPr>
            <w:tcW w:w="80" w:type="dxa"/>
            <w:vAlign w:val="bottom"/>
            <w:tcBorders>
              <w:bottom w:val="single" w:sz="8" w:color="DBDBDB"/>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(2,158)</w:t>
            </w:r>
          </w:p>
        </w:tc>
        <w:tc>
          <w:tcPr>
            <w:tcW w:w="80" w:type="dxa"/>
            <w:vAlign w:val="bottom"/>
            <w:tcBorders>
              <w:bottom w:val="single" w:sz="8" w:color="DBDBDB"/>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(2,149)</w:t>
            </w:r>
          </w:p>
        </w:tc>
        <w:tc>
          <w:tcPr>
            <w:tcW w:w="80" w:type="dxa"/>
            <w:vAlign w:val="bottom"/>
            <w:tcBorders>
              <w:bottom w:val="single" w:sz="8" w:color="DBDBDB"/>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(2,996)</w:t>
            </w:r>
          </w:p>
        </w:tc>
      </w:tr>
      <w:tr>
        <w:trPr>
          <w:trHeight w:val="179"/>
        </w:trPr>
        <w:tc>
          <w:tcPr>
            <w:tcW w:w="2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Total related party expense, net</w:t>
            </w:r>
          </w:p>
        </w:tc>
        <w:tc>
          <w:tcPr>
            <w:tcW w:w="2620" w:type="dxa"/>
            <w:vAlign w:val="bottom"/>
            <w:tcBorders>
              <w:bottom w:val="single" w:sz="8" w:color="DBDBDB"/>
            </w:tcBorders>
            <w:shd w:val="clear" w:color="auto" w:fill="DBDBDB"/>
          </w:tcPr>
          <w:p>
            <w:pPr>
              <w:spacing w:after="0"/>
              <w:rPr>
                <w:sz w:val="15"/>
                <w:szCs w:val="15"/>
                <w:color w:val="auto"/>
              </w:rPr>
            </w:pPr>
          </w:p>
        </w:tc>
        <w:tc>
          <w:tcPr>
            <w:tcW w:w="860" w:type="dxa"/>
            <w:vAlign w:val="bottom"/>
            <w:tcBorders>
              <w:bottom w:val="single" w:sz="8" w:color="auto"/>
            </w:tcBorders>
            <w:shd w:val="clear" w:color="auto" w:fill="DBDBDB"/>
          </w:tcPr>
          <w:p>
            <w:pPr>
              <w:jc w:val="right"/>
              <w:ind w:right="719"/>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(189)</w:t>
            </w:r>
          </w:p>
        </w:tc>
        <w:tc>
          <w:tcPr>
            <w:tcW w:w="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jc w:val="right"/>
              <w:ind w:right="799"/>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(1,864)</w:t>
            </w:r>
          </w:p>
        </w:tc>
        <w:tc>
          <w:tcPr>
            <w:tcW w:w="8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jc w:val="right"/>
              <w:ind w:right="779"/>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(1,984)</w:t>
            </w:r>
          </w:p>
        </w:tc>
        <w:tc>
          <w:tcPr>
            <w:tcW w:w="8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auto"/>
            </w:tcBorders>
            <w:shd w:val="clear" w:color="auto" w:fill="DBDBDB"/>
          </w:tcPr>
          <w:p>
            <w:pPr>
              <w:jc w:val="right"/>
              <w:ind w:right="399"/>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(2,169)</w:t>
            </w:r>
          </w:p>
        </w:tc>
      </w:tr>
      <w:tr>
        <w:trPr>
          <w:trHeight w:val="20"/>
        </w:trPr>
        <w:tc>
          <w:tcPr>
            <w:tcW w:w="2620" w:type="dxa"/>
            <w:vAlign w:val="bottom"/>
            <w:tcBorders>
              <w:top w:val="single" w:sz="8" w:color="DBDBDB"/>
            </w:tcBorders>
          </w:tcPr>
          <w:p>
            <w:pPr>
              <w:spacing w:after="0" w:line="20" w:lineRule="exact"/>
              <w:rPr>
                <w:sz w:val="1"/>
                <w:szCs w:val="1"/>
                <w:color w:val="auto"/>
              </w:rPr>
            </w:pPr>
          </w:p>
        </w:tc>
        <w:tc>
          <w:tcPr>
            <w:tcW w:w="262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On June 30, 2020, the Company completed the Sapphire Exchange, whereby Sapphire Holdings, an affiliate of TDR Capital, exchanged shares of Class B Common Stock for 10,641,182 shares of Class A Common Stock. As a result of the Sapphire Exchange, all issued and outstanding shares of WillScot’s Class B Common Stock were automatically canceled for no consideration and the existing exchange agreement was automatically terminated.</w:t>
      </w:r>
    </w:p>
    <w:p>
      <w:pPr>
        <w:spacing w:after="0" w:line="29"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On August 22, 2018, WillScot’s principal stockholder, Sapphire Holdings, entered into a margin loan (the "Margin Loan") under which all of its shares of WillScot Mobile Mini Common Stock were pledged to secure borrowings of up to $125.0 million under the loan agreement. WillScot Mobile Mini was not a party to the loan agreement and had no obligations thereunder. On June 29, 2021, Sapphire Holdings repaid all outstanding amounts under the Margin Loan with proceeds from the sale of certain shares of WillScot Mobile Mini and no WillScot Mobile Mini shares remain pledged thereunder.</w:t>
      </w:r>
    </w:p>
    <w:p>
      <w:pPr>
        <w:spacing w:after="0" w:line="29" w:lineRule="exact"/>
        <w:rPr>
          <w:sz w:val="20"/>
          <w:szCs w:val="20"/>
          <w:color w:val="auto"/>
        </w:rPr>
      </w:pPr>
    </w:p>
    <w:p>
      <w:pPr>
        <w:jc w:val="both"/>
        <w:ind w:firstLine="484"/>
        <w:spacing w:after="0" w:line="248" w:lineRule="auto"/>
        <w:rPr>
          <w:sz w:val="20"/>
          <w:szCs w:val="20"/>
          <w:color w:val="auto"/>
        </w:rPr>
      </w:pPr>
      <w:r>
        <w:rPr>
          <w:rFonts w:ascii="Arial" w:cs="Arial" w:eastAsia="Arial" w:hAnsi="Arial"/>
          <w:sz w:val="12"/>
          <w:szCs w:val="12"/>
          <w:color w:val="auto"/>
        </w:rPr>
        <w:t>On March 1, 2021, the Company repurchased from Sapphire Holdings and cancelled 2,750,000 shares of its Common Stock. On June 29, 2021, the Company repurchased from Sapphire Holdings and cancelled an additional 3,900,000 shares of its Common Stock. Following the reduction in Sapphire Holdings’ beneficial ownership of Common Stock resulting from the foregoing repurchases and the underwritten secondary offering by Sapphire Holdings of 16,100,000 shares of Common Stock on June 25, 2021, Gary Lindsay resigned his position as a member of the WillScot Mobile Mini board of directors pursuant to the terms of the shareholders agreement dated as of July 1, 2020 between Sapphire Holdings, TDR Capital II Holdings L.P., TDR Capital, L.L.P. and WillScot Mobile Mini. As of June 30, 2021, Sapphire Holdings owns approximately 10.3% of the Company's Common Stock.</w:t>
      </w:r>
    </w:p>
    <w:p>
      <w:pPr>
        <w:spacing w:after="0" w:line="33"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Company purchased rental equipment from related party affiliates of $0.7 million and $1.4 million for the three months ended June 30, 2021 and 2020, respectively. The Company purchased rental equipment from related party affiliates of $2.5 million and $1.6 million for the six months ended June 30,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848360</wp:posOffset>
            </wp:positionV>
            <wp:extent cx="719264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9" w:right="319" w:bottom="1440" w:gutter="0" w:footer="0" w:header="0"/>
        </w:sectPr>
      </w:pPr>
    </w:p>
    <w:bookmarkStart w:id="35" w:name="page36"/>
    <w:bookmarkEnd w:id="35"/>
    <w:p>
      <w:pPr>
        <w:ind w:left="1360" w:right="500" w:hanging="1452"/>
        <w:spacing w:after="0" w:line="278" w:lineRule="auto"/>
        <w:tabs>
          <w:tab w:leader="none" w:pos="1340" w:val="left"/>
        </w:tabs>
        <w:rPr>
          <w:sz w:val="20"/>
          <w:szCs w:val="20"/>
          <w:color w:val="auto"/>
        </w:rPr>
      </w:pPr>
      <w:r>
        <w:rPr>
          <w:rFonts w:ascii="Arial" w:cs="Arial" w:eastAsia="Arial" w:hAnsi="Arial"/>
          <w:sz w:val="30"/>
          <w:szCs w:val="30"/>
          <w:b w:val="1"/>
          <w:bCs w:val="1"/>
          <w:color w:val="auto"/>
        </w:rPr>
        <w:t>ITEM 2.</w:t>
        <w:tab/>
        <w:t>Management’s Discussion and Analysis of Financial Condition and Results of Operations</w:t>
      </w:r>
    </w:p>
    <w:p>
      <w:pPr>
        <w:spacing w:after="0" w:line="10" w:lineRule="exact"/>
        <w:rPr>
          <w:sz w:val="20"/>
          <w:szCs w:val="20"/>
          <w:color w:val="auto"/>
        </w:rPr>
      </w:pPr>
    </w:p>
    <w:p>
      <w:pPr>
        <w:jc w:val="both"/>
        <w:ind w:firstLine="484"/>
        <w:spacing w:after="0" w:line="248" w:lineRule="auto"/>
        <w:rPr>
          <w:sz w:val="20"/>
          <w:szCs w:val="20"/>
          <w:color w:val="auto"/>
        </w:rPr>
      </w:pPr>
      <w:r>
        <w:rPr>
          <w:rFonts w:ascii="Arial" w:cs="Arial" w:eastAsia="Arial" w:hAnsi="Arial"/>
          <w:sz w:val="12"/>
          <w:szCs w:val="12"/>
          <w:color w:val="auto"/>
        </w:rPr>
        <w:t>The following Management’s Discussion and Analysis of Financial Condition and Results of Operations (“MD&amp;A”) is intended to help the reader understand WillScot Mobile Mini Holdings Corp. ("WillScot Mobile Mini"), formerly known as WillScot Corporation ("WillScot"), our operations and our present business environment. MD&amp;A is provided as a supplement to, and should be read in conjunction with, our financial statements and the accompanying notes thereto, contained in Part I, Item 1 of this report. The discussion of results of operations in this MD&amp;A is presented on a historical basis, as of or for the three and six months ended June 30, 2021 or prior periods. On July 1, 2020, WillScot and Mobile Mini, Inc. (“Mobile Mini”) merged (the “Merger”). As the Merger was completed on July 1, 2020, unless the context otherwise requires, the terms “we”, “us”, “our” “Company” and “WillScot Mobile Mini” as used in these financial statements mean WillScot Corporation and its subsidiaries when referring to periods prior to July 1, 2020 (prior to the Merger) and to WillScot Mobile Mini when referring to periods on or after July 1, 2020 (after the Merger).</w:t>
      </w:r>
    </w:p>
    <w:p>
      <w:pPr>
        <w:spacing w:after="0" w:line="32"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The consolidated financial statements were prepared in conformity with accounting principles generally accepted in the US (“GAAP”). 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Reconciliations of non-GAAP measures are provided in the Other Non-GAAP Financial Data and Reconciliations section.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1D2758"/>
        </w:rPr>
        <w:t>Executive Summary and Outlook</w:t>
      </w:r>
    </w:p>
    <w:p>
      <w:pPr>
        <w:spacing w:after="0" w:line="85"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We are a leading business services provider specializing in innovative flexible work space and portable storage solutions. We service diverse end markets across all sectors of the economy throughout the United States ("US"), Canada, Mexico and the United Kingdom ("UK"). We are also a leading provider of specialty containment solutions in the US with over 12,600 tank and pump units in our fleet. As of June 30, 2021, our branch network included approximately 270 branch locations and additional drop lots to service over 85,000 customers. We offer our customers an extensive selection of “Ready to Work” modular space and portable storage solutions with over 157,000 modular space units and over 195,000 portable storage units in our fleet.</w:t>
      </w:r>
    </w:p>
    <w:p>
      <w:pPr>
        <w:spacing w:after="0" w:line="33" w:lineRule="exact"/>
        <w:rPr>
          <w:sz w:val="20"/>
          <w:szCs w:val="20"/>
          <w:color w:val="auto"/>
        </w:rPr>
      </w:pPr>
    </w:p>
    <w:p>
      <w:pPr>
        <w:jc w:val="both"/>
        <w:ind w:firstLine="484"/>
        <w:spacing w:after="0" w:line="248" w:lineRule="auto"/>
        <w:rPr>
          <w:sz w:val="20"/>
          <w:szCs w:val="20"/>
          <w:color w:val="auto"/>
        </w:rPr>
      </w:pPr>
      <w:r>
        <w:rPr>
          <w:rFonts w:ascii="Arial" w:cs="Arial" w:eastAsia="Arial" w:hAnsi="Arial"/>
          <w:sz w:val="12"/>
          <w:szCs w:val="12"/>
          <w:color w:val="auto"/>
        </w:rPr>
        <w:t>We primarily lease, rather than sell, our modular and portable storage units to customers, which results in a highly diversified and predictable recurring revenue stream.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recurring nature and the underlying stability and diversification of our lease portfolio. However, given that our customers value flexibility, they consistently extend their leases or renew on a month-to-month basis such that the average effective duration of our lease portfolio excluding seasonal portable storage units is approximately 30 months. We complement our core leasing business by selling both new and used units, allowing us to leverage scale, achieve purchasing benefits and redeploy capital employed in our lease fleet.</w:t>
      </w:r>
    </w:p>
    <w:p>
      <w:pPr>
        <w:spacing w:after="0" w:line="33"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Our customers operate in a diversified set of end markets, including construction, commercial and industrial, retail and wholesale trade, education, energy and natural resources, government, and healthcare. Core to our operating model is the ability to redeploy standardized assets across end markets, as we did in 2020 to service emerging demand in the healthcare and government sectors related to COVID-19, as well as expanded space requirements related to social distancing. We track several market leading indicators including those related to our two largest end markets, the commercial and industrial segment and the construction segment, which together accounted for over 85% of our revenues for the three months ended June 30, 2021.</w:t>
      </w:r>
    </w:p>
    <w:p>
      <w:pPr>
        <w:spacing w:after="0" w:line="33"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We remain focused on our core priorities of growing leasing revenues by increasing units on rent, both organically and through our consolidation strategy, delivering “Ready to Work” solutions to our customers with value added products and services ("VAPS"), and on continually improving the overall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541020</wp:posOffset>
            </wp:positionV>
            <wp:extent cx="719264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color w:val="auto"/>
        </w:rPr>
        <w:t>Significant Developments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Mobile Mini Merger</w:t>
      </w:r>
    </w:p>
    <w:p>
      <w:pPr>
        <w:spacing w:after="0" w:line="98"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On July 1, 2020, we closed the Merger at which time Mobile Mini became a wholly-owned subsidiary of WillScot. Concurrent with the closing of the Merger, we changed our name to WillScot Mobile Mini Holdings Corp. We believe that the Merger is resulting in strategic and financial benefits by combining the two industry leaders in the complementary modular space and portable storage solutions markets. As part of the Merger, we planned to integrate the two companies' customer relationship management, operating, and financial systems. A significant portion of these efforts to date had been focused on the conversion of the combined company onto a single enterprise resource planning system, which was successfully completed during the second quarter of 2021.</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Reportable Segments</w:t>
      </w:r>
    </w:p>
    <w:p>
      <w:pPr>
        <w:spacing w:after="0" w:line="98"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Following the Merger, we operate in four reporting segments: NA Modular, NA Storage, UK Storage, and Tank and Pump. Prior to the Merger, WillScot had two reporting segments, US Modular and Other North America Modular. These two segments were combined to create the NA Modular segment, which represents the legacy WillScot operations. The other segments, NA Storage, UK Storage, and Tank and Pump, align to the legacy operations and segments reported by Mobile Mini. The reporting segments are aligned with how we operate and analyze our business results.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Financing Activities</w:t>
      </w:r>
    </w:p>
    <w:p>
      <w:pPr>
        <w:spacing w:after="0" w:line="98"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On March 26, 2021, we redeemed $65.0 million of our 6.125% senior secured notes due 2025 (the “2025 Secured Notes”) at a redemption price of 103.0%, plus accrued and unpaid interest. This repayment was funded by internally generated cash flow and lower cost borrowings under the 2020 ABL facility. Upon redemption in the first quarter of 2021, we recorded a loss on extinguishment of debt in the condensed consolidated statement of operations of $3.2 million comprised of a redemption premium of $1.9 million and write- off of unamortized deferred financing fees of $1.3 million.</w:t>
      </w:r>
    </w:p>
    <w:p>
      <w:pPr>
        <w:spacing w:after="0" w:line="29"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On June 16, 2021, we redeemed an additional $58.5 million of our 2025 Secured Notes at a redemption price of 103.0%, plus accrued and unpaid interest. This repayment was funded by internally generated cash flow and lower cost borrowings under the 2020 ABL facility. Upon redemption in the second quarter of 2021, we recorded a loss on extinguishment of debt in the condensed consolidated statement of operations of $2.8 million comprised of a redemption premium of $1.8 million and write off of unamortized deferred financing fees of $1.0 million.</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Share and Warrant Repurchases</w:t>
      </w:r>
    </w:p>
    <w:p>
      <w:pPr>
        <w:spacing w:after="0" w:line="98"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On March 1, 2021, we repurchased and cancelled 2,750,000 shares of our Common Stock directly from Sapphire Holding S.à r.l. (“Sapphire Holdings”), our largest shareholder, which is controlled by TDR Capital LLP (“TDR Capital”), for $73.7 million. On June 29, 2021, we repurchased and cancelled an additional 3,900,000 shares of our Common Stock directly from Sapphire Holdings for $108.2 million. As of June 30, 2021, Sapphire Holdings owns approximately 10.3% of the Company's Common Stock.</w:t>
      </w:r>
    </w:p>
    <w:p>
      <w:pPr>
        <w:spacing w:after="0" w:line="29"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During the six months ended June 30, 2021, we repurchased and cancelled 3,055,000 2015 Private Warrants for $25.5 million. In addition, during the six months ended June 30, 2021, 9,655,000 2015 Private Warrants were exercised on a cashless basis, resulting in the issuance of 2,939,898 shares of Common Stock. As a result of these transactions, no 2015 Private Warrants were outstanding as of June 30, 2021.</w:t>
      </w:r>
    </w:p>
    <w:p>
      <w:pPr>
        <w:spacing w:after="0" w:line="29"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During the six months ended June 30, 2021, we repurchased and cancelled 218,135 2018 Warrants for $2.2 million. In addition, during the six months ended June 30, 2021, 2,346,195 of the 2018 Warrants were exercised on a cashless basis, resulting in the issuance of 1,091,066 shares of common stock. At June 30, 2021, 7,165,911 of the 2018 Warrants were outstanding.</w:t>
      </w:r>
    </w:p>
    <w:p>
      <w:pPr>
        <w:spacing w:after="0" w:line="66"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During the six months ended June 30, 2021, we repurchased a total of 7,901,657 shares of Common Stock and stock equivalents for $216.3 million, including the shares repurchased from Sapphire Holdings and all repurchased warrants. As of June 30, 2021, we had $249.2 million remaining of a $500.0 million share repurchase authorization under our stock repurchase program and believe that repurchases will be a reoccurring capital allocation priority given the predictability of our free cash flow.</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COVID-19 Impact on Business</w:t>
      </w:r>
    </w:p>
    <w:p>
      <w:pPr>
        <w:spacing w:after="0" w:line="98" w:lineRule="exact"/>
        <w:rPr>
          <w:sz w:val="20"/>
          <w:szCs w:val="20"/>
          <w:color w:val="auto"/>
        </w:rPr>
      </w:pPr>
    </w:p>
    <w:p>
      <w:pPr>
        <w:jc w:val="both"/>
        <w:ind w:firstLine="484"/>
        <w:spacing w:after="0" w:line="248" w:lineRule="auto"/>
        <w:rPr>
          <w:sz w:val="20"/>
          <w:szCs w:val="20"/>
          <w:color w:val="auto"/>
        </w:rPr>
      </w:pPr>
      <w:r>
        <w:rPr>
          <w:rFonts w:ascii="Arial" w:cs="Arial" w:eastAsia="Arial" w:hAnsi="Arial"/>
          <w:sz w:val="12"/>
          <w:szCs w:val="12"/>
          <w:color w:val="auto"/>
        </w:rPr>
        <w:t>Since the outbreak of COVID-19 was designated as a global pandemic by the World Health Organization (the “WHO”) in March 2020, our operations have generally continued to operate normally with additional safety protocols in place as we have been considered an essential business in most jurisdictions. The global macroeconomic backdrop and impact on our end markets has evolved rapidly since the beginning of 2020. However, overall our lease portfolio and financial results have proven to be durable and predictable despite the severity of the economic contraction in 2020 and the current expansion in 2021. On a pro forma basis, our deliveries were down 25% in the second quarter of 2020 year over year and 13% in the third quarter of 2020 year over year due to COVID-19 related economic contraction in our largest geographic markets. This reduced delivery demand slowed the growth of our leasing revenues as well as our delivery and installation revenues. However, we successfully implemented significant variable cost and capital expenditure reductions to help offset the financial impact of the temporarily reduced activity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519430</wp:posOffset>
            </wp:positionV>
            <wp:extent cx="719264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37" w:name="page38"/>
    <w:bookmarkEnd w:id="37"/>
    <w:p>
      <w:pPr>
        <w:jc w:val="both"/>
        <w:ind w:firstLine="484"/>
        <w:spacing w:after="0" w:line="252" w:lineRule="auto"/>
        <w:rPr>
          <w:sz w:val="20"/>
          <w:szCs w:val="20"/>
          <w:color w:val="auto"/>
        </w:rPr>
      </w:pPr>
      <w:r>
        <w:rPr>
          <w:rFonts w:ascii="Arial" w:cs="Arial" w:eastAsia="Arial" w:hAnsi="Arial"/>
          <w:sz w:val="12"/>
          <w:szCs w:val="12"/>
          <w:color w:val="auto"/>
        </w:rPr>
        <w:t>Importantly, due to our long lease durations, the majority of our gross profit in any given period is from units already out on rent. This gives us significant forward visibility into our future cash flows, which allows us to plan ahead and adjust our capital expenditures and cost structure for varying demand levels. As expected, our portfolio of units already out on rent at the onset of the pandemic was resilient and largely unimpacted, despite the unprecedented swings in economic activity in 2020.</w:t>
      </w:r>
    </w:p>
    <w:p>
      <w:pPr>
        <w:spacing w:after="0" w:line="29" w:lineRule="exact"/>
        <w:rPr>
          <w:sz w:val="20"/>
          <w:szCs w:val="20"/>
          <w:color w:val="auto"/>
        </w:rPr>
      </w:pPr>
    </w:p>
    <w:p>
      <w:pPr>
        <w:jc w:val="both"/>
        <w:ind w:firstLine="484"/>
        <w:spacing w:after="0" w:line="248" w:lineRule="auto"/>
        <w:rPr>
          <w:sz w:val="20"/>
          <w:szCs w:val="20"/>
          <w:color w:val="auto"/>
        </w:rPr>
      </w:pPr>
      <w:r>
        <w:rPr>
          <w:rFonts w:ascii="Arial" w:cs="Arial" w:eastAsia="Arial" w:hAnsi="Arial"/>
          <w:sz w:val="12"/>
          <w:szCs w:val="12"/>
          <w:color w:val="auto"/>
        </w:rPr>
        <w:t>Activity levels in the fourth quarter of 2020 and the first half of 2021 have since stabilized, and our volume of new lease activations grew significantly in the second quarter of 2021 as economic activity rebounded sharply. For the three months ended June 30, 2021, modular product deliveries across our NA Modular and NA Storage segments were up a combined 9% over 2020 levels and storage product deliveries across these two segments were up a combined 39% over 2020 levels and on par with 2019 activity levels. Overall, while new lease activation volumes over the past 18 months were impacted in line with the swings in economic activity, our lease revenue streams were stable and predictable and remain on an attractive upward long-term trajectory, which is a direct reflection of the diversification in our end markets, our long lease durations, and the success of the organic growth initiatives that we are executing.</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Second Quarter Highlights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For the three months ended June 30, 2021, key drivers of our financial performance included:</w:t>
      </w:r>
    </w:p>
    <w:p>
      <w:pPr>
        <w:spacing w:after="0" w:line="84" w:lineRule="exact"/>
        <w:rPr>
          <w:sz w:val="20"/>
          <w:szCs w:val="20"/>
          <w:color w:val="auto"/>
        </w:rPr>
      </w:pPr>
    </w:p>
    <w:p>
      <w:pPr>
        <w:ind w:left="480" w:hanging="237"/>
        <w:spacing w:after="0" w:line="258" w:lineRule="auto"/>
        <w:tabs>
          <w:tab w:leader="none" w:pos="472" w:val="left"/>
        </w:tabs>
        <w:numPr>
          <w:ilvl w:val="0"/>
          <w:numId w:val="9"/>
        </w:numPr>
        <w:rPr>
          <w:rFonts w:ascii="Arial" w:cs="Arial" w:eastAsia="Arial" w:hAnsi="Arial"/>
          <w:sz w:val="12"/>
          <w:szCs w:val="12"/>
          <w:b w:val="1"/>
          <w:bCs w:val="1"/>
          <w:i w:val="1"/>
          <w:iCs w:val="1"/>
          <w:color w:val="auto"/>
        </w:rPr>
      </w:pPr>
      <w:r>
        <w:rPr>
          <w:rFonts w:ascii="Arial" w:cs="Arial" w:eastAsia="Arial" w:hAnsi="Arial"/>
          <w:sz w:val="12"/>
          <w:szCs w:val="12"/>
          <w:color w:val="auto"/>
        </w:rPr>
        <w:t>Total revenues increased by $204.2 million, or 79.5%, driven primarily by the addition of Mobile Mini's revenues to our consolidated results, as well as increased leasing revenues in the NA Modular segment. The Merger closed on July 1, 2020, and drove $171.7 million of the year over year increase.</w:t>
      </w:r>
    </w:p>
    <w:p>
      <w:pPr>
        <w:spacing w:after="0" w:line="66" w:lineRule="exact"/>
        <w:rPr>
          <w:rFonts w:ascii="Arial" w:cs="Arial" w:eastAsia="Arial" w:hAnsi="Arial"/>
          <w:sz w:val="12"/>
          <w:szCs w:val="12"/>
          <w:b w:val="1"/>
          <w:bCs w:val="1"/>
          <w:i w:val="1"/>
          <w:iCs w:val="1"/>
          <w:color w:val="auto"/>
        </w:rPr>
      </w:pPr>
    </w:p>
    <w:p>
      <w:pPr>
        <w:ind w:left="480" w:hanging="237"/>
        <w:spacing w:after="0" w:line="258" w:lineRule="auto"/>
        <w:tabs>
          <w:tab w:leader="none" w:pos="472" w:val="left"/>
        </w:tabs>
        <w:numPr>
          <w:ilvl w:val="0"/>
          <w:numId w:val="9"/>
        </w:numPr>
        <w:rPr>
          <w:rFonts w:ascii="Arial" w:cs="Arial" w:eastAsia="Arial" w:hAnsi="Arial"/>
          <w:sz w:val="12"/>
          <w:szCs w:val="12"/>
          <w:color w:val="auto"/>
        </w:rPr>
      </w:pPr>
      <w:r>
        <w:rPr>
          <w:rFonts w:ascii="Arial" w:cs="Arial" w:eastAsia="Arial" w:hAnsi="Arial"/>
          <w:sz w:val="12"/>
          <w:szCs w:val="12"/>
          <w:color w:val="auto"/>
        </w:rPr>
        <w:t>Leasing revenue increased $153.0 million, or 80.5%, delivery and installation revenue increased $40.0 million, or 77.5%, rental unit sales increased $9.9 million, or 186.8%, and new sales revenue increased $1.2 million, or 12.2%.</w:t>
      </w:r>
    </w:p>
    <w:p>
      <w:pPr>
        <w:spacing w:after="0" w:line="66" w:lineRule="exact"/>
        <w:rPr>
          <w:rFonts w:ascii="Arial" w:cs="Arial" w:eastAsia="Arial" w:hAnsi="Arial"/>
          <w:sz w:val="12"/>
          <w:szCs w:val="12"/>
          <w:color w:val="auto"/>
        </w:rPr>
      </w:pPr>
    </w:p>
    <w:p>
      <w:pPr>
        <w:ind w:left="480"/>
        <w:spacing w:after="0"/>
        <w:rPr>
          <w:rFonts w:ascii="Arial" w:cs="Arial" w:eastAsia="Arial" w:hAnsi="Arial"/>
          <w:sz w:val="12"/>
          <w:szCs w:val="12"/>
          <w:color w:val="auto"/>
        </w:rPr>
      </w:pPr>
      <w:r>
        <w:rPr>
          <w:rFonts w:ascii="Arial" w:cs="Arial" w:eastAsia="Arial" w:hAnsi="Arial"/>
          <w:sz w:val="12"/>
          <w:szCs w:val="12"/>
          <w:color w:val="auto"/>
        </w:rPr>
        <w:t>Key leasing revenue drivers include:</w:t>
      </w:r>
    </w:p>
    <w:p>
      <w:pPr>
        <w:spacing w:after="0" w:line="83" w:lineRule="exact"/>
        <w:rPr>
          <w:rFonts w:ascii="Arial" w:cs="Arial" w:eastAsia="Arial" w:hAnsi="Arial"/>
          <w:sz w:val="12"/>
          <w:szCs w:val="12"/>
          <w:color w:val="auto"/>
        </w:rPr>
      </w:pPr>
    </w:p>
    <w:p>
      <w:pPr>
        <w:ind w:left="960" w:hanging="242"/>
        <w:spacing w:after="0" w:line="258" w:lineRule="auto"/>
        <w:rPr>
          <w:rFonts w:ascii="Arial" w:cs="Arial" w:eastAsia="Arial" w:hAnsi="Arial"/>
          <w:sz w:val="12"/>
          <w:szCs w:val="12"/>
          <w:color w:val="auto"/>
        </w:rPr>
      </w:pPr>
      <w:r>
        <w:rPr>
          <w:rFonts w:ascii="Arial" w:cs="Arial" w:eastAsia="Arial" w:hAnsi="Arial"/>
          <w:sz w:val="12"/>
          <w:szCs w:val="12"/>
          <w:color w:val="auto"/>
        </w:rPr>
        <w:t>– Average modular space units on rent increased 23,372 units, or 26.8%, and average portable storage units on rent increased 135,867 units, or 856.2%. Both increases were driven by the Mobile Mini Merger.</w:t>
      </w:r>
    </w:p>
    <w:p>
      <w:pPr>
        <w:spacing w:after="0" w:line="66" w:lineRule="exact"/>
        <w:rPr>
          <w:rFonts w:ascii="Arial" w:cs="Arial" w:eastAsia="Arial" w:hAnsi="Arial"/>
          <w:sz w:val="12"/>
          <w:szCs w:val="12"/>
          <w:color w:val="auto"/>
        </w:rPr>
      </w:pPr>
    </w:p>
    <w:p>
      <w:pPr>
        <w:ind w:left="960" w:hanging="242"/>
        <w:spacing w:after="0" w:line="258" w:lineRule="auto"/>
        <w:rPr>
          <w:rFonts w:ascii="Arial" w:cs="Arial" w:eastAsia="Arial" w:hAnsi="Arial"/>
          <w:sz w:val="12"/>
          <w:szCs w:val="12"/>
          <w:color w:val="auto"/>
        </w:rPr>
      </w:pPr>
      <w:r>
        <w:rPr>
          <w:rFonts w:ascii="Arial" w:cs="Arial" w:eastAsia="Arial" w:hAnsi="Arial"/>
          <w:sz w:val="12"/>
          <w:szCs w:val="12"/>
          <w:color w:val="auto"/>
        </w:rPr>
        <w:t>– Average modular space monthly rental rate increased $67, or 10.0%, to $736 driven by an $132, or 19.7%, increase in the NA Modular segment, partially offset by the dilutive impact of lower rates due to mix on the Mobile Mini modular space units.</w:t>
      </w:r>
    </w:p>
    <w:p>
      <w:pPr>
        <w:spacing w:after="0" w:line="66" w:lineRule="exact"/>
        <w:rPr>
          <w:rFonts w:ascii="Arial" w:cs="Arial" w:eastAsia="Arial" w:hAnsi="Arial"/>
          <w:sz w:val="12"/>
          <w:szCs w:val="12"/>
          <w:color w:val="auto"/>
        </w:rPr>
      </w:pPr>
    </w:p>
    <w:p>
      <w:pPr>
        <w:ind w:left="720"/>
        <w:spacing w:after="0"/>
        <w:rPr>
          <w:rFonts w:ascii="Arial" w:cs="Arial" w:eastAsia="Arial" w:hAnsi="Arial"/>
          <w:sz w:val="12"/>
          <w:szCs w:val="12"/>
          <w:color w:val="auto"/>
        </w:rPr>
      </w:pPr>
      <w:r>
        <w:rPr>
          <w:rFonts w:ascii="Arial" w:cs="Arial" w:eastAsia="Arial" w:hAnsi="Arial"/>
          <w:sz w:val="12"/>
          <w:szCs w:val="12"/>
          <w:color w:val="auto"/>
        </w:rPr>
        <w:t>–   Average portable storage monthly rental rate increased $19, or 15.8%, to $139 driven by the accretive impact of higher rates from the Mobile Mini portable storage fleet.</w:t>
      </w:r>
    </w:p>
    <w:p>
      <w:pPr>
        <w:spacing w:after="0" w:line="83" w:lineRule="exact"/>
        <w:rPr>
          <w:rFonts w:ascii="Arial" w:cs="Arial" w:eastAsia="Arial" w:hAnsi="Arial"/>
          <w:sz w:val="12"/>
          <w:szCs w:val="12"/>
          <w:color w:val="auto"/>
        </w:rPr>
      </w:pPr>
    </w:p>
    <w:p>
      <w:pPr>
        <w:ind w:left="960" w:hanging="242"/>
        <w:spacing w:after="0" w:line="258" w:lineRule="auto"/>
        <w:rPr>
          <w:rFonts w:ascii="Arial" w:cs="Arial" w:eastAsia="Arial" w:hAnsi="Arial"/>
          <w:sz w:val="12"/>
          <w:szCs w:val="12"/>
          <w:color w:val="auto"/>
        </w:rPr>
      </w:pPr>
      <w:r>
        <w:rPr>
          <w:rFonts w:ascii="Arial" w:cs="Arial" w:eastAsia="Arial" w:hAnsi="Arial"/>
          <w:sz w:val="12"/>
          <w:szCs w:val="12"/>
          <w:color w:val="auto"/>
        </w:rPr>
        <w:t>– Average utilization for modular space units increased 180 basis points ("bps") to 70.3% and utilization for portable storage units increased to 77.7% from 62.5% for the same period in 2020 driven by higher utilization of the Mobile Mini units and increased demand in 2021 as compared to the same period in 2020.</w:t>
      </w:r>
    </w:p>
    <w:p>
      <w:pPr>
        <w:spacing w:after="0" w:line="76" w:lineRule="exact"/>
        <w:rPr>
          <w:rFonts w:ascii="Arial" w:cs="Arial" w:eastAsia="Arial" w:hAnsi="Arial"/>
          <w:sz w:val="12"/>
          <w:szCs w:val="12"/>
          <w:color w:val="auto"/>
        </w:rPr>
      </w:pPr>
    </w:p>
    <w:p>
      <w:pPr>
        <w:jc w:val="both"/>
        <w:ind w:left="480" w:hanging="237"/>
        <w:spacing w:after="0" w:line="248" w:lineRule="auto"/>
        <w:tabs>
          <w:tab w:leader="none" w:pos="477" w:val="left"/>
        </w:tabs>
        <w:numPr>
          <w:ilvl w:val="0"/>
          <w:numId w:val="9"/>
        </w:numPr>
        <w:rPr>
          <w:rFonts w:ascii="Arial" w:cs="Arial" w:eastAsia="Arial" w:hAnsi="Arial"/>
          <w:sz w:val="13"/>
          <w:szCs w:val="13"/>
          <w:i w:val="1"/>
          <w:iCs w:val="1"/>
          <w:color w:val="auto"/>
        </w:rPr>
      </w:pPr>
      <w:r>
        <w:rPr>
          <w:rFonts w:ascii="Arial" w:cs="Arial" w:eastAsia="Arial" w:hAnsi="Arial"/>
          <w:sz w:val="12"/>
          <w:szCs w:val="12"/>
          <w:color w:val="auto"/>
        </w:rPr>
        <w:t>NA Modular segment revenue, which represents the activities of WillScot prior to the Merger with Mobile Mini, represented 62.8% of consolidated revenue for the three months ended June 30, 2021 and increased $32.5 million, or 12.7%, to $289.4 million. The increase was driven by our core leasing revenue, which grew $27.5 million, or 14.5%, due to continued growth of pricing and value added products. Delivery and installation revenues increased $3.3 million, or 6.4%, driven by increased demand for new project deliveries as compared to 2020, which was significantly impacted by slowdowns associated with COVID-19. And rental unit sales grew $4.6 million, or 85.2%, partly offset by a reduction in new unit sales of $2.9 million, or 29.6%. NA Modular revenue drivers for the three months ended June 30, 2021 included:</w:t>
      </w:r>
    </w:p>
    <w:p>
      <w:pPr>
        <w:spacing w:after="0" w:line="71" w:lineRule="exact"/>
        <w:rPr>
          <w:rFonts w:ascii="Arial" w:cs="Arial" w:eastAsia="Arial" w:hAnsi="Arial"/>
          <w:sz w:val="13"/>
          <w:szCs w:val="13"/>
          <w:i w:val="1"/>
          <w:iCs w:val="1"/>
          <w:color w:val="auto"/>
        </w:rPr>
      </w:pPr>
    </w:p>
    <w:p>
      <w:pPr>
        <w:ind w:left="960" w:hanging="242"/>
        <w:spacing w:after="0" w:line="258" w:lineRule="auto"/>
        <w:rPr>
          <w:rFonts w:ascii="Arial" w:cs="Arial" w:eastAsia="Arial" w:hAnsi="Arial"/>
          <w:sz w:val="13"/>
          <w:szCs w:val="13"/>
          <w:i w:val="1"/>
          <w:iCs w:val="1"/>
          <w:color w:val="auto"/>
        </w:rPr>
      </w:pPr>
      <w:r>
        <w:rPr>
          <w:rFonts w:ascii="Arial" w:cs="Arial" w:eastAsia="Arial" w:hAnsi="Arial"/>
          <w:sz w:val="12"/>
          <w:szCs w:val="12"/>
          <w:color w:val="auto"/>
        </w:rPr>
        <w:t>– Modular space average monthly rental rate of $801, increased 19.7% year over year representing a continuation of the long-term price optimization and VAPS penetration opportunities across our portfolio.</w:t>
      </w:r>
    </w:p>
    <w:p>
      <w:pPr>
        <w:spacing w:after="0" w:line="66" w:lineRule="exact"/>
        <w:rPr>
          <w:rFonts w:ascii="Arial" w:cs="Arial" w:eastAsia="Arial" w:hAnsi="Arial"/>
          <w:sz w:val="13"/>
          <w:szCs w:val="13"/>
          <w:i w:val="1"/>
          <w:iCs w:val="1"/>
          <w:color w:val="auto"/>
        </w:rPr>
      </w:pPr>
    </w:p>
    <w:p>
      <w:pPr>
        <w:ind w:left="960" w:hanging="242"/>
        <w:spacing w:after="0" w:line="258" w:lineRule="auto"/>
        <w:rPr>
          <w:rFonts w:ascii="Arial" w:cs="Arial" w:eastAsia="Arial" w:hAnsi="Arial"/>
          <w:sz w:val="13"/>
          <w:szCs w:val="13"/>
          <w:i w:val="1"/>
          <w:iCs w:val="1"/>
          <w:color w:val="auto"/>
        </w:rPr>
      </w:pPr>
      <w:r>
        <w:rPr>
          <w:rFonts w:ascii="Arial" w:cs="Arial" w:eastAsia="Arial" w:hAnsi="Arial"/>
          <w:sz w:val="12"/>
          <w:szCs w:val="12"/>
          <w:color w:val="auto"/>
        </w:rPr>
        <w:t>– Average modular space units on rent decreased 2,342, or 2.7%, year over year driven by lower deliveries during 2020 as a result of the COVID-19 pandemic. Sequentially from March 31, 2021, average modular space units on rent were flat.</w:t>
      </w:r>
    </w:p>
    <w:p>
      <w:pPr>
        <w:spacing w:after="0" w:line="66" w:lineRule="exact"/>
        <w:rPr>
          <w:rFonts w:ascii="Arial" w:cs="Arial" w:eastAsia="Arial" w:hAnsi="Arial"/>
          <w:sz w:val="13"/>
          <w:szCs w:val="13"/>
          <w:i w:val="1"/>
          <w:iCs w:val="1"/>
          <w:color w:val="auto"/>
        </w:rPr>
      </w:pPr>
    </w:p>
    <w:p>
      <w:pPr>
        <w:ind w:left="960" w:hanging="242"/>
        <w:spacing w:after="0" w:line="258" w:lineRule="auto"/>
        <w:rPr>
          <w:rFonts w:ascii="Arial" w:cs="Arial" w:eastAsia="Arial" w:hAnsi="Arial"/>
          <w:sz w:val="13"/>
          <w:szCs w:val="13"/>
          <w:i w:val="1"/>
          <w:iCs w:val="1"/>
          <w:color w:val="auto"/>
        </w:rPr>
      </w:pPr>
      <w:r>
        <w:rPr>
          <w:rFonts w:ascii="Arial" w:cs="Arial" w:eastAsia="Arial" w:hAnsi="Arial"/>
          <w:sz w:val="12"/>
          <w:szCs w:val="12"/>
          <w:color w:val="auto"/>
        </w:rPr>
        <w:t>– Average modular space monthly utilization decreased 80 bps to 67.7% for the three months ended June 30, 2021, as compared to the three months ended June 30, 2020. Sequentially from March 31, 2021, modular utilization increased 10 bps.</w:t>
      </w:r>
    </w:p>
    <w:p>
      <w:pPr>
        <w:spacing w:after="0" w:line="66" w:lineRule="exact"/>
        <w:rPr>
          <w:rFonts w:ascii="Arial" w:cs="Arial" w:eastAsia="Arial" w:hAnsi="Arial"/>
          <w:sz w:val="13"/>
          <w:szCs w:val="13"/>
          <w:i w:val="1"/>
          <w:iCs w:val="1"/>
          <w:color w:val="auto"/>
        </w:rPr>
      </w:pPr>
    </w:p>
    <w:p>
      <w:pPr>
        <w:jc w:val="both"/>
        <w:ind w:left="480" w:hanging="237"/>
        <w:spacing w:after="0" w:line="249" w:lineRule="auto"/>
        <w:tabs>
          <w:tab w:leader="none" w:pos="472" w:val="left"/>
        </w:tabs>
        <w:numPr>
          <w:ilvl w:val="0"/>
          <w:numId w:val="9"/>
        </w:numPr>
        <w:rPr>
          <w:rFonts w:ascii="Arial" w:cs="Arial" w:eastAsia="Arial" w:hAnsi="Arial"/>
          <w:sz w:val="12"/>
          <w:szCs w:val="12"/>
          <w:b w:val="1"/>
          <w:bCs w:val="1"/>
          <w:i w:val="1"/>
          <w:iCs w:val="1"/>
          <w:color w:val="auto"/>
        </w:rPr>
      </w:pPr>
      <w:r>
        <w:rPr>
          <w:rFonts w:ascii="Arial" w:cs="Arial" w:eastAsia="Arial" w:hAnsi="Arial"/>
          <w:sz w:val="12"/>
          <w:szCs w:val="12"/>
          <w:color w:val="auto"/>
        </w:rPr>
        <w:t>Generated consolidated net income of $20.4 million for the three months ended June 30, 2021, including a $0.6 million gain on the change in fair value of common stock warrant liabilities. Net Income Excluding Gain/Loss from Warrants of $19.8 million for the three months ended June 30, 2021 represented an increase of $7.0 million, and included a $2.8 million loss on extinguishment of debt related to the opportunistic partial redemption of the 2025 Secured Notes and $15.0 million of discrete costs expensed in the period related to merger integration activities. Discrete costs in the period included $7.6 million of integration costs and $7.4 million of restructuring costs, lease impairment expense and other related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544830</wp:posOffset>
            </wp:positionV>
            <wp:extent cx="719264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38" w:name="page39"/>
    <w:bookmarkEnd w:id="38"/>
    <w:p>
      <w:pPr>
        <w:ind w:left="237" w:hanging="237"/>
        <w:spacing w:after="0" w:line="258" w:lineRule="auto"/>
        <w:tabs>
          <w:tab w:leader="none" w:pos="229" w:val="left"/>
        </w:tabs>
        <w:numPr>
          <w:ilvl w:val="0"/>
          <w:numId w:val="10"/>
        </w:numPr>
        <w:rPr>
          <w:rFonts w:ascii="Arial" w:cs="Arial" w:eastAsia="Arial" w:hAnsi="Arial"/>
          <w:sz w:val="12"/>
          <w:szCs w:val="12"/>
          <w:b w:val="1"/>
          <w:bCs w:val="1"/>
          <w:i w:val="1"/>
          <w:iCs w:val="1"/>
          <w:color w:val="auto"/>
        </w:rPr>
      </w:pPr>
      <w:r>
        <w:rPr>
          <w:rFonts w:ascii="Arial" w:cs="Arial" w:eastAsia="Arial" w:hAnsi="Arial"/>
          <w:sz w:val="12"/>
          <w:szCs w:val="12"/>
          <w:color w:val="auto"/>
        </w:rPr>
        <w:t>Adjusted EBITDA of $175.5 million for the three months ended June 30, 2021 represented an increase of $78.0 million, or 80.0%, as compared to the same period in 2020. Of this increase, $71.9 million was driven by the addition of Mobile Mini to our consolidated results and the remainder was driven by strong organic growth in our NA Modular segment.</w:t>
      </w:r>
    </w:p>
    <w:p>
      <w:pPr>
        <w:spacing w:after="0" w:line="66" w:lineRule="exact"/>
        <w:rPr>
          <w:rFonts w:ascii="Arial" w:cs="Arial" w:eastAsia="Arial" w:hAnsi="Arial"/>
          <w:sz w:val="12"/>
          <w:szCs w:val="12"/>
          <w:b w:val="1"/>
          <w:bCs w:val="1"/>
          <w:i w:val="1"/>
          <w:iCs w:val="1"/>
          <w:color w:val="auto"/>
        </w:rPr>
      </w:pPr>
    </w:p>
    <w:p>
      <w:pPr>
        <w:ind w:left="717" w:hanging="242"/>
        <w:spacing w:after="0" w:line="258" w:lineRule="auto"/>
        <w:rPr>
          <w:rFonts w:ascii="Arial" w:cs="Arial" w:eastAsia="Arial" w:hAnsi="Arial"/>
          <w:sz w:val="12"/>
          <w:szCs w:val="12"/>
          <w:b w:val="1"/>
          <w:bCs w:val="1"/>
          <w:i w:val="1"/>
          <w:iCs w:val="1"/>
          <w:color w:val="auto"/>
        </w:rPr>
      </w:pPr>
      <w:r>
        <w:rPr>
          <w:rFonts w:ascii="Arial" w:cs="Arial" w:eastAsia="Arial" w:hAnsi="Arial"/>
          <w:sz w:val="12"/>
          <w:szCs w:val="12"/>
          <w:color w:val="auto"/>
        </w:rPr>
        <w:t>– Adjusted EBITDA in our NA Modular segment, which represents the activities of WillScot prior to the Merger, increased $6.0 million, or 6.2%, primarily driven by increases in leasing gross profit driven by increased pricing, including VAPS, partially offset by increased variable costs due to higher activity levels in 2021.</w:t>
      </w:r>
    </w:p>
    <w:p>
      <w:pPr>
        <w:spacing w:after="0" w:line="58" w:lineRule="exact"/>
        <w:rPr>
          <w:rFonts w:ascii="Arial" w:cs="Arial" w:eastAsia="Arial" w:hAnsi="Arial"/>
          <w:sz w:val="12"/>
          <w:szCs w:val="12"/>
          <w:b w:val="1"/>
          <w:bCs w:val="1"/>
          <w:i w:val="1"/>
          <w:iCs w:val="1"/>
          <w:color w:val="auto"/>
        </w:rPr>
      </w:pPr>
    </w:p>
    <w:p>
      <w:pPr>
        <w:ind w:left="717" w:hanging="242"/>
        <w:spacing w:after="0" w:line="252" w:lineRule="auto"/>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w:t>
      </w:r>
      <w:r>
        <w:rPr>
          <w:rFonts w:ascii="Arial" w:cs="Arial" w:eastAsia="Arial" w:hAnsi="Arial"/>
          <w:sz w:val="12"/>
          <w:szCs w:val="12"/>
          <w:color w:val="auto"/>
        </w:rPr>
        <w:t>Consolidated Adjusted EBITDA Margin was 38.1% in the second quarter and increased 10 bps versus prior year driven by the addition of Mobile Mini's higher margin portable storage business, partially offset by a higher proportion of delivery and installation revenues to total revenues and increased variable costs in the NA Modular Segment as a result of higher activity levels in the current year quarter.</w:t>
      </w:r>
    </w:p>
    <w:p>
      <w:pPr>
        <w:spacing w:after="0" w:line="77" w:lineRule="exact"/>
        <w:rPr>
          <w:rFonts w:ascii="Arial" w:cs="Arial" w:eastAsia="Arial" w:hAnsi="Arial"/>
          <w:sz w:val="12"/>
          <w:szCs w:val="12"/>
          <w:b w:val="1"/>
          <w:bCs w:val="1"/>
          <w:i w:val="1"/>
          <w:iCs w:val="1"/>
          <w:color w:val="auto"/>
        </w:rPr>
      </w:pPr>
    </w:p>
    <w:p>
      <w:pPr>
        <w:ind w:left="237" w:hanging="237"/>
        <w:spacing w:after="0" w:line="258" w:lineRule="auto"/>
        <w:tabs>
          <w:tab w:leader="none" w:pos="229" w:val="left"/>
        </w:tabs>
        <w:numPr>
          <w:ilvl w:val="0"/>
          <w:numId w:val="10"/>
        </w:numPr>
        <w:rPr>
          <w:rFonts w:ascii="Arial" w:cs="Arial" w:eastAsia="Arial" w:hAnsi="Arial"/>
          <w:sz w:val="12"/>
          <w:szCs w:val="12"/>
          <w:b w:val="1"/>
          <w:bCs w:val="1"/>
          <w:color w:val="auto"/>
        </w:rPr>
      </w:pPr>
      <w:r>
        <w:rPr>
          <w:rFonts w:ascii="Arial" w:cs="Arial" w:eastAsia="Arial" w:hAnsi="Arial"/>
          <w:sz w:val="12"/>
          <w:szCs w:val="12"/>
          <w:color w:val="auto"/>
        </w:rPr>
        <w:t>Generated Free Cash Flow of $82.1 million for the three months ended June 30, 2021, representing an increase of $43.1 million as compared to the same period in 2020. Net cash provided by operating activities increased $64.1 million to $139.5 million. Net cash used in investing activities increased by $21.1 million.</w:t>
      </w:r>
    </w:p>
    <w:p>
      <w:pPr>
        <w:spacing w:after="0" w:line="66" w:lineRule="exact"/>
        <w:rPr>
          <w:rFonts w:ascii="Arial" w:cs="Arial" w:eastAsia="Arial" w:hAnsi="Arial"/>
          <w:sz w:val="12"/>
          <w:szCs w:val="12"/>
          <w:b w:val="1"/>
          <w:bCs w:val="1"/>
          <w:color w:val="auto"/>
        </w:rPr>
      </w:pPr>
    </w:p>
    <w:p>
      <w:pPr>
        <w:jc w:val="both"/>
        <w:ind w:left="237" w:hanging="237"/>
        <w:spacing w:after="0" w:line="252" w:lineRule="auto"/>
        <w:tabs>
          <w:tab w:leader="none" w:pos="229"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Returned $132.7 million to shareholders through stock and warrant repurchases during the three months ended June 30, 2021. The predictability of our free cash flow allows us to pursue multiple capital allocation priorities opportunistically, including investing in organic opportunities we see in the market, continuing our deleveraging trajectory, opportunistically executing accretive acquisitions, and returning capital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542925</wp:posOffset>
            </wp:positionV>
            <wp:extent cx="719264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037"/>
          </w:cols>
          <w:pgMar w:left="543" w:top="867" w:right="31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1D2758"/>
        </w:rPr>
        <w:t>Consolidated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Three Months Ended June 30, 2021 Compared to the Three Months Ended June 30, 2020</w:t>
      </w:r>
    </w:p>
    <w:p>
      <w:pPr>
        <w:spacing w:after="0" w:line="111" w:lineRule="exact"/>
        <w:rPr>
          <w:sz w:val="20"/>
          <w:szCs w:val="20"/>
          <w:color w:val="auto"/>
        </w:rPr>
      </w:pPr>
    </w:p>
    <w:p>
      <w:pPr>
        <w:ind w:firstLine="484"/>
        <w:spacing w:after="0" w:line="258" w:lineRule="auto"/>
        <w:rPr>
          <w:sz w:val="20"/>
          <w:szCs w:val="20"/>
          <w:color w:val="auto"/>
        </w:rPr>
      </w:pPr>
      <w:r>
        <w:rPr>
          <w:rFonts w:ascii="Arial" w:cs="Arial" w:eastAsia="Arial" w:hAnsi="Arial"/>
          <w:sz w:val="12"/>
          <w:szCs w:val="12"/>
          <w:color w:val="auto"/>
        </w:rPr>
        <w:t>Our condensed consolidated statements of operations for the three months ended June 30, 2021 and 2020 are presented below. The below results only include Mobile Mini for the periods subsequent to the Merger:</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shd w:val="clear" w:color="auto" w:fill="1D2758"/>
          </w:tcPr>
          <w:p>
            <w:pPr>
              <w:spacing w:after="0"/>
              <w:rPr>
                <w:sz w:val="16"/>
                <w:szCs w:val="16"/>
                <w:color w:val="auto"/>
              </w:rPr>
            </w:pPr>
          </w:p>
        </w:tc>
        <w:tc>
          <w:tcPr>
            <w:tcW w:w="1180" w:type="dxa"/>
            <w:vAlign w:val="bottom"/>
            <w:shd w:val="clear" w:color="auto" w:fill="1D2758"/>
          </w:tcPr>
          <w:p>
            <w:pPr>
              <w:spacing w:after="0"/>
              <w:rPr>
                <w:sz w:val="16"/>
                <w:szCs w:val="16"/>
                <w:color w:val="auto"/>
              </w:rPr>
            </w:pPr>
          </w:p>
        </w:tc>
        <w:tc>
          <w:tcPr>
            <w:tcW w:w="1780" w:type="dxa"/>
            <w:vAlign w:val="bottom"/>
            <w:gridSpan w:val="3"/>
            <w:shd w:val="clear" w:color="auto" w:fill="1D2758"/>
          </w:tcPr>
          <w:p>
            <w:pPr>
              <w:jc w:val="right"/>
              <w:spacing w:after="0"/>
              <w:rPr>
                <w:sz w:val="20"/>
                <w:szCs w:val="20"/>
                <w:color w:val="auto"/>
              </w:rPr>
            </w:pPr>
            <w:r>
              <w:rPr>
                <w:rFonts w:ascii="Arial" w:cs="Arial" w:eastAsia="Arial" w:hAnsi="Arial"/>
                <w:sz w:val="12"/>
                <w:szCs w:val="12"/>
                <w:b w:val="1"/>
                <w:bCs w:val="1"/>
                <w:color w:val="FFFFFF"/>
              </w:rPr>
              <w:t>Three Months Ended June 30,</w:t>
            </w:r>
          </w:p>
        </w:tc>
        <w:tc>
          <w:tcPr>
            <w:tcW w:w="1140" w:type="dxa"/>
            <w:vAlign w:val="bottom"/>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1120" w:type="dxa"/>
            <w:vAlign w:val="bottom"/>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78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0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180" w:type="dxa"/>
            <w:vAlign w:val="bottom"/>
            <w:vMerge w:val="restart"/>
            <w:shd w:val="clear" w:color="auto" w:fill="1D2758"/>
          </w:tcPr>
          <w:p>
            <w:pPr>
              <w:jc w:val="right"/>
              <w:spacing w:after="0"/>
              <w:rPr>
                <w:sz w:val="20"/>
                <w:szCs w:val="20"/>
                <w:color w:val="auto"/>
              </w:rPr>
            </w:pPr>
            <w:r>
              <w:rPr>
                <w:rFonts w:ascii="Arial" w:cs="Arial" w:eastAsia="Arial" w:hAnsi="Arial"/>
                <w:sz w:val="12"/>
                <w:szCs w:val="12"/>
                <w:b w:val="1"/>
                <w:bCs w:val="1"/>
                <w:color w:val="FFFFFF"/>
              </w:rPr>
              <w:t>2021</w:t>
            </w:r>
          </w:p>
        </w:tc>
        <w:tc>
          <w:tcPr>
            <w:tcW w:w="84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860" w:type="dxa"/>
            <w:vAlign w:val="bottom"/>
            <w:shd w:val="clear" w:color="auto" w:fill="1D2758"/>
          </w:tcPr>
          <w:p>
            <w:pPr>
              <w:spacing w:after="0"/>
              <w:rPr>
                <w:sz w:val="14"/>
                <w:szCs w:val="14"/>
                <w:color w:val="auto"/>
              </w:rPr>
            </w:pPr>
          </w:p>
        </w:tc>
        <w:tc>
          <w:tcPr>
            <w:tcW w:w="1140" w:type="dxa"/>
            <w:vAlign w:val="bottom"/>
            <w:vMerge w:val="restart"/>
            <w:shd w:val="clear" w:color="auto" w:fill="1D2758"/>
          </w:tcPr>
          <w:p>
            <w:pPr>
              <w:jc w:val="right"/>
              <w:ind w:right="799"/>
              <w:spacing w:after="0"/>
              <w:rPr>
                <w:sz w:val="20"/>
                <w:szCs w:val="20"/>
                <w:color w:val="auto"/>
              </w:rPr>
            </w:pPr>
            <w:r>
              <w:rPr>
                <w:rFonts w:ascii="Arial" w:cs="Arial" w:eastAsia="Arial" w:hAnsi="Arial"/>
                <w:sz w:val="12"/>
                <w:szCs w:val="12"/>
                <w:b w:val="1"/>
                <w:bCs w:val="1"/>
                <w:color w:val="FFFFFF"/>
                <w:w w:val="97"/>
              </w:rPr>
              <w:t>2020</w:t>
            </w:r>
          </w:p>
        </w:tc>
        <w:tc>
          <w:tcPr>
            <w:tcW w:w="100" w:type="dxa"/>
            <w:vAlign w:val="bottom"/>
            <w:shd w:val="clear" w:color="auto" w:fill="1D2758"/>
          </w:tcPr>
          <w:p>
            <w:pPr>
              <w:spacing w:after="0"/>
              <w:rPr>
                <w:sz w:val="14"/>
                <w:szCs w:val="14"/>
                <w:color w:val="auto"/>
              </w:rPr>
            </w:pPr>
          </w:p>
        </w:tc>
        <w:tc>
          <w:tcPr>
            <w:tcW w:w="112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2021 vs. 2020</w:t>
            </w:r>
          </w:p>
        </w:tc>
        <w:tc>
          <w:tcPr>
            <w:tcW w:w="10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w w:val="89"/>
              </w:rPr>
              <w:t>$</w:t>
            </w:r>
          </w:p>
        </w:tc>
        <w:tc>
          <w:tcPr>
            <w:tcW w:w="780" w:type="dxa"/>
            <w:vAlign w:val="bottom"/>
            <w:shd w:val="clear" w:color="auto" w:fill="1D2758"/>
          </w:tcPr>
          <w:p>
            <w:pPr>
              <w:jc w:val="right"/>
              <w:ind w:right="259"/>
              <w:spacing w:after="0"/>
              <w:rPr>
                <w:sz w:val="20"/>
                <w:szCs w:val="20"/>
                <w:color w:val="auto"/>
              </w:rPr>
            </w:pPr>
            <w:r>
              <w:rPr>
                <w:rFonts w:ascii="Arial" w:cs="Arial" w:eastAsia="Arial" w:hAnsi="Arial"/>
                <w:sz w:val="12"/>
                <w:szCs w:val="12"/>
                <w:b w:val="1"/>
                <w:bCs w:val="1"/>
                <w:color w:val="FFFFFF"/>
                <w:w w:val="99"/>
              </w:rPr>
              <w:t>Change</w:t>
            </w:r>
          </w:p>
        </w:tc>
        <w:tc>
          <w:tcPr>
            <w:tcW w:w="0" w:type="dxa"/>
            <w:vAlign w:val="bottom"/>
          </w:tcPr>
          <w:p>
            <w:pPr>
              <w:spacing w:after="0"/>
              <w:rPr>
                <w:sz w:val="1"/>
                <w:szCs w:val="1"/>
                <w:color w:val="auto"/>
              </w:rPr>
            </w:pPr>
          </w:p>
        </w:tc>
      </w:tr>
      <w:tr>
        <w:trPr>
          <w:trHeight w:val="75"/>
        </w:trPr>
        <w:tc>
          <w:tcPr>
            <w:tcW w:w="5080" w:type="dxa"/>
            <w:vAlign w:val="bottom"/>
            <w:shd w:val="clear" w:color="auto" w:fill="1D2758"/>
          </w:tcPr>
          <w:p>
            <w:pPr>
              <w:spacing w:after="0"/>
              <w:rPr>
                <w:sz w:val="6"/>
                <w:szCs w:val="6"/>
                <w:color w:val="auto"/>
              </w:rPr>
            </w:pPr>
          </w:p>
        </w:tc>
        <w:tc>
          <w:tcPr>
            <w:tcW w:w="1180" w:type="dxa"/>
            <w:vAlign w:val="bottom"/>
            <w:vMerge w:val="continue"/>
            <w:shd w:val="clear" w:color="auto" w:fill="1D2758"/>
          </w:tcPr>
          <w:p>
            <w:pPr>
              <w:spacing w:after="0"/>
              <w:rPr>
                <w:sz w:val="6"/>
                <w:szCs w:val="6"/>
                <w:color w:val="auto"/>
              </w:rPr>
            </w:pPr>
          </w:p>
        </w:tc>
        <w:tc>
          <w:tcPr>
            <w:tcW w:w="840" w:type="dxa"/>
            <w:vAlign w:val="bottom"/>
            <w:shd w:val="clear" w:color="auto" w:fill="1D2758"/>
          </w:tcPr>
          <w:p>
            <w:pPr>
              <w:spacing w:after="0"/>
              <w:rPr>
                <w:sz w:val="6"/>
                <w:szCs w:val="6"/>
                <w:color w:val="auto"/>
              </w:rPr>
            </w:pPr>
          </w:p>
        </w:tc>
        <w:tc>
          <w:tcPr>
            <w:tcW w:w="80" w:type="dxa"/>
            <w:vAlign w:val="bottom"/>
            <w:shd w:val="clear" w:color="auto" w:fill="1D2758"/>
          </w:tcPr>
          <w:p>
            <w:pPr>
              <w:spacing w:after="0"/>
              <w:rPr>
                <w:sz w:val="6"/>
                <w:szCs w:val="6"/>
                <w:color w:val="auto"/>
              </w:rPr>
            </w:pPr>
          </w:p>
        </w:tc>
        <w:tc>
          <w:tcPr>
            <w:tcW w:w="860" w:type="dxa"/>
            <w:vAlign w:val="bottom"/>
            <w:shd w:val="clear" w:color="auto" w:fill="1D2758"/>
          </w:tcPr>
          <w:p>
            <w:pPr>
              <w:spacing w:after="0"/>
              <w:rPr>
                <w:sz w:val="6"/>
                <w:szCs w:val="6"/>
                <w:color w:val="auto"/>
              </w:rPr>
            </w:pPr>
          </w:p>
        </w:tc>
        <w:tc>
          <w:tcPr>
            <w:tcW w:w="1140" w:type="dxa"/>
            <w:vAlign w:val="bottom"/>
            <w:vMerge w:val="continue"/>
            <w:shd w:val="clear" w:color="auto" w:fill="1D2758"/>
          </w:tcPr>
          <w:p>
            <w:pPr>
              <w:spacing w:after="0"/>
              <w:rPr>
                <w:sz w:val="6"/>
                <w:szCs w:val="6"/>
                <w:color w:val="auto"/>
              </w:rPr>
            </w:pPr>
          </w:p>
        </w:tc>
        <w:tc>
          <w:tcPr>
            <w:tcW w:w="100" w:type="dxa"/>
            <w:vAlign w:val="bottom"/>
            <w:shd w:val="clear" w:color="auto" w:fill="1D2758"/>
          </w:tcPr>
          <w:p>
            <w:pPr>
              <w:spacing w:after="0"/>
              <w:rPr>
                <w:sz w:val="6"/>
                <w:szCs w:val="6"/>
                <w:color w:val="auto"/>
              </w:rPr>
            </w:pPr>
          </w:p>
        </w:tc>
        <w:tc>
          <w:tcPr>
            <w:tcW w:w="1120" w:type="dxa"/>
            <w:vAlign w:val="bottom"/>
            <w:shd w:val="clear" w:color="auto" w:fill="1D2758"/>
          </w:tcPr>
          <w:p>
            <w:pPr>
              <w:spacing w:after="0"/>
              <w:rPr>
                <w:sz w:val="6"/>
                <w:szCs w:val="6"/>
                <w:color w:val="auto"/>
              </w:rPr>
            </w:pPr>
          </w:p>
        </w:tc>
        <w:tc>
          <w:tcPr>
            <w:tcW w:w="100" w:type="dxa"/>
            <w:vAlign w:val="bottom"/>
            <w:shd w:val="clear" w:color="auto" w:fill="1D2758"/>
          </w:tcPr>
          <w:p>
            <w:pPr>
              <w:spacing w:after="0"/>
              <w:rPr>
                <w:sz w:val="6"/>
                <w:szCs w:val="6"/>
                <w:color w:val="auto"/>
              </w:rPr>
            </w:pPr>
          </w:p>
        </w:tc>
        <w:tc>
          <w:tcPr>
            <w:tcW w:w="780" w:type="dxa"/>
            <w:vAlign w:val="bottom"/>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508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Revenues:</w:t>
            </w:r>
          </w:p>
        </w:tc>
        <w:tc>
          <w:tcPr>
            <w:tcW w:w="118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80" w:type="dxa"/>
            <w:vAlign w:val="bottom"/>
          </w:tcPr>
          <w:p>
            <w:pPr>
              <w:ind w:left="180"/>
              <w:spacing w:after="0"/>
              <w:rPr>
                <w:sz w:val="20"/>
                <w:szCs w:val="20"/>
                <w:color w:val="auto"/>
              </w:rPr>
            </w:pPr>
            <w:r>
              <w:rPr>
                <w:rFonts w:ascii="Arial" w:cs="Arial" w:eastAsia="Arial" w:hAnsi="Arial"/>
                <w:sz w:val="12"/>
                <w:szCs w:val="12"/>
                <w:color w:val="auto"/>
              </w:rPr>
              <w:t>Leasing and services revenue:</w:t>
            </w:r>
          </w:p>
        </w:tc>
        <w:tc>
          <w:tcPr>
            <w:tcW w:w="1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Leasing</w:t>
            </w:r>
          </w:p>
        </w:tc>
        <w:tc>
          <w:tcPr>
            <w:tcW w:w="1180" w:type="dxa"/>
            <w:vAlign w:val="bottom"/>
            <w:shd w:val="clear" w:color="auto" w:fill="DBDBDB"/>
          </w:tcPr>
          <w:p>
            <w:pPr>
              <w:jc w:val="right"/>
              <w:ind w:right="1039"/>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343,179</w:t>
            </w: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jc w:val="right"/>
              <w:ind w:right="719"/>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190,143</w:t>
            </w: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jc w:val="right"/>
              <w:ind w:right="979"/>
              <w:spacing w:after="0"/>
              <w:rPr>
                <w:sz w:val="20"/>
                <w:szCs w:val="20"/>
                <w:color w:val="auto"/>
              </w:rPr>
            </w:pPr>
            <w:r>
              <w:rPr>
                <w:rFonts w:ascii="Arial" w:cs="Arial" w:eastAsia="Arial" w:hAnsi="Arial"/>
                <w:sz w:val="12"/>
                <w:szCs w:val="12"/>
                <w:color w:val="auto"/>
                <w:w w:val="89"/>
              </w:rPr>
              <w:t>$</w:t>
            </w: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153,036</w:t>
            </w:r>
          </w:p>
        </w:tc>
        <w:tc>
          <w:tcPr>
            <w:tcW w:w="0" w:type="dxa"/>
            <w:vAlign w:val="bottom"/>
          </w:tcPr>
          <w:p>
            <w:pPr>
              <w:spacing w:after="0"/>
              <w:rPr>
                <w:sz w:val="1"/>
                <w:szCs w:val="1"/>
                <w:color w:val="auto"/>
              </w:rPr>
            </w:pPr>
          </w:p>
        </w:tc>
      </w:tr>
      <w:tr>
        <w:trPr>
          <w:trHeight w:val="159"/>
        </w:trPr>
        <w:tc>
          <w:tcPr>
            <w:tcW w:w="5080" w:type="dxa"/>
            <w:vAlign w:val="bottom"/>
          </w:tcPr>
          <w:p>
            <w:pPr>
              <w:ind w:left="340"/>
              <w:spacing w:after="0"/>
              <w:rPr>
                <w:sz w:val="20"/>
                <w:szCs w:val="20"/>
                <w:color w:val="auto"/>
              </w:rPr>
            </w:pPr>
            <w:r>
              <w:rPr>
                <w:rFonts w:ascii="Arial" w:cs="Arial" w:eastAsia="Arial" w:hAnsi="Arial"/>
                <w:sz w:val="12"/>
                <w:szCs w:val="12"/>
                <w:color w:val="auto"/>
              </w:rPr>
              <w:t>Delivery and installation</w:t>
            </w:r>
          </w:p>
        </w:tc>
        <w:tc>
          <w:tcPr>
            <w:tcW w:w="1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91,680</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51,640</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40,040</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Sales revenue:</w:t>
            </w:r>
          </w:p>
        </w:tc>
        <w:tc>
          <w:tcPr>
            <w:tcW w:w="118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80" w:type="dxa"/>
            <w:vAlign w:val="bottom"/>
          </w:tcPr>
          <w:p>
            <w:pPr>
              <w:ind w:left="340"/>
              <w:spacing w:after="0"/>
              <w:rPr>
                <w:sz w:val="20"/>
                <w:szCs w:val="20"/>
                <w:color w:val="auto"/>
              </w:rPr>
            </w:pPr>
            <w:r>
              <w:rPr>
                <w:rFonts w:ascii="Arial" w:cs="Arial" w:eastAsia="Arial" w:hAnsi="Arial"/>
                <w:sz w:val="12"/>
                <w:szCs w:val="12"/>
                <w:color w:val="auto"/>
              </w:rPr>
              <w:t>New units</w:t>
            </w:r>
          </w:p>
        </w:tc>
        <w:tc>
          <w:tcPr>
            <w:tcW w:w="1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11,008</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9,763</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1,245</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Rental units</w:t>
            </w:r>
          </w:p>
        </w:tc>
        <w:tc>
          <w:tcPr>
            <w:tcW w:w="1180" w:type="dxa"/>
            <w:vAlign w:val="bottom"/>
            <w:tcBorders>
              <w:bottom w:val="single" w:sz="8" w:color="auto"/>
            </w:tcBorders>
            <w:shd w:val="clear" w:color="auto" w:fill="DBDBDB"/>
          </w:tcPr>
          <w:p>
            <w:pPr>
              <w:spacing w:after="0"/>
              <w:rPr>
                <w:sz w:val="14"/>
                <w:szCs w:val="14"/>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15,235</w:t>
            </w:r>
          </w:p>
        </w:tc>
        <w:tc>
          <w:tcPr>
            <w:tcW w:w="80" w:type="dxa"/>
            <w:vAlign w:val="bottom"/>
            <w:shd w:val="clear" w:color="auto" w:fill="DBDBDB"/>
          </w:tcPr>
          <w:p>
            <w:pPr>
              <w:spacing w:after="0"/>
              <w:rPr>
                <w:sz w:val="14"/>
                <w:szCs w:val="14"/>
                <w:color w:val="auto"/>
              </w:rPr>
            </w:pPr>
          </w:p>
        </w:tc>
        <w:tc>
          <w:tcPr>
            <w:tcW w:w="86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5,316</w:t>
            </w:r>
          </w:p>
        </w:tc>
        <w:tc>
          <w:tcPr>
            <w:tcW w:w="100" w:type="dxa"/>
            <w:vAlign w:val="bottom"/>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9,919</w:t>
            </w:r>
          </w:p>
        </w:tc>
        <w:tc>
          <w:tcPr>
            <w:tcW w:w="0" w:type="dxa"/>
            <w:vAlign w:val="bottom"/>
          </w:tcPr>
          <w:p>
            <w:pPr>
              <w:spacing w:after="0"/>
              <w:rPr>
                <w:sz w:val="1"/>
                <w:szCs w:val="1"/>
                <w:color w:val="auto"/>
              </w:rPr>
            </w:pPr>
          </w:p>
        </w:tc>
      </w:tr>
      <w:tr>
        <w:trPr>
          <w:trHeight w:val="149"/>
        </w:trPr>
        <w:tc>
          <w:tcPr>
            <w:tcW w:w="5080" w:type="dxa"/>
            <w:vAlign w:val="bottom"/>
          </w:tcPr>
          <w:p>
            <w:pPr>
              <w:ind w:left="500"/>
              <w:spacing w:after="0"/>
              <w:rPr>
                <w:sz w:val="20"/>
                <w:szCs w:val="20"/>
                <w:color w:val="auto"/>
              </w:rPr>
            </w:pPr>
            <w:r>
              <w:rPr>
                <w:rFonts w:ascii="Arial" w:cs="Arial" w:eastAsia="Arial" w:hAnsi="Arial"/>
                <w:sz w:val="12"/>
                <w:szCs w:val="12"/>
                <w:color w:val="auto"/>
              </w:rPr>
              <w:t>Total revenues</w:t>
            </w:r>
          </w:p>
        </w:tc>
        <w:tc>
          <w:tcPr>
            <w:tcW w:w="1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461,102</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256,862</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204,240</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20"/>
              <w:spacing w:after="0"/>
              <w:rPr>
                <w:sz w:val="20"/>
                <w:szCs w:val="20"/>
                <w:color w:val="auto"/>
              </w:rPr>
            </w:pPr>
            <w:r>
              <w:rPr>
                <w:rFonts w:ascii="Arial" w:cs="Arial" w:eastAsia="Arial" w:hAnsi="Arial"/>
                <w:sz w:val="12"/>
                <w:szCs w:val="12"/>
                <w:color w:val="auto"/>
              </w:rPr>
              <w:t>Costs:</w:t>
            </w:r>
          </w:p>
        </w:tc>
        <w:tc>
          <w:tcPr>
            <w:tcW w:w="118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80" w:type="dxa"/>
            <w:vAlign w:val="bottom"/>
          </w:tcPr>
          <w:p>
            <w:pPr>
              <w:ind w:left="180"/>
              <w:spacing w:after="0"/>
              <w:rPr>
                <w:sz w:val="20"/>
                <w:szCs w:val="20"/>
                <w:color w:val="auto"/>
              </w:rPr>
            </w:pPr>
            <w:r>
              <w:rPr>
                <w:rFonts w:ascii="Arial" w:cs="Arial" w:eastAsia="Arial" w:hAnsi="Arial"/>
                <w:sz w:val="12"/>
                <w:szCs w:val="12"/>
                <w:color w:val="auto"/>
              </w:rPr>
              <w:t>Costs of leasing and services:</w:t>
            </w:r>
          </w:p>
        </w:tc>
        <w:tc>
          <w:tcPr>
            <w:tcW w:w="1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Leasing</w:t>
            </w:r>
          </w:p>
        </w:tc>
        <w:tc>
          <w:tcPr>
            <w:tcW w:w="118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83,032</w:t>
            </w: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47,747</w:t>
            </w: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35,285</w:t>
            </w:r>
          </w:p>
        </w:tc>
        <w:tc>
          <w:tcPr>
            <w:tcW w:w="0" w:type="dxa"/>
            <w:vAlign w:val="bottom"/>
          </w:tcPr>
          <w:p>
            <w:pPr>
              <w:spacing w:after="0"/>
              <w:rPr>
                <w:sz w:val="1"/>
                <w:szCs w:val="1"/>
                <w:color w:val="auto"/>
              </w:rPr>
            </w:pPr>
          </w:p>
        </w:tc>
      </w:tr>
      <w:tr>
        <w:trPr>
          <w:trHeight w:val="159"/>
        </w:trPr>
        <w:tc>
          <w:tcPr>
            <w:tcW w:w="5080" w:type="dxa"/>
            <w:vAlign w:val="bottom"/>
          </w:tcPr>
          <w:p>
            <w:pPr>
              <w:ind w:left="340"/>
              <w:spacing w:after="0"/>
              <w:rPr>
                <w:sz w:val="20"/>
                <w:szCs w:val="20"/>
                <w:color w:val="auto"/>
              </w:rPr>
            </w:pPr>
            <w:r>
              <w:rPr>
                <w:rFonts w:ascii="Arial" w:cs="Arial" w:eastAsia="Arial" w:hAnsi="Arial"/>
                <w:sz w:val="12"/>
                <w:szCs w:val="12"/>
                <w:color w:val="auto"/>
              </w:rPr>
              <w:t>Delivery and installation</w:t>
            </w:r>
          </w:p>
        </w:tc>
        <w:tc>
          <w:tcPr>
            <w:tcW w:w="1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77,153</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43,523</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33,630</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Costs of sales:</w:t>
            </w:r>
          </w:p>
        </w:tc>
        <w:tc>
          <w:tcPr>
            <w:tcW w:w="118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80" w:type="dxa"/>
            <w:vAlign w:val="bottom"/>
          </w:tcPr>
          <w:p>
            <w:pPr>
              <w:ind w:left="340"/>
              <w:spacing w:after="0"/>
              <w:rPr>
                <w:sz w:val="20"/>
                <w:szCs w:val="20"/>
                <w:color w:val="auto"/>
              </w:rPr>
            </w:pPr>
            <w:r>
              <w:rPr>
                <w:rFonts w:ascii="Arial" w:cs="Arial" w:eastAsia="Arial" w:hAnsi="Arial"/>
                <w:sz w:val="12"/>
                <w:szCs w:val="12"/>
                <w:color w:val="auto"/>
              </w:rPr>
              <w:t>New units</w:t>
            </w:r>
          </w:p>
        </w:tc>
        <w:tc>
          <w:tcPr>
            <w:tcW w:w="1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7,052</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6,331</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721</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Rental units</w:t>
            </w:r>
          </w:p>
        </w:tc>
        <w:tc>
          <w:tcPr>
            <w:tcW w:w="118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8,162</w:t>
            </w: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3,803</w:t>
            </w: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4,359</w:t>
            </w:r>
          </w:p>
        </w:tc>
        <w:tc>
          <w:tcPr>
            <w:tcW w:w="0" w:type="dxa"/>
            <w:vAlign w:val="bottom"/>
          </w:tcPr>
          <w:p>
            <w:pPr>
              <w:spacing w:after="0"/>
              <w:rPr>
                <w:sz w:val="1"/>
                <w:szCs w:val="1"/>
                <w:color w:val="auto"/>
              </w:rPr>
            </w:pPr>
          </w:p>
        </w:tc>
      </w:tr>
      <w:tr>
        <w:trPr>
          <w:trHeight w:val="159"/>
        </w:trPr>
        <w:tc>
          <w:tcPr>
            <w:tcW w:w="5080" w:type="dxa"/>
            <w:vAlign w:val="bottom"/>
            <w:tcBorders>
              <w:bottom w:val="single" w:sz="8" w:color="DBDBDB"/>
            </w:tcBorders>
          </w:tcPr>
          <w:p>
            <w:pPr>
              <w:ind w:left="180"/>
              <w:spacing w:after="0"/>
              <w:rPr>
                <w:sz w:val="20"/>
                <w:szCs w:val="20"/>
                <w:color w:val="auto"/>
              </w:rPr>
            </w:pPr>
            <w:r>
              <w:rPr>
                <w:rFonts w:ascii="Arial" w:cs="Arial" w:eastAsia="Arial" w:hAnsi="Arial"/>
                <w:sz w:val="12"/>
                <w:szCs w:val="12"/>
                <w:color w:val="auto"/>
              </w:rPr>
              <w:t>Depreciation of rental equipment</w:t>
            </w:r>
          </w:p>
        </w:tc>
        <w:tc>
          <w:tcPr>
            <w:tcW w:w="1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62,893</w:t>
            </w:r>
          </w:p>
        </w:tc>
        <w:tc>
          <w:tcPr>
            <w:tcW w:w="80" w:type="dxa"/>
            <w:vAlign w:val="bottom"/>
            <w:tcBorders>
              <w:bottom w:val="single" w:sz="8" w:color="DBDBDB"/>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45,494</w:t>
            </w:r>
          </w:p>
        </w:tc>
        <w:tc>
          <w:tcPr>
            <w:tcW w:w="100" w:type="dxa"/>
            <w:vAlign w:val="bottom"/>
            <w:tcBorders>
              <w:bottom w:val="single" w:sz="8" w:color="DBDBDB"/>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17,399</w:t>
            </w:r>
          </w:p>
        </w:tc>
        <w:tc>
          <w:tcPr>
            <w:tcW w:w="0" w:type="dxa"/>
            <w:vAlign w:val="bottom"/>
          </w:tcPr>
          <w:p>
            <w:pPr>
              <w:spacing w:after="0"/>
              <w:rPr>
                <w:sz w:val="1"/>
                <w:szCs w:val="1"/>
                <w:color w:val="auto"/>
              </w:rPr>
            </w:pPr>
          </w:p>
        </w:tc>
      </w:tr>
      <w:tr>
        <w:trPr>
          <w:trHeight w:val="154"/>
        </w:trPr>
        <w:tc>
          <w:tcPr>
            <w:tcW w:w="50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Gross profit</w:t>
            </w:r>
          </w:p>
        </w:tc>
        <w:tc>
          <w:tcPr>
            <w:tcW w:w="1180" w:type="dxa"/>
            <w:vAlign w:val="bottom"/>
            <w:shd w:val="clear" w:color="auto" w:fill="DBDBDB"/>
          </w:tcPr>
          <w:p>
            <w:pPr>
              <w:spacing w:after="0"/>
              <w:rPr>
                <w:sz w:val="13"/>
                <w:szCs w:val="13"/>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222,810</w:t>
            </w:r>
          </w:p>
        </w:tc>
        <w:tc>
          <w:tcPr>
            <w:tcW w:w="8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109,964</w:t>
            </w:r>
          </w:p>
        </w:tc>
        <w:tc>
          <w:tcPr>
            <w:tcW w:w="10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112,846</w:t>
            </w:r>
          </w:p>
        </w:tc>
        <w:tc>
          <w:tcPr>
            <w:tcW w:w="0" w:type="dxa"/>
            <w:vAlign w:val="bottom"/>
          </w:tcPr>
          <w:p>
            <w:pPr>
              <w:spacing w:after="0"/>
              <w:rPr>
                <w:sz w:val="1"/>
                <w:szCs w:val="1"/>
                <w:color w:val="auto"/>
              </w:rPr>
            </w:pPr>
          </w:p>
        </w:tc>
      </w:tr>
      <w:tr>
        <w:trPr>
          <w:trHeight w:val="159"/>
        </w:trPr>
        <w:tc>
          <w:tcPr>
            <w:tcW w:w="5080" w:type="dxa"/>
            <w:vAlign w:val="bottom"/>
          </w:tcPr>
          <w:p>
            <w:pPr>
              <w:ind w:left="20"/>
              <w:spacing w:after="0"/>
              <w:rPr>
                <w:sz w:val="20"/>
                <w:szCs w:val="20"/>
                <w:color w:val="auto"/>
              </w:rPr>
            </w:pPr>
            <w:r>
              <w:rPr>
                <w:rFonts w:ascii="Arial" w:cs="Arial" w:eastAsia="Arial" w:hAnsi="Arial"/>
                <w:sz w:val="12"/>
                <w:szCs w:val="12"/>
                <w:color w:val="auto"/>
              </w:rPr>
              <w:t>Expenses:</w:t>
            </w:r>
          </w:p>
        </w:tc>
        <w:tc>
          <w:tcPr>
            <w:tcW w:w="1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Selling, general and administrative</w:t>
            </w:r>
          </w:p>
        </w:tc>
        <w:tc>
          <w:tcPr>
            <w:tcW w:w="118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122,387</w:t>
            </w: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63,653</w:t>
            </w: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58,734</w:t>
            </w:r>
          </w:p>
        </w:tc>
        <w:tc>
          <w:tcPr>
            <w:tcW w:w="0" w:type="dxa"/>
            <w:vAlign w:val="bottom"/>
          </w:tcPr>
          <w:p>
            <w:pPr>
              <w:spacing w:after="0"/>
              <w:rPr>
                <w:sz w:val="1"/>
                <w:szCs w:val="1"/>
                <w:color w:val="auto"/>
              </w:rPr>
            </w:pPr>
          </w:p>
        </w:tc>
      </w:tr>
      <w:tr>
        <w:trPr>
          <w:trHeight w:val="159"/>
        </w:trPr>
        <w:tc>
          <w:tcPr>
            <w:tcW w:w="5080" w:type="dxa"/>
            <w:vAlign w:val="bottom"/>
          </w:tcPr>
          <w:p>
            <w:pPr>
              <w:ind w:left="180"/>
              <w:spacing w:after="0"/>
              <w:rPr>
                <w:sz w:val="20"/>
                <w:szCs w:val="20"/>
                <w:color w:val="auto"/>
              </w:rPr>
            </w:pPr>
            <w:r>
              <w:rPr>
                <w:rFonts w:ascii="Arial" w:cs="Arial" w:eastAsia="Arial" w:hAnsi="Arial"/>
                <w:sz w:val="12"/>
                <w:szCs w:val="12"/>
                <w:color w:val="auto"/>
              </w:rPr>
              <w:t>Transaction costs</w:t>
            </w:r>
          </w:p>
        </w:tc>
        <w:tc>
          <w:tcPr>
            <w:tcW w:w="11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1,619</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(1,619)</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Other depreciation and amortization</w:t>
            </w:r>
          </w:p>
        </w:tc>
        <w:tc>
          <w:tcPr>
            <w:tcW w:w="118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21,622</w:t>
            </w: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2,883</w:t>
            </w: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18,739</w:t>
            </w:r>
          </w:p>
        </w:tc>
        <w:tc>
          <w:tcPr>
            <w:tcW w:w="0" w:type="dxa"/>
            <w:vAlign w:val="bottom"/>
          </w:tcPr>
          <w:p>
            <w:pPr>
              <w:spacing w:after="0"/>
              <w:rPr>
                <w:sz w:val="1"/>
                <w:szCs w:val="1"/>
                <w:color w:val="auto"/>
              </w:rPr>
            </w:pPr>
          </w:p>
        </w:tc>
      </w:tr>
      <w:tr>
        <w:trPr>
          <w:trHeight w:val="159"/>
        </w:trPr>
        <w:tc>
          <w:tcPr>
            <w:tcW w:w="5080" w:type="dxa"/>
            <w:vAlign w:val="bottom"/>
          </w:tcPr>
          <w:p>
            <w:pPr>
              <w:ind w:left="180"/>
              <w:spacing w:after="0"/>
              <w:rPr>
                <w:sz w:val="20"/>
                <w:szCs w:val="20"/>
                <w:color w:val="auto"/>
              </w:rPr>
            </w:pPr>
            <w:r>
              <w:rPr>
                <w:rFonts w:ascii="Arial" w:cs="Arial" w:eastAsia="Arial" w:hAnsi="Arial"/>
                <w:sz w:val="12"/>
                <w:szCs w:val="12"/>
                <w:color w:val="auto"/>
              </w:rPr>
              <w:t>Lease impairment expense and other related charges</w:t>
            </w:r>
          </w:p>
        </w:tc>
        <w:tc>
          <w:tcPr>
            <w:tcW w:w="1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474</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1,394</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(920)</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Restructuring costs</w:t>
            </w:r>
          </w:p>
        </w:tc>
        <w:tc>
          <w:tcPr>
            <w:tcW w:w="118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6,960</w:t>
            </w: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749</w:t>
            </w: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6,211</w:t>
            </w:r>
          </w:p>
        </w:tc>
        <w:tc>
          <w:tcPr>
            <w:tcW w:w="0" w:type="dxa"/>
            <w:vAlign w:val="bottom"/>
          </w:tcPr>
          <w:p>
            <w:pPr>
              <w:spacing w:after="0"/>
              <w:rPr>
                <w:sz w:val="1"/>
                <w:szCs w:val="1"/>
                <w:color w:val="auto"/>
              </w:rPr>
            </w:pPr>
          </w:p>
        </w:tc>
      </w:tr>
      <w:tr>
        <w:trPr>
          <w:trHeight w:val="159"/>
        </w:trPr>
        <w:tc>
          <w:tcPr>
            <w:tcW w:w="5080" w:type="dxa"/>
            <w:vAlign w:val="bottom"/>
          </w:tcPr>
          <w:p>
            <w:pPr>
              <w:ind w:left="180"/>
              <w:spacing w:after="0"/>
              <w:rPr>
                <w:sz w:val="20"/>
                <w:szCs w:val="20"/>
                <w:color w:val="auto"/>
              </w:rPr>
            </w:pPr>
            <w:r>
              <w:rPr>
                <w:rFonts w:ascii="Arial" w:cs="Arial" w:eastAsia="Arial" w:hAnsi="Arial"/>
                <w:sz w:val="12"/>
                <w:szCs w:val="12"/>
                <w:color w:val="auto"/>
              </w:rPr>
              <w:t>Currency losses (gains), net</w:t>
            </w:r>
          </w:p>
        </w:tc>
        <w:tc>
          <w:tcPr>
            <w:tcW w:w="1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(380)</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413</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Other expense (income), net</w:t>
            </w:r>
          </w:p>
        </w:tc>
        <w:tc>
          <w:tcPr>
            <w:tcW w:w="1180" w:type="dxa"/>
            <w:vAlign w:val="bottom"/>
            <w:tcBorders>
              <w:bottom w:val="single" w:sz="8" w:color="auto"/>
            </w:tcBorders>
            <w:shd w:val="clear" w:color="auto" w:fill="DBDBDB"/>
          </w:tcPr>
          <w:p>
            <w:pPr>
              <w:spacing w:after="0"/>
              <w:rPr>
                <w:sz w:val="14"/>
                <w:szCs w:val="14"/>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719</w:t>
            </w:r>
          </w:p>
        </w:tc>
        <w:tc>
          <w:tcPr>
            <w:tcW w:w="80" w:type="dxa"/>
            <w:vAlign w:val="bottom"/>
            <w:shd w:val="clear" w:color="auto" w:fill="DBDBDB"/>
          </w:tcPr>
          <w:p>
            <w:pPr>
              <w:spacing w:after="0"/>
              <w:rPr>
                <w:sz w:val="14"/>
                <w:szCs w:val="14"/>
                <w:color w:val="auto"/>
              </w:rPr>
            </w:pPr>
          </w:p>
        </w:tc>
        <w:tc>
          <w:tcPr>
            <w:tcW w:w="86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(1,021)</w:t>
            </w:r>
          </w:p>
        </w:tc>
        <w:tc>
          <w:tcPr>
            <w:tcW w:w="100" w:type="dxa"/>
            <w:vAlign w:val="bottom"/>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1,740</w:t>
            </w:r>
          </w:p>
        </w:tc>
        <w:tc>
          <w:tcPr>
            <w:tcW w:w="0" w:type="dxa"/>
            <w:vAlign w:val="bottom"/>
          </w:tcPr>
          <w:p>
            <w:pPr>
              <w:spacing w:after="0"/>
              <w:rPr>
                <w:sz w:val="1"/>
                <w:szCs w:val="1"/>
                <w:color w:val="auto"/>
              </w:rPr>
            </w:pPr>
          </w:p>
        </w:tc>
      </w:tr>
      <w:tr>
        <w:trPr>
          <w:trHeight w:val="149"/>
        </w:trPr>
        <w:tc>
          <w:tcPr>
            <w:tcW w:w="5080" w:type="dxa"/>
            <w:vAlign w:val="bottom"/>
          </w:tcPr>
          <w:p>
            <w:pPr>
              <w:ind w:left="340"/>
              <w:spacing w:after="0"/>
              <w:rPr>
                <w:sz w:val="20"/>
                <w:szCs w:val="20"/>
                <w:color w:val="auto"/>
              </w:rPr>
            </w:pPr>
            <w:r>
              <w:rPr>
                <w:rFonts w:ascii="Arial" w:cs="Arial" w:eastAsia="Arial" w:hAnsi="Arial"/>
                <w:sz w:val="12"/>
                <w:szCs w:val="12"/>
                <w:color w:val="auto"/>
              </w:rPr>
              <w:t>Operating income</w:t>
            </w:r>
          </w:p>
        </w:tc>
        <w:tc>
          <w:tcPr>
            <w:tcW w:w="1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70,615</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41,067</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29,548</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Interest expense</w:t>
            </w:r>
          </w:p>
        </w:tc>
        <w:tc>
          <w:tcPr>
            <w:tcW w:w="118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29,212</w:t>
            </w: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28,519</w:t>
            </w: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693</w:t>
            </w:r>
          </w:p>
        </w:tc>
        <w:tc>
          <w:tcPr>
            <w:tcW w:w="0" w:type="dxa"/>
            <w:vAlign w:val="bottom"/>
          </w:tcPr>
          <w:p>
            <w:pPr>
              <w:spacing w:after="0"/>
              <w:rPr>
                <w:sz w:val="1"/>
                <w:szCs w:val="1"/>
                <w:color w:val="auto"/>
              </w:rPr>
            </w:pPr>
          </w:p>
        </w:tc>
      </w:tr>
      <w:tr>
        <w:trPr>
          <w:trHeight w:val="159"/>
        </w:trPr>
        <w:tc>
          <w:tcPr>
            <w:tcW w:w="5080" w:type="dxa"/>
            <w:vAlign w:val="bottom"/>
          </w:tcPr>
          <w:p>
            <w:pPr>
              <w:ind w:left="180"/>
              <w:spacing w:after="0"/>
              <w:rPr>
                <w:sz w:val="20"/>
                <w:szCs w:val="20"/>
                <w:color w:val="auto"/>
              </w:rPr>
            </w:pPr>
            <w:r>
              <w:rPr>
                <w:rFonts w:ascii="Arial" w:cs="Arial" w:eastAsia="Arial" w:hAnsi="Arial"/>
                <w:sz w:val="12"/>
                <w:szCs w:val="12"/>
                <w:color w:val="auto"/>
              </w:rPr>
              <w:t>Fair value (gain) loss on common stock warrant liabilities</w:t>
            </w:r>
          </w:p>
        </w:tc>
        <w:tc>
          <w:tcPr>
            <w:tcW w:w="1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(610)</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26,963</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(27,573)</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Loss on extinguishment of debt</w:t>
            </w:r>
          </w:p>
        </w:tc>
        <w:tc>
          <w:tcPr>
            <w:tcW w:w="118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2,814</w:t>
            </w:r>
          </w:p>
        </w:tc>
        <w:tc>
          <w:tcPr>
            <w:tcW w:w="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24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2,814</w:t>
            </w:r>
          </w:p>
        </w:tc>
        <w:tc>
          <w:tcPr>
            <w:tcW w:w="0" w:type="dxa"/>
            <w:vAlign w:val="bottom"/>
          </w:tcPr>
          <w:p>
            <w:pPr>
              <w:spacing w:after="0"/>
              <w:rPr>
                <w:sz w:val="1"/>
                <w:szCs w:val="1"/>
                <w:color w:val="auto"/>
              </w:rPr>
            </w:pPr>
          </w:p>
        </w:tc>
      </w:tr>
      <w:tr>
        <w:trPr>
          <w:trHeight w:val="149"/>
        </w:trPr>
        <w:tc>
          <w:tcPr>
            <w:tcW w:w="5080" w:type="dxa"/>
            <w:vAlign w:val="bottom"/>
          </w:tcPr>
          <w:p>
            <w:pPr>
              <w:ind w:left="20"/>
              <w:spacing w:after="0"/>
              <w:rPr>
                <w:sz w:val="20"/>
                <w:szCs w:val="20"/>
                <w:color w:val="auto"/>
              </w:rPr>
            </w:pPr>
            <w:r>
              <w:rPr>
                <w:rFonts w:ascii="Arial" w:cs="Arial" w:eastAsia="Arial" w:hAnsi="Arial"/>
                <w:sz w:val="12"/>
                <w:szCs w:val="12"/>
                <w:color w:val="auto"/>
              </w:rPr>
              <w:t>Income (loss) before income tax</w:t>
            </w:r>
          </w:p>
        </w:tc>
        <w:tc>
          <w:tcPr>
            <w:tcW w:w="1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39,199</w:t>
            </w: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(14,415)</w:t>
            </w:r>
          </w:p>
        </w:tc>
        <w:tc>
          <w:tcPr>
            <w:tcW w:w="1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53,614</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Income tax expense (benefit)</w:t>
            </w:r>
          </w:p>
        </w:tc>
        <w:tc>
          <w:tcPr>
            <w:tcW w:w="1180" w:type="dxa"/>
            <w:vAlign w:val="bottom"/>
            <w:tcBorders>
              <w:bottom w:val="single" w:sz="8" w:color="auto"/>
            </w:tcBorders>
            <w:shd w:val="clear" w:color="auto" w:fill="DBDBDB"/>
          </w:tcPr>
          <w:p>
            <w:pPr>
              <w:spacing w:after="0"/>
              <w:rPr>
                <w:sz w:val="14"/>
                <w:szCs w:val="14"/>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18,828</w:t>
            </w:r>
          </w:p>
        </w:tc>
        <w:tc>
          <w:tcPr>
            <w:tcW w:w="80" w:type="dxa"/>
            <w:vAlign w:val="bottom"/>
            <w:shd w:val="clear" w:color="auto" w:fill="DBDBDB"/>
          </w:tcPr>
          <w:p>
            <w:pPr>
              <w:spacing w:after="0"/>
              <w:rPr>
                <w:sz w:val="14"/>
                <w:szCs w:val="14"/>
                <w:color w:val="auto"/>
              </w:rPr>
            </w:pPr>
          </w:p>
        </w:tc>
        <w:tc>
          <w:tcPr>
            <w:tcW w:w="860" w:type="dxa"/>
            <w:vAlign w:val="bottom"/>
            <w:tcBorders>
              <w:bottom w:val="single" w:sz="8" w:color="auto"/>
            </w:tcBorders>
            <w:shd w:val="clear" w:color="auto" w:fill="DBDBDB"/>
          </w:tcPr>
          <w:p>
            <w:pPr>
              <w:spacing w:after="0"/>
              <w:rPr>
                <w:sz w:val="14"/>
                <w:szCs w:val="1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(285)</w:t>
            </w:r>
          </w:p>
        </w:tc>
        <w:tc>
          <w:tcPr>
            <w:tcW w:w="100" w:type="dxa"/>
            <w:vAlign w:val="bottom"/>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19,113</w:t>
            </w:r>
          </w:p>
        </w:tc>
        <w:tc>
          <w:tcPr>
            <w:tcW w:w="0" w:type="dxa"/>
            <w:vAlign w:val="bottom"/>
          </w:tcPr>
          <w:p>
            <w:pPr>
              <w:spacing w:after="0"/>
              <w:rPr>
                <w:sz w:val="1"/>
                <w:szCs w:val="1"/>
                <w:color w:val="auto"/>
              </w:rPr>
            </w:pPr>
          </w:p>
        </w:tc>
      </w:tr>
      <w:tr>
        <w:trPr>
          <w:trHeight w:val="149"/>
        </w:trPr>
        <w:tc>
          <w:tcPr>
            <w:tcW w:w="50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20,371</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(14,130)</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34,501</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20"/>
              <w:spacing w:after="0"/>
              <w:rPr>
                <w:sz w:val="20"/>
                <w:szCs w:val="20"/>
                <w:color w:val="auto"/>
              </w:rPr>
            </w:pPr>
            <w:r>
              <w:rPr>
                <w:rFonts w:ascii="Arial" w:cs="Arial" w:eastAsia="Arial" w:hAnsi="Arial"/>
                <w:sz w:val="12"/>
                <w:szCs w:val="12"/>
                <w:color w:val="auto"/>
              </w:rPr>
              <w:t>Net income attributable to non-controlling interest, net of tax</w:t>
            </w:r>
          </w:p>
        </w:tc>
        <w:tc>
          <w:tcPr>
            <w:tcW w:w="1180" w:type="dxa"/>
            <w:vAlign w:val="bottom"/>
            <w:shd w:val="clear" w:color="auto" w:fill="DBDBDB"/>
          </w:tcPr>
          <w:p>
            <w:pPr>
              <w:spacing w:after="0"/>
              <w:rPr>
                <w:sz w:val="14"/>
                <w:szCs w:val="14"/>
                <w:color w:val="auto"/>
              </w:rPr>
            </w:pPr>
          </w:p>
        </w:tc>
        <w:tc>
          <w:tcPr>
            <w:tcW w:w="92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1,343</w:t>
            </w: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(1,343)</w:t>
            </w:r>
          </w:p>
        </w:tc>
        <w:tc>
          <w:tcPr>
            <w:tcW w:w="0" w:type="dxa"/>
            <w:vAlign w:val="bottom"/>
          </w:tcPr>
          <w:p>
            <w:pPr>
              <w:spacing w:after="0"/>
              <w:rPr>
                <w:sz w:val="1"/>
                <w:szCs w:val="1"/>
                <w:color w:val="auto"/>
              </w:rPr>
            </w:pPr>
          </w:p>
        </w:tc>
      </w:tr>
      <w:tr>
        <w:trPr>
          <w:trHeight w:val="149"/>
        </w:trPr>
        <w:tc>
          <w:tcPr>
            <w:tcW w:w="5080" w:type="dxa"/>
            <w:vAlign w:val="bottom"/>
          </w:tcPr>
          <w:p>
            <w:pPr>
              <w:ind w:left="20"/>
              <w:spacing w:after="0"/>
              <w:rPr>
                <w:sz w:val="20"/>
                <w:szCs w:val="20"/>
                <w:color w:val="auto"/>
              </w:rPr>
            </w:pPr>
            <w:r>
              <w:rPr>
                <w:rFonts w:ascii="Arial" w:cs="Arial" w:eastAsia="Arial" w:hAnsi="Arial"/>
                <w:sz w:val="12"/>
                <w:szCs w:val="12"/>
                <w:color w:val="auto"/>
              </w:rPr>
              <w:t>Net income (loss) attributable to WillScot Mobile Mini</w:t>
            </w:r>
          </w:p>
        </w:tc>
        <w:tc>
          <w:tcPr>
            <w:tcW w:w="118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20,371</w:t>
            </w:r>
          </w:p>
        </w:tc>
        <w:tc>
          <w:tcPr>
            <w:tcW w:w="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(15,473)</w:t>
            </w:r>
          </w:p>
        </w:tc>
        <w:tc>
          <w:tcPr>
            <w:tcW w:w="10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2"/>
                <w:szCs w:val="12"/>
                <w:color w:val="auto"/>
                <w:w w:val="89"/>
              </w:rPr>
              <w:t>$</w:t>
            </w: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35,844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3"/>
        </w:trPr>
        <w:tc>
          <w:tcPr>
            <w:tcW w:w="50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869"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color w:val="auto"/>
        </w:rPr>
        <w:t>Comparison of Three Months Ended June 30, 2021 and 2020</w:t>
      </w:r>
    </w:p>
    <w:p>
      <w:pPr>
        <w:spacing w:after="0" w:line="97"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2"/>
          <w:szCs w:val="12"/>
          <w:b w:val="1"/>
          <w:bCs w:val="1"/>
          <w:i w:val="1"/>
          <w:iCs w:val="1"/>
          <w:color w:val="auto"/>
        </w:rPr>
        <w:t xml:space="preserve">Revenue: </w:t>
      </w:r>
      <w:r>
        <w:rPr>
          <w:rFonts w:ascii="Arial" w:cs="Arial" w:eastAsia="Arial" w:hAnsi="Arial"/>
          <w:sz w:val="12"/>
          <w:szCs w:val="12"/>
          <w:color w:val="auto"/>
        </w:rPr>
        <w:t>Total revenue increased $204.2 million, or 79.5%, to $461.1 million for the three months ended June 30, 2021 from $256.9 million for the three months ended June 30, 2020. The increase was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driven primarily by the addition of Mobile Mini's revenues to our consolidated results. The Merger closed on July 1, 2020, and drove $171.7 million of the year over year increase. Leasing revenue increased $153.0 million, or 80.5%, as compared to the same period in 2020 driven by an increase of 159,239 average modular space and portable storage units on rent as a result of the Merger, and improved pricing and value-added products in our NA Modular segment. Rental unit sales increased $9.9 million, or 186.8%, new unit sales increased $1.2 million, or 12.2%, and delivery and installation revenues increased $40.0 million, or 77.5%, due to increased overall activity as a result of the Merger.</w:t>
      </w:r>
    </w:p>
    <w:p>
      <w:pPr>
        <w:spacing w:after="0" w:line="30" w:lineRule="exact"/>
        <w:rPr>
          <w:sz w:val="20"/>
          <w:szCs w:val="20"/>
          <w:color w:val="auto"/>
        </w:rPr>
      </w:pPr>
    </w:p>
    <w:p>
      <w:pPr>
        <w:jc w:val="both"/>
        <w:ind w:firstLine="484"/>
        <w:spacing w:after="0" w:line="247" w:lineRule="auto"/>
        <w:rPr>
          <w:sz w:val="20"/>
          <w:szCs w:val="20"/>
          <w:color w:val="auto"/>
        </w:rPr>
      </w:pPr>
      <w:r>
        <w:rPr>
          <w:rFonts w:ascii="Arial" w:cs="Arial" w:eastAsia="Arial" w:hAnsi="Arial"/>
          <w:sz w:val="12"/>
          <w:szCs w:val="12"/>
          <w:color w:val="auto"/>
        </w:rPr>
        <w:t>Total average units on rent for the three months ended June 30, 2021 and 2020 were 262,204 and 102,965, respectively. The increase was due to units acquired as part of the Merger, partially offset by lower units on rent in the NA Modular segment. In total, modular space average units on rent increased 23,372 units, or 26.8%, for the three months ended June 30, 2021 as compared to the three months ended June 30, 2020. Modular space average monthly rental rates increased 10.0% to $736 for the three months ended June 30, 2021. Improved pricing was driven by an $132, or 19.7%, increase in the NA Modular segment, offset by the dilutive impact of lower rates on the Mobile Mini modular space units due to product mix. NA Modular segment increases were driven by a continuation of the long-term price optimization and VAPS penetration opportunities across our portfolio. Portable storage average units on rent increased by 135,867 units, or 856.2%, for the three months ended June 30, 2021 driven by units acquired as part of the Merger. Average portable storage monthly rental rates increased 15.8% to $139 for the three months ended June 30, 2021 driven by the accretive impact of higher rates from the Mobile Mini portable storage fleet. The average modular space unit utilization rate during the three months ended June 30, 2021 was 70.3%, as compared to 68.5% during the same period in 2020. This increase was driven by higher utilization on units acquired as part of the Merger. The average portable storage unit utilization rate during the three months ended June 30, 2021 was 77.7%, as compared to 62.5% during the same period in 2020. The increase in average portable storage utilization rate was driven by higher utilization on the acquired Mobile Mini units.</w:t>
      </w:r>
    </w:p>
    <w:p>
      <w:pPr>
        <w:spacing w:after="0" w:line="19"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i w:val="1"/>
          <w:iCs w:val="1"/>
          <w:color w:val="auto"/>
        </w:rPr>
        <w:t xml:space="preserve">Gross Profit: </w:t>
      </w:r>
      <w:r>
        <w:rPr>
          <w:rFonts w:ascii="Arial" w:cs="Arial" w:eastAsia="Arial" w:hAnsi="Arial"/>
          <w:sz w:val="12"/>
          <w:szCs w:val="12"/>
          <w:color w:val="auto"/>
        </w:rPr>
        <w:t>Our gross profit percentage was 48.3% and 42.8% for the three months ended June 30, 2021 and 2020, respectively. Our gross profit percentage, excluding the effects of depreciation,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was 62.0% and 60.5% for the three months ended June 30, 2021 and 2020, respectively.</w:t>
      </w:r>
    </w:p>
    <w:p>
      <w:pPr>
        <w:spacing w:after="0" w:line="1" w:lineRule="exact"/>
        <w:rPr>
          <w:sz w:val="20"/>
          <w:szCs w:val="20"/>
          <w:color w:val="auto"/>
        </w:rPr>
      </w:pPr>
    </w:p>
    <w:p>
      <w:pPr>
        <w:jc w:val="both"/>
        <w:ind w:firstLine="484"/>
        <w:spacing w:after="0" w:line="232" w:lineRule="auto"/>
        <w:rPr>
          <w:sz w:val="20"/>
          <w:szCs w:val="20"/>
          <w:color w:val="auto"/>
        </w:rPr>
      </w:pPr>
      <w:r>
        <w:rPr>
          <w:rFonts w:ascii="Arial" w:cs="Arial" w:eastAsia="Arial" w:hAnsi="Arial"/>
          <w:sz w:val="12"/>
          <w:szCs w:val="12"/>
          <w:color w:val="auto"/>
        </w:rPr>
        <w:t>Gross profit increased $112.8 million, or 102.5%, to $222.8 million for the three months ended June 30, 2021 from $110.0 million for the three months ended June 30, 2020. The increase in gross profit is a result of a $117.7 million increase in leasing gross profit, increased delivery and installation gross profit of $6.3 million, and increased new and rental unit sale margins of $5.9 million. Increases in all were primarily a result of increased revenues due to the Merger and due to favorable average monthly rental rates in the NA Modular segment on modular space units. Increased delivery and installation margins were also driven by higher margins achieved in the NA Storage segment as compared to the NA Modular segment, partially offset by lower delivery and installation margins in the NA Modular segment as compared to the prior year driven by higher fleet relocation expenses. Depreciation increased $17.4 million as a result of fleet acquired in the Merger and capital investments made over the past twelve months in our existing rental equipment.</w:t>
      </w:r>
    </w:p>
    <w:p>
      <w:pPr>
        <w:spacing w:after="0" w:line="23"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2"/>
          <w:szCs w:val="12"/>
          <w:b w:val="1"/>
          <w:bCs w:val="1"/>
          <w:i w:val="1"/>
          <w:iCs w:val="1"/>
          <w:color w:val="auto"/>
        </w:rPr>
        <w:t xml:space="preserve">SG&amp;A: </w:t>
      </w:r>
      <w:r>
        <w:rPr>
          <w:rFonts w:ascii="Arial" w:cs="Arial" w:eastAsia="Arial" w:hAnsi="Arial"/>
          <w:sz w:val="12"/>
          <w:szCs w:val="12"/>
          <w:color w:val="auto"/>
        </w:rPr>
        <w:t>Selling, general and administrative ("SG&amp;A") increased $58.7 million, or 92.2%, to $122.4 million for the three months ended June 30, 2021, compared to $63.7 million for the three months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ended June 30, 2020. The primary driver of the increase is related to additional SG&amp;A costs related to operating a larger business as a result of the Merger. SG&amp;A costs included in Adjusted EBITDA for the NA Storage, UK Storage, and Tank and Pump segments totaled $46.8 million for the three months ended June 30, 2021. Additionally, as a result of the Merger and the related integration, integration costs increased $5.4 million to $7.6 million for the three months ended June 30, 2021, compared to $2.2 million for the three months ended June 30, 2020, and stock compensation expense increased $2.5 million to $4.7 million for the three months ended June 30, 2021, compared to $2.2 million for the three months ended June 30, 2020.</w:t>
      </w:r>
    </w:p>
    <w:p>
      <w:pPr>
        <w:spacing w:after="0" w:line="57"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i w:val="1"/>
          <w:iCs w:val="1"/>
          <w:color w:val="auto"/>
        </w:rPr>
        <w:t xml:space="preserve">Transaction Costs: </w:t>
      </w:r>
      <w:r>
        <w:rPr>
          <w:rFonts w:ascii="Arial" w:cs="Arial" w:eastAsia="Arial" w:hAnsi="Arial"/>
          <w:sz w:val="12"/>
          <w:szCs w:val="12"/>
          <w:color w:val="auto"/>
        </w:rPr>
        <w:t>Transaction costs decreased from $1.6 million for the three months ended June 30, 2020 to $0 for the three months ended June 30, 2021. Transaction costs were related to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Merger which closed on July 1, 2020.</w:t>
      </w:r>
    </w:p>
    <w:p>
      <w:pPr>
        <w:spacing w:after="0" w:line="28" w:lineRule="exact"/>
        <w:rPr>
          <w:sz w:val="20"/>
          <w:szCs w:val="20"/>
          <w:color w:val="auto"/>
        </w:rPr>
      </w:pPr>
    </w:p>
    <w:p>
      <w:pPr>
        <w:jc w:val="both"/>
        <w:ind w:firstLine="484"/>
        <w:spacing w:after="0" w:line="246" w:lineRule="auto"/>
        <w:rPr>
          <w:sz w:val="20"/>
          <w:szCs w:val="20"/>
          <w:color w:val="auto"/>
        </w:rPr>
      </w:pPr>
      <w:r>
        <w:rPr>
          <w:rFonts w:ascii="Arial" w:cs="Arial" w:eastAsia="Arial" w:hAnsi="Arial"/>
          <w:sz w:val="12"/>
          <w:szCs w:val="12"/>
          <w:b w:val="1"/>
          <w:bCs w:val="1"/>
          <w:i w:val="1"/>
          <w:iCs w:val="1"/>
          <w:color w:val="auto"/>
        </w:rPr>
        <w:t xml:space="preserve">Other Depreciation and Amortization: </w:t>
      </w:r>
      <w:r>
        <w:rPr>
          <w:rFonts w:ascii="Arial" w:cs="Arial" w:eastAsia="Arial" w:hAnsi="Arial"/>
          <w:sz w:val="12"/>
          <w:szCs w:val="12"/>
          <w:color w:val="auto"/>
        </w:rPr>
        <w:t>Other depreciation and amortization increased $18.7 million to $21.6 million for the three months ended June 30, 2021 compared to $2.9 million for the three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months ended June 30, 2020. $12.2 million of the increase was driven by increased depreciation as a result of the inclusion of Mobile Mini subsequent to the Merger and our recent investments in our enterprise resource planning system, and $6.6 million was driven by the amortization of the customer relationship intangible assets acquired in the Merger.</w:t>
      </w:r>
    </w:p>
    <w:p>
      <w:pPr>
        <w:spacing w:after="0" w:line="60"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i w:val="1"/>
          <w:iCs w:val="1"/>
          <w:color w:val="auto"/>
        </w:rPr>
        <w:t xml:space="preserve">Lease Impairment Expense and Other Related Charges: </w:t>
      </w:r>
      <w:r>
        <w:rPr>
          <w:rFonts w:ascii="Arial" w:cs="Arial" w:eastAsia="Arial" w:hAnsi="Arial"/>
          <w:sz w:val="12"/>
          <w:szCs w:val="12"/>
          <w:color w:val="auto"/>
        </w:rPr>
        <w:t>Lease impairment expense and other related charges was $0.5 million for the three months ended June 30, 2021 as compared to $1.4 million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for the three months ended June 30, 2020.</w:t>
      </w:r>
    </w:p>
    <w:p>
      <w:pPr>
        <w:spacing w:after="0" w:line="38"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b w:val="1"/>
          <w:bCs w:val="1"/>
          <w:i w:val="1"/>
          <w:iCs w:val="1"/>
          <w:color w:val="auto"/>
        </w:rPr>
        <w:t xml:space="preserve">Restructuring Costs: </w:t>
      </w:r>
      <w:r>
        <w:rPr>
          <w:rFonts w:ascii="Arial" w:cs="Arial" w:eastAsia="Arial" w:hAnsi="Arial"/>
          <w:sz w:val="12"/>
          <w:szCs w:val="12"/>
          <w:color w:val="auto"/>
        </w:rPr>
        <w:t>In the three months ended June 30, 2021, the Company had $7.0 million of restructuring costs primarily driven by employee termination costs as a result of the elimination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positions due to the Merger. $4.3 million of the employee termination costs will be settled in stock, which is non-cash and non-recurring and not included in stock compensation expense. In the three months ended June 30, 2020, the Company had $0.7 million of restructuring costs primarily related to employee termination costs due to reductions in force across our branch network in response to COVID-19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489585</wp:posOffset>
            </wp:positionV>
            <wp:extent cx="719264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41" w:name="page42"/>
    <w:bookmarkEnd w:id="41"/>
    <w:p>
      <w:pPr>
        <w:jc w:val="both"/>
        <w:ind w:firstLine="484"/>
        <w:spacing w:after="0" w:line="283" w:lineRule="auto"/>
        <w:rPr>
          <w:sz w:val="20"/>
          <w:szCs w:val="20"/>
          <w:color w:val="auto"/>
        </w:rPr>
      </w:pPr>
      <w:r>
        <w:rPr>
          <w:rFonts w:ascii="Arial" w:cs="Arial" w:eastAsia="Arial" w:hAnsi="Arial"/>
          <w:sz w:val="12"/>
          <w:szCs w:val="12"/>
          <w:b w:val="1"/>
          <w:bCs w:val="1"/>
          <w:i w:val="1"/>
          <w:iCs w:val="1"/>
          <w:color w:val="auto"/>
        </w:rPr>
        <w:t xml:space="preserve">Currency Losses (Gains), net: </w:t>
      </w:r>
      <w:r>
        <w:rPr>
          <w:rFonts w:ascii="Arial" w:cs="Arial" w:eastAsia="Arial" w:hAnsi="Arial"/>
          <w:sz w:val="12"/>
          <w:szCs w:val="12"/>
          <w:color w:val="auto"/>
        </w:rPr>
        <w:t>Currency losses, net changed by $0.4 million to $0 for the three months ended June 30, 2021 from a $0.4 million gain for the three months ended June 30, 2020. This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change was primarily attributable to the impact of foreign currency exchanges rate changes on intercompany receivables and payables denominated in a currency other than the subsidiary's functional currency.</w:t>
      </w:r>
    </w:p>
    <w:p>
      <w:pPr>
        <w:spacing w:after="0" w:line="38"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i w:val="1"/>
          <w:iCs w:val="1"/>
          <w:color w:val="auto"/>
        </w:rPr>
        <w:t xml:space="preserve">Other Expense (Income), Net: </w:t>
      </w:r>
      <w:r>
        <w:rPr>
          <w:rFonts w:ascii="Arial" w:cs="Arial" w:eastAsia="Arial" w:hAnsi="Arial"/>
          <w:sz w:val="12"/>
          <w:szCs w:val="12"/>
          <w:color w:val="auto"/>
        </w:rPr>
        <w:t>Other expense (income), net was expense of $0.7 million for the three months ended June 30, 2021 compared to income of $1.0 million for the three months ended June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30, 2020. Other income, net of $1.0 million for the three months ended June 30, 2020 reflected the reversal of a non-income tax liability of $1.3 million.</w:t>
      </w:r>
    </w:p>
    <w:p>
      <w:pPr>
        <w:spacing w:after="0" w:line="38"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2"/>
          <w:szCs w:val="12"/>
          <w:b w:val="1"/>
          <w:bCs w:val="1"/>
          <w:i w:val="1"/>
          <w:iCs w:val="1"/>
          <w:color w:val="auto"/>
        </w:rPr>
        <w:t xml:space="preserve">Interest Expense: </w:t>
      </w:r>
      <w:r>
        <w:rPr>
          <w:rFonts w:ascii="Arial" w:cs="Arial" w:eastAsia="Arial" w:hAnsi="Arial"/>
          <w:sz w:val="12"/>
          <w:szCs w:val="12"/>
          <w:color w:val="auto"/>
        </w:rPr>
        <w:t>Interest expense increased $0.7 million, or 2.5%, to $29.2 million for the three months ended June 30, 2021 from $28.5 million for the three months ended June 30, 2020.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increase in interest expense is a result of the Merger which increased total debt outstanding at June 30, 2021 by approximately $286.4 million compared to June 30, 2020, offset by lower overall weighted average interest rates as a result of our financing activities over the past 12 months. See Note 9 to the condensed consolidated financial statements for further discussion of our debt.</w:t>
      </w:r>
    </w:p>
    <w:p>
      <w:pPr>
        <w:spacing w:after="0" w:line="49"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b w:val="1"/>
          <w:bCs w:val="1"/>
          <w:i w:val="1"/>
          <w:iCs w:val="1"/>
          <w:color w:val="auto"/>
        </w:rPr>
        <w:t xml:space="preserve">Fair Value (Gain) Loss on Common Stock Warrant Liabilities: </w:t>
      </w:r>
      <w:r>
        <w:rPr>
          <w:rFonts w:ascii="Arial" w:cs="Arial" w:eastAsia="Arial" w:hAnsi="Arial"/>
          <w:sz w:val="12"/>
          <w:szCs w:val="12"/>
          <w:color w:val="auto"/>
        </w:rPr>
        <w:t>The fair value (gain) loss on common stock warrant liabilities increased $27.6 million to a $0.6 million gain for the three months ended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June 30, 2021 from a $27.0 million loss for the three months ended June 30, 2020. The increase was primarily due to the change in estimated fair value of common stock warrant liabilities. As of June 30, 2021, no 2015 Public or Private Warrants remain outstanding. At June 30, 2021, 7,165,911 2018 Warrants were outstanding, but are classified as equity, so we will not reflect a common stock warrant liability on our balance sheet or related gain or loss from changes in fair value on our statement of operations in the future.</w:t>
      </w:r>
    </w:p>
    <w:p>
      <w:pPr>
        <w:spacing w:after="0" w:line="52"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2"/>
          <w:szCs w:val="12"/>
          <w:b w:val="1"/>
          <w:bCs w:val="1"/>
          <w:i w:val="1"/>
          <w:iCs w:val="1"/>
          <w:color w:val="auto"/>
        </w:rPr>
        <w:t xml:space="preserve">Loss on Extinguishment of Debt: </w:t>
      </w:r>
      <w:r>
        <w:rPr>
          <w:rFonts w:ascii="Arial" w:cs="Arial" w:eastAsia="Arial" w:hAnsi="Arial"/>
          <w:sz w:val="12"/>
          <w:szCs w:val="12"/>
          <w:color w:val="auto"/>
        </w:rPr>
        <w:t>During the three months ended June 30, 2021, using internally generated cash and lower cost borrowings under the 2020 ABL Facility, the Company redeemed 10%</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the outstanding principal, $58.5 million, of its 2025 Secured Notes and recorded a loss on extinguishment of debt of $2.8 million comprised of a redemption premium of $1.8 million and write off of unamortized deferred financing fees of $1.0 million.</w:t>
      </w:r>
    </w:p>
    <w:p>
      <w:pPr>
        <w:spacing w:after="0" w:line="49"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b w:val="1"/>
          <w:bCs w:val="1"/>
          <w:i w:val="1"/>
          <w:iCs w:val="1"/>
          <w:color w:val="auto"/>
        </w:rPr>
        <w:t xml:space="preserve">Income Tax Expense: </w:t>
      </w:r>
      <w:r>
        <w:rPr>
          <w:rFonts w:ascii="Arial" w:cs="Arial" w:eastAsia="Arial" w:hAnsi="Arial"/>
          <w:sz w:val="12"/>
          <w:szCs w:val="12"/>
          <w:color w:val="auto"/>
        </w:rPr>
        <w:t>Income tax expense increased $19.1 million to an expense of $18.8 million for the three months ended June 30, 2021 compared to a benefit of $0.3 million for the three months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ended June 30, 2020. $8.0 million of the increase was non-cash driven by an increase of the UK statutory rate to 25% resulting in an increase in our deferred tax liability. The remaining increases were driven by increases to income during the period and permanent add-backs related to the mark to market accounting on the Company’s warrants, as well as by prior year tax benefits from the reversal of the Company's valuation allowance not repeated in the current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605155</wp:posOffset>
            </wp:positionV>
            <wp:extent cx="719264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color w:val="auto"/>
        </w:rPr>
        <w:t>Six Months Ended June 30, 2021 Compared to the Six Months Ended June 30, 2020</w:t>
      </w:r>
    </w:p>
    <w:p>
      <w:pPr>
        <w:spacing w:after="0" w:line="111" w:lineRule="exact"/>
        <w:rPr>
          <w:sz w:val="20"/>
          <w:szCs w:val="20"/>
          <w:color w:val="auto"/>
        </w:rPr>
      </w:pPr>
    </w:p>
    <w:p>
      <w:pPr>
        <w:ind w:firstLine="484"/>
        <w:spacing w:after="0" w:line="258" w:lineRule="auto"/>
        <w:rPr>
          <w:sz w:val="20"/>
          <w:szCs w:val="20"/>
          <w:color w:val="auto"/>
        </w:rPr>
      </w:pPr>
      <w:r>
        <w:rPr>
          <w:rFonts w:ascii="Arial" w:cs="Arial" w:eastAsia="Arial" w:hAnsi="Arial"/>
          <w:sz w:val="12"/>
          <w:szCs w:val="12"/>
          <w:color w:val="auto"/>
        </w:rPr>
        <w:t>Our condensed consolidated statements of operations for the six months ended June 30, 2021 and 2020 are presented below. The below results only include Mobile Mini for the periods subsequent to the Merger:</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shd w:val="clear" w:color="auto" w:fill="1D2758"/>
          </w:tcPr>
          <w:p>
            <w:pPr>
              <w:spacing w:after="0"/>
              <w:rPr>
                <w:sz w:val="16"/>
                <w:szCs w:val="16"/>
                <w:color w:val="auto"/>
              </w:rPr>
            </w:pPr>
          </w:p>
        </w:tc>
        <w:tc>
          <w:tcPr>
            <w:tcW w:w="1220" w:type="dxa"/>
            <w:vAlign w:val="bottom"/>
            <w:shd w:val="clear" w:color="auto" w:fill="1D2758"/>
          </w:tcPr>
          <w:p>
            <w:pPr>
              <w:spacing w:after="0"/>
              <w:rPr>
                <w:sz w:val="16"/>
                <w:szCs w:val="16"/>
                <w:color w:val="auto"/>
              </w:rPr>
            </w:pPr>
          </w:p>
        </w:tc>
        <w:tc>
          <w:tcPr>
            <w:tcW w:w="1700" w:type="dxa"/>
            <w:vAlign w:val="bottom"/>
            <w:gridSpan w:val="3"/>
            <w:shd w:val="clear" w:color="auto" w:fill="1D2758"/>
          </w:tcPr>
          <w:p>
            <w:pPr>
              <w:jc w:val="right"/>
              <w:spacing w:after="0"/>
              <w:rPr>
                <w:sz w:val="20"/>
                <w:szCs w:val="20"/>
                <w:color w:val="auto"/>
              </w:rPr>
            </w:pPr>
            <w:r>
              <w:rPr>
                <w:rFonts w:ascii="Arial" w:cs="Arial" w:eastAsia="Arial" w:hAnsi="Arial"/>
                <w:sz w:val="12"/>
                <w:szCs w:val="12"/>
                <w:b w:val="1"/>
                <w:bCs w:val="1"/>
                <w:color w:val="FFFFFF"/>
              </w:rPr>
              <w:t>Six Months Ended June 30,</w:t>
            </w:r>
          </w:p>
        </w:tc>
        <w:tc>
          <w:tcPr>
            <w:tcW w:w="1180" w:type="dxa"/>
            <w:vAlign w:val="bottom"/>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1120" w:type="dxa"/>
            <w:vAlign w:val="bottom"/>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78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0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220" w:type="dxa"/>
            <w:vAlign w:val="bottom"/>
            <w:vMerge w:val="restart"/>
            <w:shd w:val="clear" w:color="auto" w:fill="1D2758"/>
          </w:tcPr>
          <w:p>
            <w:pPr>
              <w:jc w:val="right"/>
              <w:ind w:right="19"/>
              <w:spacing w:after="0"/>
              <w:rPr>
                <w:sz w:val="20"/>
                <w:szCs w:val="20"/>
                <w:color w:val="auto"/>
              </w:rPr>
            </w:pPr>
            <w:r>
              <w:rPr>
                <w:rFonts w:ascii="Arial" w:cs="Arial" w:eastAsia="Arial" w:hAnsi="Arial"/>
                <w:sz w:val="12"/>
                <w:szCs w:val="12"/>
                <w:b w:val="1"/>
                <w:bCs w:val="1"/>
                <w:color w:val="FFFFFF"/>
              </w:rPr>
              <w:t>2021</w:t>
            </w:r>
          </w:p>
        </w:tc>
        <w:tc>
          <w:tcPr>
            <w:tcW w:w="8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820" w:type="dxa"/>
            <w:vAlign w:val="bottom"/>
            <w:shd w:val="clear" w:color="auto" w:fill="1D2758"/>
          </w:tcPr>
          <w:p>
            <w:pPr>
              <w:spacing w:after="0"/>
              <w:rPr>
                <w:sz w:val="14"/>
                <w:szCs w:val="14"/>
                <w:color w:val="auto"/>
              </w:rPr>
            </w:pPr>
          </w:p>
        </w:tc>
        <w:tc>
          <w:tcPr>
            <w:tcW w:w="1180" w:type="dxa"/>
            <w:vAlign w:val="bottom"/>
            <w:vMerge w:val="restart"/>
            <w:shd w:val="clear" w:color="auto" w:fill="1D2758"/>
          </w:tcPr>
          <w:p>
            <w:pPr>
              <w:jc w:val="right"/>
              <w:ind w:right="799"/>
              <w:spacing w:after="0"/>
              <w:rPr>
                <w:sz w:val="20"/>
                <w:szCs w:val="20"/>
                <w:color w:val="auto"/>
              </w:rPr>
            </w:pPr>
            <w:r>
              <w:rPr>
                <w:rFonts w:ascii="Arial" w:cs="Arial" w:eastAsia="Arial" w:hAnsi="Arial"/>
                <w:sz w:val="12"/>
                <w:szCs w:val="12"/>
                <w:b w:val="1"/>
                <w:bCs w:val="1"/>
                <w:color w:val="FFFFFF"/>
              </w:rPr>
              <w:t>2020</w:t>
            </w:r>
          </w:p>
        </w:tc>
        <w:tc>
          <w:tcPr>
            <w:tcW w:w="100" w:type="dxa"/>
            <w:vAlign w:val="bottom"/>
            <w:shd w:val="clear" w:color="auto" w:fill="1D2758"/>
          </w:tcPr>
          <w:p>
            <w:pPr>
              <w:spacing w:after="0"/>
              <w:rPr>
                <w:sz w:val="14"/>
                <w:szCs w:val="14"/>
                <w:color w:val="auto"/>
              </w:rPr>
            </w:pPr>
          </w:p>
        </w:tc>
        <w:tc>
          <w:tcPr>
            <w:tcW w:w="112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2021 vs. 2020</w:t>
            </w:r>
          </w:p>
        </w:tc>
        <w:tc>
          <w:tcPr>
            <w:tcW w:w="10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w w:val="89"/>
              </w:rPr>
              <w:t>$</w:t>
            </w:r>
          </w:p>
        </w:tc>
        <w:tc>
          <w:tcPr>
            <w:tcW w:w="780" w:type="dxa"/>
            <w:vAlign w:val="bottom"/>
            <w:shd w:val="clear" w:color="auto" w:fill="1D2758"/>
          </w:tcPr>
          <w:p>
            <w:pPr>
              <w:jc w:val="right"/>
              <w:ind w:right="259"/>
              <w:spacing w:after="0"/>
              <w:rPr>
                <w:sz w:val="20"/>
                <w:szCs w:val="20"/>
                <w:color w:val="auto"/>
              </w:rPr>
            </w:pPr>
            <w:r>
              <w:rPr>
                <w:rFonts w:ascii="Arial" w:cs="Arial" w:eastAsia="Arial" w:hAnsi="Arial"/>
                <w:sz w:val="12"/>
                <w:szCs w:val="12"/>
                <w:b w:val="1"/>
                <w:bCs w:val="1"/>
                <w:color w:val="FFFFFF"/>
                <w:w w:val="99"/>
              </w:rPr>
              <w:t>Change</w:t>
            </w:r>
          </w:p>
        </w:tc>
        <w:tc>
          <w:tcPr>
            <w:tcW w:w="0" w:type="dxa"/>
            <w:vAlign w:val="bottom"/>
          </w:tcPr>
          <w:p>
            <w:pPr>
              <w:spacing w:after="0"/>
              <w:rPr>
                <w:sz w:val="1"/>
                <w:szCs w:val="1"/>
                <w:color w:val="auto"/>
              </w:rPr>
            </w:pPr>
          </w:p>
        </w:tc>
      </w:tr>
      <w:tr>
        <w:trPr>
          <w:trHeight w:val="75"/>
        </w:trPr>
        <w:tc>
          <w:tcPr>
            <w:tcW w:w="5080" w:type="dxa"/>
            <w:vAlign w:val="bottom"/>
            <w:shd w:val="clear" w:color="auto" w:fill="1D2758"/>
          </w:tcPr>
          <w:p>
            <w:pPr>
              <w:spacing w:after="0"/>
              <w:rPr>
                <w:sz w:val="6"/>
                <w:szCs w:val="6"/>
                <w:color w:val="auto"/>
              </w:rPr>
            </w:pPr>
          </w:p>
        </w:tc>
        <w:tc>
          <w:tcPr>
            <w:tcW w:w="1220" w:type="dxa"/>
            <w:vAlign w:val="bottom"/>
            <w:vMerge w:val="continue"/>
            <w:shd w:val="clear" w:color="auto" w:fill="1D2758"/>
          </w:tcPr>
          <w:p>
            <w:pPr>
              <w:spacing w:after="0"/>
              <w:rPr>
                <w:sz w:val="6"/>
                <w:szCs w:val="6"/>
                <w:color w:val="auto"/>
              </w:rPr>
            </w:pPr>
          </w:p>
        </w:tc>
        <w:tc>
          <w:tcPr>
            <w:tcW w:w="800" w:type="dxa"/>
            <w:vAlign w:val="bottom"/>
            <w:shd w:val="clear" w:color="auto" w:fill="1D2758"/>
          </w:tcPr>
          <w:p>
            <w:pPr>
              <w:spacing w:after="0"/>
              <w:rPr>
                <w:sz w:val="6"/>
                <w:szCs w:val="6"/>
                <w:color w:val="auto"/>
              </w:rPr>
            </w:pPr>
          </w:p>
        </w:tc>
        <w:tc>
          <w:tcPr>
            <w:tcW w:w="80" w:type="dxa"/>
            <w:vAlign w:val="bottom"/>
            <w:shd w:val="clear" w:color="auto" w:fill="1D2758"/>
          </w:tcPr>
          <w:p>
            <w:pPr>
              <w:spacing w:after="0"/>
              <w:rPr>
                <w:sz w:val="6"/>
                <w:szCs w:val="6"/>
                <w:color w:val="auto"/>
              </w:rPr>
            </w:pPr>
          </w:p>
        </w:tc>
        <w:tc>
          <w:tcPr>
            <w:tcW w:w="820" w:type="dxa"/>
            <w:vAlign w:val="bottom"/>
            <w:shd w:val="clear" w:color="auto" w:fill="1D2758"/>
          </w:tcPr>
          <w:p>
            <w:pPr>
              <w:spacing w:after="0"/>
              <w:rPr>
                <w:sz w:val="6"/>
                <w:szCs w:val="6"/>
                <w:color w:val="auto"/>
              </w:rPr>
            </w:pPr>
          </w:p>
        </w:tc>
        <w:tc>
          <w:tcPr>
            <w:tcW w:w="1180" w:type="dxa"/>
            <w:vAlign w:val="bottom"/>
            <w:vMerge w:val="continue"/>
            <w:shd w:val="clear" w:color="auto" w:fill="1D2758"/>
          </w:tcPr>
          <w:p>
            <w:pPr>
              <w:spacing w:after="0"/>
              <w:rPr>
                <w:sz w:val="6"/>
                <w:szCs w:val="6"/>
                <w:color w:val="auto"/>
              </w:rPr>
            </w:pPr>
          </w:p>
        </w:tc>
        <w:tc>
          <w:tcPr>
            <w:tcW w:w="100" w:type="dxa"/>
            <w:vAlign w:val="bottom"/>
            <w:shd w:val="clear" w:color="auto" w:fill="1D2758"/>
          </w:tcPr>
          <w:p>
            <w:pPr>
              <w:spacing w:after="0"/>
              <w:rPr>
                <w:sz w:val="6"/>
                <w:szCs w:val="6"/>
                <w:color w:val="auto"/>
              </w:rPr>
            </w:pPr>
          </w:p>
        </w:tc>
        <w:tc>
          <w:tcPr>
            <w:tcW w:w="1120" w:type="dxa"/>
            <w:vAlign w:val="bottom"/>
            <w:shd w:val="clear" w:color="auto" w:fill="1D2758"/>
          </w:tcPr>
          <w:p>
            <w:pPr>
              <w:spacing w:after="0"/>
              <w:rPr>
                <w:sz w:val="6"/>
                <w:szCs w:val="6"/>
                <w:color w:val="auto"/>
              </w:rPr>
            </w:pPr>
          </w:p>
        </w:tc>
        <w:tc>
          <w:tcPr>
            <w:tcW w:w="100" w:type="dxa"/>
            <w:vAlign w:val="bottom"/>
            <w:shd w:val="clear" w:color="auto" w:fill="1D2758"/>
          </w:tcPr>
          <w:p>
            <w:pPr>
              <w:spacing w:after="0"/>
              <w:rPr>
                <w:sz w:val="6"/>
                <w:szCs w:val="6"/>
                <w:color w:val="auto"/>
              </w:rPr>
            </w:pPr>
          </w:p>
        </w:tc>
        <w:tc>
          <w:tcPr>
            <w:tcW w:w="780" w:type="dxa"/>
            <w:vAlign w:val="bottom"/>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508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Revenues:</w:t>
            </w:r>
          </w:p>
        </w:tc>
        <w:tc>
          <w:tcPr>
            <w:tcW w:w="122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80" w:type="dxa"/>
            <w:vAlign w:val="bottom"/>
          </w:tcPr>
          <w:p>
            <w:pPr>
              <w:ind w:left="180"/>
              <w:spacing w:after="0"/>
              <w:rPr>
                <w:sz w:val="20"/>
                <w:szCs w:val="20"/>
                <w:color w:val="auto"/>
              </w:rPr>
            </w:pPr>
            <w:r>
              <w:rPr>
                <w:rFonts w:ascii="Arial" w:cs="Arial" w:eastAsia="Arial" w:hAnsi="Arial"/>
                <w:sz w:val="12"/>
                <w:szCs w:val="12"/>
                <w:color w:val="auto"/>
              </w:rPr>
              <w:t>Leasing and services revenue:</w:t>
            </w: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Leasing</w:t>
            </w:r>
          </w:p>
        </w:tc>
        <w:tc>
          <w:tcPr>
            <w:tcW w:w="1220" w:type="dxa"/>
            <w:vAlign w:val="bottom"/>
            <w:shd w:val="clear" w:color="auto" w:fill="DBDBDB"/>
          </w:tcPr>
          <w:p>
            <w:pPr>
              <w:jc w:val="right"/>
              <w:ind w:right="1079"/>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658,841</w:t>
            </w:r>
          </w:p>
        </w:tc>
        <w:tc>
          <w:tcPr>
            <w:tcW w:w="80" w:type="dxa"/>
            <w:vAlign w:val="bottom"/>
            <w:shd w:val="clear" w:color="auto" w:fill="DBDBDB"/>
          </w:tcPr>
          <w:p>
            <w:pPr>
              <w:spacing w:after="0"/>
              <w:rPr>
                <w:sz w:val="14"/>
                <w:szCs w:val="14"/>
                <w:color w:val="auto"/>
              </w:rPr>
            </w:pPr>
          </w:p>
        </w:tc>
        <w:tc>
          <w:tcPr>
            <w:tcW w:w="820" w:type="dxa"/>
            <w:vAlign w:val="bottom"/>
            <w:shd w:val="clear" w:color="auto" w:fill="DBDBDB"/>
          </w:tcPr>
          <w:p>
            <w:pPr>
              <w:jc w:val="right"/>
              <w:ind w:right="679"/>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378,495</w:t>
            </w: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jc w:val="right"/>
              <w:ind w:right="979"/>
              <w:spacing w:after="0"/>
              <w:rPr>
                <w:sz w:val="20"/>
                <w:szCs w:val="20"/>
                <w:color w:val="auto"/>
              </w:rPr>
            </w:pPr>
            <w:r>
              <w:rPr>
                <w:rFonts w:ascii="Arial" w:cs="Arial" w:eastAsia="Arial" w:hAnsi="Arial"/>
                <w:sz w:val="12"/>
                <w:szCs w:val="12"/>
                <w:color w:val="auto"/>
                <w:w w:val="89"/>
              </w:rPr>
              <w:t>$</w:t>
            </w: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280,346</w:t>
            </w:r>
          </w:p>
        </w:tc>
        <w:tc>
          <w:tcPr>
            <w:tcW w:w="0" w:type="dxa"/>
            <w:vAlign w:val="bottom"/>
          </w:tcPr>
          <w:p>
            <w:pPr>
              <w:spacing w:after="0"/>
              <w:rPr>
                <w:sz w:val="1"/>
                <w:szCs w:val="1"/>
                <w:color w:val="auto"/>
              </w:rPr>
            </w:pPr>
          </w:p>
        </w:tc>
      </w:tr>
      <w:tr>
        <w:trPr>
          <w:trHeight w:val="159"/>
        </w:trPr>
        <w:tc>
          <w:tcPr>
            <w:tcW w:w="5080" w:type="dxa"/>
            <w:vAlign w:val="bottom"/>
          </w:tcPr>
          <w:p>
            <w:pPr>
              <w:ind w:left="340"/>
              <w:spacing w:after="0"/>
              <w:rPr>
                <w:sz w:val="20"/>
                <w:szCs w:val="20"/>
                <w:color w:val="auto"/>
              </w:rPr>
            </w:pPr>
            <w:r>
              <w:rPr>
                <w:rFonts w:ascii="Arial" w:cs="Arial" w:eastAsia="Arial" w:hAnsi="Arial"/>
                <w:sz w:val="12"/>
                <w:szCs w:val="12"/>
                <w:color w:val="auto"/>
              </w:rPr>
              <w:t>Delivery and installation</w:t>
            </w:r>
          </w:p>
        </w:tc>
        <w:tc>
          <w:tcPr>
            <w:tcW w:w="1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175,184</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102,710</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72,474</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Sales revenue:</w:t>
            </w:r>
          </w:p>
        </w:tc>
        <w:tc>
          <w:tcPr>
            <w:tcW w:w="122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80" w:type="dxa"/>
            <w:vAlign w:val="bottom"/>
          </w:tcPr>
          <w:p>
            <w:pPr>
              <w:ind w:left="340"/>
              <w:spacing w:after="0"/>
              <w:rPr>
                <w:sz w:val="20"/>
                <w:szCs w:val="20"/>
                <w:color w:val="auto"/>
              </w:rPr>
            </w:pPr>
            <w:r>
              <w:rPr>
                <w:rFonts w:ascii="Arial" w:cs="Arial" w:eastAsia="Arial" w:hAnsi="Arial"/>
                <w:sz w:val="12"/>
                <w:szCs w:val="12"/>
                <w:color w:val="auto"/>
              </w:rPr>
              <w:t>New units</w:t>
            </w:r>
          </w:p>
        </w:tc>
        <w:tc>
          <w:tcPr>
            <w:tcW w:w="1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21,963</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19,376</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2,587</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Rental units</w:t>
            </w:r>
          </w:p>
        </w:tc>
        <w:tc>
          <w:tcPr>
            <w:tcW w:w="1220" w:type="dxa"/>
            <w:vAlign w:val="bottom"/>
            <w:tcBorders>
              <w:bottom w:val="single" w:sz="8" w:color="auto"/>
            </w:tcBorders>
            <w:shd w:val="clear" w:color="auto" w:fill="DBDBDB"/>
          </w:tcPr>
          <w:p>
            <w:pPr>
              <w:spacing w:after="0"/>
              <w:rPr>
                <w:sz w:val="14"/>
                <w:szCs w:val="14"/>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30,437</w:t>
            </w:r>
          </w:p>
        </w:tc>
        <w:tc>
          <w:tcPr>
            <w:tcW w:w="80" w:type="dxa"/>
            <w:vAlign w:val="bottom"/>
            <w:shd w:val="clear" w:color="auto" w:fill="DBDBDB"/>
          </w:tcPr>
          <w:p>
            <w:pPr>
              <w:spacing w:after="0"/>
              <w:rPr>
                <w:sz w:val="14"/>
                <w:szCs w:val="14"/>
                <w:color w:val="auto"/>
              </w:rPr>
            </w:pPr>
          </w:p>
        </w:tc>
        <w:tc>
          <w:tcPr>
            <w:tcW w:w="820" w:type="dxa"/>
            <w:vAlign w:val="bottom"/>
            <w:tcBorders>
              <w:bottom w:val="single" w:sz="8" w:color="auto"/>
            </w:tcBorders>
            <w:shd w:val="clear" w:color="auto" w:fill="DBDBDB"/>
          </w:tcPr>
          <w:p>
            <w:pPr>
              <w:spacing w:after="0"/>
              <w:rPr>
                <w:sz w:val="14"/>
                <w:szCs w:val="14"/>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12,102</w:t>
            </w:r>
          </w:p>
        </w:tc>
        <w:tc>
          <w:tcPr>
            <w:tcW w:w="100" w:type="dxa"/>
            <w:vAlign w:val="bottom"/>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18,335</w:t>
            </w:r>
          </w:p>
        </w:tc>
        <w:tc>
          <w:tcPr>
            <w:tcW w:w="0" w:type="dxa"/>
            <w:vAlign w:val="bottom"/>
          </w:tcPr>
          <w:p>
            <w:pPr>
              <w:spacing w:after="0"/>
              <w:rPr>
                <w:sz w:val="1"/>
                <w:szCs w:val="1"/>
                <w:color w:val="auto"/>
              </w:rPr>
            </w:pPr>
          </w:p>
        </w:tc>
      </w:tr>
      <w:tr>
        <w:trPr>
          <w:trHeight w:val="149"/>
        </w:trPr>
        <w:tc>
          <w:tcPr>
            <w:tcW w:w="5080" w:type="dxa"/>
            <w:vAlign w:val="bottom"/>
          </w:tcPr>
          <w:p>
            <w:pPr>
              <w:ind w:left="500"/>
              <w:spacing w:after="0"/>
              <w:rPr>
                <w:sz w:val="20"/>
                <w:szCs w:val="20"/>
                <w:color w:val="auto"/>
              </w:rPr>
            </w:pPr>
            <w:r>
              <w:rPr>
                <w:rFonts w:ascii="Arial" w:cs="Arial" w:eastAsia="Arial" w:hAnsi="Arial"/>
                <w:sz w:val="12"/>
                <w:szCs w:val="12"/>
                <w:color w:val="auto"/>
              </w:rPr>
              <w:t>Total revenues</w:t>
            </w:r>
          </w:p>
        </w:tc>
        <w:tc>
          <w:tcPr>
            <w:tcW w:w="1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886,425</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512,683</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373,742</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20"/>
              <w:spacing w:after="0"/>
              <w:rPr>
                <w:sz w:val="20"/>
                <w:szCs w:val="20"/>
                <w:color w:val="auto"/>
              </w:rPr>
            </w:pPr>
            <w:r>
              <w:rPr>
                <w:rFonts w:ascii="Arial" w:cs="Arial" w:eastAsia="Arial" w:hAnsi="Arial"/>
                <w:sz w:val="12"/>
                <w:szCs w:val="12"/>
                <w:color w:val="auto"/>
              </w:rPr>
              <w:t>Costs:</w:t>
            </w:r>
          </w:p>
        </w:tc>
        <w:tc>
          <w:tcPr>
            <w:tcW w:w="122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80" w:type="dxa"/>
            <w:vAlign w:val="bottom"/>
          </w:tcPr>
          <w:p>
            <w:pPr>
              <w:ind w:left="180"/>
              <w:spacing w:after="0"/>
              <w:rPr>
                <w:sz w:val="20"/>
                <w:szCs w:val="20"/>
                <w:color w:val="auto"/>
              </w:rPr>
            </w:pPr>
            <w:r>
              <w:rPr>
                <w:rFonts w:ascii="Arial" w:cs="Arial" w:eastAsia="Arial" w:hAnsi="Arial"/>
                <w:sz w:val="12"/>
                <w:szCs w:val="12"/>
                <w:color w:val="auto"/>
              </w:rPr>
              <w:t>Costs of leasing and services:</w:t>
            </w: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Leasing</w:t>
            </w:r>
          </w:p>
        </w:tc>
        <w:tc>
          <w:tcPr>
            <w:tcW w:w="122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152,927</w:t>
            </w:r>
          </w:p>
        </w:tc>
        <w:tc>
          <w:tcPr>
            <w:tcW w:w="8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97,556</w:t>
            </w: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55,371</w:t>
            </w:r>
          </w:p>
        </w:tc>
        <w:tc>
          <w:tcPr>
            <w:tcW w:w="0" w:type="dxa"/>
            <w:vAlign w:val="bottom"/>
          </w:tcPr>
          <w:p>
            <w:pPr>
              <w:spacing w:after="0"/>
              <w:rPr>
                <w:sz w:val="1"/>
                <w:szCs w:val="1"/>
                <w:color w:val="auto"/>
              </w:rPr>
            </w:pPr>
          </w:p>
        </w:tc>
      </w:tr>
      <w:tr>
        <w:trPr>
          <w:trHeight w:val="159"/>
        </w:trPr>
        <w:tc>
          <w:tcPr>
            <w:tcW w:w="5080" w:type="dxa"/>
            <w:vAlign w:val="bottom"/>
          </w:tcPr>
          <w:p>
            <w:pPr>
              <w:ind w:left="340"/>
              <w:spacing w:after="0"/>
              <w:rPr>
                <w:sz w:val="20"/>
                <w:szCs w:val="20"/>
                <w:color w:val="auto"/>
              </w:rPr>
            </w:pPr>
            <w:r>
              <w:rPr>
                <w:rFonts w:ascii="Arial" w:cs="Arial" w:eastAsia="Arial" w:hAnsi="Arial"/>
                <w:sz w:val="12"/>
                <w:szCs w:val="12"/>
                <w:color w:val="auto"/>
              </w:rPr>
              <w:t>Delivery and installation</w:t>
            </w:r>
          </w:p>
        </w:tc>
        <w:tc>
          <w:tcPr>
            <w:tcW w:w="1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147,289</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87,388</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59,901</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Costs of sales:</w:t>
            </w:r>
          </w:p>
        </w:tc>
        <w:tc>
          <w:tcPr>
            <w:tcW w:w="122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80" w:type="dxa"/>
            <w:vAlign w:val="bottom"/>
          </w:tcPr>
          <w:p>
            <w:pPr>
              <w:ind w:left="340"/>
              <w:spacing w:after="0"/>
              <w:rPr>
                <w:sz w:val="20"/>
                <w:szCs w:val="20"/>
                <w:color w:val="auto"/>
              </w:rPr>
            </w:pPr>
            <w:r>
              <w:rPr>
                <w:rFonts w:ascii="Arial" w:cs="Arial" w:eastAsia="Arial" w:hAnsi="Arial"/>
                <w:sz w:val="12"/>
                <w:szCs w:val="12"/>
                <w:color w:val="auto"/>
              </w:rPr>
              <w:t>New units</w:t>
            </w:r>
          </w:p>
        </w:tc>
        <w:tc>
          <w:tcPr>
            <w:tcW w:w="1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14,161</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12,534</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1,627</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Rental units</w:t>
            </w:r>
          </w:p>
        </w:tc>
        <w:tc>
          <w:tcPr>
            <w:tcW w:w="122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17,267</w:t>
            </w:r>
          </w:p>
        </w:tc>
        <w:tc>
          <w:tcPr>
            <w:tcW w:w="8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7,609</w:t>
            </w: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9,658</w:t>
            </w:r>
          </w:p>
        </w:tc>
        <w:tc>
          <w:tcPr>
            <w:tcW w:w="0" w:type="dxa"/>
            <w:vAlign w:val="bottom"/>
          </w:tcPr>
          <w:p>
            <w:pPr>
              <w:spacing w:after="0"/>
              <w:rPr>
                <w:sz w:val="1"/>
                <w:szCs w:val="1"/>
                <w:color w:val="auto"/>
              </w:rPr>
            </w:pPr>
          </w:p>
        </w:tc>
      </w:tr>
      <w:tr>
        <w:trPr>
          <w:trHeight w:val="159"/>
        </w:trPr>
        <w:tc>
          <w:tcPr>
            <w:tcW w:w="5080" w:type="dxa"/>
            <w:vAlign w:val="bottom"/>
            <w:tcBorders>
              <w:bottom w:val="single" w:sz="8" w:color="DBDBDB"/>
            </w:tcBorders>
          </w:tcPr>
          <w:p>
            <w:pPr>
              <w:ind w:left="180"/>
              <w:spacing w:after="0"/>
              <w:rPr>
                <w:sz w:val="20"/>
                <w:szCs w:val="20"/>
                <w:color w:val="auto"/>
              </w:rPr>
            </w:pPr>
            <w:r>
              <w:rPr>
                <w:rFonts w:ascii="Arial" w:cs="Arial" w:eastAsia="Arial" w:hAnsi="Arial"/>
                <w:sz w:val="12"/>
                <w:szCs w:val="12"/>
                <w:color w:val="auto"/>
              </w:rPr>
              <w:t>Depreciation of rental equipment</w:t>
            </w:r>
          </w:p>
        </w:tc>
        <w:tc>
          <w:tcPr>
            <w:tcW w:w="1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118,591</w:t>
            </w:r>
          </w:p>
        </w:tc>
        <w:tc>
          <w:tcPr>
            <w:tcW w:w="80" w:type="dxa"/>
            <w:vAlign w:val="bottom"/>
            <w:tcBorders>
              <w:bottom w:val="single" w:sz="8" w:color="DBDBDB"/>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91,442</w:t>
            </w:r>
          </w:p>
        </w:tc>
        <w:tc>
          <w:tcPr>
            <w:tcW w:w="100" w:type="dxa"/>
            <w:vAlign w:val="bottom"/>
            <w:tcBorders>
              <w:bottom w:val="single" w:sz="8" w:color="DBDBDB"/>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27,149</w:t>
            </w:r>
          </w:p>
        </w:tc>
        <w:tc>
          <w:tcPr>
            <w:tcW w:w="0" w:type="dxa"/>
            <w:vAlign w:val="bottom"/>
          </w:tcPr>
          <w:p>
            <w:pPr>
              <w:spacing w:after="0"/>
              <w:rPr>
                <w:sz w:val="1"/>
                <w:szCs w:val="1"/>
                <w:color w:val="auto"/>
              </w:rPr>
            </w:pPr>
          </w:p>
        </w:tc>
      </w:tr>
      <w:tr>
        <w:trPr>
          <w:trHeight w:val="154"/>
        </w:trPr>
        <w:tc>
          <w:tcPr>
            <w:tcW w:w="5080" w:type="dxa"/>
            <w:vAlign w:val="bottom"/>
            <w:shd w:val="clear" w:color="auto" w:fill="DBDBDB"/>
          </w:tcPr>
          <w:p>
            <w:pPr>
              <w:ind w:left="340"/>
              <w:spacing w:after="0"/>
              <w:rPr>
                <w:sz w:val="20"/>
                <w:szCs w:val="20"/>
                <w:color w:val="auto"/>
              </w:rPr>
            </w:pPr>
            <w:r>
              <w:rPr>
                <w:rFonts w:ascii="Arial" w:cs="Arial" w:eastAsia="Arial" w:hAnsi="Arial"/>
                <w:sz w:val="12"/>
                <w:szCs w:val="12"/>
                <w:color w:val="auto"/>
              </w:rPr>
              <w:t>Gross profit</w:t>
            </w:r>
          </w:p>
        </w:tc>
        <w:tc>
          <w:tcPr>
            <w:tcW w:w="1220" w:type="dxa"/>
            <w:vAlign w:val="bottom"/>
            <w:shd w:val="clear" w:color="auto" w:fill="DBDBDB"/>
          </w:tcPr>
          <w:p>
            <w:pPr>
              <w:spacing w:after="0"/>
              <w:rPr>
                <w:sz w:val="13"/>
                <w:szCs w:val="13"/>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436,190</w:t>
            </w:r>
          </w:p>
        </w:tc>
        <w:tc>
          <w:tcPr>
            <w:tcW w:w="8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216,154</w:t>
            </w:r>
          </w:p>
        </w:tc>
        <w:tc>
          <w:tcPr>
            <w:tcW w:w="10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220,036</w:t>
            </w:r>
          </w:p>
        </w:tc>
        <w:tc>
          <w:tcPr>
            <w:tcW w:w="0" w:type="dxa"/>
            <w:vAlign w:val="bottom"/>
          </w:tcPr>
          <w:p>
            <w:pPr>
              <w:spacing w:after="0"/>
              <w:rPr>
                <w:sz w:val="1"/>
                <w:szCs w:val="1"/>
                <w:color w:val="auto"/>
              </w:rPr>
            </w:pPr>
          </w:p>
        </w:tc>
      </w:tr>
      <w:tr>
        <w:trPr>
          <w:trHeight w:val="159"/>
        </w:trPr>
        <w:tc>
          <w:tcPr>
            <w:tcW w:w="5080" w:type="dxa"/>
            <w:vAlign w:val="bottom"/>
          </w:tcPr>
          <w:p>
            <w:pPr>
              <w:ind w:left="20"/>
              <w:spacing w:after="0"/>
              <w:rPr>
                <w:sz w:val="20"/>
                <w:szCs w:val="20"/>
                <w:color w:val="auto"/>
              </w:rPr>
            </w:pPr>
            <w:r>
              <w:rPr>
                <w:rFonts w:ascii="Arial" w:cs="Arial" w:eastAsia="Arial" w:hAnsi="Arial"/>
                <w:sz w:val="12"/>
                <w:szCs w:val="12"/>
                <w:color w:val="auto"/>
              </w:rPr>
              <w:t>Expenses:</w:t>
            </w: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Selling, general and administrative</w:t>
            </w:r>
          </w:p>
        </w:tc>
        <w:tc>
          <w:tcPr>
            <w:tcW w:w="122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238,872</w:t>
            </w:r>
          </w:p>
        </w:tc>
        <w:tc>
          <w:tcPr>
            <w:tcW w:w="8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129,190</w:t>
            </w: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109,682</w:t>
            </w:r>
          </w:p>
        </w:tc>
        <w:tc>
          <w:tcPr>
            <w:tcW w:w="0" w:type="dxa"/>
            <w:vAlign w:val="bottom"/>
          </w:tcPr>
          <w:p>
            <w:pPr>
              <w:spacing w:after="0"/>
              <w:rPr>
                <w:sz w:val="1"/>
                <w:szCs w:val="1"/>
                <w:color w:val="auto"/>
              </w:rPr>
            </w:pPr>
          </w:p>
        </w:tc>
      </w:tr>
      <w:tr>
        <w:trPr>
          <w:trHeight w:val="159"/>
        </w:trPr>
        <w:tc>
          <w:tcPr>
            <w:tcW w:w="5080" w:type="dxa"/>
            <w:vAlign w:val="bottom"/>
          </w:tcPr>
          <w:p>
            <w:pPr>
              <w:ind w:left="180"/>
              <w:spacing w:after="0"/>
              <w:rPr>
                <w:sz w:val="20"/>
                <w:szCs w:val="20"/>
                <w:color w:val="auto"/>
              </w:rPr>
            </w:pPr>
            <w:r>
              <w:rPr>
                <w:rFonts w:ascii="Arial" w:cs="Arial" w:eastAsia="Arial" w:hAnsi="Arial"/>
                <w:sz w:val="12"/>
                <w:szCs w:val="12"/>
                <w:color w:val="auto"/>
              </w:rPr>
              <w:t>Transaction costs</w:t>
            </w:r>
          </w:p>
        </w:tc>
        <w:tc>
          <w:tcPr>
            <w:tcW w:w="1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844</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11,050</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(10,206)</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Other depreciation and amortization</w:t>
            </w:r>
          </w:p>
        </w:tc>
        <w:tc>
          <w:tcPr>
            <w:tcW w:w="122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39,946</w:t>
            </w:r>
          </w:p>
        </w:tc>
        <w:tc>
          <w:tcPr>
            <w:tcW w:w="8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5,957</w:t>
            </w: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33,989</w:t>
            </w:r>
          </w:p>
        </w:tc>
        <w:tc>
          <w:tcPr>
            <w:tcW w:w="0" w:type="dxa"/>
            <w:vAlign w:val="bottom"/>
          </w:tcPr>
          <w:p>
            <w:pPr>
              <w:spacing w:after="0"/>
              <w:rPr>
                <w:sz w:val="1"/>
                <w:szCs w:val="1"/>
                <w:color w:val="auto"/>
              </w:rPr>
            </w:pPr>
          </w:p>
        </w:tc>
      </w:tr>
      <w:tr>
        <w:trPr>
          <w:trHeight w:val="159"/>
        </w:trPr>
        <w:tc>
          <w:tcPr>
            <w:tcW w:w="5080" w:type="dxa"/>
            <w:vAlign w:val="bottom"/>
          </w:tcPr>
          <w:p>
            <w:pPr>
              <w:ind w:left="180"/>
              <w:spacing w:after="0"/>
              <w:rPr>
                <w:sz w:val="20"/>
                <w:szCs w:val="20"/>
                <w:color w:val="auto"/>
              </w:rPr>
            </w:pPr>
            <w:r>
              <w:rPr>
                <w:rFonts w:ascii="Arial" w:cs="Arial" w:eastAsia="Arial" w:hAnsi="Arial"/>
                <w:sz w:val="12"/>
                <w:szCs w:val="12"/>
                <w:color w:val="auto"/>
              </w:rPr>
              <w:t>Lease impairment expense and other related charges</w:t>
            </w:r>
          </w:p>
        </w:tc>
        <w:tc>
          <w:tcPr>
            <w:tcW w:w="1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1,727</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3,055</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(1,328)</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Restructuring costs</w:t>
            </w:r>
          </w:p>
        </w:tc>
        <w:tc>
          <w:tcPr>
            <w:tcW w:w="122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10,102</w:t>
            </w:r>
          </w:p>
        </w:tc>
        <w:tc>
          <w:tcPr>
            <w:tcW w:w="8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689</w:t>
            </w: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9,413</w:t>
            </w:r>
          </w:p>
        </w:tc>
        <w:tc>
          <w:tcPr>
            <w:tcW w:w="0" w:type="dxa"/>
            <w:vAlign w:val="bottom"/>
          </w:tcPr>
          <w:p>
            <w:pPr>
              <w:spacing w:after="0"/>
              <w:rPr>
                <w:sz w:val="1"/>
                <w:szCs w:val="1"/>
                <w:color w:val="auto"/>
              </w:rPr>
            </w:pPr>
          </w:p>
        </w:tc>
      </w:tr>
      <w:tr>
        <w:trPr>
          <w:trHeight w:val="159"/>
        </w:trPr>
        <w:tc>
          <w:tcPr>
            <w:tcW w:w="5080" w:type="dxa"/>
            <w:vAlign w:val="bottom"/>
          </w:tcPr>
          <w:p>
            <w:pPr>
              <w:ind w:left="180"/>
              <w:spacing w:after="0"/>
              <w:rPr>
                <w:sz w:val="20"/>
                <w:szCs w:val="20"/>
                <w:color w:val="auto"/>
              </w:rPr>
            </w:pPr>
            <w:r>
              <w:rPr>
                <w:rFonts w:ascii="Arial" w:cs="Arial" w:eastAsia="Arial" w:hAnsi="Arial"/>
                <w:sz w:val="12"/>
                <w:szCs w:val="12"/>
                <w:color w:val="auto"/>
              </w:rPr>
              <w:t>Currency losses, net</w:t>
            </w:r>
          </w:p>
        </w:tc>
        <w:tc>
          <w:tcPr>
            <w:tcW w:w="1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69</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518</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(449)</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Other income, net</w:t>
            </w:r>
          </w:p>
        </w:tc>
        <w:tc>
          <w:tcPr>
            <w:tcW w:w="1220" w:type="dxa"/>
            <w:vAlign w:val="bottom"/>
            <w:tcBorders>
              <w:bottom w:val="single" w:sz="8" w:color="auto"/>
            </w:tcBorders>
            <w:shd w:val="clear" w:color="auto" w:fill="DBDBDB"/>
          </w:tcPr>
          <w:p>
            <w:pPr>
              <w:spacing w:after="0"/>
              <w:rPr>
                <w:sz w:val="14"/>
                <w:szCs w:val="14"/>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(1,269)</w:t>
            </w:r>
          </w:p>
        </w:tc>
        <w:tc>
          <w:tcPr>
            <w:tcW w:w="80" w:type="dxa"/>
            <w:vAlign w:val="bottom"/>
            <w:shd w:val="clear" w:color="auto" w:fill="DBDBDB"/>
          </w:tcPr>
          <w:p>
            <w:pPr>
              <w:spacing w:after="0"/>
              <w:rPr>
                <w:sz w:val="14"/>
                <w:szCs w:val="14"/>
                <w:color w:val="auto"/>
              </w:rPr>
            </w:pPr>
          </w:p>
        </w:tc>
        <w:tc>
          <w:tcPr>
            <w:tcW w:w="820" w:type="dxa"/>
            <w:vAlign w:val="bottom"/>
            <w:tcBorders>
              <w:bottom w:val="single" w:sz="8" w:color="auto"/>
            </w:tcBorders>
            <w:shd w:val="clear" w:color="auto" w:fill="DBDBDB"/>
          </w:tcPr>
          <w:p>
            <w:pPr>
              <w:spacing w:after="0"/>
              <w:rPr>
                <w:sz w:val="14"/>
                <w:szCs w:val="14"/>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(745)</w:t>
            </w:r>
          </w:p>
        </w:tc>
        <w:tc>
          <w:tcPr>
            <w:tcW w:w="100" w:type="dxa"/>
            <w:vAlign w:val="bottom"/>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(524)</w:t>
            </w:r>
          </w:p>
        </w:tc>
        <w:tc>
          <w:tcPr>
            <w:tcW w:w="0" w:type="dxa"/>
            <w:vAlign w:val="bottom"/>
          </w:tcPr>
          <w:p>
            <w:pPr>
              <w:spacing w:after="0"/>
              <w:rPr>
                <w:sz w:val="1"/>
                <w:szCs w:val="1"/>
                <w:color w:val="auto"/>
              </w:rPr>
            </w:pPr>
          </w:p>
        </w:tc>
      </w:tr>
      <w:tr>
        <w:trPr>
          <w:trHeight w:val="149"/>
        </w:trPr>
        <w:tc>
          <w:tcPr>
            <w:tcW w:w="5080" w:type="dxa"/>
            <w:vAlign w:val="bottom"/>
          </w:tcPr>
          <w:p>
            <w:pPr>
              <w:ind w:left="340"/>
              <w:spacing w:after="0"/>
              <w:rPr>
                <w:sz w:val="20"/>
                <w:szCs w:val="20"/>
                <w:color w:val="auto"/>
              </w:rPr>
            </w:pPr>
            <w:r>
              <w:rPr>
                <w:rFonts w:ascii="Arial" w:cs="Arial" w:eastAsia="Arial" w:hAnsi="Arial"/>
                <w:sz w:val="12"/>
                <w:szCs w:val="12"/>
                <w:color w:val="auto"/>
              </w:rPr>
              <w:t>Operating income</w:t>
            </w:r>
          </w:p>
        </w:tc>
        <w:tc>
          <w:tcPr>
            <w:tcW w:w="1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145,899</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66,440</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79,459</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Interest expense</w:t>
            </w:r>
          </w:p>
        </w:tc>
        <w:tc>
          <w:tcPr>
            <w:tcW w:w="122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59,176</w:t>
            </w:r>
          </w:p>
        </w:tc>
        <w:tc>
          <w:tcPr>
            <w:tcW w:w="8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56,776</w:t>
            </w: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2,400</w:t>
            </w:r>
          </w:p>
        </w:tc>
        <w:tc>
          <w:tcPr>
            <w:tcW w:w="0" w:type="dxa"/>
            <w:vAlign w:val="bottom"/>
          </w:tcPr>
          <w:p>
            <w:pPr>
              <w:spacing w:after="0"/>
              <w:rPr>
                <w:sz w:val="1"/>
                <w:szCs w:val="1"/>
                <w:color w:val="auto"/>
              </w:rPr>
            </w:pPr>
          </w:p>
        </w:tc>
      </w:tr>
      <w:tr>
        <w:trPr>
          <w:trHeight w:val="159"/>
        </w:trPr>
        <w:tc>
          <w:tcPr>
            <w:tcW w:w="5080" w:type="dxa"/>
            <w:vAlign w:val="bottom"/>
          </w:tcPr>
          <w:p>
            <w:pPr>
              <w:ind w:left="180"/>
              <w:spacing w:after="0"/>
              <w:rPr>
                <w:sz w:val="20"/>
                <w:szCs w:val="20"/>
                <w:color w:val="auto"/>
              </w:rPr>
            </w:pPr>
            <w:r>
              <w:rPr>
                <w:rFonts w:ascii="Arial" w:cs="Arial" w:eastAsia="Arial" w:hAnsi="Arial"/>
                <w:sz w:val="12"/>
                <w:szCs w:val="12"/>
                <w:color w:val="auto"/>
              </w:rPr>
              <w:t>Fair value loss (gain) on common stock warrant liabilities</w:t>
            </w:r>
          </w:p>
        </w:tc>
        <w:tc>
          <w:tcPr>
            <w:tcW w:w="1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26,597</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(68,366)</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94,963</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Loss on extinguishment of debt</w:t>
            </w:r>
          </w:p>
        </w:tc>
        <w:tc>
          <w:tcPr>
            <w:tcW w:w="122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5,999</w:t>
            </w:r>
          </w:p>
        </w:tc>
        <w:tc>
          <w:tcPr>
            <w:tcW w:w="8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128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5,999</w:t>
            </w:r>
          </w:p>
        </w:tc>
        <w:tc>
          <w:tcPr>
            <w:tcW w:w="0" w:type="dxa"/>
            <w:vAlign w:val="bottom"/>
          </w:tcPr>
          <w:p>
            <w:pPr>
              <w:spacing w:after="0"/>
              <w:rPr>
                <w:sz w:val="1"/>
                <w:szCs w:val="1"/>
                <w:color w:val="auto"/>
              </w:rPr>
            </w:pPr>
          </w:p>
        </w:tc>
      </w:tr>
      <w:tr>
        <w:trPr>
          <w:trHeight w:val="149"/>
        </w:trPr>
        <w:tc>
          <w:tcPr>
            <w:tcW w:w="5080" w:type="dxa"/>
            <w:vAlign w:val="bottom"/>
          </w:tcPr>
          <w:p>
            <w:pPr>
              <w:ind w:left="20"/>
              <w:spacing w:after="0"/>
              <w:rPr>
                <w:sz w:val="20"/>
                <w:szCs w:val="20"/>
                <w:color w:val="auto"/>
              </w:rPr>
            </w:pPr>
            <w:r>
              <w:rPr>
                <w:rFonts w:ascii="Arial" w:cs="Arial" w:eastAsia="Arial" w:hAnsi="Arial"/>
                <w:sz w:val="12"/>
                <w:szCs w:val="12"/>
                <w:color w:val="auto"/>
              </w:rPr>
              <w:t>Income before income tax</w:t>
            </w:r>
          </w:p>
        </w:tc>
        <w:tc>
          <w:tcPr>
            <w:tcW w:w="1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54,127</w:t>
            </w: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78,030</w:t>
            </w:r>
          </w:p>
        </w:tc>
        <w:tc>
          <w:tcPr>
            <w:tcW w:w="1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(23,903)</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Income tax expense</w:t>
            </w:r>
          </w:p>
        </w:tc>
        <w:tc>
          <w:tcPr>
            <w:tcW w:w="1220" w:type="dxa"/>
            <w:vAlign w:val="bottom"/>
            <w:tcBorders>
              <w:bottom w:val="single" w:sz="8" w:color="auto"/>
            </w:tcBorders>
            <w:shd w:val="clear" w:color="auto" w:fill="DBDBDB"/>
          </w:tcPr>
          <w:p>
            <w:pPr>
              <w:spacing w:after="0"/>
              <w:rPr>
                <w:sz w:val="14"/>
                <w:szCs w:val="14"/>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29,309</w:t>
            </w:r>
          </w:p>
        </w:tc>
        <w:tc>
          <w:tcPr>
            <w:tcW w:w="80" w:type="dxa"/>
            <w:vAlign w:val="bottom"/>
            <w:shd w:val="clear" w:color="auto" w:fill="DBDBDB"/>
          </w:tcPr>
          <w:p>
            <w:pPr>
              <w:spacing w:after="0"/>
              <w:rPr>
                <w:sz w:val="14"/>
                <w:szCs w:val="14"/>
                <w:color w:val="auto"/>
              </w:rPr>
            </w:pPr>
          </w:p>
        </w:tc>
        <w:tc>
          <w:tcPr>
            <w:tcW w:w="820" w:type="dxa"/>
            <w:vAlign w:val="bottom"/>
            <w:tcBorders>
              <w:bottom w:val="single" w:sz="8" w:color="auto"/>
            </w:tcBorders>
            <w:shd w:val="clear" w:color="auto" w:fill="DBDBDB"/>
          </w:tcPr>
          <w:p>
            <w:pPr>
              <w:spacing w:after="0"/>
              <w:rPr>
                <w:sz w:val="14"/>
                <w:szCs w:val="14"/>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505</w:t>
            </w:r>
          </w:p>
        </w:tc>
        <w:tc>
          <w:tcPr>
            <w:tcW w:w="100" w:type="dxa"/>
            <w:vAlign w:val="bottom"/>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28,804</w:t>
            </w:r>
          </w:p>
        </w:tc>
        <w:tc>
          <w:tcPr>
            <w:tcW w:w="0" w:type="dxa"/>
            <w:vAlign w:val="bottom"/>
          </w:tcPr>
          <w:p>
            <w:pPr>
              <w:spacing w:after="0"/>
              <w:rPr>
                <w:sz w:val="1"/>
                <w:szCs w:val="1"/>
                <w:color w:val="auto"/>
              </w:rPr>
            </w:pPr>
          </w:p>
        </w:tc>
      </w:tr>
      <w:tr>
        <w:trPr>
          <w:trHeight w:val="149"/>
        </w:trPr>
        <w:tc>
          <w:tcPr>
            <w:tcW w:w="508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24,818</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77,525</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(52,707)</w:t>
            </w:r>
          </w:p>
        </w:tc>
        <w:tc>
          <w:tcPr>
            <w:tcW w:w="0" w:type="dxa"/>
            <w:vAlign w:val="bottom"/>
          </w:tcPr>
          <w:p>
            <w:pPr>
              <w:spacing w:after="0"/>
              <w:rPr>
                <w:sz w:val="1"/>
                <w:szCs w:val="1"/>
                <w:color w:val="auto"/>
              </w:rPr>
            </w:pPr>
          </w:p>
        </w:tc>
      </w:tr>
      <w:tr>
        <w:trPr>
          <w:trHeight w:val="164"/>
        </w:trPr>
        <w:tc>
          <w:tcPr>
            <w:tcW w:w="5080" w:type="dxa"/>
            <w:vAlign w:val="bottom"/>
            <w:shd w:val="clear" w:color="auto" w:fill="DBDBDB"/>
          </w:tcPr>
          <w:p>
            <w:pPr>
              <w:ind w:left="20"/>
              <w:spacing w:after="0"/>
              <w:rPr>
                <w:sz w:val="20"/>
                <w:szCs w:val="20"/>
                <w:color w:val="auto"/>
              </w:rPr>
            </w:pPr>
            <w:r>
              <w:rPr>
                <w:rFonts w:ascii="Arial" w:cs="Arial" w:eastAsia="Arial" w:hAnsi="Arial"/>
                <w:sz w:val="12"/>
                <w:szCs w:val="12"/>
                <w:color w:val="auto"/>
              </w:rPr>
              <w:t>Net income attributable to non-controlling interest, net of tax</w:t>
            </w:r>
          </w:p>
        </w:tc>
        <w:tc>
          <w:tcPr>
            <w:tcW w:w="1220" w:type="dxa"/>
            <w:vAlign w:val="bottom"/>
            <w:shd w:val="clear" w:color="auto" w:fill="DBDBDB"/>
          </w:tcPr>
          <w:p>
            <w:pPr>
              <w:spacing w:after="0"/>
              <w:rPr>
                <w:sz w:val="14"/>
                <w:szCs w:val="14"/>
                <w:color w:val="auto"/>
              </w:rPr>
            </w:pPr>
          </w:p>
        </w:tc>
        <w:tc>
          <w:tcPr>
            <w:tcW w:w="88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shd w:val="clear" w:color="auto" w:fill="DBDBDB"/>
          </w:tcPr>
          <w:p>
            <w:pPr>
              <w:spacing w:after="0"/>
              <w:rPr>
                <w:sz w:val="14"/>
                <w:szCs w:val="1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1,213</w:t>
            </w: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(1,213)</w:t>
            </w:r>
          </w:p>
        </w:tc>
        <w:tc>
          <w:tcPr>
            <w:tcW w:w="0" w:type="dxa"/>
            <w:vAlign w:val="bottom"/>
          </w:tcPr>
          <w:p>
            <w:pPr>
              <w:spacing w:after="0"/>
              <w:rPr>
                <w:sz w:val="1"/>
                <w:szCs w:val="1"/>
                <w:color w:val="auto"/>
              </w:rPr>
            </w:pPr>
          </w:p>
        </w:tc>
      </w:tr>
      <w:tr>
        <w:trPr>
          <w:trHeight w:val="149"/>
        </w:trPr>
        <w:tc>
          <w:tcPr>
            <w:tcW w:w="5080" w:type="dxa"/>
            <w:vAlign w:val="bottom"/>
          </w:tcPr>
          <w:p>
            <w:pPr>
              <w:ind w:left="20"/>
              <w:spacing w:after="0"/>
              <w:rPr>
                <w:sz w:val="20"/>
                <w:szCs w:val="20"/>
                <w:color w:val="auto"/>
              </w:rPr>
            </w:pPr>
            <w:r>
              <w:rPr>
                <w:rFonts w:ascii="Arial" w:cs="Arial" w:eastAsia="Arial" w:hAnsi="Arial"/>
                <w:sz w:val="12"/>
                <w:szCs w:val="12"/>
                <w:color w:val="auto"/>
              </w:rPr>
              <w:t>Net income attributable to WillScot Mobile Mini</w:t>
            </w:r>
          </w:p>
        </w:tc>
        <w:tc>
          <w:tcPr>
            <w:tcW w:w="1220" w:type="dxa"/>
            <w:vAlign w:val="bottom"/>
            <w:tcBorders>
              <w:top w:val="single" w:sz="8" w:color="auto"/>
              <w:bottom w:val="single" w:sz="8" w:color="auto"/>
            </w:tcBorders>
          </w:tcPr>
          <w:p>
            <w:pPr>
              <w:jc w:val="right"/>
              <w:ind w:right="1079"/>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24,818</w:t>
            </w:r>
          </w:p>
        </w:tc>
        <w:tc>
          <w:tcPr>
            <w:tcW w:w="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76,312</w:t>
            </w:r>
          </w:p>
        </w:tc>
        <w:tc>
          <w:tcPr>
            <w:tcW w:w="10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2"/>
                <w:szCs w:val="12"/>
                <w:color w:val="auto"/>
                <w:w w:val="89"/>
              </w:rPr>
              <w:t>$</w:t>
            </w: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(51,494)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2"/>
        </w:trPr>
        <w:tc>
          <w:tcPr>
            <w:tcW w:w="50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color w:val="auto"/>
        </w:rPr>
        <w:t>Comparison of Six Months Ended June 30, 2021 and 2020</w:t>
      </w:r>
    </w:p>
    <w:p>
      <w:pPr>
        <w:spacing w:after="0" w:line="97"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2"/>
          <w:szCs w:val="12"/>
          <w:b w:val="1"/>
          <w:bCs w:val="1"/>
          <w:i w:val="1"/>
          <w:iCs w:val="1"/>
          <w:color w:val="auto"/>
        </w:rPr>
        <w:t xml:space="preserve">Revenue: </w:t>
      </w:r>
      <w:r>
        <w:rPr>
          <w:rFonts w:ascii="Arial" w:cs="Arial" w:eastAsia="Arial" w:hAnsi="Arial"/>
          <w:sz w:val="12"/>
          <w:szCs w:val="12"/>
          <w:color w:val="auto"/>
        </w:rPr>
        <w:t>Total revenue increased $373.7 million, or 72.9%, to $886.4 million for the six months ended June 30, 2021 from $512.7 million for the six months ended June 30, 2020. The increase was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driven primarily by the addition of Mobile Mini's revenues to our consolidated results. The Merger closed on July 1, 2020, and drove $330.8 million of the year over year increase. Leasing revenue increased $280.3 million, or 74.1%, as compared to the same period in 2020 driven by an increase of 155,368 average modular space and portable storage units on rent as a result of the Merger and improved pricing and value-added products in our NA Modular segment. Rental unit sales increased $18.3 million, or 151.2%, new unit sales increased $2.6 million, or 13.4%, and delivery and installation revenues increased $72.5 million, or 70.6%, due to increased overall activity as a result of the Merger and increased activity in our NA Modular segment in 2021.</w:t>
      </w:r>
    </w:p>
    <w:p>
      <w:pPr>
        <w:spacing w:after="0" w:line="30" w:lineRule="exact"/>
        <w:rPr>
          <w:sz w:val="20"/>
          <w:szCs w:val="20"/>
          <w:color w:val="auto"/>
        </w:rPr>
      </w:pPr>
    </w:p>
    <w:p>
      <w:pPr>
        <w:jc w:val="both"/>
        <w:ind w:firstLine="484"/>
        <w:spacing w:after="0" w:line="247" w:lineRule="auto"/>
        <w:rPr>
          <w:sz w:val="20"/>
          <w:szCs w:val="20"/>
          <w:color w:val="auto"/>
        </w:rPr>
      </w:pPr>
      <w:r>
        <w:rPr>
          <w:rFonts w:ascii="Arial" w:cs="Arial" w:eastAsia="Arial" w:hAnsi="Arial"/>
          <w:sz w:val="12"/>
          <w:szCs w:val="12"/>
          <w:color w:val="auto"/>
        </w:rPr>
        <w:t>Total average units on rent for the six months ended June 30, 2021 and 2020 were 259,024 and 103,656, respectively. The increase was due to units acquired as part of the Merger, partially offset by lower units on rent in the NA Modular segment. In total, modular space average units on rent increased 22,829 units, or 26.1%, for the six months ended June 30, 2021 as compared to the three months ended June 30, 2020. Modular space average monthly rental rates increased 6.4% to $703 for the six months ended June 30, 2021. Improved pricing was driven by an $108, or 16.3%, increase in the NA Modular segment, offset by the dilutive impact of lower rates on the Mobile Mini modular space units due to product mix. NA Modular segment increases were driven by a continuation of the long-term price optimization and VAPS penetration opportunities across our portfolio. Portable storage average units on rent increased by 132,539 units, or 822.5%, for the six months ended June 30, 2021 driven by units acquired as part of the Merger. Average portable storage monthly rental rates increased 14.2% to $137 for the six months ended June 30, 2021 driven by the accretive impact of higher rates from the Mobile Mini portable storage fleet. The average modular space unit utilization rate during the six months ended June 30, 2021 was 70.3%, as compared to 68.9% during the same period in 2020. This increase was driven by higher utilization on units acquired as part of the Merger. The average portable storage unit utilization rate during the six months ended June 30, 2021 was 76.1%, as compared to 63.5% during the same period in 2020. The increase in average portable storage utilization rate was driven by higher utilization on the acquired Mobile Mini units.</w:t>
      </w:r>
    </w:p>
    <w:p>
      <w:pPr>
        <w:spacing w:after="0" w:line="19"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i w:val="1"/>
          <w:iCs w:val="1"/>
          <w:color w:val="auto"/>
        </w:rPr>
        <w:t xml:space="preserve">Gross Profit: </w:t>
      </w:r>
      <w:r>
        <w:rPr>
          <w:rFonts w:ascii="Arial" w:cs="Arial" w:eastAsia="Arial" w:hAnsi="Arial"/>
          <w:sz w:val="12"/>
          <w:szCs w:val="12"/>
          <w:color w:val="auto"/>
        </w:rPr>
        <w:t>Our gross profit percentage was 49.2% and 42.2% for the six months ended June 30, 2021 and 2020, respectively. Our gross profit percentage, excluding the effects of depreciation, was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62.6% and 60.0% for the six months ended June 30, 2021 and 2020, respectively.</w:t>
      </w:r>
    </w:p>
    <w:p>
      <w:pPr>
        <w:spacing w:after="0" w:line="11" w:lineRule="exact"/>
        <w:rPr>
          <w:sz w:val="20"/>
          <w:szCs w:val="20"/>
          <w:color w:val="auto"/>
        </w:rPr>
      </w:pPr>
    </w:p>
    <w:p>
      <w:pPr>
        <w:jc w:val="both"/>
        <w:ind w:firstLine="484"/>
        <w:spacing w:after="0" w:line="248" w:lineRule="auto"/>
        <w:rPr>
          <w:sz w:val="20"/>
          <w:szCs w:val="20"/>
          <w:color w:val="auto"/>
        </w:rPr>
      </w:pPr>
      <w:r>
        <w:rPr>
          <w:rFonts w:ascii="Arial" w:cs="Arial" w:eastAsia="Arial" w:hAnsi="Arial"/>
          <w:sz w:val="12"/>
          <w:szCs w:val="12"/>
          <w:color w:val="auto"/>
        </w:rPr>
        <w:t>Gross profit increased $220.0 million, or 101.8%, to $436.2 million for the six months ended June 30, 2021 from $216.2 million for the six months ended June 30, 2020. The increase in gross profit is a result of a $225.0 million increase in leasing gross profit, increased delivery and installation gross profit of $12.6 million, and increased new and rental unit sale margins of $9.5 million. Increases in all were primarily a result of increased revenues due to the Merger and due to favorable average monthly rental rates in the NA Modular segment on modular space units. Increased delivery and installation margins were also driven by higher margins achieved in the NA Storage segment as compared to the NA Modular segment, partially offset by lower delivery and installation margins in the NA Modular segment as compared to the prior year driven by higher fleet relocation expenses. Depreciation increased to $118.6 million as a result of fleet acquired in the Merger and capital investments made in our existing rental equipment.</w:t>
      </w:r>
    </w:p>
    <w:p>
      <w:pPr>
        <w:spacing w:after="0" w:line="60"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2"/>
          <w:szCs w:val="12"/>
          <w:b w:val="1"/>
          <w:bCs w:val="1"/>
          <w:i w:val="1"/>
          <w:iCs w:val="1"/>
          <w:color w:val="auto"/>
        </w:rPr>
        <w:t xml:space="preserve">SG&amp;A: </w:t>
      </w:r>
      <w:r>
        <w:rPr>
          <w:rFonts w:ascii="Arial" w:cs="Arial" w:eastAsia="Arial" w:hAnsi="Arial"/>
          <w:sz w:val="12"/>
          <w:szCs w:val="12"/>
          <w:color w:val="auto"/>
        </w:rPr>
        <w:t>Selling, general and administrative ("SG&amp;A") increased $109.7 million, or 84.9%, to $238.9 million for the six months ended June 30, 2021, compared to $129.2 million for the six months ended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June 30, 2020. The primary driver of the increase is related to additional SG&amp;A costs related to operating a larger business as a result of the Merger. SG&amp;A costs included in Adjusted EBITDA for the NA Storage, UK Storage, and Tank and Pump segments totaled $89.9 million for the six months ended June 30, 2021. Additionally, as a result of the Merger and the related integration, integration costs increased $11.2 million to $15.0 million for the six months ended June 30, 2021, compared to $3.8 million for the six months ended June 30, 2020 and stock compensation expense increased $4.2 million to $8.2 million for the six months ended June 30, 2021, compared to $4.0 million for the six months ended June 30, 2020.</w:t>
      </w:r>
    </w:p>
    <w:p>
      <w:pPr>
        <w:spacing w:after="0" w:line="57"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i w:val="1"/>
          <w:iCs w:val="1"/>
          <w:color w:val="auto"/>
        </w:rPr>
        <w:t xml:space="preserve">Transaction Costs: </w:t>
      </w:r>
      <w:r>
        <w:rPr>
          <w:rFonts w:ascii="Arial" w:cs="Arial" w:eastAsia="Arial" w:hAnsi="Arial"/>
          <w:sz w:val="12"/>
          <w:szCs w:val="12"/>
          <w:color w:val="auto"/>
        </w:rPr>
        <w:t>Transaction costs decreased $10.3 million to $0.8 million for the six months ended June 30, 2021 compared to $11.1 million for the six months ended June 30, 2020. Transaction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costs were related to the Merger which closed on July 1, 2020.</w:t>
      </w:r>
    </w:p>
    <w:p>
      <w:pPr>
        <w:spacing w:after="0" w:line="38"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2"/>
          <w:szCs w:val="12"/>
          <w:b w:val="1"/>
          <w:bCs w:val="1"/>
          <w:i w:val="1"/>
          <w:iCs w:val="1"/>
          <w:color w:val="auto"/>
        </w:rPr>
        <w:t xml:space="preserve">Other Depreciation and Amortization: </w:t>
      </w:r>
      <w:r>
        <w:rPr>
          <w:rFonts w:ascii="Arial" w:cs="Arial" w:eastAsia="Arial" w:hAnsi="Arial"/>
          <w:sz w:val="12"/>
          <w:szCs w:val="12"/>
          <w:color w:val="auto"/>
        </w:rPr>
        <w:t>Other depreciation and amortization increased $33.9 million to $39.9 million for the six months ended June 30, 2021 compared to $6.0 million for the six months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ended June 30, 2020 driven by increased depreciation and amortization as a result of property, plant and equipment and intangible assets acquired in the Merger and our recent investments in our enterprise resource planning system, and $13.0 million was driven by the amortization of the customer relationship intangible assets acquired in the Merger.</w:t>
      </w:r>
    </w:p>
    <w:p>
      <w:pPr>
        <w:spacing w:after="0" w:line="49"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i w:val="1"/>
          <w:iCs w:val="1"/>
          <w:color w:val="auto"/>
        </w:rPr>
        <w:t xml:space="preserve">Lease Impairment Expense and Other Related Charges: </w:t>
      </w:r>
      <w:r>
        <w:rPr>
          <w:rFonts w:ascii="Arial" w:cs="Arial" w:eastAsia="Arial" w:hAnsi="Arial"/>
          <w:sz w:val="12"/>
          <w:szCs w:val="12"/>
          <w:color w:val="auto"/>
        </w:rPr>
        <w:t>Lease impairment expense and other related charges was $1.7 million for the six months ended June 30, 2021 as compared to $3.1 million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for the six months ended June 30, 2020.</w:t>
      </w:r>
    </w:p>
    <w:p>
      <w:pPr>
        <w:spacing w:after="0" w:line="38"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2"/>
          <w:szCs w:val="12"/>
          <w:b w:val="1"/>
          <w:bCs w:val="1"/>
          <w:i w:val="1"/>
          <w:iCs w:val="1"/>
          <w:color w:val="auto"/>
        </w:rPr>
        <w:t xml:space="preserve">Restructuring Costs: </w:t>
      </w:r>
      <w:r>
        <w:rPr>
          <w:rFonts w:ascii="Arial" w:cs="Arial" w:eastAsia="Arial" w:hAnsi="Arial"/>
          <w:sz w:val="12"/>
          <w:szCs w:val="12"/>
          <w:color w:val="auto"/>
        </w:rPr>
        <w:t>In the six months ended June 30, 2021, the Company had $10.1 million of restructuring costs primarily as a result of employee termination costs from of the elimination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positions due to the Merger. $5.8 million of the employee termination costs will be settled in stock, which is non-cash and non-recurring and not included in stock compensation expense. In the six months ended June 30, 2020, $0.7 million of restructuring costs were primarily due to reductions in force across our branch network in response to COVID-19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538480</wp:posOffset>
            </wp:positionV>
            <wp:extent cx="719264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44" w:name="page45"/>
    <w:bookmarkEnd w:id="44"/>
    <w:p>
      <w:pPr>
        <w:jc w:val="both"/>
        <w:ind w:firstLine="484"/>
        <w:spacing w:after="0" w:line="272" w:lineRule="auto"/>
        <w:rPr>
          <w:sz w:val="20"/>
          <w:szCs w:val="20"/>
          <w:color w:val="auto"/>
        </w:rPr>
      </w:pPr>
      <w:r>
        <w:rPr>
          <w:rFonts w:ascii="Arial" w:cs="Arial" w:eastAsia="Arial" w:hAnsi="Arial"/>
          <w:sz w:val="12"/>
          <w:szCs w:val="12"/>
          <w:b w:val="1"/>
          <w:bCs w:val="1"/>
          <w:i w:val="1"/>
          <w:iCs w:val="1"/>
          <w:color w:val="auto"/>
        </w:rPr>
        <w:t xml:space="preserve">Currency Losses, Net: </w:t>
      </w:r>
      <w:r>
        <w:rPr>
          <w:rFonts w:ascii="Arial" w:cs="Arial" w:eastAsia="Arial" w:hAnsi="Arial"/>
          <w:sz w:val="12"/>
          <w:szCs w:val="12"/>
          <w:color w:val="auto"/>
        </w:rPr>
        <w:t>Currency losses, net decreased by $0.4 million to a $0.1 million loss for the six months ended June 30, 2021 from a $0.5 million loss for the six months ended June 30, 2020.</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This decrease was primarily attributable to the impact of foreign currency exchanges rate changes on intercompany receivables and payables denominated in a currency other than the subsidiary's functional currency.</w:t>
      </w:r>
    </w:p>
    <w:p>
      <w:pPr>
        <w:spacing w:after="0" w:line="192"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i w:val="1"/>
          <w:iCs w:val="1"/>
          <w:color w:val="auto"/>
        </w:rPr>
        <w:t xml:space="preserve">Other Income, Net: </w:t>
      </w:r>
      <w:r>
        <w:rPr>
          <w:rFonts w:ascii="Arial" w:cs="Arial" w:eastAsia="Arial" w:hAnsi="Arial"/>
          <w:sz w:val="12"/>
          <w:szCs w:val="12"/>
          <w:color w:val="auto"/>
        </w:rPr>
        <w:t>Other income, net was $1.3 million for the six months ended June 30, 2021 compared to $0.7 million for the six months ended June 30, 2020. The increase was primarily attributable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an increase the gain on sale of assets in the six months ended June 30, 2021 as compared to the six months ended June 30, 2020.</w:t>
      </w:r>
    </w:p>
    <w:p>
      <w:pPr>
        <w:spacing w:after="0" w:line="38"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2"/>
          <w:szCs w:val="12"/>
          <w:b w:val="1"/>
          <w:bCs w:val="1"/>
          <w:i w:val="1"/>
          <w:iCs w:val="1"/>
          <w:color w:val="auto"/>
        </w:rPr>
        <w:t xml:space="preserve">Interest Expense: </w:t>
      </w:r>
      <w:r>
        <w:rPr>
          <w:rFonts w:ascii="Arial" w:cs="Arial" w:eastAsia="Arial" w:hAnsi="Arial"/>
          <w:sz w:val="12"/>
          <w:szCs w:val="12"/>
          <w:color w:val="auto"/>
        </w:rPr>
        <w:t>Interest expense increased $2.4 million to $59.2 million for the six months ended June 30, 2021 from $56.8 million for the six months ended June 30, 2020. The increase in interest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expense was a result of the Merger which increased debt outstanding at June 30, 2021 by approximately $286.4 million compared to June 30, 2020, offset by lower overall weighted average interest rates as a result of our financing activities over the past 12 months. See Note 9 to the condensed consolidated financial statements for further discussion of our debt.</w:t>
      </w:r>
    </w:p>
    <w:p>
      <w:pPr>
        <w:spacing w:after="0" w:line="49"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i w:val="1"/>
          <w:iCs w:val="1"/>
          <w:color w:val="auto"/>
        </w:rPr>
        <w:t xml:space="preserve">Fair Value Loss (Gain) on Common Stock Warrant Liabilities: </w:t>
      </w:r>
      <w:r>
        <w:rPr>
          <w:rFonts w:ascii="Arial" w:cs="Arial" w:eastAsia="Arial" w:hAnsi="Arial"/>
          <w:sz w:val="12"/>
          <w:szCs w:val="12"/>
          <w:color w:val="auto"/>
        </w:rPr>
        <w:t>The fair value loss (gain) on common stock warrant liabilities increased $95.0 million to a $26.6 million loss for the six months ended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June 30, 2021 from a $68.4 million gain for the six months ended June 30, 2020. The increase was primarily due to the change in estimated fair value of common stock warrant liabilities. As of June 30, 2021, no</w:t>
      </w:r>
    </w:p>
    <w:p>
      <w:pPr>
        <w:spacing w:after="0" w:line="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2015 Public or Private Warrants remain outstanding. At June 30, 2021, 7,165,911 2018 Warrants were outstanding, but are treated as equity, so we will not reflect a common stock warrant liability on our balance sheet or related income or expense from changes in fair value on our statement of operations in the future.</w:t>
      </w:r>
    </w:p>
    <w:p>
      <w:pPr>
        <w:spacing w:after="0" w:line="42"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i w:val="1"/>
          <w:iCs w:val="1"/>
          <w:color w:val="auto"/>
        </w:rPr>
        <w:t xml:space="preserve">Loss on Extinguishment of Debt: </w:t>
      </w:r>
      <w:r>
        <w:rPr>
          <w:rFonts w:ascii="Arial" w:cs="Arial" w:eastAsia="Arial" w:hAnsi="Arial"/>
          <w:sz w:val="12"/>
          <w:szCs w:val="12"/>
          <w:color w:val="auto"/>
        </w:rPr>
        <w:t>During the six months ended June 30, 2021, the Company redeemed $123.5 million of the outstanding principal of its 2025 Secured Notes and recorded a loss 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extinguishment of debt of $6.0 million comprised of a redemption premium of $3.7 million and write off of unamortized deferred financing fees of $2.3 million.</w:t>
      </w:r>
    </w:p>
    <w:p>
      <w:pPr>
        <w:spacing w:after="0" w:line="38"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2"/>
          <w:szCs w:val="12"/>
          <w:b w:val="1"/>
          <w:bCs w:val="1"/>
          <w:i w:val="1"/>
          <w:iCs w:val="1"/>
          <w:color w:val="auto"/>
        </w:rPr>
        <w:t xml:space="preserve">Income Tax Expense: </w:t>
      </w:r>
      <w:r>
        <w:rPr>
          <w:rFonts w:ascii="Arial" w:cs="Arial" w:eastAsia="Arial" w:hAnsi="Arial"/>
          <w:sz w:val="12"/>
          <w:szCs w:val="12"/>
          <w:color w:val="auto"/>
        </w:rPr>
        <w:t>Income tax expense increased $28.8 million to $29.3 million for the six months ended June 30, 2021 compared to $0.5 million for the six months ended June 30, 2020.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increase was driven by increases to income during the period and permanent add-backs related to the mark to market accounting on the Company’s warrants and the impact of UK statutory rate increases, as well as by prior year tax benefits from the reversal of the Company's valuation allowance not repeated in the current year period.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1D2758"/>
        </w:rPr>
        <w:t>Business Segment Results</w:t>
      </w:r>
    </w:p>
    <w:p>
      <w:pPr>
        <w:spacing w:after="0" w:line="85"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Company operates in four reportable segments as follows: NA Modular, NA Storage, UK Storage and Tank and Pump. The NA Modular segment represents the activities of WillScot prior to the Merger. The NA Storage, UK Storage and Tank and Pump segments align to the three segments reported by Mobile Mini prior to the Merger.</w:t>
      </w:r>
    </w:p>
    <w:p>
      <w:pPr>
        <w:spacing w:after="0" w:line="66"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The following tables and discussion summarize our reportable segment financial information for the three and six months ended June 30, 2021 and 2020. The below results only include Mobile Mini for the periods subsequent to the Merger. A Summary Business Segment Supplemental Unaudited Pro Forma Financial Information section has been included in this MD&amp;A in order to provide period over period comparable financial information for the NA Storage, UK Storage and Tank and Pump reporting segments as these segments were not included in our reported results for the three and 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544830</wp:posOffset>
            </wp:positionV>
            <wp:extent cx="719264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color w:val="auto"/>
        </w:rPr>
        <w:t>Comparison of Three Months Ended June 30, 2021 and 2020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1220" w:type="dxa"/>
            <w:vAlign w:val="bottom"/>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2980" w:type="dxa"/>
            <w:vAlign w:val="bottom"/>
            <w:gridSpan w:val="4"/>
            <w:shd w:val="clear" w:color="auto" w:fill="1D2758"/>
          </w:tcPr>
          <w:p>
            <w:pPr>
              <w:jc w:val="right"/>
              <w:spacing w:after="0"/>
              <w:rPr>
                <w:sz w:val="20"/>
                <w:szCs w:val="20"/>
                <w:color w:val="auto"/>
              </w:rPr>
            </w:pPr>
            <w:r>
              <w:rPr>
                <w:rFonts w:ascii="Arial" w:cs="Arial" w:eastAsia="Arial" w:hAnsi="Arial"/>
                <w:sz w:val="12"/>
                <w:szCs w:val="12"/>
                <w:b w:val="1"/>
                <w:bCs w:val="1"/>
                <w:color w:val="FFFFFF"/>
              </w:rPr>
              <w:t>Three Months Ended June 30, 2021</w:t>
            </w:r>
          </w:p>
        </w:tc>
        <w:tc>
          <w:tcPr>
            <w:tcW w:w="120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108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6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for units on rent and rates)</w:t>
            </w:r>
          </w:p>
        </w:tc>
        <w:tc>
          <w:tcPr>
            <w:tcW w:w="220" w:type="dxa"/>
            <w:vAlign w:val="bottom"/>
            <w:shd w:val="clear" w:color="auto" w:fill="1D2758"/>
          </w:tcPr>
          <w:p>
            <w:pPr>
              <w:spacing w:after="0"/>
              <w:rPr>
                <w:sz w:val="13"/>
                <w:szCs w:val="13"/>
                <w:color w:val="auto"/>
              </w:rPr>
            </w:pPr>
          </w:p>
        </w:tc>
        <w:tc>
          <w:tcPr>
            <w:tcW w:w="1220" w:type="dxa"/>
            <w:vAlign w:val="bottom"/>
            <w:vMerge w:val="restart"/>
            <w:shd w:val="clear" w:color="auto" w:fill="1D2758"/>
          </w:tcPr>
          <w:p>
            <w:pPr>
              <w:jc w:val="right"/>
              <w:ind w:right="339"/>
              <w:spacing w:after="0"/>
              <w:rPr>
                <w:sz w:val="20"/>
                <w:szCs w:val="20"/>
                <w:color w:val="auto"/>
              </w:rPr>
            </w:pPr>
            <w:r>
              <w:rPr>
                <w:rFonts w:ascii="Arial" w:cs="Arial" w:eastAsia="Arial" w:hAnsi="Arial"/>
                <w:sz w:val="12"/>
                <w:szCs w:val="12"/>
                <w:b w:val="1"/>
                <w:bCs w:val="1"/>
                <w:color w:val="FFFFFF"/>
              </w:rPr>
              <w:t>NA Modular</w:t>
            </w:r>
          </w:p>
        </w:tc>
        <w:tc>
          <w:tcPr>
            <w:tcW w:w="260" w:type="dxa"/>
            <w:vAlign w:val="bottom"/>
            <w:shd w:val="clear" w:color="auto" w:fill="1D2758"/>
          </w:tcPr>
          <w:p>
            <w:pPr>
              <w:spacing w:after="0"/>
              <w:rPr>
                <w:sz w:val="13"/>
                <w:szCs w:val="13"/>
                <w:color w:val="auto"/>
              </w:rPr>
            </w:pPr>
          </w:p>
        </w:tc>
        <w:tc>
          <w:tcPr>
            <w:tcW w:w="1220" w:type="dxa"/>
            <w:vAlign w:val="bottom"/>
            <w:vMerge w:val="restart"/>
            <w:shd w:val="clear" w:color="auto" w:fill="1D2758"/>
          </w:tcPr>
          <w:p>
            <w:pPr>
              <w:jc w:val="right"/>
              <w:ind w:right="339"/>
              <w:spacing w:after="0"/>
              <w:rPr>
                <w:sz w:val="20"/>
                <w:szCs w:val="20"/>
                <w:color w:val="auto"/>
              </w:rPr>
            </w:pPr>
            <w:r>
              <w:rPr>
                <w:rFonts w:ascii="Arial" w:cs="Arial" w:eastAsia="Arial" w:hAnsi="Arial"/>
                <w:sz w:val="12"/>
                <w:szCs w:val="12"/>
                <w:b w:val="1"/>
                <w:bCs w:val="1"/>
                <w:color w:val="FFFFFF"/>
              </w:rPr>
              <w:t>NA Storage</w:t>
            </w:r>
          </w:p>
        </w:tc>
        <w:tc>
          <w:tcPr>
            <w:tcW w:w="280" w:type="dxa"/>
            <w:vAlign w:val="bottom"/>
            <w:shd w:val="clear" w:color="auto" w:fill="1D2758"/>
          </w:tcPr>
          <w:p>
            <w:pPr>
              <w:spacing w:after="0"/>
              <w:rPr>
                <w:sz w:val="13"/>
                <w:szCs w:val="13"/>
                <w:color w:val="auto"/>
              </w:rPr>
            </w:pPr>
          </w:p>
        </w:tc>
        <w:tc>
          <w:tcPr>
            <w:tcW w:w="1200" w:type="dxa"/>
            <w:vAlign w:val="bottom"/>
            <w:vMerge w:val="restart"/>
            <w:shd w:val="clear" w:color="auto" w:fill="1D2758"/>
          </w:tcPr>
          <w:p>
            <w:pPr>
              <w:jc w:val="right"/>
              <w:ind w:right="339"/>
              <w:spacing w:after="0"/>
              <w:rPr>
                <w:sz w:val="20"/>
                <w:szCs w:val="20"/>
                <w:color w:val="auto"/>
              </w:rPr>
            </w:pPr>
            <w:r>
              <w:rPr>
                <w:rFonts w:ascii="Arial" w:cs="Arial" w:eastAsia="Arial" w:hAnsi="Arial"/>
                <w:sz w:val="12"/>
                <w:szCs w:val="12"/>
                <w:b w:val="1"/>
                <w:bCs w:val="1"/>
                <w:color w:val="FFFFFF"/>
              </w:rPr>
              <w:t>UK Storage</w:t>
            </w:r>
          </w:p>
        </w:tc>
        <w:tc>
          <w:tcPr>
            <w:tcW w:w="280" w:type="dxa"/>
            <w:vAlign w:val="bottom"/>
            <w:shd w:val="clear" w:color="auto" w:fill="1D2758"/>
          </w:tcPr>
          <w:p>
            <w:pPr>
              <w:spacing w:after="0"/>
              <w:rPr>
                <w:sz w:val="13"/>
                <w:szCs w:val="13"/>
                <w:color w:val="auto"/>
              </w:rPr>
            </w:pPr>
          </w:p>
        </w:tc>
        <w:tc>
          <w:tcPr>
            <w:tcW w:w="1200" w:type="dxa"/>
            <w:vAlign w:val="bottom"/>
            <w:vMerge w:val="restart"/>
            <w:shd w:val="clear" w:color="auto" w:fill="1D2758"/>
          </w:tcPr>
          <w:p>
            <w:pPr>
              <w:jc w:val="right"/>
              <w:ind w:right="239"/>
              <w:spacing w:after="0"/>
              <w:rPr>
                <w:sz w:val="20"/>
                <w:szCs w:val="20"/>
                <w:color w:val="auto"/>
              </w:rPr>
            </w:pPr>
            <w:r>
              <w:rPr>
                <w:rFonts w:ascii="Arial" w:cs="Arial" w:eastAsia="Arial" w:hAnsi="Arial"/>
                <w:sz w:val="12"/>
                <w:szCs w:val="12"/>
                <w:b w:val="1"/>
                <w:bCs w:val="1"/>
                <w:color w:val="FFFFFF"/>
                <w:w w:val="98"/>
              </w:rPr>
              <w:t>Tank and Pump</w:t>
            </w:r>
          </w:p>
        </w:tc>
        <w:tc>
          <w:tcPr>
            <w:tcW w:w="360" w:type="dxa"/>
            <w:vAlign w:val="bottom"/>
            <w:shd w:val="clear" w:color="auto" w:fill="1D2758"/>
          </w:tcPr>
          <w:p>
            <w:pPr>
              <w:spacing w:after="0"/>
              <w:rPr>
                <w:sz w:val="13"/>
                <w:szCs w:val="13"/>
                <w:color w:val="auto"/>
              </w:rPr>
            </w:pPr>
          </w:p>
        </w:tc>
        <w:tc>
          <w:tcPr>
            <w:tcW w:w="1080" w:type="dxa"/>
            <w:vAlign w:val="bottom"/>
            <w:vMerge w:val="restart"/>
            <w:shd w:val="clear" w:color="auto" w:fill="1D2758"/>
          </w:tcPr>
          <w:p>
            <w:pPr>
              <w:jc w:val="right"/>
              <w:ind w:right="499"/>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72"/>
        </w:trPr>
        <w:tc>
          <w:tcPr>
            <w:tcW w:w="3960" w:type="dxa"/>
            <w:vAlign w:val="bottom"/>
            <w:shd w:val="clear" w:color="auto" w:fill="1D2758"/>
          </w:tcPr>
          <w:p>
            <w:pPr>
              <w:spacing w:after="0"/>
              <w:rPr>
                <w:sz w:val="6"/>
                <w:szCs w:val="6"/>
                <w:color w:val="auto"/>
              </w:rPr>
            </w:pPr>
          </w:p>
        </w:tc>
        <w:tc>
          <w:tcPr>
            <w:tcW w:w="220" w:type="dxa"/>
            <w:vAlign w:val="bottom"/>
            <w:shd w:val="clear" w:color="auto" w:fill="1D2758"/>
          </w:tcPr>
          <w:p>
            <w:pPr>
              <w:spacing w:after="0"/>
              <w:rPr>
                <w:sz w:val="6"/>
                <w:szCs w:val="6"/>
                <w:color w:val="auto"/>
              </w:rPr>
            </w:pPr>
          </w:p>
        </w:tc>
        <w:tc>
          <w:tcPr>
            <w:tcW w:w="1220" w:type="dxa"/>
            <w:vAlign w:val="bottom"/>
            <w:vMerge w:val="continue"/>
            <w:shd w:val="clear" w:color="auto" w:fill="1D2758"/>
          </w:tcPr>
          <w:p>
            <w:pPr>
              <w:spacing w:after="0"/>
              <w:rPr>
                <w:sz w:val="6"/>
                <w:szCs w:val="6"/>
                <w:color w:val="auto"/>
              </w:rPr>
            </w:pPr>
          </w:p>
        </w:tc>
        <w:tc>
          <w:tcPr>
            <w:tcW w:w="260" w:type="dxa"/>
            <w:vAlign w:val="bottom"/>
            <w:shd w:val="clear" w:color="auto" w:fill="1D2758"/>
          </w:tcPr>
          <w:p>
            <w:pPr>
              <w:spacing w:after="0"/>
              <w:rPr>
                <w:sz w:val="6"/>
                <w:szCs w:val="6"/>
                <w:color w:val="auto"/>
              </w:rPr>
            </w:pPr>
          </w:p>
        </w:tc>
        <w:tc>
          <w:tcPr>
            <w:tcW w:w="1220" w:type="dxa"/>
            <w:vAlign w:val="bottom"/>
            <w:vMerge w:val="continue"/>
            <w:shd w:val="clear" w:color="auto" w:fill="1D2758"/>
          </w:tcPr>
          <w:p>
            <w:pPr>
              <w:spacing w:after="0"/>
              <w:rPr>
                <w:sz w:val="6"/>
                <w:szCs w:val="6"/>
                <w:color w:val="auto"/>
              </w:rPr>
            </w:pPr>
          </w:p>
        </w:tc>
        <w:tc>
          <w:tcPr>
            <w:tcW w:w="280" w:type="dxa"/>
            <w:vAlign w:val="bottom"/>
            <w:shd w:val="clear" w:color="auto" w:fill="1D2758"/>
          </w:tcPr>
          <w:p>
            <w:pPr>
              <w:spacing w:after="0"/>
              <w:rPr>
                <w:sz w:val="6"/>
                <w:szCs w:val="6"/>
                <w:color w:val="auto"/>
              </w:rPr>
            </w:pPr>
          </w:p>
        </w:tc>
        <w:tc>
          <w:tcPr>
            <w:tcW w:w="1200" w:type="dxa"/>
            <w:vAlign w:val="bottom"/>
            <w:vMerge w:val="continue"/>
            <w:shd w:val="clear" w:color="auto" w:fill="1D2758"/>
          </w:tcPr>
          <w:p>
            <w:pPr>
              <w:spacing w:after="0"/>
              <w:rPr>
                <w:sz w:val="6"/>
                <w:szCs w:val="6"/>
                <w:color w:val="auto"/>
              </w:rPr>
            </w:pPr>
          </w:p>
        </w:tc>
        <w:tc>
          <w:tcPr>
            <w:tcW w:w="280" w:type="dxa"/>
            <w:vAlign w:val="bottom"/>
            <w:shd w:val="clear" w:color="auto" w:fill="1D2758"/>
          </w:tcPr>
          <w:p>
            <w:pPr>
              <w:spacing w:after="0"/>
              <w:rPr>
                <w:sz w:val="6"/>
                <w:szCs w:val="6"/>
                <w:color w:val="auto"/>
              </w:rPr>
            </w:pPr>
          </w:p>
        </w:tc>
        <w:tc>
          <w:tcPr>
            <w:tcW w:w="1200" w:type="dxa"/>
            <w:vAlign w:val="bottom"/>
            <w:vMerge w:val="continue"/>
            <w:shd w:val="clear" w:color="auto" w:fill="1D2758"/>
          </w:tcPr>
          <w:p>
            <w:pPr>
              <w:spacing w:after="0"/>
              <w:rPr>
                <w:sz w:val="6"/>
                <w:szCs w:val="6"/>
                <w:color w:val="auto"/>
              </w:rPr>
            </w:pPr>
          </w:p>
        </w:tc>
        <w:tc>
          <w:tcPr>
            <w:tcW w:w="360" w:type="dxa"/>
            <w:vAlign w:val="bottom"/>
            <w:shd w:val="clear" w:color="auto" w:fill="1D2758"/>
          </w:tcPr>
          <w:p>
            <w:pPr>
              <w:spacing w:after="0"/>
              <w:rPr>
                <w:sz w:val="6"/>
                <w:szCs w:val="6"/>
                <w:color w:val="auto"/>
              </w:rPr>
            </w:pPr>
          </w:p>
        </w:tc>
        <w:tc>
          <w:tcPr>
            <w:tcW w:w="1080" w:type="dxa"/>
            <w:vAlign w:val="bottom"/>
            <w:vMerge w:val="continue"/>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w:t>
            </w:r>
          </w:p>
        </w:tc>
        <w:tc>
          <w:tcPr>
            <w:tcW w:w="22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289,382</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rPr>
              <w:t>115,794</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28,432</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27,494</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461,102</w:t>
            </w:r>
          </w:p>
        </w:tc>
        <w:tc>
          <w:tcPr>
            <w:tcW w:w="0" w:type="dxa"/>
            <w:vAlign w:val="bottom"/>
          </w:tcPr>
          <w:p>
            <w:pPr>
              <w:spacing w:after="0"/>
              <w:rPr>
                <w:sz w:val="1"/>
                <w:szCs w:val="1"/>
                <w:color w:val="auto"/>
              </w:rPr>
            </w:pPr>
          </w:p>
        </w:tc>
      </w:tr>
      <w:tr>
        <w:trPr>
          <w:trHeight w:val="159"/>
        </w:trPr>
        <w:tc>
          <w:tcPr>
            <w:tcW w:w="396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39"/>
              <w:spacing w:after="0"/>
              <w:rPr>
                <w:sz w:val="20"/>
                <w:szCs w:val="20"/>
                <w:color w:val="auto"/>
              </w:rPr>
            </w:pPr>
            <w:r>
              <w:rPr>
                <w:rFonts w:ascii="Arial" w:cs="Arial" w:eastAsia="Arial" w:hAnsi="Arial"/>
                <w:sz w:val="12"/>
                <w:szCs w:val="12"/>
                <w:color w:val="auto"/>
              </w:rPr>
              <w:t>116,136</w:t>
            </w:r>
          </w:p>
        </w:tc>
        <w:tc>
          <w:tcPr>
            <w:tcW w:w="26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119"/>
              <w:spacing w:after="0"/>
              <w:rPr>
                <w:sz w:val="20"/>
                <w:szCs w:val="20"/>
                <w:color w:val="auto"/>
              </w:rPr>
            </w:pPr>
            <w:r>
              <w:rPr>
                <w:rFonts w:ascii="Arial" w:cs="Arial" w:eastAsia="Arial" w:hAnsi="Arial"/>
                <w:sz w:val="12"/>
                <w:szCs w:val="12"/>
                <w:color w:val="auto"/>
              </w:rPr>
              <w:t>75,721</w:t>
            </w:r>
          </w:p>
        </w:tc>
        <w:tc>
          <w:tcPr>
            <w:tcW w:w="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139"/>
              <w:spacing w:after="0"/>
              <w:rPr>
                <w:sz w:val="20"/>
                <w:szCs w:val="20"/>
                <w:color w:val="auto"/>
              </w:rPr>
            </w:pPr>
            <w:r>
              <w:rPr>
                <w:rFonts w:ascii="Arial" w:cs="Arial" w:eastAsia="Arial" w:hAnsi="Arial"/>
                <w:sz w:val="12"/>
                <w:szCs w:val="12"/>
                <w:color w:val="auto"/>
              </w:rPr>
              <w:t>17,937</w:t>
            </w:r>
          </w:p>
        </w:tc>
        <w:tc>
          <w:tcPr>
            <w:tcW w:w="2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139"/>
              <w:spacing w:after="0"/>
              <w:rPr>
                <w:sz w:val="20"/>
                <w:szCs w:val="20"/>
                <w:color w:val="auto"/>
              </w:rPr>
            </w:pPr>
            <w:r>
              <w:rPr>
                <w:rFonts w:ascii="Arial" w:cs="Arial" w:eastAsia="Arial" w:hAnsi="Arial"/>
                <w:sz w:val="12"/>
                <w:szCs w:val="12"/>
                <w:color w:val="auto"/>
              </w:rPr>
              <w:t>13,016</w:t>
            </w:r>
          </w:p>
        </w:tc>
        <w:tc>
          <w:tcPr>
            <w:tcW w:w="36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79"/>
              <w:spacing w:after="0"/>
              <w:rPr>
                <w:sz w:val="20"/>
                <w:szCs w:val="20"/>
                <w:color w:val="auto"/>
              </w:rPr>
            </w:pPr>
            <w:r>
              <w:rPr>
                <w:rFonts w:ascii="Arial" w:cs="Arial" w:eastAsia="Arial" w:hAnsi="Arial"/>
                <w:sz w:val="12"/>
                <w:szCs w:val="12"/>
                <w:color w:val="auto"/>
              </w:rPr>
              <w:t>222,810</w:t>
            </w:r>
          </w:p>
        </w:tc>
        <w:tc>
          <w:tcPr>
            <w:tcW w:w="0" w:type="dxa"/>
            <w:vAlign w:val="bottom"/>
          </w:tcPr>
          <w:p>
            <w:pPr>
              <w:spacing w:after="0"/>
              <w:rPr>
                <w:sz w:val="1"/>
                <w:szCs w:val="1"/>
                <w:color w:val="auto"/>
              </w:rPr>
            </w:pPr>
          </w:p>
        </w:tc>
      </w:tr>
      <w:tr>
        <w:trPr>
          <w:trHeight w:val="164"/>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Adjusted EBITDA</w:t>
            </w:r>
          </w:p>
        </w:tc>
        <w:tc>
          <w:tcPr>
            <w:tcW w:w="22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103,545</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rPr>
              <w:t>49,526</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12,328</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10,096</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175,495</w:t>
            </w:r>
          </w:p>
        </w:tc>
        <w:tc>
          <w:tcPr>
            <w:tcW w:w="0" w:type="dxa"/>
            <w:vAlign w:val="bottom"/>
          </w:tcPr>
          <w:p>
            <w:pPr>
              <w:spacing w:after="0"/>
              <w:rPr>
                <w:sz w:val="1"/>
                <w:szCs w:val="1"/>
                <w:color w:val="auto"/>
              </w:rPr>
            </w:pPr>
          </w:p>
        </w:tc>
      </w:tr>
      <w:tr>
        <w:trPr>
          <w:trHeight w:val="159"/>
        </w:trPr>
        <w:tc>
          <w:tcPr>
            <w:tcW w:w="3960" w:type="dxa"/>
            <w:vAlign w:val="bottom"/>
          </w:tcPr>
          <w:p>
            <w:pPr>
              <w:ind w:left="20"/>
              <w:spacing w:after="0"/>
              <w:rPr>
                <w:sz w:val="20"/>
                <w:szCs w:val="20"/>
                <w:color w:val="auto"/>
              </w:rPr>
            </w:pPr>
            <w:r>
              <w:rPr>
                <w:rFonts w:ascii="Arial" w:cs="Arial" w:eastAsia="Arial" w:hAnsi="Arial"/>
                <w:sz w:val="12"/>
                <w:szCs w:val="12"/>
                <w:color w:val="auto"/>
              </w:rPr>
              <w:t>Capital expenditures for rental equipment</w:t>
            </w: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39"/>
              <w:spacing w:after="0"/>
              <w:rPr>
                <w:sz w:val="20"/>
                <w:szCs w:val="20"/>
                <w:color w:val="auto"/>
              </w:rPr>
            </w:pPr>
            <w:r>
              <w:rPr>
                <w:rFonts w:ascii="Arial" w:cs="Arial" w:eastAsia="Arial" w:hAnsi="Arial"/>
                <w:sz w:val="12"/>
                <w:szCs w:val="12"/>
                <w:color w:val="auto"/>
              </w:rPr>
              <w:t>49,364</w:t>
            </w:r>
          </w:p>
        </w:tc>
        <w:tc>
          <w:tcPr>
            <w:tcW w:w="26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119"/>
              <w:spacing w:after="0"/>
              <w:rPr>
                <w:sz w:val="20"/>
                <w:szCs w:val="20"/>
                <w:color w:val="auto"/>
              </w:rPr>
            </w:pPr>
            <w:r>
              <w:rPr>
                <w:rFonts w:ascii="Arial" w:cs="Arial" w:eastAsia="Arial" w:hAnsi="Arial"/>
                <w:sz w:val="12"/>
                <w:szCs w:val="12"/>
                <w:color w:val="auto"/>
              </w:rPr>
              <w:t>8,773</w:t>
            </w:r>
          </w:p>
        </w:tc>
        <w:tc>
          <w:tcPr>
            <w:tcW w:w="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139"/>
              <w:spacing w:after="0"/>
              <w:rPr>
                <w:sz w:val="20"/>
                <w:szCs w:val="20"/>
                <w:color w:val="auto"/>
              </w:rPr>
            </w:pPr>
            <w:r>
              <w:rPr>
                <w:rFonts w:ascii="Arial" w:cs="Arial" w:eastAsia="Arial" w:hAnsi="Arial"/>
                <w:sz w:val="12"/>
                <w:szCs w:val="12"/>
                <w:color w:val="auto"/>
              </w:rPr>
              <w:t>4,226</w:t>
            </w:r>
          </w:p>
        </w:tc>
        <w:tc>
          <w:tcPr>
            <w:tcW w:w="2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139"/>
              <w:spacing w:after="0"/>
              <w:rPr>
                <w:sz w:val="20"/>
                <w:szCs w:val="20"/>
                <w:color w:val="auto"/>
              </w:rPr>
            </w:pPr>
            <w:r>
              <w:rPr>
                <w:rFonts w:ascii="Arial" w:cs="Arial" w:eastAsia="Arial" w:hAnsi="Arial"/>
                <w:sz w:val="12"/>
                <w:szCs w:val="12"/>
                <w:color w:val="auto"/>
              </w:rPr>
              <w:t>2,919</w:t>
            </w:r>
          </w:p>
        </w:tc>
        <w:tc>
          <w:tcPr>
            <w:tcW w:w="36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79"/>
              <w:spacing w:after="0"/>
              <w:rPr>
                <w:sz w:val="20"/>
                <w:szCs w:val="20"/>
                <w:color w:val="auto"/>
              </w:rPr>
            </w:pPr>
            <w:r>
              <w:rPr>
                <w:rFonts w:ascii="Arial" w:cs="Arial" w:eastAsia="Arial" w:hAnsi="Arial"/>
                <w:sz w:val="12"/>
                <w:szCs w:val="12"/>
                <w:color w:val="auto"/>
              </w:rPr>
              <w:t>65,282</w:t>
            </w:r>
          </w:p>
        </w:tc>
        <w:tc>
          <w:tcPr>
            <w:tcW w:w="0" w:type="dxa"/>
            <w:vAlign w:val="bottom"/>
          </w:tcPr>
          <w:p>
            <w:pPr>
              <w:spacing w:after="0"/>
              <w:rPr>
                <w:sz w:val="1"/>
                <w:szCs w:val="1"/>
                <w:color w:val="auto"/>
              </w:rPr>
            </w:pPr>
          </w:p>
        </w:tc>
      </w:tr>
      <w:tr>
        <w:trPr>
          <w:trHeight w:val="164"/>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units on rent</w:t>
            </w:r>
          </w:p>
        </w:tc>
        <w:tc>
          <w:tcPr>
            <w:tcW w:w="220" w:type="dxa"/>
            <w:vAlign w:val="bottom"/>
            <w:shd w:val="clear" w:color="auto" w:fill="DBDBDB"/>
          </w:tcPr>
          <w:p>
            <w:pPr>
              <w:spacing w:after="0"/>
              <w:rPr>
                <w:sz w:val="14"/>
                <w:szCs w:val="14"/>
                <w:color w:val="auto"/>
              </w:rPr>
            </w:pPr>
          </w:p>
        </w:tc>
        <w:tc>
          <w:tcPr>
            <w:tcW w:w="12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84,754</w:t>
            </w:r>
          </w:p>
        </w:tc>
        <w:tc>
          <w:tcPr>
            <w:tcW w:w="260" w:type="dxa"/>
            <w:vAlign w:val="bottom"/>
            <w:shd w:val="clear" w:color="auto" w:fill="DBDBDB"/>
          </w:tcPr>
          <w:p>
            <w:pPr>
              <w:spacing w:after="0"/>
              <w:rPr>
                <w:sz w:val="14"/>
                <w:szCs w:val="14"/>
                <w:color w:val="auto"/>
              </w:rPr>
            </w:pPr>
          </w:p>
        </w:tc>
        <w:tc>
          <w:tcPr>
            <w:tcW w:w="122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rPr>
              <w:t>16,360</w:t>
            </w:r>
          </w:p>
        </w:tc>
        <w:tc>
          <w:tcPr>
            <w:tcW w:w="280" w:type="dxa"/>
            <w:vAlign w:val="bottom"/>
            <w:shd w:val="clear" w:color="auto" w:fill="DBDBDB"/>
          </w:tcPr>
          <w:p>
            <w:pPr>
              <w:spacing w:after="0"/>
              <w:rPr>
                <w:sz w:val="14"/>
                <w:szCs w:val="14"/>
                <w:color w:val="auto"/>
              </w:rPr>
            </w:pPr>
          </w:p>
        </w:tc>
        <w:tc>
          <w:tcPr>
            <w:tcW w:w="12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9,354</w:t>
            </w:r>
          </w:p>
        </w:tc>
        <w:tc>
          <w:tcPr>
            <w:tcW w:w="280" w:type="dxa"/>
            <w:vAlign w:val="bottom"/>
            <w:shd w:val="clear" w:color="auto" w:fill="DBDBDB"/>
          </w:tcPr>
          <w:p>
            <w:pPr>
              <w:spacing w:after="0"/>
              <w:rPr>
                <w:sz w:val="14"/>
                <w:szCs w:val="14"/>
                <w:color w:val="auto"/>
              </w:rPr>
            </w:pPr>
          </w:p>
        </w:tc>
        <w:tc>
          <w:tcPr>
            <w:tcW w:w="12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w:t>
            </w:r>
          </w:p>
        </w:tc>
        <w:tc>
          <w:tcPr>
            <w:tcW w:w="360" w:type="dxa"/>
            <w:vAlign w:val="bottom"/>
            <w:shd w:val="clear" w:color="auto" w:fill="DBDBDB"/>
          </w:tcPr>
          <w:p>
            <w:pPr>
              <w:spacing w:after="0"/>
              <w:rPr>
                <w:sz w:val="14"/>
                <w:szCs w:val="14"/>
                <w:color w:val="auto"/>
              </w:rPr>
            </w:pPr>
          </w:p>
        </w:tc>
        <w:tc>
          <w:tcPr>
            <w:tcW w:w="10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110,468</w:t>
            </w:r>
          </w:p>
        </w:tc>
        <w:tc>
          <w:tcPr>
            <w:tcW w:w="0" w:type="dxa"/>
            <w:vAlign w:val="bottom"/>
          </w:tcPr>
          <w:p>
            <w:pPr>
              <w:spacing w:after="0"/>
              <w:rPr>
                <w:sz w:val="1"/>
                <w:szCs w:val="1"/>
                <w:color w:val="auto"/>
              </w:rPr>
            </w:pPr>
          </w:p>
        </w:tc>
      </w:tr>
      <w:tr>
        <w:trPr>
          <w:trHeight w:val="159"/>
        </w:trPr>
        <w:tc>
          <w:tcPr>
            <w:tcW w:w="3960" w:type="dxa"/>
            <w:vAlign w:val="bottom"/>
          </w:tcPr>
          <w:p>
            <w:pPr>
              <w:ind w:left="20"/>
              <w:spacing w:after="0"/>
              <w:rPr>
                <w:sz w:val="20"/>
                <w:szCs w:val="20"/>
                <w:color w:val="auto"/>
              </w:rPr>
            </w:pPr>
            <w:r>
              <w:rPr>
                <w:rFonts w:ascii="Arial" w:cs="Arial" w:eastAsia="Arial" w:hAnsi="Arial"/>
                <w:sz w:val="12"/>
                <w:szCs w:val="12"/>
                <w:color w:val="auto"/>
              </w:rPr>
              <w:t>Average modular space utilization rate</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67.7 %</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78.4 %</w:t>
            </w: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84.3 %</w:t>
            </w: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 %</w:t>
            </w: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70.3 %</w:t>
            </w:r>
          </w:p>
        </w:tc>
        <w:tc>
          <w:tcPr>
            <w:tcW w:w="0" w:type="dxa"/>
            <w:vAlign w:val="bottom"/>
          </w:tcPr>
          <w:p>
            <w:pPr>
              <w:spacing w:after="0"/>
              <w:rPr>
                <w:sz w:val="1"/>
                <w:szCs w:val="1"/>
                <w:color w:val="auto"/>
              </w:rPr>
            </w:pPr>
          </w:p>
        </w:tc>
      </w:tr>
      <w:tr>
        <w:trPr>
          <w:trHeight w:val="164"/>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monthly rental rate</w:t>
            </w:r>
          </w:p>
        </w:tc>
        <w:tc>
          <w:tcPr>
            <w:tcW w:w="22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801</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rPr>
              <w:t>573</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438</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736</w:t>
            </w:r>
          </w:p>
        </w:tc>
        <w:tc>
          <w:tcPr>
            <w:tcW w:w="0" w:type="dxa"/>
            <w:vAlign w:val="bottom"/>
          </w:tcPr>
          <w:p>
            <w:pPr>
              <w:spacing w:after="0"/>
              <w:rPr>
                <w:sz w:val="1"/>
                <w:szCs w:val="1"/>
                <w:color w:val="auto"/>
              </w:rPr>
            </w:pPr>
          </w:p>
        </w:tc>
      </w:tr>
      <w:tr>
        <w:trPr>
          <w:trHeight w:val="159"/>
        </w:trPr>
        <w:tc>
          <w:tcPr>
            <w:tcW w:w="3960" w:type="dxa"/>
            <w:vAlign w:val="bottom"/>
          </w:tcPr>
          <w:p>
            <w:pPr>
              <w:ind w:left="20"/>
              <w:spacing w:after="0"/>
              <w:rPr>
                <w:sz w:val="20"/>
                <w:szCs w:val="20"/>
                <w:color w:val="auto"/>
              </w:rPr>
            </w:pPr>
            <w:r>
              <w:rPr>
                <w:rFonts w:ascii="Arial" w:cs="Arial" w:eastAsia="Arial" w:hAnsi="Arial"/>
                <w:sz w:val="12"/>
                <w:szCs w:val="12"/>
                <w:color w:val="auto"/>
              </w:rPr>
              <w:t>Average portable storage units on rent</w:t>
            </w:r>
          </w:p>
        </w:tc>
        <w:tc>
          <w:tcPr>
            <w:tcW w:w="220" w:type="dxa"/>
            <w:vAlign w:val="bottom"/>
          </w:tcPr>
          <w:p>
            <w:pPr>
              <w:spacing w:after="0"/>
              <w:rPr>
                <w:sz w:val="13"/>
                <w:szCs w:val="13"/>
                <w:color w:val="auto"/>
              </w:rPr>
            </w:pPr>
          </w:p>
        </w:tc>
        <w:tc>
          <w:tcPr>
            <w:tcW w:w="1220" w:type="dxa"/>
            <w:vAlign w:val="bottom"/>
          </w:tcPr>
          <w:p>
            <w:pPr>
              <w:jc w:val="right"/>
              <w:ind w:right="139"/>
              <w:spacing w:after="0"/>
              <w:rPr>
                <w:sz w:val="20"/>
                <w:szCs w:val="20"/>
                <w:color w:val="auto"/>
              </w:rPr>
            </w:pPr>
            <w:r>
              <w:rPr>
                <w:rFonts w:ascii="Arial" w:cs="Arial" w:eastAsia="Arial" w:hAnsi="Arial"/>
                <w:sz w:val="12"/>
                <w:szCs w:val="12"/>
                <w:color w:val="auto"/>
              </w:rPr>
              <w:t>13,301</w:t>
            </w:r>
          </w:p>
        </w:tc>
        <w:tc>
          <w:tcPr>
            <w:tcW w:w="260" w:type="dxa"/>
            <w:vAlign w:val="bottom"/>
          </w:tcPr>
          <w:p>
            <w:pPr>
              <w:spacing w:after="0"/>
              <w:rPr>
                <w:sz w:val="13"/>
                <w:szCs w:val="13"/>
                <w:color w:val="auto"/>
              </w:rPr>
            </w:pPr>
          </w:p>
        </w:tc>
        <w:tc>
          <w:tcPr>
            <w:tcW w:w="1220" w:type="dxa"/>
            <w:vAlign w:val="bottom"/>
          </w:tcPr>
          <w:p>
            <w:pPr>
              <w:jc w:val="right"/>
              <w:ind w:right="119"/>
              <w:spacing w:after="0"/>
              <w:rPr>
                <w:sz w:val="20"/>
                <w:szCs w:val="20"/>
                <w:color w:val="auto"/>
              </w:rPr>
            </w:pPr>
            <w:r>
              <w:rPr>
                <w:rFonts w:ascii="Arial" w:cs="Arial" w:eastAsia="Arial" w:hAnsi="Arial"/>
                <w:sz w:val="12"/>
                <w:szCs w:val="12"/>
                <w:color w:val="auto"/>
              </w:rPr>
              <w:t>112,862</w:t>
            </w:r>
          </w:p>
        </w:tc>
        <w:tc>
          <w:tcPr>
            <w:tcW w:w="280" w:type="dxa"/>
            <w:vAlign w:val="bottom"/>
          </w:tcPr>
          <w:p>
            <w:pPr>
              <w:spacing w:after="0"/>
              <w:rPr>
                <w:sz w:val="13"/>
                <w:szCs w:val="13"/>
                <w:color w:val="auto"/>
              </w:rPr>
            </w:pPr>
          </w:p>
        </w:tc>
        <w:tc>
          <w:tcPr>
            <w:tcW w:w="1200" w:type="dxa"/>
            <w:vAlign w:val="bottom"/>
          </w:tcPr>
          <w:p>
            <w:pPr>
              <w:jc w:val="right"/>
              <w:ind w:right="139"/>
              <w:spacing w:after="0"/>
              <w:rPr>
                <w:sz w:val="20"/>
                <w:szCs w:val="20"/>
                <w:color w:val="auto"/>
              </w:rPr>
            </w:pPr>
            <w:r>
              <w:rPr>
                <w:rFonts w:ascii="Arial" w:cs="Arial" w:eastAsia="Arial" w:hAnsi="Arial"/>
                <w:sz w:val="12"/>
                <w:szCs w:val="12"/>
                <w:color w:val="auto"/>
              </w:rPr>
              <w:t>25,573</w:t>
            </w:r>
          </w:p>
        </w:tc>
        <w:tc>
          <w:tcPr>
            <w:tcW w:w="280" w:type="dxa"/>
            <w:vAlign w:val="bottom"/>
          </w:tcPr>
          <w:p>
            <w:pPr>
              <w:spacing w:after="0"/>
              <w:rPr>
                <w:sz w:val="13"/>
                <w:szCs w:val="13"/>
                <w:color w:val="auto"/>
              </w:rPr>
            </w:pPr>
          </w:p>
        </w:tc>
        <w:tc>
          <w:tcPr>
            <w:tcW w:w="120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080" w:type="dxa"/>
            <w:vAlign w:val="bottom"/>
          </w:tcPr>
          <w:p>
            <w:pPr>
              <w:jc w:val="right"/>
              <w:ind w:right="79"/>
              <w:spacing w:after="0"/>
              <w:rPr>
                <w:sz w:val="20"/>
                <w:szCs w:val="20"/>
                <w:color w:val="auto"/>
              </w:rPr>
            </w:pPr>
            <w:r>
              <w:rPr>
                <w:rFonts w:ascii="Arial" w:cs="Arial" w:eastAsia="Arial" w:hAnsi="Arial"/>
                <w:sz w:val="12"/>
                <w:szCs w:val="12"/>
                <w:color w:val="auto"/>
              </w:rPr>
              <w:t>151,736</w:t>
            </w:r>
          </w:p>
        </w:tc>
        <w:tc>
          <w:tcPr>
            <w:tcW w:w="0" w:type="dxa"/>
            <w:vAlign w:val="bottom"/>
          </w:tcPr>
          <w:p>
            <w:pPr>
              <w:spacing w:after="0"/>
              <w:rPr>
                <w:sz w:val="1"/>
                <w:szCs w:val="1"/>
                <w:color w:val="auto"/>
              </w:rPr>
            </w:pPr>
          </w:p>
        </w:tc>
      </w:tr>
      <w:tr>
        <w:trPr>
          <w:trHeight w:val="164"/>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portable storage utilization rate</w:t>
            </w:r>
          </w:p>
        </w:tc>
        <w:tc>
          <w:tcPr>
            <w:tcW w:w="22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69.8 %</w:t>
            </w:r>
          </w:p>
        </w:tc>
        <w:tc>
          <w:tcPr>
            <w:tcW w:w="26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76.1 %</w:t>
            </w:r>
          </w:p>
        </w:tc>
        <w:tc>
          <w:tcPr>
            <w:tcW w:w="280" w:type="dxa"/>
            <w:vAlign w:val="bottom"/>
            <w:shd w:val="clear" w:color="auto" w:fill="DBDBDB"/>
          </w:tcPr>
          <w:p>
            <w:pPr>
              <w:spacing w:after="0"/>
              <w:rPr>
                <w:sz w:val="14"/>
                <w:szCs w:val="14"/>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91.8 %</w:t>
            </w:r>
          </w:p>
        </w:tc>
        <w:tc>
          <w:tcPr>
            <w:tcW w:w="280" w:type="dxa"/>
            <w:vAlign w:val="bottom"/>
            <w:shd w:val="clear" w:color="auto" w:fill="DBDBDB"/>
          </w:tcPr>
          <w:p>
            <w:pPr>
              <w:spacing w:after="0"/>
              <w:rPr>
                <w:sz w:val="14"/>
                <w:szCs w:val="14"/>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 %</w:t>
            </w:r>
          </w:p>
        </w:tc>
        <w:tc>
          <w:tcPr>
            <w:tcW w:w="36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77.7 %</w:t>
            </w:r>
          </w:p>
        </w:tc>
        <w:tc>
          <w:tcPr>
            <w:tcW w:w="0" w:type="dxa"/>
            <w:vAlign w:val="bottom"/>
          </w:tcPr>
          <w:p>
            <w:pPr>
              <w:spacing w:after="0"/>
              <w:rPr>
                <w:sz w:val="1"/>
                <w:szCs w:val="1"/>
                <w:color w:val="auto"/>
              </w:rPr>
            </w:pPr>
          </w:p>
        </w:tc>
      </w:tr>
      <w:tr>
        <w:trPr>
          <w:trHeight w:val="159"/>
        </w:trPr>
        <w:tc>
          <w:tcPr>
            <w:tcW w:w="3960" w:type="dxa"/>
            <w:vAlign w:val="bottom"/>
          </w:tcPr>
          <w:p>
            <w:pPr>
              <w:ind w:left="20"/>
              <w:spacing w:after="0"/>
              <w:rPr>
                <w:sz w:val="20"/>
                <w:szCs w:val="20"/>
                <w:color w:val="auto"/>
              </w:rPr>
            </w:pPr>
            <w:r>
              <w:rPr>
                <w:rFonts w:ascii="Arial" w:cs="Arial" w:eastAsia="Arial" w:hAnsi="Arial"/>
                <w:sz w:val="12"/>
                <w:szCs w:val="12"/>
                <w:color w:val="auto"/>
              </w:rPr>
              <w:t>Average portable storage monthly rental rate</w:t>
            </w: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39"/>
              <w:spacing w:after="0"/>
              <w:rPr>
                <w:sz w:val="20"/>
                <w:szCs w:val="20"/>
                <w:color w:val="auto"/>
              </w:rPr>
            </w:pPr>
            <w:r>
              <w:rPr>
                <w:rFonts w:ascii="Arial" w:cs="Arial" w:eastAsia="Arial" w:hAnsi="Arial"/>
                <w:sz w:val="12"/>
                <w:szCs w:val="12"/>
                <w:color w:val="auto"/>
              </w:rPr>
              <w:t>133</w:t>
            </w:r>
          </w:p>
        </w:tc>
        <w:tc>
          <w:tcPr>
            <w:tcW w:w="26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119"/>
              <w:spacing w:after="0"/>
              <w:rPr>
                <w:sz w:val="20"/>
                <w:szCs w:val="20"/>
                <w:color w:val="auto"/>
              </w:rPr>
            </w:pPr>
            <w:r>
              <w:rPr>
                <w:rFonts w:ascii="Arial" w:cs="Arial" w:eastAsia="Arial" w:hAnsi="Arial"/>
                <w:sz w:val="12"/>
                <w:szCs w:val="12"/>
                <w:color w:val="auto"/>
              </w:rPr>
              <w:t>151</w:t>
            </w:r>
          </w:p>
        </w:tc>
        <w:tc>
          <w:tcPr>
            <w:tcW w:w="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139"/>
              <w:spacing w:after="0"/>
              <w:rPr>
                <w:sz w:val="20"/>
                <w:szCs w:val="20"/>
                <w:color w:val="auto"/>
              </w:rPr>
            </w:pPr>
            <w:r>
              <w:rPr>
                <w:rFonts w:ascii="Arial" w:cs="Arial" w:eastAsia="Arial" w:hAnsi="Arial"/>
                <w:sz w:val="12"/>
                <w:szCs w:val="12"/>
                <w:color w:val="auto"/>
              </w:rPr>
              <w:t>88</w:t>
            </w:r>
          </w:p>
        </w:tc>
        <w:tc>
          <w:tcPr>
            <w:tcW w:w="2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79"/>
              <w:spacing w:after="0"/>
              <w:rPr>
                <w:sz w:val="20"/>
                <w:szCs w:val="20"/>
                <w:color w:val="auto"/>
              </w:rPr>
            </w:pPr>
            <w:r>
              <w:rPr>
                <w:rFonts w:ascii="Arial" w:cs="Arial" w:eastAsia="Arial" w:hAnsi="Arial"/>
                <w:sz w:val="12"/>
                <w:szCs w:val="12"/>
                <w:color w:val="auto"/>
              </w:rPr>
              <w:t>139</w:t>
            </w:r>
          </w:p>
        </w:tc>
        <w:tc>
          <w:tcPr>
            <w:tcW w:w="0" w:type="dxa"/>
            <w:vAlign w:val="bottom"/>
          </w:tcPr>
          <w:p>
            <w:pPr>
              <w:spacing w:after="0"/>
              <w:rPr>
                <w:sz w:val="1"/>
                <w:szCs w:val="1"/>
                <w:color w:val="auto"/>
              </w:rPr>
            </w:pPr>
          </w:p>
        </w:tc>
      </w:tr>
      <w:tr>
        <w:trPr>
          <w:trHeight w:val="135"/>
        </w:trPr>
        <w:tc>
          <w:tcPr>
            <w:tcW w:w="3960" w:type="dxa"/>
            <w:vAlign w:val="bottom"/>
            <w:shd w:val="clear" w:color="auto" w:fill="DBDBDB"/>
          </w:tcPr>
          <w:p>
            <w:pPr>
              <w:ind w:left="20"/>
              <w:spacing w:after="0" w:line="135" w:lineRule="exact"/>
              <w:rPr>
                <w:sz w:val="20"/>
                <w:szCs w:val="20"/>
                <w:color w:val="auto"/>
              </w:rPr>
            </w:pPr>
            <w:r>
              <w:rPr>
                <w:rFonts w:ascii="Arial" w:cs="Arial" w:eastAsia="Arial" w:hAnsi="Arial"/>
                <w:sz w:val="12"/>
                <w:szCs w:val="12"/>
                <w:color w:val="auto"/>
              </w:rPr>
              <w:t>Average tank and pump solutions rental fleet utilization based on original</w:t>
            </w:r>
          </w:p>
        </w:tc>
        <w:tc>
          <w:tcPr>
            <w:tcW w:w="220" w:type="dxa"/>
            <w:vAlign w:val="bottom"/>
            <w:shd w:val="clear" w:color="auto" w:fill="DBDBDB"/>
          </w:tcPr>
          <w:p>
            <w:pPr>
              <w:spacing w:after="0"/>
              <w:rPr>
                <w:sz w:val="11"/>
                <w:szCs w:val="11"/>
                <w:color w:val="auto"/>
              </w:rPr>
            </w:pPr>
          </w:p>
        </w:tc>
        <w:tc>
          <w:tcPr>
            <w:tcW w:w="122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122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120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120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108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equipment cost</w:t>
            </w:r>
          </w:p>
        </w:tc>
        <w:tc>
          <w:tcPr>
            <w:tcW w:w="220" w:type="dxa"/>
            <w:vAlign w:val="bottom"/>
            <w:shd w:val="clear" w:color="auto" w:fill="DBDBDB"/>
          </w:tcPr>
          <w:p>
            <w:pPr>
              <w:spacing w:after="0"/>
              <w:rPr>
                <w:sz w:val="13"/>
                <w:szCs w:val="13"/>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 %</w:t>
            </w:r>
          </w:p>
        </w:tc>
        <w:tc>
          <w:tcPr>
            <w:tcW w:w="260" w:type="dxa"/>
            <w:vAlign w:val="bottom"/>
            <w:shd w:val="clear" w:color="auto" w:fill="DBDBDB"/>
          </w:tcPr>
          <w:p>
            <w:pPr>
              <w:spacing w:after="0"/>
              <w:rPr>
                <w:sz w:val="13"/>
                <w:szCs w:val="13"/>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 %</w:t>
            </w:r>
          </w:p>
        </w:tc>
        <w:tc>
          <w:tcPr>
            <w:tcW w:w="280" w:type="dxa"/>
            <w:vAlign w:val="bottom"/>
            <w:shd w:val="clear" w:color="auto" w:fill="DBDBDB"/>
          </w:tcPr>
          <w:p>
            <w:pPr>
              <w:spacing w:after="0"/>
              <w:rPr>
                <w:sz w:val="13"/>
                <w:szCs w:val="13"/>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 %</w:t>
            </w:r>
          </w:p>
        </w:tc>
        <w:tc>
          <w:tcPr>
            <w:tcW w:w="280" w:type="dxa"/>
            <w:vAlign w:val="bottom"/>
            <w:shd w:val="clear" w:color="auto" w:fill="DBDBDB"/>
          </w:tcPr>
          <w:p>
            <w:pPr>
              <w:spacing w:after="0"/>
              <w:rPr>
                <w:sz w:val="13"/>
                <w:szCs w:val="13"/>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71.2 %</w:t>
            </w:r>
          </w:p>
        </w:tc>
        <w:tc>
          <w:tcPr>
            <w:tcW w:w="36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71.2 %</w:t>
            </w:r>
          </w:p>
        </w:tc>
        <w:tc>
          <w:tcPr>
            <w:tcW w:w="0" w:type="dxa"/>
            <w:vAlign w:val="bottom"/>
          </w:tcPr>
          <w:p>
            <w:pPr>
              <w:spacing w:after="0"/>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1220" w:type="dxa"/>
            <w:vAlign w:val="bottom"/>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2980" w:type="dxa"/>
            <w:vAlign w:val="bottom"/>
            <w:gridSpan w:val="4"/>
            <w:shd w:val="clear" w:color="auto" w:fill="1D2758"/>
          </w:tcPr>
          <w:p>
            <w:pPr>
              <w:ind w:left="960"/>
              <w:spacing w:after="0"/>
              <w:rPr>
                <w:sz w:val="20"/>
                <w:szCs w:val="20"/>
                <w:color w:val="auto"/>
              </w:rPr>
            </w:pPr>
            <w:r>
              <w:rPr>
                <w:rFonts w:ascii="Arial" w:cs="Arial" w:eastAsia="Arial" w:hAnsi="Arial"/>
                <w:sz w:val="12"/>
                <w:szCs w:val="12"/>
                <w:b w:val="1"/>
                <w:bCs w:val="1"/>
                <w:color w:val="FFFFFF"/>
                <w:w w:val="99"/>
              </w:rPr>
              <w:t>Three Months Ended June 30, 2020</w:t>
            </w:r>
          </w:p>
        </w:tc>
        <w:tc>
          <w:tcPr>
            <w:tcW w:w="120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1080" w:type="dxa"/>
            <w:vAlign w:val="bottom"/>
            <w:shd w:val="clear" w:color="auto" w:fill="1D2758"/>
          </w:tcPr>
          <w:p>
            <w:pPr>
              <w:spacing w:after="0"/>
              <w:rPr>
                <w:sz w:val="14"/>
                <w:szCs w:val="14"/>
                <w:color w:val="auto"/>
              </w:rPr>
            </w:pPr>
          </w:p>
        </w:tc>
      </w:tr>
      <w:tr>
        <w:trPr>
          <w:trHeight w:val="161"/>
        </w:trPr>
        <w:tc>
          <w:tcPr>
            <w:tcW w:w="396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for units on rent and rates)</w:t>
            </w:r>
          </w:p>
        </w:tc>
        <w:tc>
          <w:tcPr>
            <w:tcW w:w="220" w:type="dxa"/>
            <w:vAlign w:val="bottom"/>
            <w:shd w:val="clear" w:color="auto" w:fill="1D2758"/>
          </w:tcPr>
          <w:p>
            <w:pPr>
              <w:spacing w:after="0"/>
              <w:rPr>
                <w:sz w:val="14"/>
                <w:szCs w:val="14"/>
                <w:color w:val="auto"/>
              </w:rPr>
            </w:pPr>
          </w:p>
        </w:tc>
        <w:tc>
          <w:tcPr>
            <w:tcW w:w="1220" w:type="dxa"/>
            <w:vAlign w:val="bottom"/>
            <w:shd w:val="clear" w:color="auto" w:fill="1D2758"/>
          </w:tcPr>
          <w:p>
            <w:pPr>
              <w:jc w:val="right"/>
              <w:ind w:right="339"/>
              <w:spacing w:after="0"/>
              <w:rPr>
                <w:sz w:val="20"/>
                <w:szCs w:val="20"/>
                <w:color w:val="auto"/>
              </w:rPr>
            </w:pPr>
            <w:r>
              <w:rPr>
                <w:rFonts w:ascii="Arial" w:cs="Arial" w:eastAsia="Arial" w:hAnsi="Arial"/>
                <w:sz w:val="12"/>
                <w:szCs w:val="12"/>
                <w:b w:val="1"/>
                <w:bCs w:val="1"/>
                <w:color w:val="FFFFFF"/>
              </w:rPr>
              <w:t>NA Modular</w:t>
            </w:r>
          </w:p>
        </w:tc>
        <w:tc>
          <w:tcPr>
            <w:tcW w:w="260" w:type="dxa"/>
            <w:vAlign w:val="bottom"/>
            <w:shd w:val="clear" w:color="auto" w:fill="1D2758"/>
          </w:tcPr>
          <w:p>
            <w:pPr>
              <w:spacing w:after="0"/>
              <w:rPr>
                <w:sz w:val="14"/>
                <w:szCs w:val="14"/>
                <w:color w:val="auto"/>
              </w:rPr>
            </w:pPr>
          </w:p>
        </w:tc>
        <w:tc>
          <w:tcPr>
            <w:tcW w:w="1220" w:type="dxa"/>
            <w:vAlign w:val="bottom"/>
            <w:shd w:val="clear" w:color="auto" w:fill="1D2758"/>
          </w:tcPr>
          <w:p>
            <w:pPr>
              <w:ind w:left="160"/>
              <w:spacing w:after="0"/>
              <w:rPr>
                <w:sz w:val="20"/>
                <w:szCs w:val="20"/>
                <w:color w:val="auto"/>
              </w:rPr>
            </w:pPr>
            <w:r>
              <w:rPr>
                <w:rFonts w:ascii="Arial" w:cs="Arial" w:eastAsia="Arial" w:hAnsi="Arial"/>
                <w:sz w:val="12"/>
                <w:szCs w:val="12"/>
                <w:b w:val="1"/>
                <w:bCs w:val="1"/>
                <w:color w:val="FFFFFF"/>
              </w:rPr>
              <w:t>NA Storage</w:t>
            </w:r>
          </w:p>
        </w:tc>
        <w:tc>
          <w:tcPr>
            <w:tcW w:w="280" w:type="dxa"/>
            <w:vAlign w:val="bottom"/>
            <w:shd w:val="clear" w:color="auto" w:fill="1D2758"/>
          </w:tcPr>
          <w:p>
            <w:pPr>
              <w:spacing w:after="0"/>
              <w:rPr>
                <w:sz w:val="14"/>
                <w:szCs w:val="14"/>
                <w:color w:val="auto"/>
              </w:rPr>
            </w:pPr>
          </w:p>
        </w:tc>
        <w:tc>
          <w:tcPr>
            <w:tcW w:w="1200" w:type="dxa"/>
            <w:vAlign w:val="bottom"/>
            <w:shd w:val="clear" w:color="auto" w:fill="1D2758"/>
          </w:tcPr>
          <w:p>
            <w:pPr>
              <w:ind w:left="140"/>
              <w:spacing w:after="0"/>
              <w:rPr>
                <w:sz w:val="20"/>
                <w:szCs w:val="20"/>
                <w:color w:val="auto"/>
              </w:rPr>
            </w:pPr>
            <w:r>
              <w:rPr>
                <w:rFonts w:ascii="Arial" w:cs="Arial" w:eastAsia="Arial" w:hAnsi="Arial"/>
                <w:sz w:val="12"/>
                <w:szCs w:val="12"/>
                <w:b w:val="1"/>
                <w:bCs w:val="1"/>
                <w:color w:val="FFFFFF"/>
              </w:rPr>
              <w:t>UK Storage</w:t>
            </w:r>
          </w:p>
        </w:tc>
        <w:tc>
          <w:tcPr>
            <w:tcW w:w="280" w:type="dxa"/>
            <w:vAlign w:val="bottom"/>
            <w:shd w:val="clear" w:color="auto" w:fill="1D2758"/>
          </w:tcPr>
          <w:p>
            <w:pPr>
              <w:spacing w:after="0"/>
              <w:rPr>
                <w:sz w:val="14"/>
                <w:szCs w:val="14"/>
                <w:color w:val="auto"/>
              </w:rPr>
            </w:pPr>
          </w:p>
        </w:tc>
        <w:tc>
          <w:tcPr>
            <w:tcW w:w="1200" w:type="dxa"/>
            <w:vAlign w:val="bottom"/>
            <w:shd w:val="clear" w:color="auto" w:fill="1D2758"/>
          </w:tcPr>
          <w:p>
            <w:pPr>
              <w:ind w:left="20"/>
              <w:spacing w:after="0"/>
              <w:rPr>
                <w:sz w:val="20"/>
                <w:szCs w:val="20"/>
                <w:color w:val="auto"/>
              </w:rPr>
            </w:pPr>
            <w:r>
              <w:rPr>
                <w:rFonts w:ascii="Arial" w:cs="Arial" w:eastAsia="Arial" w:hAnsi="Arial"/>
                <w:sz w:val="12"/>
                <w:szCs w:val="12"/>
                <w:b w:val="1"/>
                <w:bCs w:val="1"/>
                <w:color w:val="FFFFFF"/>
              </w:rPr>
              <w:t>Tank and Pump</w:t>
            </w:r>
          </w:p>
        </w:tc>
        <w:tc>
          <w:tcPr>
            <w:tcW w:w="360" w:type="dxa"/>
            <w:vAlign w:val="bottom"/>
            <w:shd w:val="clear" w:color="auto" w:fill="1D2758"/>
          </w:tcPr>
          <w:p>
            <w:pPr>
              <w:spacing w:after="0"/>
              <w:rPr>
                <w:sz w:val="14"/>
                <w:szCs w:val="14"/>
                <w:color w:val="auto"/>
              </w:rPr>
            </w:pPr>
          </w:p>
        </w:tc>
        <w:tc>
          <w:tcPr>
            <w:tcW w:w="1080" w:type="dxa"/>
            <w:vAlign w:val="bottom"/>
            <w:shd w:val="clear" w:color="auto" w:fill="1D2758"/>
          </w:tcPr>
          <w:p>
            <w:pPr>
              <w:jc w:val="right"/>
              <w:ind w:right="499"/>
              <w:spacing w:after="0"/>
              <w:rPr>
                <w:sz w:val="20"/>
                <w:szCs w:val="20"/>
                <w:color w:val="auto"/>
              </w:rPr>
            </w:pPr>
            <w:r>
              <w:rPr>
                <w:rFonts w:ascii="Arial" w:cs="Arial" w:eastAsia="Arial" w:hAnsi="Arial"/>
                <w:sz w:val="12"/>
                <w:szCs w:val="12"/>
                <w:b w:val="1"/>
                <w:bCs w:val="1"/>
                <w:color w:val="FFFFFF"/>
              </w:rPr>
              <w:t>Total</w:t>
            </w:r>
          </w:p>
        </w:tc>
      </w:tr>
      <w:tr>
        <w:trPr>
          <w:trHeight w:val="161"/>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w:t>
            </w:r>
          </w:p>
        </w:tc>
        <w:tc>
          <w:tcPr>
            <w:tcW w:w="22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256,862</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ind w:left="920"/>
              <w:spacing w:after="0"/>
              <w:rPr>
                <w:sz w:val="20"/>
                <w:szCs w:val="20"/>
                <w:color w:val="auto"/>
              </w:rPr>
            </w:pPr>
            <w:r>
              <w:rPr>
                <w:rFonts w:ascii="Arial" w:cs="Arial" w:eastAsia="Arial" w:hAnsi="Arial"/>
                <w:sz w:val="12"/>
                <w:szCs w:val="12"/>
                <w:color w:val="auto"/>
              </w:rPr>
              <w:t>—</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256,862</w:t>
            </w:r>
          </w:p>
        </w:tc>
      </w:tr>
      <w:tr>
        <w:trPr>
          <w:trHeight w:val="159"/>
        </w:trPr>
        <w:tc>
          <w:tcPr>
            <w:tcW w:w="396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39"/>
              <w:spacing w:after="0"/>
              <w:rPr>
                <w:sz w:val="20"/>
                <w:szCs w:val="20"/>
                <w:color w:val="auto"/>
              </w:rPr>
            </w:pPr>
            <w:r>
              <w:rPr>
                <w:rFonts w:ascii="Arial" w:cs="Arial" w:eastAsia="Arial" w:hAnsi="Arial"/>
                <w:sz w:val="12"/>
                <w:szCs w:val="12"/>
                <w:color w:val="auto"/>
              </w:rPr>
              <w:t>109,964</w:t>
            </w:r>
          </w:p>
        </w:tc>
        <w:tc>
          <w:tcPr>
            <w:tcW w:w="26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tcPr>
          <w:p>
            <w:pPr>
              <w:ind w:left="9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tcPr>
          <w:p>
            <w:pPr>
              <w:ind w:left="88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tcPr>
          <w:p>
            <w:pPr>
              <w:ind w:left="88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79"/>
              <w:spacing w:after="0"/>
              <w:rPr>
                <w:sz w:val="20"/>
                <w:szCs w:val="20"/>
                <w:color w:val="auto"/>
              </w:rPr>
            </w:pPr>
            <w:r>
              <w:rPr>
                <w:rFonts w:ascii="Arial" w:cs="Arial" w:eastAsia="Arial" w:hAnsi="Arial"/>
                <w:sz w:val="12"/>
                <w:szCs w:val="12"/>
                <w:color w:val="auto"/>
              </w:rPr>
              <w:t>109,964</w:t>
            </w:r>
          </w:p>
        </w:tc>
      </w:tr>
      <w:tr>
        <w:trPr>
          <w:trHeight w:val="164"/>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Adjusted EBITDA</w:t>
            </w:r>
          </w:p>
        </w:tc>
        <w:tc>
          <w:tcPr>
            <w:tcW w:w="22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97,520</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ind w:left="920"/>
              <w:spacing w:after="0"/>
              <w:rPr>
                <w:sz w:val="20"/>
                <w:szCs w:val="20"/>
                <w:color w:val="auto"/>
              </w:rPr>
            </w:pPr>
            <w:r>
              <w:rPr>
                <w:rFonts w:ascii="Arial" w:cs="Arial" w:eastAsia="Arial" w:hAnsi="Arial"/>
                <w:sz w:val="12"/>
                <w:szCs w:val="12"/>
                <w:color w:val="auto"/>
              </w:rPr>
              <w:t>—</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97,520</w:t>
            </w:r>
          </w:p>
        </w:tc>
      </w:tr>
      <w:tr>
        <w:trPr>
          <w:trHeight w:val="159"/>
        </w:trPr>
        <w:tc>
          <w:tcPr>
            <w:tcW w:w="3960" w:type="dxa"/>
            <w:vAlign w:val="bottom"/>
          </w:tcPr>
          <w:p>
            <w:pPr>
              <w:ind w:left="20"/>
              <w:spacing w:after="0"/>
              <w:rPr>
                <w:sz w:val="20"/>
                <w:szCs w:val="20"/>
                <w:color w:val="auto"/>
              </w:rPr>
            </w:pPr>
            <w:r>
              <w:rPr>
                <w:rFonts w:ascii="Arial" w:cs="Arial" w:eastAsia="Arial" w:hAnsi="Arial"/>
                <w:sz w:val="12"/>
                <w:szCs w:val="12"/>
                <w:color w:val="auto"/>
              </w:rPr>
              <w:t>Capital expenditures for rental equipment</w:t>
            </w: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39"/>
              <w:spacing w:after="0"/>
              <w:rPr>
                <w:sz w:val="20"/>
                <w:szCs w:val="20"/>
                <w:color w:val="auto"/>
              </w:rPr>
            </w:pPr>
            <w:r>
              <w:rPr>
                <w:rFonts w:ascii="Arial" w:cs="Arial" w:eastAsia="Arial" w:hAnsi="Arial"/>
                <w:sz w:val="12"/>
                <w:szCs w:val="12"/>
                <w:color w:val="auto"/>
              </w:rPr>
              <w:t>40,034</w:t>
            </w:r>
          </w:p>
        </w:tc>
        <w:tc>
          <w:tcPr>
            <w:tcW w:w="26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tcPr>
          <w:p>
            <w:pPr>
              <w:ind w:left="9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tcPr>
          <w:p>
            <w:pPr>
              <w:ind w:left="88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tcPr>
          <w:p>
            <w:pPr>
              <w:ind w:left="88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79"/>
              <w:spacing w:after="0"/>
              <w:rPr>
                <w:sz w:val="20"/>
                <w:szCs w:val="20"/>
                <w:color w:val="auto"/>
              </w:rPr>
            </w:pPr>
            <w:r>
              <w:rPr>
                <w:rFonts w:ascii="Arial" w:cs="Arial" w:eastAsia="Arial" w:hAnsi="Arial"/>
                <w:sz w:val="12"/>
                <w:szCs w:val="12"/>
                <w:color w:val="auto"/>
              </w:rPr>
              <w:t>40,034</w:t>
            </w:r>
          </w:p>
        </w:tc>
      </w:tr>
      <w:tr>
        <w:trPr>
          <w:trHeight w:val="164"/>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units on rent</w:t>
            </w:r>
          </w:p>
        </w:tc>
        <w:tc>
          <w:tcPr>
            <w:tcW w:w="220" w:type="dxa"/>
            <w:vAlign w:val="bottom"/>
            <w:shd w:val="clear" w:color="auto" w:fill="DBDBDB"/>
          </w:tcPr>
          <w:p>
            <w:pPr>
              <w:spacing w:after="0"/>
              <w:rPr>
                <w:sz w:val="14"/>
                <w:szCs w:val="14"/>
                <w:color w:val="auto"/>
              </w:rPr>
            </w:pPr>
          </w:p>
        </w:tc>
        <w:tc>
          <w:tcPr>
            <w:tcW w:w="12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87,096</w:t>
            </w:r>
          </w:p>
        </w:tc>
        <w:tc>
          <w:tcPr>
            <w:tcW w:w="260" w:type="dxa"/>
            <w:vAlign w:val="bottom"/>
            <w:shd w:val="clear" w:color="auto" w:fill="DBDBDB"/>
          </w:tcPr>
          <w:p>
            <w:pPr>
              <w:spacing w:after="0"/>
              <w:rPr>
                <w:sz w:val="14"/>
                <w:szCs w:val="14"/>
                <w:color w:val="auto"/>
              </w:rPr>
            </w:pPr>
          </w:p>
        </w:tc>
        <w:tc>
          <w:tcPr>
            <w:tcW w:w="1220" w:type="dxa"/>
            <w:vAlign w:val="bottom"/>
            <w:shd w:val="clear" w:color="auto" w:fill="DBDBDB"/>
          </w:tcPr>
          <w:p>
            <w:pPr>
              <w:ind w:left="920"/>
              <w:spacing w:after="0"/>
              <w:rPr>
                <w:sz w:val="20"/>
                <w:szCs w:val="20"/>
                <w:color w:val="auto"/>
              </w:rPr>
            </w:pPr>
            <w:r>
              <w:rPr>
                <w:rFonts w:ascii="Arial" w:cs="Arial" w:eastAsia="Arial" w:hAnsi="Arial"/>
                <w:sz w:val="12"/>
                <w:szCs w:val="12"/>
                <w:color w:val="auto"/>
              </w:rPr>
              <w:t>—</w:t>
            </w:r>
          </w:p>
        </w:tc>
        <w:tc>
          <w:tcPr>
            <w:tcW w:w="280" w:type="dxa"/>
            <w:vAlign w:val="bottom"/>
            <w:shd w:val="clear" w:color="auto" w:fill="DBDBDB"/>
          </w:tcPr>
          <w:p>
            <w:pPr>
              <w:spacing w:after="0"/>
              <w:rPr>
                <w:sz w:val="14"/>
                <w:szCs w:val="14"/>
                <w:color w:val="auto"/>
              </w:rPr>
            </w:pP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w:t>
            </w:r>
          </w:p>
        </w:tc>
        <w:tc>
          <w:tcPr>
            <w:tcW w:w="280" w:type="dxa"/>
            <w:vAlign w:val="bottom"/>
            <w:shd w:val="clear" w:color="auto" w:fill="DBDBDB"/>
          </w:tcPr>
          <w:p>
            <w:pPr>
              <w:spacing w:after="0"/>
              <w:rPr>
                <w:sz w:val="14"/>
                <w:szCs w:val="14"/>
                <w:color w:val="auto"/>
              </w:rPr>
            </w:pP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w:t>
            </w:r>
          </w:p>
        </w:tc>
        <w:tc>
          <w:tcPr>
            <w:tcW w:w="360" w:type="dxa"/>
            <w:vAlign w:val="bottom"/>
            <w:shd w:val="clear" w:color="auto" w:fill="DBDBDB"/>
          </w:tcPr>
          <w:p>
            <w:pPr>
              <w:spacing w:after="0"/>
              <w:rPr>
                <w:sz w:val="14"/>
                <w:szCs w:val="14"/>
                <w:color w:val="auto"/>
              </w:rPr>
            </w:pPr>
          </w:p>
        </w:tc>
        <w:tc>
          <w:tcPr>
            <w:tcW w:w="10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87,096</w:t>
            </w:r>
          </w:p>
        </w:tc>
      </w:tr>
      <w:tr>
        <w:trPr>
          <w:trHeight w:val="159"/>
        </w:trPr>
        <w:tc>
          <w:tcPr>
            <w:tcW w:w="3960" w:type="dxa"/>
            <w:vAlign w:val="bottom"/>
          </w:tcPr>
          <w:p>
            <w:pPr>
              <w:ind w:left="20"/>
              <w:spacing w:after="0"/>
              <w:rPr>
                <w:sz w:val="20"/>
                <w:szCs w:val="20"/>
                <w:color w:val="auto"/>
              </w:rPr>
            </w:pPr>
            <w:r>
              <w:rPr>
                <w:rFonts w:ascii="Arial" w:cs="Arial" w:eastAsia="Arial" w:hAnsi="Arial"/>
                <w:sz w:val="12"/>
                <w:szCs w:val="12"/>
                <w:color w:val="auto"/>
              </w:rPr>
              <w:t>Average modular space utilization rate</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68.5 %</w:t>
            </w:r>
          </w:p>
        </w:tc>
        <w:tc>
          <w:tcPr>
            <w:tcW w:w="260" w:type="dxa"/>
            <w:vAlign w:val="bottom"/>
          </w:tcPr>
          <w:p>
            <w:pPr>
              <w:spacing w:after="0"/>
              <w:rPr>
                <w:sz w:val="13"/>
                <w:szCs w:val="13"/>
                <w:color w:val="auto"/>
              </w:rPr>
            </w:pPr>
          </w:p>
        </w:tc>
        <w:tc>
          <w:tcPr>
            <w:tcW w:w="1220" w:type="dxa"/>
            <w:vAlign w:val="bottom"/>
          </w:tcPr>
          <w:p>
            <w:pPr>
              <w:ind w:left="920"/>
              <w:spacing w:after="0"/>
              <w:rPr>
                <w:sz w:val="20"/>
                <w:szCs w:val="20"/>
                <w:color w:val="auto"/>
              </w:rPr>
            </w:pPr>
            <w:r>
              <w:rPr>
                <w:rFonts w:ascii="Arial" w:cs="Arial" w:eastAsia="Arial" w:hAnsi="Arial"/>
                <w:sz w:val="12"/>
                <w:szCs w:val="12"/>
                <w:color w:val="auto"/>
              </w:rPr>
              <w:t>— %</w:t>
            </w:r>
          </w:p>
        </w:tc>
        <w:tc>
          <w:tcPr>
            <w:tcW w:w="280" w:type="dxa"/>
            <w:vAlign w:val="bottom"/>
          </w:tcPr>
          <w:p>
            <w:pPr>
              <w:spacing w:after="0"/>
              <w:rPr>
                <w:sz w:val="13"/>
                <w:szCs w:val="13"/>
                <w:color w:val="auto"/>
              </w:rPr>
            </w:pPr>
          </w:p>
        </w:tc>
        <w:tc>
          <w:tcPr>
            <w:tcW w:w="1200" w:type="dxa"/>
            <w:vAlign w:val="bottom"/>
          </w:tcPr>
          <w:p>
            <w:pPr>
              <w:ind w:left="880"/>
              <w:spacing w:after="0"/>
              <w:rPr>
                <w:sz w:val="20"/>
                <w:szCs w:val="20"/>
                <w:color w:val="auto"/>
              </w:rPr>
            </w:pPr>
            <w:r>
              <w:rPr>
                <w:rFonts w:ascii="Arial" w:cs="Arial" w:eastAsia="Arial" w:hAnsi="Arial"/>
                <w:sz w:val="12"/>
                <w:szCs w:val="12"/>
                <w:color w:val="auto"/>
              </w:rPr>
              <w:t>— %</w:t>
            </w:r>
          </w:p>
        </w:tc>
        <w:tc>
          <w:tcPr>
            <w:tcW w:w="280" w:type="dxa"/>
            <w:vAlign w:val="bottom"/>
          </w:tcPr>
          <w:p>
            <w:pPr>
              <w:spacing w:after="0"/>
              <w:rPr>
                <w:sz w:val="13"/>
                <w:szCs w:val="13"/>
                <w:color w:val="auto"/>
              </w:rPr>
            </w:pPr>
          </w:p>
        </w:tc>
        <w:tc>
          <w:tcPr>
            <w:tcW w:w="1200" w:type="dxa"/>
            <w:vAlign w:val="bottom"/>
          </w:tcPr>
          <w:p>
            <w:pPr>
              <w:ind w:left="880"/>
              <w:spacing w:after="0"/>
              <w:rPr>
                <w:sz w:val="20"/>
                <w:szCs w:val="20"/>
                <w:color w:val="auto"/>
              </w:rPr>
            </w:pPr>
            <w:r>
              <w:rPr>
                <w:rFonts w:ascii="Arial" w:cs="Arial" w:eastAsia="Arial" w:hAnsi="Arial"/>
                <w:sz w:val="12"/>
                <w:szCs w:val="12"/>
                <w:color w:val="auto"/>
              </w:rPr>
              <w:t>— %</w:t>
            </w: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68.5 %</w:t>
            </w:r>
          </w:p>
        </w:tc>
      </w:tr>
      <w:tr>
        <w:trPr>
          <w:trHeight w:val="164"/>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monthly rental rate</w:t>
            </w:r>
          </w:p>
        </w:tc>
        <w:tc>
          <w:tcPr>
            <w:tcW w:w="22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669</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ind w:left="920"/>
              <w:spacing w:after="0"/>
              <w:rPr>
                <w:sz w:val="20"/>
                <w:szCs w:val="20"/>
                <w:color w:val="auto"/>
              </w:rPr>
            </w:pPr>
            <w:r>
              <w:rPr>
                <w:rFonts w:ascii="Arial" w:cs="Arial" w:eastAsia="Arial" w:hAnsi="Arial"/>
                <w:sz w:val="12"/>
                <w:szCs w:val="12"/>
                <w:color w:val="auto"/>
              </w:rPr>
              <w:t>—</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669</w:t>
            </w:r>
          </w:p>
        </w:tc>
      </w:tr>
      <w:tr>
        <w:trPr>
          <w:trHeight w:val="159"/>
        </w:trPr>
        <w:tc>
          <w:tcPr>
            <w:tcW w:w="3960" w:type="dxa"/>
            <w:vAlign w:val="bottom"/>
          </w:tcPr>
          <w:p>
            <w:pPr>
              <w:ind w:left="20"/>
              <w:spacing w:after="0"/>
              <w:rPr>
                <w:sz w:val="20"/>
                <w:szCs w:val="20"/>
                <w:color w:val="auto"/>
              </w:rPr>
            </w:pPr>
            <w:r>
              <w:rPr>
                <w:rFonts w:ascii="Arial" w:cs="Arial" w:eastAsia="Arial" w:hAnsi="Arial"/>
                <w:sz w:val="12"/>
                <w:szCs w:val="12"/>
                <w:color w:val="auto"/>
              </w:rPr>
              <w:t>Average portable storage units on rent</w:t>
            </w:r>
          </w:p>
        </w:tc>
        <w:tc>
          <w:tcPr>
            <w:tcW w:w="220" w:type="dxa"/>
            <w:vAlign w:val="bottom"/>
          </w:tcPr>
          <w:p>
            <w:pPr>
              <w:spacing w:after="0"/>
              <w:rPr>
                <w:sz w:val="13"/>
                <w:szCs w:val="13"/>
                <w:color w:val="auto"/>
              </w:rPr>
            </w:pPr>
          </w:p>
        </w:tc>
        <w:tc>
          <w:tcPr>
            <w:tcW w:w="1220" w:type="dxa"/>
            <w:vAlign w:val="bottom"/>
          </w:tcPr>
          <w:p>
            <w:pPr>
              <w:jc w:val="right"/>
              <w:ind w:right="139"/>
              <w:spacing w:after="0"/>
              <w:rPr>
                <w:sz w:val="20"/>
                <w:szCs w:val="20"/>
                <w:color w:val="auto"/>
              </w:rPr>
            </w:pPr>
            <w:r>
              <w:rPr>
                <w:rFonts w:ascii="Arial" w:cs="Arial" w:eastAsia="Arial" w:hAnsi="Arial"/>
                <w:sz w:val="12"/>
                <w:szCs w:val="12"/>
                <w:color w:val="auto"/>
              </w:rPr>
              <w:t>15,869</w:t>
            </w:r>
          </w:p>
        </w:tc>
        <w:tc>
          <w:tcPr>
            <w:tcW w:w="260" w:type="dxa"/>
            <w:vAlign w:val="bottom"/>
          </w:tcPr>
          <w:p>
            <w:pPr>
              <w:spacing w:after="0"/>
              <w:rPr>
                <w:sz w:val="13"/>
                <w:szCs w:val="13"/>
                <w:color w:val="auto"/>
              </w:rPr>
            </w:pPr>
          </w:p>
        </w:tc>
        <w:tc>
          <w:tcPr>
            <w:tcW w:w="1220" w:type="dxa"/>
            <w:vAlign w:val="bottom"/>
          </w:tcPr>
          <w:p>
            <w:pPr>
              <w:ind w:left="9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200" w:type="dxa"/>
            <w:vAlign w:val="bottom"/>
          </w:tcPr>
          <w:p>
            <w:pPr>
              <w:ind w:left="88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200" w:type="dxa"/>
            <w:vAlign w:val="bottom"/>
          </w:tcPr>
          <w:p>
            <w:pPr>
              <w:ind w:left="8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080" w:type="dxa"/>
            <w:vAlign w:val="bottom"/>
          </w:tcPr>
          <w:p>
            <w:pPr>
              <w:jc w:val="right"/>
              <w:ind w:right="79"/>
              <w:spacing w:after="0"/>
              <w:rPr>
                <w:sz w:val="20"/>
                <w:szCs w:val="20"/>
                <w:color w:val="auto"/>
              </w:rPr>
            </w:pPr>
            <w:r>
              <w:rPr>
                <w:rFonts w:ascii="Arial" w:cs="Arial" w:eastAsia="Arial" w:hAnsi="Arial"/>
                <w:sz w:val="12"/>
                <w:szCs w:val="12"/>
                <w:color w:val="auto"/>
              </w:rPr>
              <w:t>15,869</w:t>
            </w:r>
          </w:p>
        </w:tc>
      </w:tr>
      <w:tr>
        <w:trPr>
          <w:trHeight w:val="164"/>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portable storage utilization rate</w:t>
            </w:r>
          </w:p>
        </w:tc>
        <w:tc>
          <w:tcPr>
            <w:tcW w:w="22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62.5 %</w:t>
            </w:r>
          </w:p>
        </w:tc>
        <w:tc>
          <w:tcPr>
            <w:tcW w:w="260" w:type="dxa"/>
            <w:vAlign w:val="bottom"/>
            <w:shd w:val="clear" w:color="auto" w:fill="DBDBDB"/>
          </w:tcPr>
          <w:p>
            <w:pPr>
              <w:spacing w:after="0"/>
              <w:rPr>
                <w:sz w:val="14"/>
                <w:szCs w:val="14"/>
                <w:color w:val="auto"/>
              </w:rPr>
            </w:pPr>
          </w:p>
        </w:tc>
        <w:tc>
          <w:tcPr>
            <w:tcW w:w="1220" w:type="dxa"/>
            <w:vAlign w:val="bottom"/>
            <w:shd w:val="clear" w:color="auto" w:fill="DBDBDB"/>
          </w:tcPr>
          <w:p>
            <w:pPr>
              <w:ind w:left="920"/>
              <w:spacing w:after="0"/>
              <w:rPr>
                <w:sz w:val="20"/>
                <w:szCs w:val="20"/>
                <w:color w:val="auto"/>
              </w:rPr>
            </w:pPr>
            <w:r>
              <w:rPr>
                <w:rFonts w:ascii="Arial" w:cs="Arial" w:eastAsia="Arial" w:hAnsi="Arial"/>
                <w:sz w:val="12"/>
                <w:szCs w:val="12"/>
                <w:color w:val="auto"/>
              </w:rPr>
              <w:t>— %</w:t>
            </w:r>
          </w:p>
        </w:tc>
        <w:tc>
          <w:tcPr>
            <w:tcW w:w="280" w:type="dxa"/>
            <w:vAlign w:val="bottom"/>
            <w:shd w:val="clear" w:color="auto" w:fill="DBDBDB"/>
          </w:tcPr>
          <w:p>
            <w:pPr>
              <w:spacing w:after="0"/>
              <w:rPr>
                <w:sz w:val="14"/>
                <w:szCs w:val="14"/>
                <w:color w:val="auto"/>
              </w:rPr>
            </w:pP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 %</w:t>
            </w:r>
          </w:p>
        </w:tc>
        <w:tc>
          <w:tcPr>
            <w:tcW w:w="280" w:type="dxa"/>
            <w:vAlign w:val="bottom"/>
            <w:shd w:val="clear" w:color="auto" w:fill="DBDBDB"/>
          </w:tcPr>
          <w:p>
            <w:pPr>
              <w:spacing w:after="0"/>
              <w:rPr>
                <w:sz w:val="14"/>
                <w:szCs w:val="14"/>
                <w:color w:val="auto"/>
              </w:rPr>
            </w:pP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 %</w:t>
            </w:r>
          </w:p>
        </w:tc>
        <w:tc>
          <w:tcPr>
            <w:tcW w:w="36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62.5 %</w:t>
            </w:r>
          </w:p>
        </w:tc>
      </w:tr>
      <w:tr>
        <w:trPr>
          <w:trHeight w:val="159"/>
        </w:trPr>
        <w:tc>
          <w:tcPr>
            <w:tcW w:w="3960" w:type="dxa"/>
            <w:vAlign w:val="bottom"/>
          </w:tcPr>
          <w:p>
            <w:pPr>
              <w:ind w:left="20"/>
              <w:spacing w:after="0"/>
              <w:rPr>
                <w:sz w:val="20"/>
                <w:szCs w:val="20"/>
                <w:color w:val="auto"/>
              </w:rPr>
            </w:pPr>
            <w:r>
              <w:rPr>
                <w:rFonts w:ascii="Arial" w:cs="Arial" w:eastAsia="Arial" w:hAnsi="Arial"/>
                <w:sz w:val="12"/>
                <w:szCs w:val="12"/>
                <w:color w:val="auto"/>
              </w:rPr>
              <w:t>Average portable storage monthly rental rate</w:t>
            </w: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39"/>
              <w:spacing w:after="0"/>
              <w:rPr>
                <w:sz w:val="20"/>
                <w:szCs w:val="20"/>
                <w:color w:val="auto"/>
              </w:rPr>
            </w:pPr>
            <w:r>
              <w:rPr>
                <w:rFonts w:ascii="Arial" w:cs="Arial" w:eastAsia="Arial" w:hAnsi="Arial"/>
                <w:sz w:val="12"/>
                <w:szCs w:val="12"/>
                <w:color w:val="auto"/>
              </w:rPr>
              <w:t>120</w:t>
            </w:r>
          </w:p>
        </w:tc>
        <w:tc>
          <w:tcPr>
            <w:tcW w:w="26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tcPr>
          <w:p>
            <w:pPr>
              <w:ind w:left="9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tcPr>
          <w:p>
            <w:pPr>
              <w:ind w:left="88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tcPr>
          <w:p>
            <w:pPr>
              <w:ind w:left="88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79"/>
              <w:spacing w:after="0"/>
              <w:rPr>
                <w:sz w:val="20"/>
                <w:szCs w:val="20"/>
                <w:color w:val="auto"/>
              </w:rPr>
            </w:pPr>
            <w:r>
              <w:rPr>
                <w:rFonts w:ascii="Arial" w:cs="Arial" w:eastAsia="Arial" w:hAnsi="Arial"/>
                <w:sz w:val="12"/>
                <w:szCs w:val="12"/>
                <w:color w:val="auto"/>
              </w:rPr>
              <w:t>120</w:t>
            </w:r>
          </w:p>
        </w:tc>
      </w:tr>
      <w:tr>
        <w:trPr>
          <w:trHeight w:val="135"/>
        </w:trPr>
        <w:tc>
          <w:tcPr>
            <w:tcW w:w="3960" w:type="dxa"/>
            <w:vAlign w:val="bottom"/>
            <w:shd w:val="clear" w:color="auto" w:fill="DBDBDB"/>
          </w:tcPr>
          <w:p>
            <w:pPr>
              <w:ind w:left="20"/>
              <w:spacing w:after="0" w:line="135" w:lineRule="exact"/>
              <w:rPr>
                <w:sz w:val="20"/>
                <w:szCs w:val="20"/>
                <w:color w:val="auto"/>
              </w:rPr>
            </w:pPr>
            <w:r>
              <w:rPr>
                <w:rFonts w:ascii="Arial" w:cs="Arial" w:eastAsia="Arial" w:hAnsi="Arial"/>
                <w:sz w:val="12"/>
                <w:szCs w:val="12"/>
                <w:color w:val="auto"/>
              </w:rPr>
              <w:t>Average tank and pump solutions rental fleet utilization based on original</w:t>
            </w:r>
          </w:p>
        </w:tc>
        <w:tc>
          <w:tcPr>
            <w:tcW w:w="220" w:type="dxa"/>
            <w:vAlign w:val="bottom"/>
            <w:shd w:val="clear" w:color="auto" w:fill="DBDBDB"/>
          </w:tcPr>
          <w:p>
            <w:pPr>
              <w:spacing w:after="0"/>
              <w:rPr>
                <w:sz w:val="11"/>
                <w:szCs w:val="11"/>
                <w:color w:val="auto"/>
              </w:rPr>
            </w:pPr>
          </w:p>
        </w:tc>
        <w:tc>
          <w:tcPr>
            <w:tcW w:w="122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122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120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120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1080" w:type="dxa"/>
            <w:vAlign w:val="bottom"/>
            <w:shd w:val="clear" w:color="auto" w:fill="DBDBDB"/>
          </w:tcPr>
          <w:p>
            <w:pPr>
              <w:spacing w:after="0"/>
              <w:rPr>
                <w:sz w:val="11"/>
                <w:szCs w:val="11"/>
                <w:color w:val="auto"/>
              </w:rPr>
            </w:pPr>
          </w:p>
        </w:tc>
      </w:tr>
      <w:tr>
        <w:trPr>
          <w:trHeight w:val="150"/>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equipment cost</w:t>
            </w:r>
          </w:p>
        </w:tc>
        <w:tc>
          <w:tcPr>
            <w:tcW w:w="220" w:type="dxa"/>
            <w:vAlign w:val="bottom"/>
            <w:shd w:val="clear" w:color="auto" w:fill="DBDBDB"/>
          </w:tcPr>
          <w:p>
            <w:pPr>
              <w:spacing w:after="0"/>
              <w:rPr>
                <w:sz w:val="13"/>
                <w:szCs w:val="13"/>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 %</w:t>
            </w:r>
          </w:p>
        </w:tc>
        <w:tc>
          <w:tcPr>
            <w:tcW w:w="260" w:type="dxa"/>
            <w:vAlign w:val="bottom"/>
            <w:shd w:val="clear" w:color="auto" w:fill="DBDBDB"/>
          </w:tcPr>
          <w:p>
            <w:pPr>
              <w:spacing w:after="0"/>
              <w:rPr>
                <w:sz w:val="13"/>
                <w:szCs w:val="13"/>
                <w:color w:val="auto"/>
              </w:rPr>
            </w:pPr>
          </w:p>
        </w:tc>
        <w:tc>
          <w:tcPr>
            <w:tcW w:w="1220" w:type="dxa"/>
            <w:vAlign w:val="bottom"/>
            <w:shd w:val="clear" w:color="auto" w:fill="DBDBDB"/>
          </w:tcPr>
          <w:p>
            <w:pPr>
              <w:ind w:left="920"/>
              <w:spacing w:after="0"/>
              <w:rPr>
                <w:sz w:val="20"/>
                <w:szCs w:val="20"/>
                <w:color w:val="auto"/>
              </w:rPr>
            </w:pPr>
            <w:r>
              <w:rPr>
                <w:rFonts w:ascii="Arial" w:cs="Arial" w:eastAsia="Arial" w:hAnsi="Arial"/>
                <w:sz w:val="12"/>
                <w:szCs w:val="12"/>
                <w:color w:val="auto"/>
              </w:rPr>
              <w:t>— %</w:t>
            </w:r>
          </w:p>
        </w:tc>
        <w:tc>
          <w:tcPr>
            <w:tcW w:w="280" w:type="dxa"/>
            <w:vAlign w:val="bottom"/>
            <w:shd w:val="clear" w:color="auto" w:fill="DBDBDB"/>
          </w:tcPr>
          <w:p>
            <w:pPr>
              <w:spacing w:after="0"/>
              <w:rPr>
                <w:sz w:val="13"/>
                <w:szCs w:val="13"/>
                <w:color w:val="auto"/>
              </w:rPr>
            </w:pP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 %</w:t>
            </w:r>
          </w:p>
        </w:tc>
        <w:tc>
          <w:tcPr>
            <w:tcW w:w="280" w:type="dxa"/>
            <w:vAlign w:val="bottom"/>
            <w:shd w:val="clear" w:color="auto" w:fill="DBDBDB"/>
          </w:tcPr>
          <w:p>
            <w:pPr>
              <w:spacing w:after="0"/>
              <w:rPr>
                <w:sz w:val="13"/>
                <w:szCs w:val="13"/>
                <w:color w:val="auto"/>
              </w:rPr>
            </w:pP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 %</w:t>
            </w:r>
          </w:p>
        </w:tc>
        <w:tc>
          <w:tcPr>
            <w:tcW w:w="36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 %</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NA Modular</w:t>
      </w:r>
    </w:p>
    <w:p>
      <w:pPr>
        <w:spacing w:after="0" w:line="84" w:lineRule="exact"/>
        <w:rPr>
          <w:sz w:val="20"/>
          <w:szCs w:val="20"/>
          <w:color w:val="auto"/>
        </w:rPr>
      </w:pPr>
    </w:p>
    <w:p>
      <w:pPr>
        <w:jc w:val="both"/>
        <w:ind w:firstLine="484"/>
        <w:spacing w:after="0" w:line="253" w:lineRule="auto"/>
        <w:rPr>
          <w:sz w:val="20"/>
          <w:szCs w:val="20"/>
          <w:color w:val="auto"/>
        </w:rPr>
      </w:pPr>
      <w:r>
        <w:rPr>
          <w:rFonts w:ascii="Arial" w:cs="Arial" w:eastAsia="Arial" w:hAnsi="Arial"/>
          <w:sz w:val="12"/>
          <w:szCs w:val="12"/>
          <w:b w:val="1"/>
          <w:bCs w:val="1"/>
          <w:i w:val="1"/>
          <w:iCs w:val="1"/>
          <w:color w:val="auto"/>
        </w:rPr>
        <w:t xml:space="preserve">Revenue: </w:t>
      </w:r>
      <w:r>
        <w:rPr>
          <w:rFonts w:ascii="Arial" w:cs="Arial" w:eastAsia="Arial" w:hAnsi="Arial"/>
          <w:sz w:val="12"/>
          <w:szCs w:val="12"/>
          <w:color w:val="auto"/>
        </w:rPr>
        <w:t>Total revenue increased $32.5 million, or 12.7%, to $289.4 million for the three months ended June 30, 2021 from $256.9 million for the three months ended June 30, 2020. The increase was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primarily the result of a $27.5 million, or 14.5%, increase in leasing revenue, a $4.6 million, or 85.2%, increase in rental unit sales revenue and a $3.3 million, or 6.4% increase in modular delivery and installation revenue. This increase was partially offset by a decrease of $2.9 million, or 29.6%, in new unit sales. Average modular space monthly rental rates increased 19.7% for the three months ended June 30, 2021 to $801 driven by the continuation of the long-term price optimization and VAPS penetration opportunities across our portfolio. Improved pricing was partially offset by lower volumes as average modular space units on rent decreased by 2,342 units, or 2.7%, year over year. The decrease was driven primarily by reduced demand for new project deliveries as a result of the COVID-19 pandemic primarily in the second and third quarter of 2020.</w:t>
      </w:r>
    </w:p>
    <w:p>
      <w:pPr>
        <w:spacing w:after="0" w:line="55"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2"/>
          <w:szCs w:val="12"/>
          <w:b w:val="1"/>
          <w:bCs w:val="1"/>
          <w:i w:val="1"/>
          <w:iCs w:val="1"/>
          <w:color w:val="auto"/>
        </w:rPr>
        <w:t xml:space="preserve">Gross Profit: </w:t>
      </w:r>
      <w:r>
        <w:rPr>
          <w:rFonts w:ascii="Arial" w:cs="Arial" w:eastAsia="Arial" w:hAnsi="Arial"/>
          <w:sz w:val="12"/>
          <w:szCs w:val="12"/>
          <w:color w:val="auto"/>
        </w:rPr>
        <w:t>Gross profit increased $6.1 million, or 5.5%, to $116.1 million for the three months ended June 30, 2021 from $110.0 million for the three months ended June 30, 2020. The increase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gross profit was driven by higher leasing gross profit, which increased $13.4 million, or 9.4%, driven from improved pricing including VAPS. The increase in gross profit from leasing for the three months ended June 30, 2021 was further complemented by a $3.4 million increase in rental unit sales gross profit. These increases were partially offset by a $4.4 million decrease in delivery and installation gross profit driven by higher fleet relocation expenses, a $1.0 million decrease in new sales gross profit, and a $5.3 million increase in depreciation of rental equipment related to capital investments made in our existing rental equipment.</w:t>
      </w:r>
    </w:p>
    <w:p>
      <w:pPr>
        <w:spacing w:after="0" w:line="57"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i w:val="1"/>
          <w:iCs w:val="1"/>
          <w:color w:val="auto"/>
        </w:rPr>
        <w:t xml:space="preserve">Adjusted EBITDA: </w:t>
      </w:r>
      <w:r>
        <w:rPr>
          <w:rFonts w:ascii="Arial" w:cs="Arial" w:eastAsia="Arial" w:hAnsi="Arial"/>
          <w:sz w:val="12"/>
          <w:szCs w:val="12"/>
          <w:color w:val="auto"/>
        </w:rPr>
        <w:t>Adjusted EBITDA increased $6.0 million, or 6.2%, to $103.5 million for the three months ended June 30, 2021 from $97.5 million for the three months ended June 30, 2020.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increase was driven by higher leasing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531495</wp:posOffset>
            </wp:positionV>
            <wp:extent cx="719264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46" w:name="page47"/>
    <w:bookmarkEnd w:id="46"/>
    <w:p>
      <w:pPr>
        <w:spacing w:after="0"/>
        <w:rPr>
          <w:sz w:val="20"/>
          <w:szCs w:val="20"/>
          <w:color w:val="auto"/>
        </w:rPr>
      </w:pPr>
      <w:r>
        <w:rPr>
          <w:rFonts w:ascii="Arial" w:cs="Arial" w:eastAsia="Arial" w:hAnsi="Arial"/>
          <w:sz w:val="12"/>
          <w:szCs w:val="12"/>
          <w:color w:val="auto"/>
        </w:rPr>
        <w:t>profit discussed above. SG&amp;A, excluding discrete items, increased $4.1 million, or 6.9%, for the three months ended June 30, 2021, as compared to the three months ended June 30, 2020.</w:t>
      </w:r>
    </w:p>
    <w:p>
      <w:pPr>
        <w:spacing w:after="0" w:line="70"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b w:val="1"/>
          <w:bCs w:val="1"/>
          <w:i w:val="1"/>
          <w:iCs w:val="1"/>
          <w:color w:val="auto"/>
        </w:rPr>
        <w:t xml:space="preserve">Capital Expenditures for Rental Equipment: </w:t>
      </w:r>
      <w:r>
        <w:rPr>
          <w:rFonts w:ascii="Arial" w:cs="Arial" w:eastAsia="Arial" w:hAnsi="Arial"/>
          <w:sz w:val="12"/>
          <w:szCs w:val="12"/>
          <w:color w:val="auto"/>
        </w:rPr>
        <w:t>Purchases of rental equipment and refurbishments increased $9.4 million, or 23.5%, to $49.4 million for the three months ended June 30, 2021 from $40.0</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million for the three months ended June 30, 2020. Net CAPEX, as defined below in Item 2. Other Non-GAAP Financial Data and Reconciliations, also increased $2.0 million, or 5.4%, to $38.3 million. The increase for Net CAPEX was driven by increased capital investment during the period related to increased demand activity, partially offset from increased sales of rental units and plant, property and equipment, including real estate sold during the period.</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Comparison of the Six Months Ended June 30, 2021 and 2020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1200" w:type="dxa"/>
            <w:vAlign w:val="bottom"/>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4080" w:type="dxa"/>
            <w:vAlign w:val="bottom"/>
            <w:gridSpan w:val="5"/>
            <w:shd w:val="clear" w:color="auto" w:fill="1D2758"/>
          </w:tcPr>
          <w:p>
            <w:pPr>
              <w:jc w:val="right"/>
              <w:ind w:right="1059"/>
              <w:spacing w:after="0"/>
              <w:rPr>
                <w:sz w:val="20"/>
                <w:szCs w:val="20"/>
                <w:color w:val="auto"/>
              </w:rPr>
            </w:pPr>
            <w:r>
              <w:rPr>
                <w:rFonts w:ascii="Arial" w:cs="Arial" w:eastAsia="Arial" w:hAnsi="Arial"/>
                <w:sz w:val="12"/>
                <w:szCs w:val="12"/>
                <w:b w:val="1"/>
                <w:bCs w:val="1"/>
                <w:color w:val="FFFFFF"/>
              </w:rPr>
              <w:t>Six Months Ended June 30, 2021</w:t>
            </w:r>
          </w:p>
        </w:tc>
        <w:tc>
          <w:tcPr>
            <w:tcW w:w="260" w:type="dxa"/>
            <w:vAlign w:val="bottom"/>
            <w:shd w:val="clear" w:color="auto" w:fill="1D2758"/>
          </w:tcPr>
          <w:p>
            <w:pPr>
              <w:spacing w:after="0"/>
              <w:rPr>
                <w:sz w:val="14"/>
                <w:szCs w:val="14"/>
                <w:color w:val="auto"/>
              </w:rPr>
            </w:pPr>
          </w:p>
        </w:tc>
        <w:tc>
          <w:tcPr>
            <w:tcW w:w="340" w:type="dxa"/>
            <w:vAlign w:val="bottom"/>
            <w:shd w:val="clear" w:color="auto" w:fill="1D2758"/>
          </w:tcPr>
          <w:p>
            <w:pPr>
              <w:spacing w:after="0"/>
              <w:rPr>
                <w:sz w:val="14"/>
                <w:szCs w:val="14"/>
                <w:color w:val="auto"/>
              </w:rPr>
            </w:pPr>
          </w:p>
        </w:tc>
        <w:tc>
          <w:tcPr>
            <w:tcW w:w="106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6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for units on rent and rates)</w:t>
            </w:r>
          </w:p>
        </w:tc>
        <w:tc>
          <w:tcPr>
            <w:tcW w:w="220" w:type="dxa"/>
            <w:vAlign w:val="bottom"/>
            <w:shd w:val="clear" w:color="auto" w:fill="1D2758"/>
          </w:tcPr>
          <w:p>
            <w:pPr>
              <w:spacing w:after="0"/>
              <w:rPr>
                <w:sz w:val="13"/>
                <w:szCs w:val="13"/>
                <w:color w:val="auto"/>
              </w:rPr>
            </w:pPr>
          </w:p>
        </w:tc>
        <w:tc>
          <w:tcPr>
            <w:tcW w:w="1200" w:type="dxa"/>
            <w:vAlign w:val="bottom"/>
            <w:vMerge w:val="restart"/>
            <w:shd w:val="clear" w:color="auto" w:fill="1D2758"/>
          </w:tcPr>
          <w:p>
            <w:pPr>
              <w:jc w:val="right"/>
              <w:ind w:right="339"/>
              <w:spacing w:after="0"/>
              <w:rPr>
                <w:sz w:val="20"/>
                <w:szCs w:val="20"/>
                <w:color w:val="auto"/>
              </w:rPr>
            </w:pPr>
            <w:r>
              <w:rPr>
                <w:rFonts w:ascii="Arial" w:cs="Arial" w:eastAsia="Arial" w:hAnsi="Arial"/>
                <w:sz w:val="12"/>
                <w:szCs w:val="12"/>
                <w:b w:val="1"/>
                <w:bCs w:val="1"/>
                <w:color w:val="FFFFFF"/>
              </w:rPr>
              <w:t>NA Modular</w:t>
            </w:r>
          </w:p>
        </w:tc>
        <w:tc>
          <w:tcPr>
            <w:tcW w:w="260" w:type="dxa"/>
            <w:vAlign w:val="bottom"/>
            <w:shd w:val="clear" w:color="auto" w:fill="1D2758"/>
          </w:tcPr>
          <w:p>
            <w:pPr>
              <w:spacing w:after="0"/>
              <w:rPr>
                <w:sz w:val="13"/>
                <w:szCs w:val="13"/>
                <w:color w:val="auto"/>
              </w:rPr>
            </w:pPr>
          </w:p>
        </w:tc>
        <w:tc>
          <w:tcPr>
            <w:tcW w:w="1220" w:type="dxa"/>
            <w:vAlign w:val="bottom"/>
            <w:vMerge w:val="restart"/>
            <w:shd w:val="clear" w:color="auto" w:fill="1D2758"/>
          </w:tcPr>
          <w:p>
            <w:pPr>
              <w:jc w:val="right"/>
              <w:ind w:right="339"/>
              <w:spacing w:after="0"/>
              <w:rPr>
                <w:sz w:val="20"/>
                <w:szCs w:val="20"/>
                <w:color w:val="auto"/>
              </w:rPr>
            </w:pPr>
            <w:r>
              <w:rPr>
                <w:rFonts w:ascii="Arial" w:cs="Arial" w:eastAsia="Arial" w:hAnsi="Arial"/>
                <w:sz w:val="12"/>
                <w:szCs w:val="12"/>
                <w:b w:val="1"/>
                <w:bCs w:val="1"/>
                <w:color w:val="FFFFFF"/>
              </w:rPr>
              <w:t>NA Storage</w:t>
            </w:r>
          </w:p>
        </w:tc>
        <w:tc>
          <w:tcPr>
            <w:tcW w:w="260" w:type="dxa"/>
            <w:vAlign w:val="bottom"/>
            <w:shd w:val="clear" w:color="auto" w:fill="1D2758"/>
          </w:tcPr>
          <w:p>
            <w:pPr>
              <w:spacing w:after="0"/>
              <w:rPr>
                <w:sz w:val="13"/>
                <w:szCs w:val="13"/>
                <w:color w:val="auto"/>
              </w:rPr>
            </w:pPr>
          </w:p>
        </w:tc>
        <w:tc>
          <w:tcPr>
            <w:tcW w:w="1180" w:type="dxa"/>
            <w:vAlign w:val="bottom"/>
            <w:vMerge w:val="restart"/>
            <w:shd w:val="clear" w:color="auto" w:fill="1D2758"/>
          </w:tcPr>
          <w:p>
            <w:pPr>
              <w:jc w:val="right"/>
              <w:ind w:right="339"/>
              <w:spacing w:after="0"/>
              <w:rPr>
                <w:sz w:val="20"/>
                <w:szCs w:val="20"/>
                <w:color w:val="auto"/>
              </w:rPr>
            </w:pPr>
            <w:r>
              <w:rPr>
                <w:rFonts w:ascii="Arial" w:cs="Arial" w:eastAsia="Arial" w:hAnsi="Arial"/>
                <w:sz w:val="12"/>
                <w:szCs w:val="12"/>
                <w:b w:val="1"/>
                <w:bCs w:val="1"/>
                <w:color w:val="FFFFFF"/>
              </w:rPr>
              <w:t>UK Storage</w:t>
            </w:r>
          </w:p>
        </w:tc>
        <w:tc>
          <w:tcPr>
            <w:tcW w:w="200" w:type="dxa"/>
            <w:vAlign w:val="bottom"/>
            <w:shd w:val="clear" w:color="auto" w:fill="1D2758"/>
          </w:tcPr>
          <w:p>
            <w:pPr>
              <w:spacing w:after="0"/>
              <w:rPr>
                <w:sz w:val="13"/>
                <w:szCs w:val="13"/>
                <w:color w:val="auto"/>
              </w:rPr>
            </w:pPr>
          </w:p>
        </w:tc>
        <w:tc>
          <w:tcPr>
            <w:tcW w:w="1220" w:type="dxa"/>
            <w:vAlign w:val="bottom"/>
            <w:vMerge w:val="restart"/>
            <w:shd w:val="clear" w:color="auto" w:fill="1D2758"/>
          </w:tcPr>
          <w:p>
            <w:pPr>
              <w:jc w:val="right"/>
              <w:ind w:right="179"/>
              <w:spacing w:after="0"/>
              <w:rPr>
                <w:sz w:val="20"/>
                <w:szCs w:val="20"/>
                <w:color w:val="auto"/>
              </w:rPr>
            </w:pPr>
            <w:r>
              <w:rPr>
                <w:rFonts w:ascii="Arial" w:cs="Arial" w:eastAsia="Arial" w:hAnsi="Arial"/>
                <w:sz w:val="12"/>
                <w:szCs w:val="12"/>
                <w:b w:val="1"/>
                <w:bCs w:val="1"/>
                <w:color w:val="FFFFFF"/>
              </w:rPr>
              <w:t>Tank and Pump</w:t>
            </w:r>
          </w:p>
        </w:tc>
        <w:tc>
          <w:tcPr>
            <w:tcW w:w="260" w:type="dxa"/>
            <w:vAlign w:val="bottom"/>
            <w:shd w:val="clear" w:color="auto" w:fill="1D2758"/>
          </w:tcPr>
          <w:p>
            <w:pPr>
              <w:spacing w:after="0"/>
              <w:rPr>
                <w:sz w:val="13"/>
                <w:szCs w:val="13"/>
                <w:color w:val="auto"/>
              </w:rPr>
            </w:pPr>
          </w:p>
        </w:tc>
        <w:tc>
          <w:tcPr>
            <w:tcW w:w="340" w:type="dxa"/>
            <w:vAlign w:val="bottom"/>
            <w:shd w:val="clear" w:color="auto" w:fill="1D2758"/>
          </w:tcPr>
          <w:p>
            <w:pPr>
              <w:spacing w:after="0"/>
              <w:rPr>
                <w:sz w:val="13"/>
                <w:szCs w:val="13"/>
                <w:color w:val="auto"/>
              </w:rPr>
            </w:pPr>
          </w:p>
        </w:tc>
        <w:tc>
          <w:tcPr>
            <w:tcW w:w="1060" w:type="dxa"/>
            <w:vAlign w:val="bottom"/>
            <w:vMerge w:val="restart"/>
            <w:shd w:val="clear" w:color="auto" w:fill="1D2758"/>
          </w:tcPr>
          <w:p>
            <w:pPr>
              <w:jc w:val="right"/>
              <w:ind w:right="479"/>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72"/>
        </w:trPr>
        <w:tc>
          <w:tcPr>
            <w:tcW w:w="3860" w:type="dxa"/>
            <w:vAlign w:val="bottom"/>
            <w:shd w:val="clear" w:color="auto" w:fill="1D2758"/>
          </w:tcPr>
          <w:p>
            <w:pPr>
              <w:spacing w:after="0"/>
              <w:rPr>
                <w:sz w:val="6"/>
                <w:szCs w:val="6"/>
                <w:color w:val="auto"/>
              </w:rPr>
            </w:pPr>
          </w:p>
        </w:tc>
        <w:tc>
          <w:tcPr>
            <w:tcW w:w="220" w:type="dxa"/>
            <w:vAlign w:val="bottom"/>
            <w:shd w:val="clear" w:color="auto" w:fill="1D2758"/>
          </w:tcPr>
          <w:p>
            <w:pPr>
              <w:spacing w:after="0"/>
              <w:rPr>
                <w:sz w:val="6"/>
                <w:szCs w:val="6"/>
                <w:color w:val="auto"/>
              </w:rPr>
            </w:pPr>
          </w:p>
        </w:tc>
        <w:tc>
          <w:tcPr>
            <w:tcW w:w="1200" w:type="dxa"/>
            <w:vAlign w:val="bottom"/>
            <w:vMerge w:val="continue"/>
            <w:shd w:val="clear" w:color="auto" w:fill="1D2758"/>
          </w:tcPr>
          <w:p>
            <w:pPr>
              <w:spacing w:after="0"/>
              <w:rPr>
                <w:sz w:val="6"/>
                <w:szCs w:val="6"/>
                <w:color w:val="auto"/>
              </w:rPr>
            </w:pPr>
          </w:p>
        </w:tc>
        <w:tc>
          <w:tcPr>
            <w:tcW w:w="260" w:type="dxa"/>
            <w:vAlign w:val="bottom"/>
            <w:shd w:val="clear" w:color="auto" w:fill="1D2758"/>
          </w:tcPr>
          <w:p>
            <w:pPr>
              <w:spacing w:after="0"/>
              <w:rPr>
                <w:sz w:val="6"/>
                <w:szCs w:val="6"/>
                <w:color w:val="auto"/>
              </w:rPr>
            </w:pPr>
          </w:p>
        </w:tc>
        <w:tc>
          <w:tcPr>
            <w:tcW w:w="1220" w:type="dxa"/>
            <w:vAlign w:val="bottom"/>
            <w:vMerge w:val="continue"/>
            <w:shd w:val="clear" w:color="auto" w:fill="1D2758"/>
          </w:tcPr>
          <w:p>
            <w:pPr>
              <w:spacing w:after="0"/>
              <w:rPr>
                <w:sz w:val="6"/>
                <w:szCs w:val="6"/>
                <w:color w:val="auto"/>
              </w:rPr>
            </w:pPr>
          </w:p>
        </w:tc>
        <w:tc>
          <w:tcPr>
            <w:tcW w:w="260" w:type="dxa"/>
            <w:vAlign w:val="bottom"/>
            <w:shd w:val="clear" w:color="auto" w:fill="1D2758"/>
          </w:tcPr>
          <w:p>
            <w:pPr>
              <w:spacing w:after="0"/>
              <w:rPr>
                <w:sz w:val="6"/>
                <w:szCs w:val="6"/>
                <w:color w:val="auto"/>
              </w:rPr>
            </w:pPr>
          </w:p>
        </w:tc>
        <w:tc>
          <w:tcPr>
            <w:tcW w:w="1180" w:type="dxa"/>
            <w:vAlign w:val="bottom"/>
            <w:vMerge w:val="continue"/>
            <w:shd w:val="clear" w:color="auto" w:fill="1D2758"/>
          </w:tcPr>
          <w:p>
            <w:pPr>
              <w:spacing w:after="0"/>
              <w:rPr>
                <w:sz w:val="6"/>
                <w:szCs w:val="6"/>
                <w:color w:val="auto"/>
              </w:rPr>
            </w:pPr>
          </w:p>
        </w:tc>
        <w:tc>
          <w:tcPr>
            <w:tcW w:w="200" w:type="dxa"/>
            <w:vAlign w:val="bottom"/>
            <w:shd w:val="clear" w:color="auto" w:fill="1D2758"/>
          </w:tcPr>
          <w:p>
            <w:pPr>
              <w:spacing w:after="0"/>
              <w:rPr>
                <w:sz w:val="6"/>
                <w:szCs w:val="6"/>
                <w:color w:val="auto"/>
              </w:rPr>
            </w:pPr>
          </w:p>
        </w:tc>
        <w:tc>
          <w:tcPr>
            <w:tcW w:w="1220" w:type="dxa"/>
            <w:vAlign w:val="bottom"/>
            <w:vMerge w:val="continue"/>
            <w:shd w:val="clear" w:color="auto" w:fill="1D2758"/>
          </w:tcPr>
          <w:p>
            <w:pPr>
              <w:spacing w:after="0"/>
              <w:rPr>
                <w:sz w:val="6"/>
                <w:szCs w:val="6"/>
                <w:color w:val="auto"/>
              </w:rPr>
            </w:pPr>
          </w:p>
        </w:tc>
        <w:tc>
          <w:tcPr>
            <w:tcW w:w="260" w:type="dxa"/>
            <w:vAlign w:val="bottom"/>
            <w:shd w:val="clear" w:color="auto" w:fill="1D2758"/>
          </w:tcPr>
          <w:p>
            <w:pPr>
              <w:spacing w:after="0"/>
              <w:rPr>
                <w:sz w:val="6"/>
                <w:szCs w:val="6"/>
                <w:color w:val="auto"/>
              </w:rPr>
            </w:pPr>
          </w:p>
        </w:tc>
        <w:tc>
          <w:tcPr>
            <w:tcW w:w="340" w:type="dxa"/>
            <w:vAlign w:val="bottom"/>
            <w:shd w:val="clear" w:color="auto" w:fill="1D2758"/>
          </w:tcPr>
          <w:p>
            <w:pPr>
              <w:spacing w:after="0"/>
              <w:rPr>
                <w:sz w:val="6"/>
                <w:szCs w:val="6"/>
                <w:color w:val="auto"/>
              </w:rPr>
            </w:pPr>
          </w:p>
        </w:tc>
        <w:tc>
          <w:tcPr>
            <w:tcW w:w="1060" w:type="dxa"/>
            <w:vAlign w:val="bottom"/>
            <w:vMerge w:val="continue"/>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386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w:t>
            </w:r>
          </w:p>
        </w:tc>
        <w:tc>
          <w:tcPr>
            <w:tcW w:w="22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rPr>
              <w:t>555,606</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223,542</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55,439</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51,838</w:t>
            </w:r>
          </w:p>
        </w:tc>
        <w:tc>
          <w:tcPr>
            <w:tcW w:w="260" w:type="dxa"/>
            <w:vAlign w:val="bottom"/>
            <w:shd w:val="clear" w:color="auto" w:fill="DBDBDB"/>
          </w:tcPr>
          <w:p>
            <w:pPr>
              <w:spacing w:after="0"/>
              <w:rPr>
                <w:sz w:val="14"/>
                <w:szCs w:val="14"/>
                <w:color w:val="auto"/>
              </w:rPr>
            </w:pPr>
          </w:p>
        </w:tc>
        <w:tc>
          <w:tcPr>
            <w:tcW w:w="340" w:type="dxa"/>
            <w:vAlign w:val="bottom"/>
            <w:shd w:val="clear" w:color="auto" w:fill="DBDBDB"/>
          </w:tcPr>
          <w:p>
            <w:pPr>
              <w:jc w:val="right"/>
              <w:ind w:right="179"/>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886,425</w:t>
            </w:r>
          </w:p>
        </w:tc>
        <w:tc>
          <w:tcPr>
            <w:tcW w:w="0" w:type="dxa"/>
            <w:vAlign w:val="bottom"/>
          </w:tcPr>
          <w:p>
            <w:pPr>
              <w:spacing w:after="0"/>
              <w:rPr>
                <w:sz w:val="1"/>
                <w:szCs w:val="1"/>
                <w:color w:val="auto"/>
              </w:rPr>
            </w:pPr>
          </w:p>
        </w:tc>
      </w:tr>
      <w:tr>
        <w:trPr>
          <w:trHeight w:val="159"/>
        </w:trPr>
        <w:tc>
          <w:tcPr>
            <w:tcW w:w="386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2"/>
                <w:szCs w:val="12"/>
                <w:color w:val="auto"/>
              </w:rPr>
              <w:t>229,138</w:t>
            </w:r>
          </w:p>
        </w:tc>
        <w:tc>
          <w:tcPr>
            <w:tcW w:w="26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139"/>
              <w:spacing w:after="0"/>
              <w:rPr>
                <w:sz w:val="20"/>
                <w:szCs w:val="20"/>
                <w:color w:val="auto"/>
              </w:rPr>
            </w:pPr>
            <w:r>
              <w:rPr>
                <w:rFonts w:ascii="Arial" w:cs="Arial" w:eastAsia="Arial" w:hAnsi="Arial"/>
                <w:sz w:val="12"/>
                <w:szCs w:val="12"/>
                <w:color w:val="auto"/>
              </w:rPr>
              <w:t>148,340</w:t>
            </w:r>
          </w:p>
        </w:tc>
        <w:tc>
          <w:tcPr>
            <w:tcW w:w="26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139"/>
              <w:spacing w:after="0"/>
              <w:rPr>
                <w:sz w:val="20"/>
                <w:szCs w:val="20"/>
                <w:color w:val="auto"/>
              </w:rPr>
            </w:pPr>
            <w:r>
              <w:rPr>
                <w:rFonts w:ascii="Arial" w:cs="Arial" w:eastAsia="Arial" w:hAnsi="Arial"/>
                <w:sz w:val="12"/>
                <w:szCs w:val="12"/>
                <w:color w:val="auto"/>
              </w:rPr>
              <w:t>34,430</w:t>
            </w:r>
          </w:p>
        </w:tc>
        <w:tc>
          <w:tcPr>
            <w:tcW w:w="2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99"/>
              <w:spacing w:after="0"/>
              <w:rPr>
                <w:sz w:val="20"/>
                <w:szCs w:val="20"/>
                <w:color w:val="auto"/>
              </w:rPr>
            </w:pPr>
            <w:r>
              <w:rPr>
                <w:rFonts w:ascii="Arial" w:cs="Arial" w:eastAsia="Arial" w:hAnsi="Arial"/>
                <w:sz w:val="12"/>
                <w:szCs w:val="12"/>
                <w:color w:val="auto"/>
              </w:rPr>
              <w:t>24,282</w:t>
            </w:r>
          </w:p>
        </w:tc>
        <w:tc>
          <w:tcPr>
            <w:tcW w:w="260" w:type="dxa"/>
            <w:vAlign w:val="bottom"/>
          </w:tcPr>
          <w:p>
            <w:pPr>
              <w:spacing w:after="0"/>
              <w:rPr>
                <w:sz w:val="13"/>
                <w:szCs w:val="13"/>
                <w:color w:val="auto"/>
              </w:rPr>
            </w:pP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79"/>
              <w:spacing w:after="0"/>
              <w:rPr>
                <w:sz w:val="20"/>
                <w:szCs w:val="20"/>
                <w:color w:val="auto"/>
              </w:rPr>
            </w:pPr>
            <w:r>
              <w:rPr>
                <w:rFonts w:ascii="Arial" w:cs="Arial" w:eastAsia="Arial" w:hAnsi="Arial"/>
                <w:sz w:val="12"/>
                <w:szCs w:val="12"/>
                <w:color w:val="auto"/>
              </w:rPr>
              <w:t>436,190</w:t>
            </w:r>
          </w:p>
        </w:tc>
        <w:tc>
          <w:tcPr>
            <w:tcW w:w="0" w:type="dxa"/>
            <w:vAlign w:val="bottom"/>
          </w:tcPr>
          <w:p>
            <w:pPr>
              <w:spacing w:after="0"/>
              <w:rPr>
                <w:sz w:val="1"/>
                <w:szCs w:val="1"/>
                <w:color w:val="auto"/>
              </w:rPr>
            </w:pPr>
          </w:p>
        </w:tc>
      </w:tr>
      <w:tr>
        <w:trPr>
          <w:trHeight w:val="164"/>
        </w:trPr>
        <w:tc>
          <w:tcPr>
            <w:tcW w:w="38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Adjusted EBITDA</w:t>
            </w:r>
          </w:p>
        </w:tc>
        <w:tc>
          <w:tcPr>
            <w:tcW w:w="22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rPr>
              <w:t>200,916</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95,848</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23,392</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18,924</w:t>
            </w:r>
          </w:p>
        </w:tc>
        <w:tc>
          <w:tcPr>
            <w:tcW w:w="260" w:type="dxa"/>
            <w:vAlign w:val="bottom"/>
            <w:shd w:val="clear" w:color="auto" w:fill="DBDBDB"/>
          </w:tcPr>
          <w:p>
            <w:pPr>
              <w:spacing w:after="0"/>
              <w:rPr>
                <w:sz w:val="14"/>
                <w:szCs w:val="14"/>
                <w:color w:val="auto"/>
              </w:rPr>
            </w:pPr>
          </w:p>
        </w:tc>
        <w:tc>
          <w:tcPr>
            <w:tcW w:w="340" w:type="dxa"/>
            <w:vAlign w:val="bottom"/>
            <w:shd w:val="clear" w:color="auto" w:fill="DBDBDB"/>
          </w:tcPr>
          <w:p>
            <w:pPr>
              <w:jc w:val="right"/>
              <w:ind w:right="179"/>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339,080</w:t>
            </w:r>
          </w:p>
        </w:tc>
        <w:tc>
          <w:tcPr>
            <w:tcW w:w="0" w:type="dxa"/>
            <w:vAlign w:val="bottom"/>
          </w:tcPr>
          <w:p>
            <w:pPr>
              <w:spacing w:after="0"/>
              <w:rPr>
                <w:sz w:val="1"/>
                <w:szCs w:val="1"/>
                <w:color w:val="auto"/>
              </w:rPr>
            </w:pPr>
          </w:p>
        </w:tc>
      </w:tr>
      <w:tr>
        <w:trPr>
          <w:trHeight w:val="159"/>
        </w:trPr>
        <w:tc>
          <w:tcPr>
            <w:tcW w:w="3860" w:type="dxa"/>
            <w:vAlign w:val="bottom"/>
          </w:tcPr>
          <w:p>
            <w:pPr>
              <w:ind w:left="20"/>
              <w:spacing w:after="0"/>
              <w:rPr>
                <w:sz w:val="20"/>
                <w:szCs w:val="20"/>
                <w:color w:val="auto"/>
              </w:rPr>
            </w:pPr>
            <w:r>
              <w:rPr>
                <w:rFonts w:ascii="Arial" w:cs="Arial" w:eastAsia="Arial" w:hAnsi="Arial"/>
                <w:sz w:val="12"/>
                <w:szCs w:val="12"/>
                <w:color w:val="auto"/>
              </w:rPr>
              <w:t>Capital expenditures for rental equipment</w:t>
            </w: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2"/>
                <w:szCs w:val="12"/>
                <w:color w:val="auto"/>
              </w:rPr>
              <w:t>88,499</w:t>
            </w:r>
          </w:p>
        </w:tc>
        <w:tc>
          <w:tcPr>
            <w:tcW w:w="26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139"/>
              <w:spacing w:after="0"/>
              <w:rPr>
                <w:sz w:val="20"/>
                <w:szCs w:val="20"/>
                <w:color w:val="auto"/>
              </w:rPr>
            </w:pPr>
            <w:r>
              <w:rPr>
                <w:rFonts w:ascii="Arial" w:cs="Arial" w:eastAsia="Arial" w:hAnsi="Arial"/>
                <w:sz w:val="12"/>
                <w:szCs w:val="12"/>
                <w:color w:val="auto"/>
              </w:rPr>
              <w:t>12,245</w:t>
            </w:r>
          </w:p>
        </w:tc>
        <w:tc>
          <w:tcPr>
            <w:tcW w:w="26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139"/>
              <w:spacing w:after="0"/>
              <w:rPr>
                <w:sz w:val="20"/>
                <w:szCs w:val="20"/>
                <w:color w:val="auto"/>
              </w:rPr>
            </w:pPr>
            <w:r>
              <w:rPr>
                <w:rFonts w:ascii="Arial" w:cs="Arial" w:eastAsia="Arial" w:hAnsi="Arial"/>
                <w:sz w:val="12"/>
                <w:szCs w:val="12"/>
                <w:color w:val="auto"/>
              </w:rPr>
              <w:t>10,996</w:t>
            </w:r>
          </w:p>
        </w:tc>
        <w:tc>
          <w:tcPr>
            <w:tcW w:w="2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99"/>
              <w:spacing w:after="0"/>
              <w:rPr>
                <w:sz w:val="20"/>
                <w:szCs w:val="20"/>
                <w:color w:val="auto"/>
              </w:rPr>
            </w:pPr>
            <w:r>
              <w:rPr>
                <w:rFonts w:ascii="Arial" w:cs="Arial" w:eastAsia="Arial" w:hAnsi="Arial"/>
                <w:sz w:val="12"/>
                <w:szCs w:val="12"/>
                <w:color w:val="auto"/>
              </w:rPr>
              <w:t>6,077</w:t>
            </w:r>
          </w:p>
        </w:tc>
        <w:tc>
          <w:tcPr>
            <w:tcW w:w="260" w:type="dxa"/>
            <w:vAlign w:val="bottom"/>
          </w:tcPr>
          <w:p>
            <w:pPr>
              <w:ind w:left="20"/>
              <w:spacing w:after="0"/>
              <w:rPr>
                <w:sz w:val="20"/>
                <w:szCs w:val="20"/>
                <w:color w:val="auto"/>
              </w:rPr>
            </w:pPr>
            <w:r>
              <w:rPr>
                <w:rFonts w:ascii="Arial" w:cs="Arial" w:eastAsia="Arial" w:hAnsi="Arial"/>
                <w:sz w:val="12"/>
                <w:szCs w:val="12"/>
                <w:color w:val="auto"/>
                <w:w w:val="99"/>
              </w:rPr>
              <w:t>$ —</w:t>
            </w: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79"/>
              <w:spacing w:after="0"/>
              <w:rPr>
                <w:sz w:val="20"/>
                <w:szCs w:val="20"/>
                <w:color w:val="auto"/>
              </w:rPr>
            </w:pPr>
            <w:r>
              <w:rPr>
                <w:rFonts w:ascii="Arial" w:cs="Arial" w:eastAsia="Arial" w:hAnsi="Arial"/>
                <w:sz w:val="12"/>
                <w:szCs w:val="12"/>
                <w:color w:val="auto"/>
              </w:rPr>
              <w:t>117,817</w:t>
            </w:r>
          </w:p>
        </w:tc>
        <w:tc>
          <w:tcPr>
            <w:tcW w:w="0" w:type="dxa"/>
            <w:vAlign w:val="bottom"/>
          </w:tcPr>
          <w:p>
            <w:pPr>
              <w:spacing w:after="0"/>
              <w:rPr>
                <w:sz w:val="1"/>
                <w:szCs w:val="1"/>
                <w:color w:val="auto"/>
              </w:rPr>
            </w:pPr>
          </w:p>
        </w:tc>
      </w:tr>
      <w:tr>
        <w:trPr>
          <w:trHeight w:val="164"/>
        </w:trPr>
        <w:tc>
          <w:tcPr>
            <w:tcW w:w="38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units on rent</w:t>
            </w:r>
          </w:p>
        </w:tc>
        <w:tc>
          <w:tcPr>
            <w:tcW w:w="220" w:type="dxa"/>
            <w:vAlign w:val="bottom"/>
            <w:shd w:val="clear" w:color="auto" w:fill="DBDBDB"/>
          </w:tcPr>
          <w:p>
            <w:pPr>
              <w:spacing w:after="0"/>
              <w:rPr>
                <w:sz w:val="14"/>
                <w:szCs w:val="14"/>
                <w:color w:val="auto"/>
              </w:rPr>
            </w:pPr>
          </w:p>
        </w:tc>
        <w:tc>
          <w:tcPr>
            <w:tcW w:w="120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rPr>
              <w:t>84,737</w:t>
            </w:r>
          </w:p>
        </w:tc>
        <w:tc>
          <w:tcPr>
            <w:tcW w:w="260" w:type="dxa"/>
            <w:vAlign w:val="bottom"/>
            <w:shd w:val="clear" w:color="auto" w:fill="DBDBDB"/>
          </w:tcPr>
          <w:p>
            <w:pPr>
              <w:spacing w:after="0"/>
              <w:rPr>
                <w:sz w:val="14"/>
                <w:szCs w:val="14"/>
                <w:color w:val="auto"/>
              </w:rPr>
            </w:pPr>
          </w:p>
        </w:tc>
        <w:tc>
          <w:tcPr>
            <w:tcW w:w="12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16,399</w:t>
            </w:r>
          </w:p>
        </w:tc>
        <w:tc>
          <w:tcPr>
            <w:tcW w:w="260" w:type="dxa"/>
            <w:vAlign w:val="bottom"/>
            <w:shd w:val="clear" w:color="auto" w:fill="DBDBDB"/>
          </w:tcPr>
          <w:p>
            <w:pPr>
              <w:spacing w:after="0"/>
              <w:rPr>
                <w:sz w:val="14"/>
                <w:szCs w:val="14"/>
                <w:color w:val="auto"/>
              </w:rPr>
            </w:pPr>
          </w:p>
        </w:tc>
        <w:tc>
          <w:tcPr>
            <w:tcW w:w="118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9,235</w:t>
            </w:r>
          </w:p>
        </w:tc>
        <w:tc>
          <w:tcPr>
            <w:tcW w:w="200" w:type="dxa"/>
            <w:vAlign w:val="bottom"/>
            <w:shd w:val="clear" w:color="auto" w:fill="DBDBDB"/>
          </w:tcPr>
          <w:p>
            <w:pPr>
              <w:spacing w:after="0"/>
              <w:rPr>
                <w:sz w:val="14"/>
                <w:szCs w:val="14"/>
                <w:color w:val="auto"/>
              </w:rPr>
            </w:pPr>
          </w:p>
        </w:tc>
        <w:tc>
          <w:tcPr>
            <w:tcW w:w="122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w:t>
            </w:r>
          </w:p>
        </w:tc>
        <w:tc>
          <w:tcPr>
            <w:tcW w:w="26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0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110,371</w:t>
            </w:r>
          </w:p>
        </w:tc>
        <w:tc>
          <w:tcPr>
            <w:tcW w:w="0" w:type="dxa"/>
            <w:vAlign w:val="bottom"/>
          </w:tcPr>
          <w:p>
            <w:pPr>
              <w:spacing w:after="0"/>
              <w:rPr>
                <w:sz w:val="1"/>
                <w:szCs w:val="1"/>
                <w:color w:val="auto"/>
              </w:rPr>
            </w:pPr>
          </w:p>
        </w:tc>
      </w:tr>
      <w:tr>
        <w:trPr>
          <w:trHeight w:val="159"/>
        </w:trPr>
        <w:tc>
          <w:tcPr>
            <w:tcW w:w="3860" w:type="dxa"/>
            <w:vAlign w:val="bottom"/>
          </w:tcPr>
          <w:p>
            <w:pPr>
              <w:ind w:left="20"/>
              <w:spacing w:after="0"/>
              <w:rPr>
                <w:sz w:val="20"/>
                <w:szCs w:val="20"/>
                <w:color w:val="auto"/>
              </w:rPr>
            </w:pPr>
            <w:r>
              <w:rPr>
                <w:rFonts w:ascii="Arial" w:cs="Arial" w:eastAsia="Arial" w:hAnsi="Arial"/>
                <w:sz w:val="12"/>
                <w:szCs w:val="12"/>
                <w:color w:val="auto"/>
              </w:rPr>
              <w:t>Average modular space utilization rate</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67.6 %</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78.9 %</w:t>
            </w: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84.1 %</w:t>
            </w: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 %</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70.3 %</w:t>
            </w:r>
          </w:p>
        </w:tc>
        <w:tc>
          <w:tcPr>
            <w:tcW w:w="0" w:type="dxa"/>
            <w:vAlign w:val="bottom"/>
          </w:tcPr>
          <w:p>
            <w:pPr>
              <w:spacing w:after="0"/>
              <w:rPr>
                <w:sz w:val="1"/>
                <w:szCs w:val="1"/>
                <w:color w:val="auto"/>
              </w:rPr>
            </w:pPr>
          </w:p>
        </w:tc>
      </w:tr>
      <w:tr>
        <w:trPr>
          <w:trHeight w:val="164"/>
        </w:trPr>
        <w:tc>
          <w:tcPr>
            <w:tcW w:w="38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monthly rental rate</w:t>
            </w:r>
          </w:p>
        </w:tc>
        <w:tc>
          <w:tcPr>
            <w:tcW w:w="22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rPr>
              <w:t>769</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554</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420</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w:t>
            </w:r>
          </w:p>
        </w:tc>
        <w:tc>
          <w:tcPr>
            <w:tcW w:w="260" w:type="dxa"/>
            <w:vAlign w:val="bottom"/>
            <w:shd w:val="clear" w:color="auto" w:fill="DBDBDB"/>
          </w:tcPr>
          <w:p>
            <w:pPr>
              <w:spacing w:after="0"/>
              <w:rPr>
                <w:sz w:val="14"/>
                <w:szCs w:val="14"/>
                <w:color w:val="auto"/>
              </w:rPr>
            </w:pPr>
          </w:p>
        </w:tc>
        <w:tc>
          <w:tcPr>
            <w:tcW w:w="340" w:type="dxa"/>
            <w:vAlign w:val="bottom"/>
            <w:shd w:val="clear" w:color="auto" w:fill="DBDBDB"/>
          </w:tcPr>
          <w:p>
            <w:pPr>
              <w:jc w:val="right"/>
              <w:ind w:right="179"/>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703</w:t>
            </w:r>
          </w:p>
        </w:tc>
        <w:tc>
          <w:tcPr>
            <w:tcW w:w="0" w:type="dxa"/>
            <w:vAlign w:val="bottom"/>
          </w:tcPr>
          <w:p>
            <w:pPr>
              <w:spacing w:after="0"/>
              <w:rPr>
                <w:sz w:val="1"/>
                <w:szCs w:val="1"/>
                <w:color w:val="auto"/>
              </w:rPr>
            </w:pPr>
          </w:p>
        </w:tc>
      </w:tr>
      <w:tr>
        <w:trPr>
          <w:trHeight w:val="159"/>
        </w:trPr>
        <w:tc>
          <w:tcPr>
            <w:tcW w:w="3860" w:type="dxa"/>
            <w:vAlign w:val="bottom"/>
          </w:tcPr>
          <w:p>
            <w:pPr>
              <w:ind w:left="20"/>
              <w:spacing w:after="0"/>
              <w:rPr>
                <w:sz w:val="20"/>
                <w:szCs w:val="20"/>
                <w:color w:val="auto"/>
              </w:rPr>
            </w:pPr>
            <w:r>
              <w:rPr>
                <w:rFonts w:ascii="Arial" w:cs="Arial" w:eastAsia="Arial" w:hAnsi="Arial"/>
                <w:sz w:val="12"/>
                <w:szCs w:val="12"/>
                <w:color w:val="auto"/>
              </w:rPr>
              <w:t>Average portable storage units on rent</w:t>
            </w:r>
          </w:p>
        </w:tc>
        <w:tc>
          <w:tcPr>
            <w:tcW w:w="220" w:type="dxa"/>
            <w:vAlign w:val="bottom"/>
          </w:tcPr>
          <w:p>
            <w:pPr>
              <w:spacing w:after="0"/>
              <w:rPr>
                <w:sz w:val="13"/>
                <w:szCs w:val="13"/>
                <w:color w:val="auto"/>
              </w:rPr>
            </w:pPr>
          </w:p>
        </w:tc>
        <w:tc>
          <w:tcPr>
            <w:tcW w:w="1200" w:type="dxa"/>
            <w:vAlign w:val="bottom"/>
          </w:tcPr>
          <w:p>
            <w:pPr>
              <w:jc w:val="right"/>
              <w:ind w:right="119"/>
              <w:spacing w:after="0"/>
              <w:rPr>
                <w:sz w:val="20"/>
                <w:szCs w:val="20"/>
                <w:color w:val="auto"/>
              </w:rPr>
            </w:pPr>
            <w:r>
              <w:rPr>
                <w:rFonts w:ascii="Arial" w:cs="Arial" w:eastAsia="Arial" w:hAnsi="Arial"/>
                <w:sz w:val="12"/>
                <w:szCs w:val="12"/>
                <w:color w:val="auto"/>
              </w:rPr>
              <w:t>14,186</w:t>
            </w:r>
          </w:p>
        </w:tc>
        <w:tc>
          <w:tcPr>
            <w:tcW w:w="260" w:type="dxa"/>
            <w:vAlign w:val="bottom"/>
          </w:tcPr>
          <w:p>
            <w:pPr>
              <w:spacing w:after="0"/>
              <w:rPr>
                <w:sz w:val="13"/>
                <w:szCs w:val="13"/>
                <w:color w:val="auto"/>
              </w:rPr>
            </w:pPr>
          </w:p>
        </w:tc>
        <w:tc>
          <w:tcPr>
            <w:tcW w:w="1220" w:type="dxa"/>
            <w:vAlign w:val="bottom"/>
          </w:tcPr>
          <w:p>
            <w:pPr>
              <w:jc w:val="right"/>
              <w:ind w:right="139"/>
              <w:spacing w:after="0"/>
              <w:rPr>
                <w:sz w:val="20"/>
                <w:szCs w:val="20"/>
                <w:color w:val="auto"/>
              </w:rPr>
            </w:pPr>
            <w:r>
              <w:rPr>
                <w:rFonts w:ascii="Arial" w:cs="Arial" w:eastAsia="Arial" w:hAnsi="Arial"/>
                <w:sz w:val="12"/>
                <w:szCs w:val="12"/>
                <w:color w:val="auto"/>
              </w:rPr>
              <w:t>109,355</w:t>
            </w:r>
          </w:p>
        </w:tc>
        <w:tc>
          <w:tcPr>
            <w:tcW w:w="260" w:type="dxa"/>
            <w:vAlign w:val="bottom"/>
          </w:tcPr>
          <w:p>
            <w:pPr>
              <w:spacing w:after="0"/>
              <w:rPr>
                <w:sz w:val="13"/>
                <w:szCs w:val="13"/>
                <w:color w:val="auto"/>
              </w:rPr>
            </w:pPr>
          </w:p>
        </w:tc>
        <w:tc>
          <w:tcPr>
            <w:tcW w:w="1180" w:type="dxa"/>
            <w:vAlign w:val="bottom"/>
          </w:tcPr>
          <w:p>
            <w:pPr>
              <w:jc w:val="right"/>
              <w:ind w:right="139"/>
              <w:spacing w:after="0"/>
              <w:rPr>
                <w:sz w:val="20"/>
                <w:szCs w:val="20"/>
                <w:color w:val="auto"/>
              </w:rPr>
            </w:pPr>
            <w:r>
              <w:rPr>
                <w:rFonts w:ascii="Arial" w:cs="Arial" w:eastAsia="Arial" w:hAnsi="Arial"/>
                <w:sz w:val="12"/>
                <w:szCs w:val="12"/>
                <w:color w:val="auto"/>
              </w:rPr>
              <w:t>25,112</w:t>
            </w:r>
          </w:p>
        </w:tc>
        <w:tc>
          <w:tcPr>
            <w:tcW w:w="200" w:type="dxa"/>
            <w:vAlign w:val="bottom"/>
          </w:tcPr>
          <w:p>
            <w:pPr>
              <w:spacing w:after="0"/>
              <w:rPr>
                <w:sz w:val="13"/>
                <w:szCs w:val="13"/>
                <w:color w:val="auto"/>
              </w:rPr>
            </w:pPr>
          </w:p>
        </w:tc>
        <w:tc>
          <w:tcPr>
            <w:tcW w:w="12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79"/>
              <w:spacing w:after="0"/>
              <w:rPr>
                <w:sz w:val="20"/>
                <w:szCs w:val="20"/>
                <w:color w:val="auto"/>
              </w:rPr>
            </w:pPr>
            <w:r>
              <w:rPr>
                <w:rFonts w:ascii="Arial" w:cs="Arial" w:eastAsia="Arial" w:hAnsi="Arial"/>
                <w:sz w:val="12"/>
                <w:szCs w:val="12"/>
                <w:color w:val="auto"/>
              </w:rPr>
              <w:t>148,653</w:t>
            </w:r>
          </w:p>
        </w:tc>
        <w:tc>
          <w:tcPr>
            <w:tcW w:w="0" w:type="dxa"/>
            <w:vAlign w:val="bottom"/>
          </w:tcPr>
          <w:p>
            <w:pPr>
              <w:spacing w:after="0"/>
              <w:rPr>
                <w:sz w:val="1"/>
                <w:szCs w:val="1"/>
                <w:color w:val="auto"/>
              </w:rPr>
            </w:pPr>
          </w:p>
        </w:tc>
      </w:tr>
      <w:tr>
        <w:trPr>
          <w:trHeight w:val="164"/>
        </w:trPr>
        <w:tc>
          <w:tcPr>
            <w:tcW w:w="38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portable storage utilization rate</w:t>
            </w:r>
          </w:p>
        </w:tc>
        <w:tc>
          <w:tcPr>
            <w:tcW w:w="220" w:type="dxa"/>
            <w:vAlign w:val="bottom"/>
            <w:shd w:val="clear" w:color="auto" w:fill="DBDBDB"/>
          </w:tcPr>
          <w:p>
            <w:pPr>
              <w:spacing w:after="0"/>
              <w:rPr>
                <w:sz w:val="14"/>
                <w:szCs w:val="14"/>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64.8 %</w:t>
            </w:r>
          </w:p>
        </w:tc>
        <w:tc>
          <w:tcPr>
            <w:tcW w:w="26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75.0 %</w:t>
            </w:r>
          </w:p>
        </w:tc>
        <w:tc>
          <w:tcPr>
            <w:tcW w:w="260" w:type="dxa"/>
            <w:vAlign w:val="bottom"/>
            <w:shd w:val="clear" w:color="auto" w:fill="DBDBDB"/>
          </w:tcPr>
          <w:p>
            <w:pPr>
              <w:spacing w:after="0"/>
              <w:rPr>
                <w:sz w:val="14"/>
                <w:szCs w:val="1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90.5 %</w:t>
            </w:r>
          </w:p>
        </w:tc>
        <w:tc>
          <w:tcPr>
            <w:tcW w:w="20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 %</w:t>
            </w:r>
          </w:p>
        </w:tc>
        <w:tc>
          <w:tcPr>
            <w:tcW w:w="26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76.1 %</w:t>
            </w:r>
          </w:p>
        </w:tc>
        <w:tc>
          <w:tcPr>
            <w:tcW w:w="0" w:type="dxa"/>
            <w:vAlign w:val="bottom"/>
          </w:tcPr>
          <w:p>
            <w:pPr>
              <w:spacing w:after="0"/>
              <w:rPr>
                <w:sz w:val="1"/>
                <w:szCs w:val="1"/>
                <w:color w:val="auto"/>
              </w:rPr>
            </w:pPr>
          </w:p>
        </w:tc>
      </w:tr>
      <w:tr>
        <w:trPr>
          <w:trHeight w:val="159"/>
        </w:trPr>
        <w:tc>
          <w:tcPr>
            <w:tcW w:w="3860" w:type="dxa"/>
            <w:vAlign w:val="bottom"/>
          </w:tcPr>
          <w:p>
            <w:pPr>
              <w:ind w:left="20"/>
              <w:spacing w:after="0"/>
              <w:rPr>
                <w:sz w:val="20"/>
                <w:szCs w:val="20"/>
                <w:color w:val="auto"/>
              </w:rPr>
            </w:pPr>
            <w:r>
              <w:rPr>
                <w:rFonts w:ascii="Arial" w:cs="Arial" w:eastAsia="Arial" w:hAnsi="Arial"/>
                <w:sz w:val="12"/>
                <w:szCs w:val="12"/>
                <w:color w:val="auto"/>
              </w:rPr>
              <w:t>Average portable storage monthly rental rate</w:t>
            </w: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2"/>
                <w:szCs w:val="12"/>
                <w:color w:val="auto"/>
              </w:rPr>
              <w:t>128</w:t>
            </w:r>
          </w:p>
        </w:tc>
        <w:tc>
          <w:tcPr>
            <w:tcW w:w="26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139"/>
              <w:spacing w:after="0"/>
              <w:rPr>
                <w:sz w:val="20"/>
                <w:szCs w:val="20"/>
                <w:color w:val="auto"/>
              </w:rPr>
            </w:pPr>
            <w:r>
              <w:rPr>
                <w:rFonts w:ascii="Arial" w:cs="Arial" w:eastAsia="Arial" w:hAnsi="Arial"/>
                <w:sz w:val="12"/>
                <w:szCs w:val="12"/>
                <w:color w:val="auto"/>
              </w:rPr>
              <w:t>150</w:t>
            </w:r>
          </w:p>
        </w:tc>
        <w:tc>
          <w:tcPr>
            <w:tcW w:w="26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139"/>
              <w:spacing w:after="0"/>
              <w:rPr>
                <w:sz w:val="20"/>
                <w:szCs w:val="20"/>
                <w:color w:val="auto"/>
              </w:rPr>
            </w:pPr>
            <w:r>
              <w:rPr>
                <w:rFonts w:ascii="Arial" w:cs="Arial" w:eastAsia="Arial" w:hAnsi="Arial"/>
                <w:sz w:val="12"/>
                <w:szCs w:val="12"/>
                <w:color w:val="auto"/>
              </w:rPr>
              <w:t>85</w:t>
            </w:r>
          </w:p>
        </w:tc>
        <w:tc>
          <w:tcPr>
            <w:tcW w:w="2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79"/>
              <w:spacing w:after="0"/>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135"/>
        </w:trPr>
        <w:tc>
          <w:tcPr>
            <w:tcW w:w="3860" w:type="dxa"/>
            <w:vAlign w:val="bottom"/>
            <w:shd w:val="clear" w:color="auto" w:fill="DBDBDB"/>
          </w:tcPr>
          <w:p>
            <w:pPr>
              <w:ind w:left="20"/>
              <w:spacing w:after="0" w:line="135" w:lineRule="exact"/>
              <w:rPr>
                <w:sz w:val="20"/>
                <w:szCs w:val="20"/>
                <w:color w:val="auto"/>
              </w:rPr>
            </w:pPr>
            <w:r>
              <w:rPr>
                <w:rFonts w:ascii="Arial" w:cs="Arial" w:eastAsia="Arial" w:hAnsi="Arial"/>
                <w:sz w:val="12"/>
                <w:szCs w:val="12"/>
                <w:color w:val="auto"/>
              </w:rPr>
              <w:t>Average tank and pump solutions rental fleet utilization based on</w:t>
            </w:r>
          </w:p>
        </w:tc>
        <w:tc>
          <w:tcPr>
            <w:tcW w:w="220" w:type="dxa"/>
            <w:vAlign w:val="bottom"/>
            <w:shd w:val="clear" w:color="auto" w:fill="DBDBDB"/>
          </w:tcPr>
          <w:p>
            <w:pPr>
              <w:spacing w:after="0"/>
              <w:rPr>
                <w:sz w:val="11"/>
                <w:szCs w:val="11"/>
                <w:color w:val="auto"/>
              </w:rPr>
            </w:pPr>
          </w:p>
        </w:tc>
        <w:tc>
          <w:tcPr>
            <w:tcW w:w="120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122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118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122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340" w:type="dxa"/>
            <w:vAlign w:val="bottom"/>
            <w:shd w:val="clear" w:color="auto" w:fill="DBDBDB"/>
          </w:tcPr>
          <w:p>
            <w:pPr>
              <w:spacing w:after="0"/>
              <w:rPr>
                <w:sz w:val="11"/>
                <w:szCs w:val="11"/>
                <w:color w:val="auto"/>
              </w:rPr>
            </w:pPr>
          </w:p>
        </w:tc>
        <w:tc>
          <w:tcPr>
            <w:tcW w:w="106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860" w:type="dxa"/>
            <w:vAlign w:val="bottom"/>
            <w:shd w:val="clear" w:color="auto" w:fill="DBDBDB"/>
          </w:tcPr>
          <w:p>
            <w:pPr>
              <w:ind w:left="20"/>
              <w:spacing w:after="0"/>
              <w:rPr>
                <w:sz w:val="20"/>
                <w:szCs w:val="20"/>
                <w:color w:val="auto"/>
              </w:rPr>
            </w:pPr>
            <w:r>
              <w:rPr>
                <w:rFonts w:ascii="Arial" w:cs="Arial" w:eastAsia="Arial" w:hAnsi="Arial"/>
                <w:sz w:val="12"/>
                <w:szCs w:val="12"/>
                <w:color w:val="auto"/>
              </w:rPr>
              <w:t>original equipment cost</w:t>
            </w:r>
          </w:p>
        </w:tc>
        <w:tc>
          <w:tcPr>
            <w:tcW w:w="220" w:type="dxa"/>
            <w:vAlign w:val="bottom"/>
            <w:shd w:val="clear" w:color="auto" w:fill="DBDBDB"/>
          </w:tcPr>
          <w:p>
            <w:pPr>
              <w:spacing w:after="0"/>
              <w:rPr>
                <w:sz w:val="13"/>
                <w:szCs w:val="13"/>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 %</w:t>
            </w:r>
          </w:p>
        </w:tc>
        <w:tc>
          <w:tcPr>
            <w:tcW w:w="260" w:type="dxa"/>
            <w:vAlign w:val="bottom"/>
            <w:shd w:val="clear" w:color="auto" w:fill="DBDBDB"/>
          </w:tcPr>
          <w:p>
            <w:pPr>
              <w:spacing w:after="0"/>
              <w:rPr>
                <w:sz w:val="13"/>
                <w:szCs w:val="13"/>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 %</w:t>
            </w:r>
          </w:p>
        </w:tc>
        <w:tc>
          <w:tcPr>
            <w:tcW w:w="260" w:type="dxa"/>
            <w:vAlign w:val="bottom"/>
            <w:shd w:val="clear" w:color="auto" w:fill="DBDBDB"/>
          </w:tcPr>
          <w:p>
            <w:pPr>
              <w:spacing w:after="0"/>
              <w:rPr>
                <w:sz w:val="13"/>
                <w:szCs w:val="13"/>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 %</w:t>
            </w:r>
          </w:p>
        </w:tc>
        <w:tc>
          <w:tcPr>
            <w:tcW w:w="200" w:type="dxa"/>
            <w:vAlign w:val="bottom"/>
            <w:shd w:val="clear" w:color="auto" w:fill="DBDBDB"/>
          </w:tcPr>
          <w:p>
            <w:pPr>
              <w:spacing w:after="0"/>
              <w:rPr>
                <w:sz w:val="13"/>
                <w:szCs w:val="13"/>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69.3 %</w:t>
            </w:r>
          </w:p>
        </w:tc>
        <w:tc>
          <w:tcPr>
            <w:tcW w:w="26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69.3 %</w:t>
            </w:r>
          </w:p>
        </w:tc>
        <w:tc>
          <w:tcPr>
            <w:tcW w:w="0" w:type="dxa"/>
            <w:vAlign w:val="bottom"/>
          </w:tcPr>
          <w:p>
            <w:pPr>
              <w:spacing w:after="0"/>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1220" w:type="dxa"/>
            <w:vAlign w:val="bottom"/>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2940" w:type="dxa"/>
            <w:vAlign w:val="bottom"/>
            <w:gridSpan w:val="4"/>
            <w:shd w:val="clear" w:color="auto" w:fill="1D2758"/>
          </w:tcPr>
          <w:p>
            <w:pPr>
              <w:ind w:left="1040"/>
              <w:spacing w:after="0"/>
              <w:rPr>
                <w:sz w:val="20"/>
                <w:szCs w:val="20"/>
                <w:color w:val="auto"/>
              </w:rPr>
            </w:pPr>
            <w:r>
              <w:rPr>
                <w:rFonts w:ascii="Arial" w:cs="Arial" w:eastAsia="Arial" w:hAnsi="Arial"/>
                <w:sz w:val="12"/>
                <w:szCs w:val="12"/>
                <w:b w:val="1"/>
                <w:bCs w:val="1"/>
                <w:color w:val="FFFFFF"/>
              </w:rPr>
              <w:t>Six Months Ended June 30, 2020</w:t>
            </w:r>
          </w:p>
        </w:tc>
        <w:tc>
          <w:tcPr>
            <w:tcW w:w="124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1080" w:type="dxa"/>
            <w:vAlign w:val="bottom"/>
            <w:shd w:val="clear" w:color="auto" w:fill="1D2758"/>
          </w:tcPr>
          <w:p>
            <w:pPr>
              <w:spacing w:after="0"/>
              <w:rPr>
                <w:sz w:val="14"/>
                <w:szCs w:val="14"/>
                <w:color w:val="auto"/>
              </w:rPr>
            </w:pPr>
          </w:p>
        </w:tc>
      </w:tr>
      <w:tr>
        <w:trPr>
          <w:trHeight w:val="161"/>
        </w:trPr>
        <w:tc>
          <w:tcPr>
            <w:tcW w:w="396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for units on rent and rates)</w:t>
            </w:r>
          </w:p>
        </w:tc>
        <w:tc>
          <w:tcPr>
            <w:tcW w:w="220" w:type="dxa"/>
            <w:vAlign w:val="bottom"/>
            <w:shd w:val="clear" w:color="auto" w:fill="1D2758"/>
          </w:tcPr>
          <w:p>
            <w:pPr>
              <w:spacing w:after="0"/>
              <w:rPr>
                <w:sz w:val="14"/>
                <w:szCs w:val="14"/>
                <w:color w:val="auto"/>
              </w:rPr>
            </w:pPr>
          </w:p>
        </w:tc>
        <w:tc>
          <w:tcPr>
            <w:tcW w:w="1220" w:type="dxa"/>
            <w:vAlign w:val="bottom"/>
            <w:shd w:val="clear" w:color="auto" w:fill="1D2758"/>
          </w:tcPr>
          <w:p>
            <w:pPr>
              <w:jc w:val="right"/>
              <w:ind w:right="339"/>
              <w:spacing w:after="0"/>
              <w:rPr>
                <w:sz w:val="20"/>
                <w:szCs w:val="20"/>
                <w:color w:val="auto"/>
              </w:rPr>
            </w:pPr>
            <w:r>
              <w:rPr>
                <w:rFonts w:ascii="Arial" w:cs="Arial" w:eastAsia="Arial" w:hAnsi="Arial"/>
                <w:sz w:val="12"/>
                <w:szCs w:val="12"/>
                <w:b w:val="1"/>
                <w:bCs w:val="1"/>
                <w:color w:val="FFFFFF"/>
              </w:rPr>
              <w:t>NA Modular</w:t>
            </w:r>
          </w:p>
        </w:tc>
        <w:tc>
          <w:tcPr>
            <w:tcW w:w="260" w:type="dxa"/>
            <w:vAlign w:val="bottom"/>
            <w:shd w:val="clear" w:color="auto" w:fill="1D2758"/>
          </w:tcPr>
          <w:p>
            <w:pPr>
              <w:spacing w:after="0"/>
              <w:rPr>
                <w:sz w:val="14"/>
                <w:szCs w:val="14"/>
                <w:color w:val="auto"/>
              </w:rPr>
            </w:pPr>
          </w:p>
        </w:tc>
        <w:tc>
          <w:tcPr>
            <w:tcW w:w="1220" w:type="dxa"/>
            <w:vAlign w:val="bottom"/>
            <w:shd w:val="clear" w:color="auto" w:fill="1D2758"/>
          </w:tcPr>
          <w:p>
            <w:pPr>
              <w:ind w:left="160"/>
              <w:spacing w:after="0"/>
              <w:rPr>
                <w:sz w:val="20"/>
                <w:szCs w:val="20"/>
                <w:color w:val="auto"/>
              </w:rPr>
            </w:pPr>
            <w:r>
              <w:rPr>
                <w:rFonts w:ascii="Arial" w:cs="Arial" w:eastAsia="Arial" w:hAnsi="Arial"/>
                <w:sz w:val="12"/>
                <w:szCs w:val="12"/>
                <w:b w:val="1"/>
                <w:bCs w:val="1"/>
                <w:color w:val="FFFFFF"/>
              </w:rPr>
              <w:t>NA Storage</w:t>
            </w:r>
          </w:p>
        </w:tc>
        <w:tc>
          <w:tcPr>
            <w:tcW w:w="280" w:type="dxa"/>
            <w:vAlign w:val="bottom"/>
            <w:shd w:val="clear" w:color="auto" w:fill="1D2758"/>
          </w:tcPr>
          <w:p>
            <w:pPr>
              <w:spacing w:after="0"/>
              <w:rPr>
                <w:sz w:val="14"/>
                <w:szCs w:val="14"/>
                <w:color w:val="auto"/>
              </w:rPr>
            </w:pPr>
          </w:p>
        </w:tc>
        <w:tc>
          <w:tcPr>
            <w:tcW w:w="1200" w:type="dxa"/>
            <w:vAlign w:val="bottom"/>
            <w:shd w:val="clear" w:color="auto" w:fill="1D2758"/>
          </w:tcPr>
          <w:p>
            <w:pPr>
              <w:ind w:left="140"/>
              <w:spacing w:after="0"/>
              <w:rPr>
                <w:sz w:val="20"/>
                <w:szCs w:val="20"/>
                <w:color w:val="auto"/>
              </w:rPr>
            </w:pPr>
            <w:r>
              <w:rPr>
                <w:rFonts w:ascii="Arial" w:cs="Arial" w:eastAsia="Arial" w:hAnsi="Arial"/>
                <w:sz w:val="12"/>
                <w:szCs w:val="12"/>
                <w:b w:val="1"/>
                <w:bCs w:val="1"/>
                <w:color w:val="FFFFFF"/>
              </w:rPr>
              <w:t>UK Storage</w:t>
            </w:r>
          </w:p>
        </w:tc>
        <w:tc>
          <w:tcPr>
            <w:tcW w:w="240" w:type="dxa"/>
            <w:vAlign w:val="bottom"/>
            <w:shd w:val="clear" w:color="auto" w:fill="1D2758"/>
          </w:tcPr>
          <w:p>
            <w:pPr>
              <w:spacing w:after="0"/>
              <w:rPr>
                <w:sz w:val="14"/>
                <w:szCs w:val="14"/>
                <w:color w:val="auto"/>
              </w:rPr>
            </w:pPr>
          </w:p>
        </w:tc>
        <w:tc>
          <w:tcPr>
            <w:tcW w:w="1240" w:type="dxa"/>
            <w:vAlign w:val="bottom"/>
            <w:shd w:val="clear" w:color="auto" w:fill="1D2758"/>
          </w:tcPr>
          <w:p>
            <w:pPr>
              <w:ind w:left="60"/>
              <w:spacing w:after="0"/>
              <w:rPr>
                <w:sz w:val="20"/>
                <w:szCs w:val="20"/>
                <w:color w:val="auto"/>
              </w:rPr>
            </w:pPr>
            <w:r>
              <w:rPr>
                <w:rFonts w:ascii="Arial" w:cs="Arial" w:eastAsia="Arial" w:hAnsi="Arial"/>
                <w:sz w:val="12"/>
                <w:szCs w:val="12"/>
                <w:b w:val="1"/>
                <w:bCs w:val="1"/>
                <w:color w:val="FFFFFF"/>
              </w:rPr>
              <w:t>Tank and Pump</w:t>
            </w:r>
          </w:p>
        </w:tc>
        <w:tc>
          <w:tcPr>
            <w:tcW w:w="360" w:type="dxa"/>
            <w:vAlign w:val="bottom"/>
            <w:shd w:val="clear" w:color="auto" w:fill="1D2758"/>
          </w:tcPr>
          <w:p>
            <w:pPr>
              <w:spacing w:after="0"/>
              <w:rPr>
                <w:sz w:val="14"/>
                <w:szCs w:val="14"/>
                <w:color w:val="auto"/>
              </w:rPr>
            </w:pPr>
          </w:p>
        </w:tc>
        <w:tc>
          <w:tcPr>
            <w:tcW w:w="1080" w:type="dxa"/>
            <w:vAlign w:val="bottom"/>
            <w:shd w:val="clear" w:color="auto" w:fill="1D2758"/>
          </w:tcPr>
          <w:p>
            <w:pPr>
              <w:jc w:val="right"/>
              <w:ind w:right="499"/>
              <w:spacing w:after="0"/>
              <w:rPr>
                <w:sz w:val="20"/>
                <w:szCs w:val="20"/>
                <w:color w:val="auto"/>
              </w:rPr>
            </w:pPr>
            <w:r>
              <w:rPr>
                <w:rFonts w:ascii="Arial" w:cs="Arial" w:eastAsia="Arial" w:hAnsi="Arial"/>
                <w:sz w:val="12"/>
                <w:szCs w:val="12"/>
                <w:b w:val="1"/>
                <w:bCs w:val="1"/>
                <w:color w:val="FFFFFF"/>
              </w:rPr>
              <w:t>Total</w:t>
            </w:r>
          </w:p>
        </w:tc>
      </w:tr>
      <w:tr>
        <w:trPr>
          <w:trHeight w:val="161"/>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w:t>
            </w:r>
          </w:p>
        </w:tc>
        <w:tc>
          <w:tcPr>
            <w:tcW w:w="22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512,683</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ind w:left="920"/>
              <w:spacing w:after="0"/>
              <w:rPr>
                <w:sz w:val="20"/>
                <w:szCs w:val="20"/>
                <w:color w:val="auto"/>
              </w:rPr>
            </w:pPr>
            <w:r>
              <w:rPr>
                <w:rFonts w:ascii="Arial" w:cs="Arial" w:eastAsia="Arial" w:hAnsi="Arial"/>
                <w:sz w:val="12"/>
                <w:szCs w:val="12"/>
                <w:color w:val="auto"/>
              </w:rPr>
              <w:t>—</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ind w:left="920"/>
              <w:spacing w:after="0"/>
              <w:rPr>
                <w:sz w:val="20"/>
                <w:szCs w:val="20"/>
                <w:color w:val="auto"/>
              </w:rPr>
            </w:pPr>
            <w:r>
              <w:rPr>
                <w:rFonts w:ascii="Arial" w:cs="Arial" w:eastAsia="Arial" w:hAnsi="Arial"/>
                <w:sz w:val="12"/>
                <w:szCs w:val="12"/>
                <w:color w:val="auto"/>
              </w:rPr>
              <w:t>—</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512,683</w:t>
            </w:r>
          </w:p>
        </w:tc>
      </w:tr>
      <w:tr>
        <w:trPr>
          <w:trHeight w:val="159"/>
        </w:trPr>
        <w:tc>
          <w:tcPr>
            <w:tcW w:w="396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39"/>
              <w:spacing w:after="0"/>
              <w:rPr>
                <w:sz w:val="20"/>
                <w:szCs w:val="20"/>
                <w:color w:val="auto"/>
              </w:rPr>
            </w:pPr>
            <w:r>
              <w:rPr>
                <w:rFonts w:ascii="Arial" w:cs="Arial" w:eastAsia="Arial" w:hAnsi="Arial"/>
                <w:sz w:val="12"/>
                <w:szCs w:val="12"/>
                <w:color w:val="auto"/>
              </w:rPr>
              <w:t>216,154</w:t>
            </w:r>
          </w:p>
        </w:tc>
        <w:tc>
          <w:tcPr>
            <w:tcW w:w="26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tcPr>
          <w:p>
            <w:pPr>
              <w:ind w:left="9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tcPr>
          <w:p>
            <w:pPr>
              <w:ind w:left="88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1240" w:type="dxa"/>
            <w:vAlign w:val="bottom"/>
          </w:tcPr>
          <w:p>
            <w:pPr>
              <w:ind w:left="92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79"/>
              <w:spacing w:after="0"/>
              <w:rPr>
                <w:sz w:val="20"/>
                <w:szCs w:val="20"/>
                <w:color w:val="auto"/>
              </w:rPr>
            </w:pPr>
            <w:r>
              <w:rPr>
                <w:rFonts w:ascii="Arial" w:cs="Arial" w:eastAsia="Arial" w:hAnsi="Arial"/>
                <w:sz w:val="12"/>
                <w:szCs w:val="12"/>
                <w:color w:val="auto"/>
              </w:rPr>
              <w:t>216,154</w:t>
            </w:r>
          </w:p>
        </w:tc>
      </w:tr>
      <w:tr>
        <w:trPr>
          <w:trHeight w:val="164"/>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Adjusted EBITDA</w:t>
            </w:r>
          </w:p>
        </w:tc>
        <w:tc>
          <w:tcPr>
            <w:tcW w:w="22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187,062</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ind w:left="920"/>
              <w:spacing w:after="0"/>
              <w:rPr>
                <w:sz w:val="20"/>
                <w:szCs w:val="20"/>
                <w:color w:val="auto"/>
              </w:rPr>
            </w:pPr>
            <w:r>
              <w:rPr>
                <w:rFonts w:ascii="Arial" w:cs="Arial" w:eastAsia="Arial" w:hAnsi="Arial"/>
                <w:sz w:val="12"/>
                <w:szCs w:val="12"/>
                <w:color w:val="auto"/>
              </w:rPr>
              <w:t>—</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ind w:left="920"/>
              <w:spacing w:after="0"/>
              <w:rPr>
                <w:sz w:val="20"/>
                <w:szCs w:val="20"/>
                <w:color w:val="auto"/>
              </w:rPr>
            </w:pPr>
            <w:r>
              <w:rPr>
                <w:rFonts w:ascii="Arial" w:cs="Arial" w:eastAsia="Arial" w:hAnsi="Arial"/>
                <w:sz w:val="12"/>
                <w:szCs w:val="12"/>
                <w:color w:val="auto"/>
              </w:rPr>
              <w:t>—</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187,062</w:t>
            </w:r>
          </w:p>
        </w:tc>
      </w:tr>
      <w:tr>
        <w:trPr>
          <w:trHeight w:val="159"/>
        </w:trPr>
        <w:tc>
          <w:tcPr>
            <w:tcW w:w="3960" w:type="dxa"/>
            <w:vAlign w:val="bottom"/>
          </w:tcPr>
          <w:p>
            <w:pPr>
              <w:ind w:left="20"/>
              <w:spacing w:after="0"/>
              <w:rPr>
                <w:sz w:val="20"/>
                <w:szCs w:val="20"/>
                <w:color w:val="auto"/>
              </w:rPr>
            </w:pPr>
            <w:r>
              <w:rPr>
                <w:rFonts w:ascii="Arial" w:cs="Arial" w:eastAsia="Arial" w:hAnsi="Arial"/>
                <w:sz w:val="12"/>
                <w:szCs w:val="12"/>
                <w:color w:val="auto"/>
              </w:rPr>
              <w:t>Capital expenditures for rental equipment</w:t>
            </w: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39"/>
              <w:spacing w:after="0"/>
              <w:rPr>
                <w:sz w:val="20"/>
                <w:szCs w:val="20"/>
                <w:color w:val="auto"/>
              </w:rPr>
            </w:pPr>
            <w:r>
              <w:rPr>
                <w:rFonts w:ascii="Arial" w:cs="Arial" w:eastAsia="Arial" w:hAnsi="Arial"/>
                <w:sz w:val="12"/>
                <w:szCs w:val="12"/>
                <w:color w:val="auto"/>
              </w:rPr>
              <w:t>79,682</w:t>
            </w:r>
          </w:p>
        </w:tc>
        <w:tc>
          <w:tcPr>
            <w:tcW w:w="26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tcPr>
          <w:p>
            <w:pPr>
              <w:ind w:left="9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tcPr>
          <w:p>
            <w:pPr>
              <w:ind w:left="88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1240" w:type="dxa"/>
            <w:vAlign w:val="bottom"/>
          </w:tcPr>
          <w:p>
            <w:pPr>
              <w:ind w:left="92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79"/>
              <w:spacing w:after="0"/>
              <w:rPr>
                <w:sz w:val="20"/>
                <w:szCs w:val="20"/>
                <w:color w:val="auto"/>
              </w:rPr>
            </w:pPr>
            <w:r>
              <w:rPr>
                <w:rFonts w:ascii="Arial" w:cs="Arial" w:eastAsia="Arial" w:hAnsi="Arial"/>
                <w:sz w:val="12"/>
                <w:szCs w:val="12"/>
                <w:color w:val="auto"/>
              </w:rPr>
              <w:t>79,682</w:t>
            </w:r>
          </w:p>
        </w:tc>
      </w:tr>
      <w:tr>
        <w:trPr>
          <w:trHeight w:val="164"/>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units on rent</w:t>
            </w:r>
          </w:p>
        </w:tc>
        <w:tc>
          <w:tcPr>
            <w:tcW w:w="220" w:type="dxa"/>
            <w:vAlign w:val="bottom"/>
            <w:shd w:val="clear" w:color="auto" w:fill="DBDBDB"/>
          </w:tcPr>
          <w:p>
            <w:pPr>
              <w:spacing w:after="0"/>
              <w:rPr>
                <w:sz w:val="14"/>
                <w:szCs w:val="14"/>
                <w:color w:val="auto"/>
              </w:rPr>
            </w:pPr>
          </w:p>
        </w:tc>
        <w:tc>
          <w:tcPr>
            <w:tcW w:w="12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87,542</w:t>
            </w:r>
          </w:p>
        </w:tc>
        <w:tc>
          <w:tcPr>
            <w:tcW w:w="260" w:type="dxa"/>
            <w:vAlign w:val="bottom"/>
            <w:shd w:val="clear" w:color="auto" w:fill="DBDBDB"/>
          </w:tcPr>
          <w:p>
            <w:pPr>
              <w:spacing w:after="0"/>
              <w:rPr>
                <w:sz w:val="14"/>
                <w:szCs w:val="14"/>
                <w:color w:val="auto"/>
              </w:rPr>
            </w:pPr>
          </w:p>
        </w:tc>
        <w:tc>
          <w:tcPr>
            <w:tcW w:w="1220" w:type="dxa"/>
            <w:vAlign w:val="bottom"/>
            <w:shd w:val="clear" w:color="auto" w:fill="DBDBDB"/>
          </w:tcPr>
          <w:p>
            <w:pPr>
              <w:ind w:left="920"/>
              <w:spacing w:after="0"/>
              <w:rPr>
                <w:sz w:val="20"/>
                <w:szCs w:val="20"/>
                <w:color w:val="auto"/>
              </w:rPr>
            </w:pPr>
            <w:r>
              <w:rPr>
                <w:rFonts w:ascii="Arial" w:cs="Arial" w:eastAsia="Arial" w:hAnsi="Arial"/>
                <w:sz w:val="12"/>
                <w:szCs w:val="12"/>
                <w:color w:val="auto"/>
              </w:rPr>
              <w:t>—</w:t>
            </w:r>
          </w:p>
        </w:tc>
        <w:tc>
          <w:tcPr>
            <w:tcW w:w="280" w:type="dxa"/>
            <w:vAlign w:val="bottom"/>
            <w:shd w:val="clear" w:color="auto" w:fill="DBDBDB"/>
          </w:tcPr>
          <w:p>
            <w:pPr>
              <w:spacing w:after="0"/>
              <w:rPr>
                <w:sz w:val="14"/>
                <w:szCs w:val="14"/>
                <w:color w:val="auto"/>
              </w:rPr>
            </w:pP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w:t>
            </w:r>
          </w:p>
        </w:tc>
        <w:tc>
          <w:tcPr>
            <w:tcW w:w="240" w:type="dxa"/>
            <w:vAlign w:val="bottom"/>
            <w:shd w:val="clear" w:color="auto" w:fill="DBDBDB"/>
          </w:tcPr>
          <w:p>
            <w:pPr>
              <w:spacing w:after="0"/>
              <w:rPr>
                <w:sz w:val="14"/>
                <w:szCs w:val="14"/>
                <w:color w:val="auto"/>
              </w:rPr>
            </w:pPr>
          </w:p>
        </w:tc>
        <w:tc>
          <w:tcPr>
            <w:tcW w:w="1240" w:type="dxa"/>
            <w:vAlign w:val="bottom"/>
            <w:shd w:val="clear" w:color="auto" w:fill="DBDBDB"/>
          </w:tcPr>
          <w:p>
            <w:pPr>
              <w:ind w:left="920"/>
              <w:spacing w:after="0"/>
              <w:rPr>
                <w:sz w:val="20"/>
                <w:szCs w:val="20"/>
                <w:color w:val="auto"/>
              </w:rPr>
            </w:pPr>
            <w:r>
              <w:rPr>
                <w:rFonts w:ascii="Arial" w:cs="Arial" w:eastAsia="Arial" w:hAnsi="Arial"/>
                <w:sz w:val="12"/>
                <w:szCs w:val="12"/>
                <w:color w:val="auto"/>
              </w:rPr>
              <w:t>—</w:t>
            </w:r>
          </w:p>
        </w:tc>
        <w:tc>
          <w:tcPr>
            <w:tcW w:w="360" w:type="dxa"/>
            <w:vAlign w:val="bottom"/>
            <w:shd w:val="clear" w:color="auto" w:fill="DBDBDB"/>
          </w:tcPr>
          <w:p>
            <w:pPr>
              <w:spacing w:after="0"/>
              <w:rPr>
                <w:sz w:val="14"/>
                <w:szCs w:val="14"/>
                <w:color w:val="auto"/>
              </w:rPr>
            </w:pPr>
          </w:p>
        </w:tc>
        <w:tc>
          <w:tcPr>
            <w:tcW w:w="10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87,542</w:t>
            </w:r>
          </w:p>
        </w:tc>
      </w:tr>
      <w:tr>
        <w:trPr>
          <w:trHeight w:val="159"/>
        </w:trPr>
        <w:tc>
          <w:tcPr>
            <w:tcW w:w="3960" w:type="dxa"/>
            <w:vAlign w:val="bottom"/>
          </w:tcPr>
          <w:p>
            <w:pPr>
              <w:ind w:left="20"/>
              <w:spacing w:after="0"/>
              <w:rPr>
                <w:sz w:val="20"/>
                <w:szCs w:val="20"/>
                <w:color w:val="auto"/>
              </w:rPr>
            </w:pPr>
            <w:r>
              <w:rPr>
                <w:rFonts w:ascii="Arial" w:cs="Arial" w:eastAsia="Arial" w:hAnsi="Arial"/>
                <w:sz w:val="12"/>
                <w:szCs w:val="12"/>
                <w:color w:val="auto"/>
              </w:rPr>
              <w:t>Average modular space utilization rate</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68.9 %</w:t>
            </w:r>
          </w:p>
        </w:tc>
        <w:tc>
          <w:tcPr>
            <w:tcW w:w="260" w:type="dxa"/>
            <w:vAlign w:val="bottom"/>
          </w:tcPr>
          <w:p>
            <w:pPr>
              <w:spacing w:after="0"/>
              <w:rPr>
                <w:sz w:val="13"/>
                <w:szCs w:val="13"/>
                <w:color w:val="auto"/>
              </w:rPr>
            </w:pPr>
          </w:p>
        </w:tc>
        <w:tc>
          <w:tcPr>
            <w:tcW w:w="1220" w:type="dxa"/>
            <w:vAlign w:val="bottom"/>
          </w:tcPr>
          <w:p>
            <w:pPr>
              <w:ind w:left="920"/>
              <w:spacing w:after="0"/>
              <w:rPr>
                <w:sz w:val="20"/>
                <w:szCs w:val="20"/>
                <w:color w:val="auto"/>
              </w:rPr>
            </w:pPr>
            <w:r>
              <w:rPr>
                <w:rFonts w:ascii="Arial" w:cs="Arial" w:eastAsia="Arial" w:hAnsi="Arial"/>
                <w:sz w:val="12"/>
                <w:szCs w:val="12"/>
                <w:color w:val="auto"/>
              </w:rPr>
              <w:t>— %</w:t>
            </w:r>
          </w:p>
        </w:tc>
        <w:tc>
          <w:tcPr>
            <w:tcW w:w="280" w:type="dxa"/>
            <w:vAlign w:val="bottom"/>
          </w:tcPr>
          <w:p>
            <w:pPr>
              <w:spacing w:after="0"/>
              <w:rPr>
                <w:sz w:val="13"/>
                <w:szCs w:val="13"/>
                <w:color w:val="auto"/>
              </w:rPr>
            </w:pPr>
          </w:p>
        </w:tc>
        <w:tc>
          <w:tcPr>
            <w:tcW w:w="1200" w:type="dxa"/>
            <w:vAlign w:val="bottom"/>
          </w:tcPr>
          <w:p>
            <w:pPr>
              <w:ind w:left="880"/>
              <w:spacing w:after="0"/>
              <w:rPr>
                <w:sz w:val="20"/>
                <w:szCs w:val="20"/>
                <w:color w:val="auto"/>
              </w:rPr>
            </w:pPr>
            <w:r>
              <w:rPr>
                <w:rFonts w:ascii="Arial" w:cs="Arial" w:eastAsia="Arial" w:hAnsi="Arial"/>
                <w:sz w:val="12"/>
                <w:szCs w:val="12"/>
                <w:color w:val="auto"/>
              </w:rPr>
              <w:t>— %</w:t>
            </w:r>
          </w:p>
        </w:tc>
        <w:tc>
          <w:tcPr>
            <w:tcW w:w="240" w:type="dxa"/>
            <w:vAlign w:val="bottom"/>
          </w:tcPr>
          <w:p>
            <w:pPr>
              <w:spacing w:after="0"/>
              <w:rPr>
                <w:sz w:val="13"/>
                <w:szCs w:val="13"/>
                <w:color w:val="auto"/>
              </w:rPr>
            </w:pPr>
          </w:p>
        </w:tc>
        <w:tc>
          <w:tcPr>
            <w:tcW w:w="1240" w:type="dxa"/>
            <w:vAlign w:val="bottom"/>
          </w:tcPr>
          <w:p>
            <w:pPr>
              <w:ind w:left="920"/>
              <w:spacing w:after="0"/>
              <w:rPr>
                <w:sz w:val="20"/>
                <w:szCs w:val="20"/>
                <w:color w:val="auto"/>
              </w:rPr>
            </w:pPr>
            <w:r>
              <w:rPr>
                <w:rFonts w:ascii="Arial" w:cs="Arial" w:eastAsia="Arial" w:hAnsi="Arial"/>
                <w:sz w:val="12"/>
                <w:szCs w:val="12"/>
                <w:color w:val="auto"/>
              </w:rPr>
              <w:t>— %</w:t>
            </w: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68.9 %</w:t>
            </w:r>
          </w:p>
        </w:tc>
      </w:tr>
      <w:tr>
        <w:trPr>
          <w:trHeight w:val="164"/>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monthly rental rate</w:t>
            </w:r>
          </w:p>
        </w:tc>
        <w:tc>
          <w:tcPr>
            <w:tcW w:w="22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661</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ind w:left="920"/>
              <w:spacing w:after="0"/>
              <w:rPr>
                <w:sz w:val="20"/>
                <w:szCs w:val="20"/>
                <w:color w:val="auto"/>
              </w:rPr>
            </w:pPr>
            <w:r>
              <w:rPr>
                <w:rFonts w:ascii="Arial" w:cs="Arial" w:eastAsia="Arial" w:hAnsi="Arial"/>
                <w:sz w:val="12"/>
                <w:szCs w:val="12"/>
                <w:color w:val="auto"/>
              </w:rPr>
              <w:t>—</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ind w:left="920"/>
              <w:spacing w:after="0"/>
              <w:rPr>
                <w:sz w:val="20"/>
                <w:szCs w:val="20"/>
                <w:color w:val="auto"/>
              </w:rPr>
            </w:pPr>
            <w:r>
              <w:rPr>
                <w:rFonts w:ascii="Arial" w:cs="Arial" w:eastAsia="Arial" w:hAnsi="Arial"/>
                <w:sz w:val="12"/>
                <w:szCs w:val="12"/>
                <w:color w:val="auto"/>
              </w:rPr>
              <w:t>—</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661</w:t>
            </w:r>
          </w:p>
        </w:tc>
      </w:tr>
      <w:tr>
        <w:trPr>
          <w:trHeight w:val="159"/>
        </w:trPr>
        <w:tc>
          <w:tcPr>
            <w:tcW w:w="3960" w:type="dxa"/>
            <w:vAlign w:val="bottom"/>
          </w:tcPr>
          <w:p>
            <w:pPr>
              <w:ind w:left="20"/>
              <w:spacing w:after="0"/>
              <w:rPr>
                <w:sz w:val="20"/>
                <w:szCs w:val="20"/>
                <w:color w:val="auto"/>
              </w:rPr>
            </w:pPr>
            <w:r>
              <w:rPr>
                <w:rFonts w:ascii="Arial" w:cs="Arial" w:eastAsia="Arial" w:hAnsi="Arial"/>
                <w:sz w:val="12"/>
                <w:szCs w:val="12"/>
                <w:color w:val="auto"/>
              </w:rPr>
              <w:t>Average portable storage units on rent</w:t>
            </w:r>
          </w:p>
        </w:tc>
        <w:tc>
          <w:tcPr>
            <w:tcW w:w="220" w:type="dxa"/>
            <w:vAlign w:val="bottom"/>
          </w:tcPr>
          <w:p>
            <w:pPr>
              <w:spacing w:after="0"/>
              <w:rPr>
                <w:sz w:val="13"/>
                <w:szCs w:val="13"/>
                <w:color w:val="auto"/>
              </w:rPr>
            </w:pPr>
          </w:p>
        </w:tc>
        <w:tc>
          <w:tcPr>
            <w:tcW w:w="1220" w:type="dxa"/>
            <w:vAlign w:val="bottom"/>
          </w:tcPr>
          <w:p>
            <w:pPr>
              <w:jc w:val="right"/>
              <w:ind w:right="139"/>
              <w:spacing w:after="0"/>
              <w:rPr>
                <w:sz w:val="20"/>
                <w:szCs w:val="20"/>
                <w:color w:val="auto"/>
              </w:rPr>
            </w:pPr>
            <w:r>
              <w:rPr>
                <w:rFonts w:ascii="Arial" w:cs="Arial" w:eastAsia="Arial" w:hAnsi="Arial"/>
                <w:sz w:val="12"/>
                <w:szCs w:val="12"/>
                <w:color w:val="auto"/>
              </w:rPr>
              <w:t>16,114</w:t>
            </w:r>
          </w:p>
        </w:tc>
        <w:tc>
          <w:tcPr>
            <w:tcW w:w="260" w:type="dxa"/>
            <w:vAlign w:val="bottom"/>
          </w:tcPr>
          <w:p>
            <w:pPr>
              <w:spacing w:after="0"/>
              <w:rPr>
                <w:sz w:val="13"/>
                <w:szCs w:val="13"/>
                <w:color w:val="auto"/>
              </w:rPr>
            </w:pPr>
          </w:p>
        </w:tc>
        <w:tc>
          <w:tcPr>
            <w:tcW w:w="1220" w:type="dxa"/>
            <w:vAlign w:val="bottom"/>
          </w:tcPr>
          <w:p>
            <w:pPr>
              <w:ind w:left="9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200" w:type="dxa"/>
            <w:vAlign w:val="bottom"/>
          </w:tcPr>
          <w:p>
            <w:pPr>
              <w:ind w:left="8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40" w:type="dxa"/>
            <w:vAlign w:val="bottom"/>
          </w:tcPr>
          <w:p>
            <w:pPr>
              <w:ind w:left="9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080" w:type="dxa"/>
            <w:vAlign w:val="bottom"/>
          </w:tcPr>
          <w:p>
            <w:pPr>
              <w:jc w:val="right"/>
              <w:ind w:right="79"/>
              <w:spacing w:after="0"/>
              <w:rPr>
                <w:sz w:val="20"/>
                <w:szCs w:val="20"/>
                <w:color w:val="auto"/>
              </w:rPr>
            </w:pPr>
            <w:r>
              <w:rPr>
                <w:rFonts w:ascii="Arial" w:cs="Arial" w:eastAsia="Arial" w:hAnsi="Arial"/>
                <w:sz w:val="12"/>
                <w:szCs w:val="12"/>
                <w:color w:val="auto"/>
              </w:rPr>
              <w:t>16,114</w:t>
            </w:r>
          </w:p>
        </w:tc>
      </w:tr>
      <w:tr>
        <w:trPr>
          <w:trHeight w:val="164"/>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portable storage utilization rate</w:t>
            </w:r>
          </w:p>
        </w:tc>
        <w:tc>
          <w:tcPr>
            <w:tcW w:w="22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63.5 %</w:t>
            </w:r>
          </w:p>
        </w:tc>
        <w:tc>
          <w:tcPr>
            <w:tcW w:w="260" w:type="dxa"/>
            <w:vAlign w:val="bottom"/>
            <w:shd w:val="clear" w:color="auto" w:fill="DBDBDB"/>
          </w:tcPr>
          <w:p>
            <w:pPr>
              <w:spacing w:after="0"/>
              <w:rPr>
                <w:sz w:val="14"/>
                <w:szCs w:val="14"/>
                <w:color w:val="auto"/>
              </w:rPr>
            </w:pPr>
          </w:p>
        </w:tc>
        <w:tc>
          <w:tcPr>
            <w:tcW w:w="1220" w:type="dxa"/>
            <w:vAlign w:val="bottom"/>
            <w:shd w:val="clear" w:color="auto" w:fill="DBDBDB"/>
          </w:tcPr>
          <w:p>
            <w:pPr>
              <w:ind w:left="920"/>
              <w:spacing w:after="0"/>
              <w:rPr>
                <w:sz w:val="20"/>
                <w:szCs w:val="20"/>
                <w:color w:val="auto"/>
              </w:rPr>
            </w:pPr>
            <w:r>
              <w:rPr>
                <w:rFonts w:ascii="Arial" w:cs="Arial" w:eastAsia="Arial" w:hAnsi="Arial"/>
                <w:sz w:val="12"/>
                <w:szCs w:val="12"/>
                <w:color w:val="auto"/>
              </w:rPr>
              <w:t>— %</w:t>
            </w:r>
          </w:p>
        </w:tc>
        <w:tc>
          <w:tcPr>
            <w:tcW w:w="280" w:type="dxa"/>
            <w:vAlign w:val="bottom"/>
            <w:shd w:val="clear" w:color="auto" w:fill="DBDBDB"/>
          </w:tcPr>
          <w:p>
            <w:pPr>
              <w:spacing w:after="0"/>
              <w:rPr>
                <w:sz w:val="14"/>
                <w:szCs w:val="14"/>
                <w:color w:val="auto"/>
              </w:rPr>
            </w:pP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 %</w:t>
            </w:r>
          </w:p>
        </w:tc>
        <w:tc>
          <w:tcPr>
            <w:tcW w:w="240" w:type="dxa"/>
            <w:vAlign w:val="bottom"/>
            <w:shd w:val="clear" w:color="auto" w:fill="DBDBDB"/>
          </w:tcPr>
          <w:p>
            <w:pPr>
              <w:spacing w:after="0"/>
              <w:rPr>
                <w:sz w:val="14"/>
                <w:szCs w:val="14"/>
                <w:color w:val="auto"/>
              </w:rPr>
            </w:pPr>
          </w:p>
        </w:tc>
        <w:tc>
          <w:tcPr>
            <w:tcW w:w="1240" w:type="dxa"/>
            <w:vAlign w:val="bottom"/>
            <w:shd w:val="clear" w:color="auto" w:fill="DBDBDB"/>
          </w:tcPr>
          <w:p>
            <w:pPr>
              <w:ind w:left="920"/>
              <w:spacing w:after="0"/>
              <w:rPr>
                <w:sz w:val="20"/>
                <w:szCs w:val="20"/>
                <w:color w:val="auto"/>
              </w:rPr>
            </w:pPr>
            <w:r>
              <w:rPr>
                <w:rFonts w:ascii="Arial" w:cs="Arial" w:eastAsia="Arial" w:hAnsi="Arial"/>
                <w:sz w:val="12"/>
                <w:szCs w:val="12"/>
                <w:color w:val="auto"/>
              </w:rPr>
              <w:t>— %</w:t>
            </w:r>
          </w:p>
        </w:tc>
        <w:tc>
          <w:tcPr>
            <w:tcW w:w="36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63.5 %</w:t>
            </w:r>
          </w:p>
        </w:tc>
      </w:tr>
      <w:tr>
        <w:trPr>
          <w:trHeight w:val="159"/>
        </w:trPr>
        <w:tc>
          <w:tcPr>
            <w:tcW w:w="3960" w:type="dxa"/>
            <w:vAlign w:val="bottom"/>
          </w:tcPr>
          <w:p>
            <w:pPr>
              <w:ind w:left="20"/>
              <w:spacing w:after="0"/>
              <w:rPr>
                <w:sz w:val="20"/>
                <w:szCs w:val="20"/>
                <w:color w:val="auto"/>
              </w:rPr>
            </w:pPr>
            <w:r>
              <w:rPr>
                <w:rFonts w:ascii="Arial" w:cs="Arial" w:eastAsia="Arial" w:hAnsi="Arial"/>
                <w:sz w:val="12"/>
                <w:szCs w:val="12"/>
                <w:color w:val="auto"/>
              </w:rPr>
              <w:t>Average portable storage monthly rental rate</w:t>
            </w: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39"/>
              <w:spacing w:after="0"/>
              <w:rPr>
                <w:sz w:val="20"/>
                <w:szCs w:val="20"/>
                <w:color w:val="auto"/>
              </w:rPr>
            </w:pPr>
            <w:r>
              <w:rPr>
                <w:rFonts w:ascii="Arial" w:cs="Arial" w:eastAsia="Arial" w:hAnsi="Arial"/>
                <w:sz w:val="12"/>
                <w:szCs w:val="12"/>
                <w:color w:val="auto"/>
              </w:rPr>
              <w:t>120</w:t>
            </w:r>
          </w:p>
        </w:tc>
        <w:tc>
          <w:tcPr>
            <w:tcW w:w="26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20" w:type="dxa"/>
            <w:vAlign w:val="bottom"/>
          </w:tcPr>
          <w:p>
            <w:pPr>
              <w:ind w:left="9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200" w:type="dxa"/>
            <w:vAlign w:val="bottom"/>
          </w:tcPr>
          <w:p>
            <w:pPr>
              <w:ind w:left="88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1240" w:type="dxa"/>
            <w:vAlign w:val="bottom"/>
          </w:tcPr>
          <w:p>
            <w:pPr>
              <w:ind w:left="92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79"/>
              <w:spacing w:after="0"/>
              <w:rPr>
                <w:sz w:val="20"/>
                <w:szCs w:val="20"/>
                <w:color w:val="auto"/>
              </w:rPr>
            </w:pPr>
            <w:r>
              <w:rPr>
                <w:rFonts w:ascii="Arial" w:cs="Arial" w:eastAsia="Arial" w:hAnsi="Arial"/>
                <w:sz w:val="12"/>
                <w:szCs w:val="12"/>
                <w:color w:val="auto"/>
              </w:rPr>
              <w:t>120</w:t>
            </w:r>
          </w:p>
        </w:tc>
      </w:tr>
      <w:tr>
        <w:trPr>
          <w:trHeight w:val="135"/>
        </w:trPr>
        <w:tc>
          <w:tcPr>
            <w:tcW w:w="3960" w:type="dxa"/>
            <w:vAlign w:val="bottom"/>
            <w:shd w:val="clear" w:color="auto" w:fill="DBDBDB"/>
          </w:tcPr>
          <w:p>
            <w:pPr>
              <w:ind w:left="20"/>
              <w:spacing w:after="0" w:line="135" w:lineRule="exact"/>
              <w:rPr>
                <w:sz w:val="20"/>
                <w:szCs w:val="20"/>
                <w:color w:val="auto"/>
              </w:rPr>
            </w:pPr>
            <w:r>
              <w:rPr>
                <w:rFonts w:ascii="Arial" w:cs="Arial" w:eastAsia="Arial" w:hAnsi="Arial"/>
                <w:sz w:val="12"/>
                <w:szCs w:val="12"/>
                <w:color w:val="auto"/>
              </w:rPr>
              <w:t>Average tank and pump solutions rental fleet utilization based on original</w:t>
            </w:r>
          </w:p>
        </w:tc>
        <w:tc>
          <w:tcPr>
            <w:tcW w:w="220" w:type="dxa"/>
            <w:vAlign w:val="bottom"/>
            <w:shd w:val="clear" w:color="auto" w:fill="DBDBDB"/>
          </w:tcPr>
          <w:p>
            <w:pPr>
              <w:spacing w:after="0"/>
              <w:rPr>
                <w:sz w:val="11"/>
                <w:szCs w:val="11"/>
                <w:color w:val="auto"/>
              </w:rPr>
            </w:pPr>
          </w:p>
        </w:tc>
        <w:tc>
          <w:tcPr>
            <w:tcW w:w="122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122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120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124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1080" w:type="dxa"/>
            <w:vAlign w:val="bottom"/>
            <w:shd w:val="clear" w:color="auto" w:fill="DBDBDB"/>
          </w:tcPr>
          <w:p>
            <w:pPr>
              <w:spacing w:after="0"/>
              <w:rPr>
                <w:sz w:val="11"/>
                <w:szCs w:val="11"/>
                <w:color w:val="auto"/>
              </w:rPr>
            </w:pPr>
          </w:p>
        </w:tc>
      </w:tr>
      <w:tr>
        <w:trPr>
          <w:trHeight w:val="150"/>
        </w:trPr>
        <w:tc>
          <w:tcPr>
            <w:tcW w:w="3960" w:type="dxa"/>
            <w:vAlign w:val="bottom"/>
            <w:shd w:val="clear" w:color="auto" w:fill="DBDBDB"/>
          </w:tcPr>
          <w:p>
            <w:pPr>
              <w:ind w:left="20"/>
              <w:spacing w:after="0"/>
              <w:rPr>
                <w:sz w:val="20"/>
                <w:szCs w:val="20"/>
                <w:color w:val="auto"/>
              </w:rPr>
            </w:pPr>
            <w:r>
              <w:rPr>
                <w:rFonts w:ascii="Arial" w:cs="Arial" w:eastAsia="Arial" w:hAnsi="Arial"/>
                <w:sz w:val="12"/>
                <w:szCs w:val="12"/>
                <w:color w:val="auto"/>
              </w:rPr>
              <w:t>equipment cost</w:t>
            </w:r>
          </w:p>
        </w:tc>
        <w:tc>
          <w:tcPr>
            <w:tcW w:w="220" w:type="dxa"/>
            <w:vAlign w:val="bottom"/>
            <w:shd w:val="clear" w:color="auto" w:fill="DBDBDB"/>
          </w:tcPr>
          <w:p>
            <w:pPr>
              <w:spacing w:after="0"/>
              <w:rPr>
                <w:sz w:val="13"/>
                <w:szCs w:val="13"/>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 %</w:t>
            </w:r>
          </w:p>
        </w:tc>
        <w:tc>
          <w:tcPr>
            <w:tcW w:w="260" w:type="dxa"/>
            <w:vAlign w:val="bottom"/>
            <w:shd w:val="clear" w:color="auto" w:fill="DBDBDB"/>
          </w:tcPr>
          <w:p>
            <w:pPr>
              <w:spacing w:after="0"/>
              <w:rPr>
                <w:sz w:val="13"/>
                <w:szCs w:val="13"/>
                <w:color w:val="auto"/>
              </w:rPr>
            </w:pPr>
          </w:p>
        </w:tc>
        <w:tc>
          <w:tcPr>
            <w:tcW w:w="1220" w:type="dxa"/>
            <w:vAlign w:val="bottom"/>
            <w:shd w:val="clear" w:color="auto" w:fill="DBDBDB"/>
          </w:tcPr>
          <w:p>
            <w:pPr>
              <w:ind w:left="920"/>
              <w:spacing w:after="0"/>
              <w:rPr>
                <w:sz w:val="20"/>
                <w:szCs w:val="20"/>
                <w:color w:val="auto"/>
              </w:rPr>
            </w:pPr>
            <w:r>
              <w:rPr>
                <w:rFonts w:ascii="Arial" w:cs="Arial" w:eastAsia="Arial" w:hAnsi="Arial"/>
                <w:sz w:val="12"/>
                <w:szCs w:val="12"/>
                <w:color w:val="auto"/>
              </w:rPr>
              <w:t>— %</w:t>
            </w:r>
          </w:p>
        </w:tc>
        <w:tc>
          <w:tcPr>
            <w:tcW w:w="280" w:type="dxa"/>
            <w:vAlign w:val="bottom"/>
            <w:shd w:val="clear" w:color="auto" w:fill="DBDBDB"/>
          </w:tcPr>
          <w:p>
            <w:pPr>
              <w:spacing w:after="0"/>
              <w:rPr>
                <w:sz w:val="13"/>
                <w:szCs w:val="13"/>
                <w:color w:val="auto"/>
              </w:rPr>
            </w:pPr>
          </w:p>
        </w:tc>
        <w:tc>
          <w:tcPr>
            <w:tcW w:w="1200" w:type="dxa"/>
            <w:vAlign w:val="bottom"/>
            <w:shd w:val="clear" w:color="auto" w:fill="DBDBDB"/>
          </w:tcPr>
          <w:p>
            <w:pPr>
              <w:ind w:left="880"/>
              <w:spacing w:after="0"/>
              <w:rPr>
                <w:sz w:val="20"/>
                <w:szCs w:val="20"/>
                <w:color w:val="auto"/>
              </w:rPr>
            </w:pPr>
            <w:r>
              <w:rPr>
                <w:rFonts w:ascii="Arial" w:cs="Arial" w:eastAsia="Arial" w:hAnsi="Arial"/>
                <w:sz w:val="12"/>
                <w:szCs w:val="12"/>
                <w:color w:val="auto"/>
              </w:rPr>
              <w:t>— %</w:t>
            </w:r>
          </w:p>
        </w:tc>
        <w:tc>
          <w:tcPr>
            <w:tcW w:w="240" w:type="dxa"/>
            <w:vAlign w:val="bottom"/>
            <w:shd w:val="clear" w:color="auto" w:fill="DBDBDB"/>
          </w:tcPr>
          <w:p>
            <w:pPr>
              <w:spacing w:after="0"/>
              <w:rPr>
                <w:sz w:val="13"/>
                <w:szCs w:val="13"/>
                <w:color w:val="auto"/>
              </w:rPr>
            </w:pPr>
          </w:p>
        </w:tc>
        <w:tc>
          <w:tcPr>
            <w:tcW w:w="1240" w:type="dxa"/>
            <w:vAlign w:val="bottom"/>
            <w:shd w:val="clear" w:color="auto" w:fill="DBDBDB"/>
          </w:tcPr>
          <w:p>
            <w:pPr>
              <w:ind w:left="920"/>
              <w:spacing w:after="0"/>
              <w:rPr>
                <w:sz w:val="20"/>
                <w:szCs w:val="20"/>
                <w:color w:val="auto"/>
              </w:rPr>
            </w:pPr>
            <w:r>
              <w:rPr>
                <w:rFonts w:ascii="Arial" w:cs="Arial" w:eastAsia="Arial" w:hAnsi="Arial"/>
                <w:sz w:val="12"/>
                <w:szCs w:val="12"/>
                <w:color w:val="auto"/>
              </w:rPr>
              <w:t>— %</w:t>
            </w:r>
          </w:p>
        </w:tc>
        <w:tc>
          <w:tcPr>
            <w:tcW w:w="36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 %</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NA Modular</w:t>
      </w:r>
    </w:p>
    <w:p>
      <w:pPr>
        <w:spacing w:after="0" w:line="84"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2"/>
          <w:szCs w:val="12"/>
          <w:b w:val="1"/>
          <w:bCs w:val="1"/>
          <w:i w:val="1"/>
          <w:iCs w:val="1"/>
          <w:color w:val="auto"/>
        </w:rPr>
        <w:t xml:space="preserve">Revenue: </w:t>
      </w:r>
      <w:r>
        <w:rPr>
          <w:rFonts w:ascii="Arial" w:cs="Arial" w:eastAsia="Arial" w:hAnsi="Arial"/>
          <w:sz w:val="12"/>
          <w:szCs w:val="12"/>
          <w:color w:val="auto"/>
        </w:rPr>
        <w:t>Total revenue increased $42.9 million, or 8.4%, to $555.6 million for the six months ended June 30, 2021 from $512.7 million for the six months ended June 30, 2020. The increase was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primarily the result of a $38.7 million, or 10.2%, increase in leasing revenue and an $8.4 million, or 69.4%, increase in rental unit sales revenue. Average modular space monthly rental rates increased 16.3% for the six months ended June 30, 2021 to $769 driven by the continuation of the long-term price optimization and VAPS penetration opportunities across our portfolio. Improved pricing was partially offset by lower volumes as average modular space units on rent decreased by 2,805 units, or 3.2%, year over year. The decrease was driven primarily by lower deliveries, including reduced demand for new project deliveries as a result of the COVID-19 pandemic primarily in the second and third quarter of 2020.</w:t>
      </w:r>
    </w:p>
    <w:p>
      <w:pPr>
        <w:spacing w:after="0" w:line="57"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i w:val="1"/>
          <w:iCs w:val="1"/>
          <w:color w:val="auto"/>
        </w:rPr>
        <w:t xml:space="preserve">Gross Profit: </w:t>
      </w:r>
      <w:r>
        <w:rPr>
          <w:rFonts w:ascii="Arial" w:cs="Arial" w:eastAsia="Arial" w:hAnsi="Arial"/>
          <w:sz w:val="12"/>
          <w:szCs w:val="12"/>
          <w:color w:val="auto"/>
        </w:rPr>
        <w:t>Gross profit increased $12.9 million, or 6.0%, to $229.1 million for the six months ended June 30, 2021 from $216.2 million for the six months ended June 30, 2020. The increase in gross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profit was driven by higher leasing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531495</wp:posOffset>
            </wp:positionV>
            <wp:extent cx="719264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47" w:name="page48"/>
    <w:bookmarkEnd w:id="47"/>
    <w:p>
      <w:pPr>
        <w:jc w:val="both"/>
        <w:spacing w:after="0" w:line="252" w:lineRule="auto"/>
        <w:rPr>
          <w:sz w:val="20"/>
          <w:szCs w:val="20"/>
          <w:color w:val="auto"/>
        </w:rPr>
      </w:pPr>
      <w:r>
        <w:rPr>
          <w:rFonts w:ascii="Arial" w:cs="Arial" w:eastAsia="Arial" w:hAnsi="Arial"/>
          <w:sz w:val="12"/>
          <w:szCs w:val="12"/>
          <w:color w:val="auto"/>
        </w:rPr>
        <w:t>profit, which increased $23.5 million, or 8.4%, driven from improved pricing including VAPS. The increase in gross profit from leasing for the six months ended June 30, 2021 was further complemented by a $5.0 million increase in rental unit sales gross profit. These increases were partially offset by a $7.7 million decrease in delivery and installation gross profit driven by higher fleet relocation expenses, a $1.9 million decrease in new sales gross profit, and a $6.1 million increase in depreciation of rental equipment related to capital investments made in our existing rental equipment.</w:t>
      </w:r>
    </w:p>
    <w:p>
      <w:pPr>
        <w:spacing w:after="0" w:line="56"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i w:val="1"/>
          <w:iCs w:val="1"/>
          <w:color w:val="auto"/>
        </w:rPr>
        <w:t xml:space="preserve">Adjusted EBITDA: </w:t>
      </w:r>
      <w:r>
        <w:rPr>
          <w:rFonts w:ascii="Arial" w:cs="Arial" w:eastAsia="Arial" w:hAnsi="Arial"/>
          <w:sz w:val="12"/>
          <w:szCs w:val="12"/>
          <w:color w:val="auto"/>
        </w:rPr>
        <w:t>Adjusted EBITDA increased $13.8 million, or 7.4%, to $200.9 million for the six months ended June 30, 2021 from $187.1 million for the six months ended June 30, 2020.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increase was driven by higher leasing gross profit discussed above. SG&amp;A, excluding discrete items, increased $3.9 million, or 3.2%, for the six months ended June 30, 2021, as compared to the June 30, 2020.</w:t>
      </w:r>
    </w:p>
    <w:p>
      <w:pPr>
        <w:spacing w:after="0" w:line="38"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2"/>
          <w:szCs w:val="12"/>
          <w:b w:val="1"/>
          <w:bCs w:val="1"/>
          <w:i w:val="1"/>
          <w:iCs w:val="1"/>
          <w:color w:val="auto"/>
        </w:rPr>
        <w:t xml:space="preserve">Capital Expenditures for Rental Equipment: </w:t>
      </w:r>
      <w:r>
        <w:rPr>
          <w:rFonts w:ascii="Arial" w:cs="Arial" w:eastAsia="Arial" w:hAnsi="Arial"/>
          <w:sz w:val="12"/>
          <w:szCs w:val="12"/>
          <w:color w:val="auto"/>
        </w:rPr>
        <w:t>Purchases of rental equipment and refurbishments increased $8.8 million, or 11.0%, to $88.5 million for the six months ended June 30, 2021 from $79.7</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million for the six months ended June 30, 2020. Net CAPEX, as defined below in Item 2. Other Non-GAAP Financial Data and Reconciliations, decreased $10.3 million, or 15.4%, to $56.6 million. The decrease for Net CAPEX was driven primarily by increased sales of rental units and plant, property and equipment, including real estate sold during the period.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1D2758"/>
        </w:rPr>
        <w:t>Other Non-GAAP Financial Data and Reconciliations</w:t>
      </w:r>
    </w:p>
    <w:p>
      <w:pPr>
        <w:spacing w:after="0" w:line="85"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w:t>
      </w:r>
    </w:p>
    <w:p>
      <w:pPr>
        <w:spacing w:after="0" w:line="26"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We evaluate business segment performance on Adjusted EBITDA, a non-GAAP measure that excludes certain items as described in the reconciliation of our consolidated net income (loss) to Adjusted EBITDA reconciliation below. We believe that evaluating segment performance excluding such items is meaningful because it provides insight with respect to the intrinsic operating results of the Company.</w:t>
      </w:r>
    </w:p>
    <w:p>
      <w:pPr>
        <w:spacing w:after="0" w:line="26"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We also regularly evaluate gross profit by segment to assist in the assessment of the operational performance of each operating segment. We consider Adjusted EBITDA to be the more important metric because it more fully captures the business performance of the segments, inclusive of indirect costs.</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Adjusted EBITDA</w:t>
      </w:r>
    </w:p>
    <w:p>
      <w:pPr>
        <w:spacing w:after="0" w:line="111"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We define EBITDA as net income (loss) plus interest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66" w:lineRule="exact"/>
        <w:rPr>
          <w:sz w:val="20"/>
          <w:szCs w:val="20"/>
          <w:color w:val="auto"/>
        </w:rPr>
      </w:pPr>
    </w:p>
    <w:p>
      <w:pPr>
        <w:ind w:left="720" w:hanging="235"/>
        <w:spacing w:after="0" w:line="258" w:lineRule="auto"/>
        <w:tabs>
          <w:tab w:leader="none" w:pos="712" w:val="left"/>
        </w:tabs>
        <w:numPr>
          <w:ilvl w:val="0"/>
          <w:numId w:val="11"/>
        </w:numPr>
        <w:rPr>
          <w:rFonts w:ascii="Arial" w:cs="Arial" w:eastAsia="Arial" w:hAnsi="Arial"/>
          <w:sz w:val="12"/>
          <w:szCs w:val="12"/>
          <w:color w:val="auto"/>
        </w:rPr>
      </w:pPr>
      <w:r>
        <w:rPr>
          <w:rFonts w:ascii="Arial" w:cs="Arial" w:eastAsia="Arial" w:hAnsi="Arial"/>
          <w:sz w:val="12"/>
          <w:szCs w:val="12"/>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spacing w:after="0" w:line="66" w:lineRule="exact"/>
        <w:rPr>
          <w:rFonts w:ascii="Arial" w:cs="Arial" w:eastAsia="Arial" w:hAnsi="Arial"/>
          <w:sz w:val="12"/>
          <w:szCs w:val="12"/>
          <w:color w:val="auto"/>
        </w:rPr>
      </w:pPr>
    </w:p>
    <w:p>
      <w:pPr>
        <w:ind w:left="720" w:hanging="235"/>
        <w:spacing w:after="0"/>
        <w:tabs>
          <w:tab w:leader="none" w:pos="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Goodwill and other impairment charges related to non-cash costs associated with impairment charges to goodwill, other intangibles, rental fleet and property, plant and equipment.</w:t>
      </w:r>
    </w:p>
    <w:p>
      <w:pPr>
        <w:spacing w:after="0" w:line="83" w:lineRule="exact"/>
        <w:rPr>
          <w:rFonts w:ascii="Arial" w:cs="Arial" w:eastAsia="Arial" w:hAnsi="Arial"/>
          <w:sz w:val="12"/>
          <w:szCs w:val="12"/>
          <w:color w:val="auto"/>
        </w:rPr>
      </w:pPr>
    </w:p>
    <w:p>
      <w:pPr>
        <w:ind w:left="720" w:hanging="235"/>
        <w:spacing w:after="0" w:line="258" w:lineRule="auto"/>
        <w:tabs>
          <w:tab w:leader="none" w:pos="712"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Restructuring costs, lease impairment expense, and other related charges associated with restructuring plans designed to streamline operations and reduce costs including employee and lease termination costs.</w:t>
      </w:r>
    </w:p>
    <w:p>
      <w:pPr>
        <w:spacing w:after="0" w:line="66" w:lineRule="exact"/>
        <w:rPr>
          <w:rFonts w:ascii="Arial" w:cs="Arial" w:eastAsia="Arial" w:hAnsi="Arial"/>
          <w:sz w:val="12"/>
          <w:szCs w:val="12"/>
          <w:color w:val="auto"/>
        </w:rPr>
      </w:pPr>
    </w:p>
    <w:p>
      <w:pPr>
        <w:ind w:left="720" w:hanging="235"/>
        <w:spacing w:after="0"/>
        <w:tabs>
          <w:tab w:leader="none" w:pos="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Transaction costs including legal and professional fees and other transaction specific related costs.</w:t>
      </w:r>
    </w:p>
    <w:p>
      <w:pPr>
        <w:spacing w:after="0" w:line="83" w:lineRule="exact"/>
        <w:rPr>
          <w:rFonts w:ascii="Arial" w:cs="Arial" w:eastAsia="Arial" w:hAnsi="Arial"/>
          <w:sz w:val="12"/>
          <w:szCs w:val="12"/>
          <w:color w:val="auto"/>
        </w:rPr>
      </w:pPr>
    </w:p>
    <w:p>
      <w:pPr>
        <w:ind w:left="720" w:hanging="235"/>
        <w:spacing w:after="0" w:line="258" w:lineRule="auto"/>
        <w:tabs>
          <w:tab w:leader="none" w:pos="712"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Costs to integrate acquired companies, including outside professional fees, non-capitalized costs associated with system integrations, non-lease branch and fleet relocation expenses, employee training costs and other costs required to realize cost or revenue synergies.</w:t>
      </w:r>
    </w:p>
    <w:p>
      <w:pPr>
        <w:spacing w:after="0" w:line="66" w:lineRule="exact"/>
        <w:rPr>
          <w:rFonts w:ascii="Arial" w:cs="Arial" w:eastAsia="Arial" w:hAnsi="Arial"/>
          <w:sz w:val="12"/>
          <w:szCs w:val="12"/>
          <w:color w:val="auto"/>
        </w:rPr>
      </w:pPr>
    </w:p>
    <w:p>
      <w:pPr>
        <w:ind w:left="720" w:hanging="235"/>
        <w:spacing w:after="0"/>
        <w:tabs>
          <w:tab w:leader="none" w:pos="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Non-cash charges for stock compensation plans.</w:t>
      </w:r>
    </w:p>
    <w:p>
      <w:pPr>
        <w:spacing w:after="0" w:line="83" w:lineRule="exact"/>
        <w:rPr>
          <w:rFonts w:ascii="Arial" w:cs="Arial" w:eastAsia="Arial" w:hAnsi="Arial"/>
          <w:sz w:val="12"/>
          <w:szCs w:val="12"/>
          <w:color w:val="auto"/>
        </w:rPr>
      </w:pPr>
    </w:p>
    <w:p>
      <w:pPr>
        <w:ind w:left="720" w:hanging="235"/>
        <w:spacing w:after="0"/>
        <w:tabs>
          <w:tab w:leader="none" w:pos="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Gains and losses resulting from changes in fair value and extinguishment of common stock warrant liabilities.</w:t>
      </w:r>
    </w:p>
    <w:p>
      <w:pPr>
        <w:spacing w:after="0" w:line="83" w:lineRule="exact"/>
        <w:rPr>
          <w:rFonts w:ascii="Arial" w:cs="Arial" w:eastAsia="Arial" w:hAnsi="Arial"/>
          <w:sz w:val="12"/>
          <w:szCs w:val="12"/>
          <w:color w:val="auto"/>
        </w:rPr>
      </w:pPr>
    </w:p>
    <w:p>
      <w:pPr>
        <w:ind w:left="720" w:hanging="235"/>
        <w:spacing w:after="0" w:line="258" w:lineRule="auto"/>
        <w:tabs>
          <w:tab w:leader="none" w:pos="712" w:val="left"/>
        </w:tabs>
        <w:numPr>
          <w:ilvl w:val="0"/>
          <w:numId w:val="11"/>
        </w:numPr>
        <w:rPr>
          <w:rFonts w:ascii="Arial" w:cs="Arial" w:eastAsia="Arial" w:hAnsi="Arial"/>
          <w:sz w:val="12"/>
          <w:szCs w:val="12"/>
          <w:color w:val="auto"/>
        </w:rPr>
      </w:pPr>
      <w:r>
        <w:rPr>
          <w:rFonts w:ascii="Arial" w:cs="Arial" w:eastAsia="Arial" w:hAnsi="Arial"/>
          <w:sz w:val="12"/>
          <w:szCs w:val="12"/>
          <w:color w:val="auto"/>
        </w:rPr>
        <w:t>Other expense includes consulting expenses related to certain one-time projects, financing costs not classified as interest expense and gains and losses on disposals of property, plant and equipment.</w:t>
      </w:r>
    </w:p>
    <w:p>
      <w:pPr>
        <w:spacing w:after="0" w:line="66" w:lineRule="exact"/>
        <w:rPr>
          <w:sz w:val="20"/>
          <w:szCs w:val="20"/>
          <w:color w:val="auto"/>
        </w:rPr>
      </w:pPr>
    </w:p>
    <w:p>
      <w:pPr>
        <w:ind w:firstLine="484"/>
        <w:spacing w:after="0" w:line="258" w:lineRule="auto"/>
        <w:rPr>
          <w:sz w:val="20"/>
          <w:szCs w:val="20"/>
          <w:color w:val="auto"/>
        </w:rPr>
      </w:pPr>
      <w:r>
        <w:rPr>
          <w:rFonts w:ascii="Arial" w:cs="Arial" w:eastAsia="Arial" w:hAnsi="Arial"/>
          <w:sz w:val="12"/>
          <w:szCs w:val="12"/>
          <w:color w:val="auto"/>
        </w:rPr>
        <w:t>Adjusted EBITDA has limitations as an analytical tool, and you should not consider the measure in isolation or as a substitute for net income (loss), cash flow from operations or other methods of analyzing WillScot Mobile Mini’s results as reported under GAAP. Some of these limitations are:</w:t>
      </w:r>
    </w:p>
    <w:p>
      <w:pPr>
        <w:spacing w:after="0" w:line="66" w:lineRule="exact"/>
        <w:rPr>
          <w:sz w:val="20"/>
          <w:szCs w:val="20"/>
          <w:color w:val="auto"/>
        </w:rPr>
      </w:pPr>
    </w:p>
    <w:p>
      <w:pPr>
        <w:ind w:left="720" w:hanging="235"/>
        <w:spacing w:after="0"/>
        <w:tabs>
          <w:tab w:leader="none" w:pos="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Adjusted EBITDA does not reflect changes in, or cash requirements for our working capital needs;</w:t>
      </w:r>
    </w:p>
    <w:p>
      <w:pPr>
        <w:spacing w:after="0" w:line="83" w:lineRule="exact"/>
        <w:rPr>
          <w:rFonts w:ascii="Arial" w:cs="Arial" w:eastAsia="Arial" w:hAnsi="Arial"/>
          <w:sz w:val="12"/>
          <w:szCs w:val="12"/>
          <w:color w:val="auto"/>
        </w:rPr>
      </w:pPr>
    </w:p>
    <w:p>
      <w:pPr>
        <w:ind w:left="720" w:hanging="235"/>
        <w:spacing w:after="0"/>
        <w:tabs>
          <w:tab w:leader="none" w:pos="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Adjusted EBITDA does not reflect our interest expense, or the cash requirements necessary to service interest or principal payments, on our indebtedness;</w:t>
      </w:r>
    </w:p>
    <w:p>
      <w:pPr>
        <w:spacing w:after="0" w:line="83" w:lineRule="exact"/>
        <w:rPr>
          <w:rFonts w:ascii="Arial" w:cs="Arial" w:eastAsia="Arial" w:hAnsi="Arial"/>
          <w:sz w:val="12"/>
          <w:szCs w:val="12"/>
          <w:color w:val="auto"/>
        </w:rPr>
      </w:pPr>
    </w:p>
    <w:p>
      <w:pPr>
        <w:ind w:left="720" w:hanging="235"/>
        <w:spacing w:after="0"/>
        <w:tabs>
          <w:tab w:leader="none" w:pos="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Adjusted EBITDA does not reflect our tax expense or the cash requirements to pay our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551815</wp:posOffset>
            </wp:positionV>
            <wp:extent cx="719264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48" w:name="page49"/>
    <w:bookmarkEnd w:id="48"/>
    <w:p>
      <w:pPr>
        <w:ind w:left="720" w:hanging="235"/>
        <w:spacing w:after="0"/>
        <w:tabs>
          <w:tab w:leader="none" w:pos="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Adjusted EBITDA does not reflect historical cash expenditures or future requirements for capital expenditures or contractual commitments;</w:t>
      </w:r>
    </w:p>
    <w:p>
      <w:pPr>
        <w:spacing w:after="0" w:line="83" w:lineRule="exact"/>
        <w:rPr>
          <w:rFonts w:ascii="Arial" w:cs="Arial" w:eastAsia="Arial" w:hAnsi="Arial"/>
          <w:sz w:val="12"/>
          <w:szCs w:val="12"/>
          <w:color w:val="auto"/>
        </w:rPr>
      </w:pPr>
    </w:p>
    <w:p>
      <w:pPr>
        <w:ind w:left="720" w:hanging="235"/>
        <w:spacing w:after="0"/>
        <w:tabs>
          <w:tab w:leader="none" w:pos="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Adjusted EBITDA does not reflect the impact on earnings or changes resulting from matters that we consider not to be indicative of our future operations;</w:t>
      </w:r>
    </w:p>
    <w:p>
      <w:pPr>
        <w:spacing w:after="0" w:line="83" w:lineRule="exact"/>
        <w:rPr>
          <w:rFonts w:ascii="Arial" w:cs="Arial" w:eastAsia="Arial" w:hAnsi="Arial"/>
          <w:sz w:val="12"/>
          <w:szCs w:val="12"/>
          <w:color w:val="auto"/>
        </w:rPr>
      </w:pPr>
    </w:p>
    <w:p>
      <w:pPr>
        <w:ind w:left="720" w:hanging="235"/>
        <w:spacing w:after="0" w:line="258" w:lineRule="auto"/>
        <w:tabs>
          <w:tab w:leader="none" w:pos="712" w:val="left"/>
        </w:tabs>
        <w:numPr>
          <w:ilvl w:val="0"/>
          <w:numId w:val="13"/>
        </w:numPr>
        <w:rPr>
          <w:rFonts w:ascii="Arial" w:cs="Arial" w:eastAsia="Arial" w:hAnsi="Arial"/>
          <w:sz w:val="12"/>
          <w:szCs w:val="12"/>
          <w:color w:val="auto"/>
        </w:rPr>
      </w:pPr>
      <w:r>
        <w:rPr>
          <w:rFonts w:ascii="Arial" w:cs="Arial" w:eastAsia="Arial" w:hAnsi="Arial"/>
          <w:sz w:val="12"/>
          <w:szCs w:val="12"/>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66" w:lineRule="exact"/>
        <w:rPr>
          <w:rFonts w:ascii="Arial" w:cs="Arial" w:eastAsia="Arial" w:hAnsi="Arial"/>
          <w:sz w:val="12"/>
          <w:szCs w:val="12"/>
          <w:color w:val="auto"/>
        </w:rPr>
      </w:pPr>
    </w:p>
    <w:p>
      <w:pPr>
        <w:ind w:left="720" w:hanging="235"/>
        <w:spacing w:after="0"/>
        <w:tabs>
          <w:tab w:leader="none" w:pos="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other companies in our industry may calculate Adjusted EBITDA differently, limiting its usefulness as a comparative measure.</w:t>
      </w:r>
    </w:p>
    <w:p>
      <w:pPr>
        <w:spacing w:after="0" w:line="84"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Because of these limitations, Adjusted EBITDA should not be considered as discretionary cash available to reinvest in the growth of our business or as measures of cash that will be available to meet our obligations.</w:t>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provides an unaudited reconciliation of Income (loss) from operations before income tax to Adjusted EBITDA: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1980" w:type="dxa"/>
            <w:vAlign w:val="bottom"/>
            <w:gridSpan w:val="3"/>
            <w:shd w:val="clear" w:color="auto" w:fill="1D2758"/>
          </w:tcPr>
          <w:p>
            <w:pPr>
              <w:jc w:val="right"/>
              <w:spacing w:after="0"/>
              <w:rPr>
                <w:sz w:val="20"/>
                <w:szCs w:val="20"/>
                <w:color w:val="auto"/>
              </w:rPr>
            </w:pPr>
            <w:r>
              <w:rPr>
                <w:rFonts w:ascii="Arial" w:cs="Arial" w:eastAsia="Arial" w:hAnsi="Arial"/>
                <w:sz w:val="12"/>
                <w:szCs w:val="12"/>
                <w:b w:val="1"/>
                <w:bCs w:val="1"/>
                <w:color w:val="FFFFFF"/>
              </w:rPr>
              <w:t>Three Months Ended</w:t>
            </w:r>
          </w:p>
        </w:tc>
        <w:tc>
          <w:tcPr>
            <w:tcW w:w="106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1960" w:type="dxa"/>
            <w:vAlign w:val="bottom"/>
            <w:gridSpan w:val="3"/>
            <w:shd w:val="clear" w:color="auto" w:fill="1D2758"/>
          </w:tcPr>
          <w:p>
            <w:pPr>
              <w:jc w:val="right"/>
              <w:ind w:right="59"/>
              <w:spacing w:after="0"/>
              <w:rPr>
                <w:sz w:val="20"/>
                <w:szCs w:val="20"/>
                <w:color w:val="auto"/>
              </w:rPr>
            </w:pPr>
            <w:r>
              <w:rPr>
                <w:rFonts w:ascii="Arial" w:cs="Arial" w:eastAsia="Arial" w:hAnsi="Arial"/>
                <w:sz w:val="12"/>
                <w:szCs w:val="12"/>
                <w:b w:val="1"/>
                <w:bCs w:val="1"/>
                <w:color w:val="FFFFFF"/>
              </w:rPr>
              <w:t>Six Months Ended</w:t>
            </w:r>
          </w:p>
        </w:tc>
        <w:tc>
          <w:tcPr>
            <w:tcW w:w="1080" w:type="dxa"/>
            <w:vAlign w:val="bottom"/>
            <w:shd w:val="clear" w:color="auto" w:fill="1D2758"/>
          </w:tcPr>
          <w:p>
            <w:pPr>
              <w:spacing w:after="0"/>
              <w:rPr>
                <w:sz w:val="14"/>
                <w:szCs w:val="14"/>
                <w:color w:val="auto"/>
              </w:rPr>
            </w:pPr>
          </w:p>
        </w:tc>
      </w:tr>
      <w:tr>
        <w:trPr>
          <w:trHeight w:val="159"/>
        </w:trPr>
        <w:tc>
          <w:tcPr>
            <w:tcW w:w="4400" w:type="dxa"/>
            <w:vAlign w:val="bottom"/>
            <w:shd w:val="clear" w:color="auto" w:fill="1D2758"/>
          </w:tcPr>
          <w:p>
            <w:pPr>
              <w:spacing w:after="0"/>
              <w:rPr>
                <w:sz w:val="13"/>
                <w:szCs w:val="13"/>
                <w:color w:val="auto"/>
              </w:rPr>
            </w:pPr>
          </w:p>
        </w:tc>
        <w:tc>
          <w:tcPr>
            <w:tcW w:w="400" w:type="dxa"/>
            <w:vAlign w:val="bottom"/>
            <w:shd w:val="clear" w:color="auto" w:fill="1D2758"/>
          </w:tcPr>
          <w:p>
            <w:pPr>
              <w:spacing w:after="0"/>
              <w:rPr>
                <w:sz w:val="13"/>
                <w:szCs w:val="13"/>
                <w:color w:val="auto"/>
              </w:rPr>
            </w:pPr>
          </w:p>
        </w:tc>
        <w:tc>
          <w:tcPr>
            <w:tcW w:w="1980" w:type="dxa"/>
            <w:vAlign w:val="bottom"/>
            <w:gridSpan w:val="3"/>
            <w:shd w:val="clear" w:color="auto" w:fill="1D2758"/>
          </w:tcPr>
          <w:p>
            <w:pPr>
              <w:jc w:val="right"/>
              <w:ind w:right="359"/>
              <w:spacing w:after="0"/>
              <w:rPr>
                <w:sz w:val="20"/>
                <w:szCs w:val="20"/>
                <w:color w:val="auto"/>
              </w:rPr>
            </w:pPr>
            <w:r>
              <w:rPr>
                <w:rFonts w:ascii="Arial" w:cs="Arial" w:eastAsia="Arial" w:hAnsi="Arial"/>
                <w:sz w:val="12"/>
                <w:szCs w:val="12"/>
                <w:b w:val="1"/>
                <w:bCs w:val="1"/>
                <w:color w:val="FFFFFF"/>
              </w:rPr>
              <w:t>June 30,</w:t>
            </w:r>
          </w:p>
        </w:tc>
        <w:tc>
          <w:tcPr>
            <w:tcW w:w="1060" w:type="dxa"/>
            <w:vAlign w:val="bottom"/>
            <w:shd w:val="clear" w:color="auto" w:fill="1D2758"/>
          </w:tcPr>
          <w:p>
            <w:pPr>
              <w:spacing w:after="0"/>
              <w:rPr>
                <w:sz w:val="13"/>
                <w:szCs w:val="13"/>
                <w:color w:val="auto"/>
              </w:rPr>
            </w:pPr>
          </w:p>
        </w:tc>
        <w:tc>
          <w:tcPr>
            <w:tcW w:w="400" w:type="dxa"/>
            <w:vAlign w:val="bottom"/>
            <w:shd w:val="clear" w:color="auto" w:fill="1D2758"/>
          </w:tcPr>
          <w:p>
            <w:pPr>
              <w:spacing w:after="0"/>
              <w:rPr>
                <w:sz w:val="13"/>
                <w:szCs w:val="13"/>
                <w:color w:val="auto"/>
              </w:rPr>
            </w:pPr>
          </w:p>
        </w:tc>
        <w:tc>
          <w:tcPr>
            <w:tcW w:w="1960" w:type="dxa"/>
            <w:vAlign w:val="bottom"/>
            <w:gridSpan w:val="3"/>
            <w:shd w:val="clear" w:color="auto" w:fill="1D2758"/>
          </w:tcPr>
          <w:p>
            <w:pPr>
              <w:jc w:val="right"/>
              <w:ind w:right="339"/>
              <w:spacing w:after="0"/>
              <w:rPr>
                <w:sz w:val="20"/>
                <w:szCs w:val="20"/>
                <w:color w:val="auto"/>
              </w:rPr>
            </w:pPr>
            <w:r>
              <w:rPr>
                <w:rFonts w:ascii="Arial" w:cs="Arial" w:eastAsia="Arial" w:hAnsi="Arial"/>
                <w:sz w:val="12"/>
                <w:szCs w:val="12"/>
                <w:b w:val="1"/>
                <w:bCs w:val="1"/>
                <w:color w:val="FFFFFF"/>
              </w:rPr>
              <w:t>June 30,</w:t>
            </w:r>
          </w:p>
        </w:tc>
        <w:tc>
          <w:tcPr>
            <w:tcW w:w="1080" w:type="dxa"/>
            <w:vAlign w:val="bottom"/>
            <w:shd w:val="clear" w:color="auto" w:fill="1D2758"/>
          </w:tcPr>
          <w:p>
            <w:pPr>
              <w:spacing w:after="0"/>
              <w:rPr>
                <w:sz w:val="13"/>
                <w:szCs w:val="13"/>
                <w:color w:val="auto"/>
              </w:rPr>
            </w:pPr>
          </w:p>
        </w:tc>
      </w:tr>
      <w:tr>
        <w:trPr>
          <w:trHeight w:val="162"/>
        </w:trPr>
        <w:tc>
          <w:tcPr>
            <w:tcW w:w="4400" w:type="dxa"/>
            <w:vAlign w:val="bottom"/>
            <w:tcBorders>
              <w:bottom w:val="single" w:sz="8" w:color="DBDBDB"/>
            </w:tcBorders>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400" w:type="dxa"/>
            <w:vAlign w:val="bottom"/>
            <w:tcBorders>
              <w:bottom w:val="single" w:sz="8" w:color="DBDBDB"/>
            </w:tcBorders>
            <w:shd w:val="clear" w:color="auto" w:fill="1D2758"/>
          </w:tcPr>
          <w:p>
            <w:pPr>
              <w:spacing w:after="0"/>
              <w:rPr>
                <w:sz w:val="14"/>
                <w:szCs w:val="14"/>
                <w:color w:val="auto"/>
              </w:rPr>
            </w:pPr>
          </w:p>
        </w:tc>
        <w:tc>
          <w:tcPr>
            <w:tcW w:w="1280" w:type="dxa"/>
            <w:vAlign w:val="bottom"/>
            <w:tcBorders>
              <w:bottom w:val="single" w:sz="8" w:color="DBDBDB"/>
            </w:tcBorders>
            <w:shd w:val="clear" w:color="auto" w:fill="1D2758"/>
          </w:tcPr>
          <w:p>
            <w:pPr>
              <w:jc w:val="right"/>
              <w:ind w:right="639"/>
              <w:spacing w:after="0"/>
              <w:rPr>
                <w:sz w:val="20"/>
                <w:szCs w:val="20"/>
                <w:color w:val="auto"/>
              </w:rPr>
            </w:pPr>
            <w:r>
              <w:rPr>
                <w:rFonts w:ascii="Arial" w:cs="Arial" w:eastAsia="Arial" w:hAnsi="Arial"/>
                <w:sz w:val="12"/>
                <w:szCs w:val="12"/>
                <w:b w:val="1"/>
                <w:bCs w:val="1"/>
                <w:color w:val="FFFFFF"/>
              </w:rPr>
              <w:t>2021</w:t>
            </w:r>
          </w:p>
        </w:tc>
        <w:tc>
          <w:tcPr>
            <w:tcW w:w="80" w:type="dxa"/>
            <w:vAlign w:val="bottom"/>
            <w:tcBorders>
              <w:bottom w:val="single" w:sz="8" w:color="DBDBDB"/>
            </w:tcBorders>
            <w:shd w:val="clear" w:color="auto" w:fill="1D2758"/>
          </w:tcPr>
          <w:p>
            <w:pPr>
              <w:spacing w:after="0"/>
              <w:rPr>
                <w:sz w:val="14"/>
                <w:szCs w:val="14"/>
                <w:color w:val="auto"/>
              </w:rPr>
            </w:pPr>
          </w:p>
        </w:tc>
        <w:tc>
          <w:tcPr>
            <w:tcW w:w="620" w:type="dxa"/>
            <w:vAlign w:val="bottom"/>
            <w:tcBorders>
              <w:bottom w:val="single" w:sz="8" w:color="DBDBDB"/>
            </w:tcBorders>
            <w:shd w:val="clear" w:color="auto" w:fill="1D2758"/>
          </w:tcPr>
          <w:p>
            <w:pPr>
              <w:spacing w:after="0"/>
              <w:rPr>
                <w:sz w:val="14"/>
                <w:szCs w:val="14"/>
                <w:color w:val="auto"/>
              </w:rPr>
            </w:pPr>
          </w:p>
        </w:tc>
        <w:tc>
          <w:tcPr>
            <w:tcW w:w="1060" w:type="dxa"/>
            <w:vAlign w:val="bottom"/>
            <w:tcBorders>
              <w:bottom w:val="single" w:sz="8" w:color="DBDBDB"/>
            </w:tcBorders>
            <w:shd w:val="clear" w:color="auto" w:fill="1D2758"/>
          </w:tcPr>
          <w:p>
            <w:pPr>
              <w:jc w:val="right"/>
              <w:ind w:right="639"/>
              <w:spacing w:after="0"/>
              <w:rPr>
                <w:sz w:val="20"/>
                <w:szCs w:val="20"/>
                <w:color w:val="auto"/>
              </w:rPr>
            </w:pPr>
            <w:r>
              <w:rPr>
                <w:rFonts w:ascii="Arial" w:cs="Arial" w:eastAsia="Arial" w:hAnsi="Arial"/>
                <w:sz w:val="12"/>
                <w:szCs w:val="12"/>
                <w:b w:val="1"/>
                <w:bCs w:val="1"/>
                <w:color w:val="FFFFFF"/>
              </w:rPr>
              <w:t>2020</w:t>
            </w:r>
          </w:p>
        </w:tc>
        <w:tc>
          <w:tcPr>
            <w:tcW w:w="400" w:type="dxa"/>
            <w:vAlign w:val="bottom"/>
            <w:tcBorders>
              <w:bottom w:val="single" w:sz="8" w:color="auto"/>
            </w:tcBorders>
            <w:shd w:val="clear" w:color="auto" w:fill="1D2758"/>
          </w:tcPr>
          <w:p>
            <w:pPr>
              <w:spacing w:after="0"/>
              <w:rPr>
                <w:sz w:val="14"/>
                <w:szCs w:val="14"/>
                <w:color w:val="auto"/>
              </w:rPr>
            </w:pPr>
          </w:p>
        </w:tc>
        <w:tc>
          <w:tcPr>
            <w:tcW w:w="1280" w:type="dxa"/>
            <w:vAlign w:val="bottom"/>
            <w:tcBorders>
              <w:bottom w:val="single" w:sz="8" w:color="auto"/>
            </w:tcBorders>
            <w:shd w:val="clear" w:color="auto" w:fill="1D2758"/>
          </w:tcPr>
          <w:p>
            <w:pPr>
              <w:jc w:val="right"/>
              <w:ind w:right="639"/>
              <w:spacing w:after="0"/>
              <w:rPr>
                <w:sz w:val="20"/>
                <w:szCs w:val="20"/>
                <w:color w:val="auto"/>
              </w:rPr>
            </w:pPr>
            <w:r>
              <w:rPr>
                <w:rFonts w:ascii="Arial" w:cs="Arial" w:eastAsia="Arial" w:hAnsi="Arial"/>
                <w:sz w:val="12"/>
                <w:szCs w:val="12"/>
                <w:b w:val="1"/>
                <w:bCs w:val="1"/>
                <w:color w:val="FFFFFF"/>
              </w:rPr>
              <w:t>2021</w:t>
            </w:r>
          </w:p>
        </w:tc>
        <w:tc>
          <w:tcPr>
            <w:tcW w:w="80" w:type="dxa"/>
            <w:vAlign w:val="bottom"/>
            <w:tcBorders>
              <w:bottom w:val="single" w:sz="8" w:color="DBDBDB"/>
            </w:tcBorders>
            <w:shd w:val="clear" w:color="auto" w:fill="1D2758"/>
          </w:tcPr>
          <w:p>
            <w:pPr>
              <w:spacing w:after="0"/>
              <w:rPr>
                <w:sz w:val="14"/>
                <w:szCs w:val="14"/>
                <w:color w:val="auto"/>
              </w:rPr>
            </w:pPr>
          </w:p>
        </w:tc>
        <w:tc>
          <w:tcPr>
            <w:tcW w:w="600" w:type="dxa"/>
            <w:vAlign w:val="bottom"/>
            <w:tcBorders>
              <w:bottom w:val="single" w:sz="8" w:color="DBDBDB"/>
            </w:tcBorders>
            <w:shd w:val="clear" w:color="auto" w:fill="1D2758"/>
          </w:tcPr>
          <w:p>
            <w:pPr>
              <w:spacing w:after="0"/>
              <w:rPr>
                <w:sz w:val="14"/>
                <w:szCs w:val="14"/>
                <w:color w:val="auto"/>
              </w:rPr>
            </w:pPr>
          </w:p>
        </w:tc>
        <w:tc>
          <w:tcPr>
            <w:tcW w:w="1080" w:type="dxa"/>
            <w:vAlign w:val="bottom"/>
            <w:tcBorders>
              <w:bottom w:val="single" w:sz="8" w:color="DBDBDB"/>
            </w:tcBorders>
            <w:shd w:val="clear" w:color="auto" w:fill="1D2758"/>
          </w:tcPr>
          <w:p>
            <w:pPr>
              <w:jc w:val="right"/>
              <w:ind w:right="639"/>
              <w:spacing w:after="0"/>
              <w:rPr>
                <w:sz w:val="20"/>
                <w:szCs w:val="20"/>
                <w:color w:val="auto"/>
              </w:rPr>
            </w:pPr>
            <w:r>
              <w:rPr>
                <w:rFonts w:ascii="Arial" w:cs="Arial" w:eastAsia="Arial" w:hAnsi="Arial"/>
                <w:sz w:val="12"/>
                <w:szCs w:val="12"/>
                <w:b w:val="1"/>
                <w:bCs w:val="1"/>
                <w:color w:val="FFFFFF"/>
              </w:rPr>
              <w:t>2020</w:t>
            </w:r>
          </w:p>
        </w:tc>
      </w:tr>
      <w:tr>
        <w:trPr>
          <w:trHeight w:val="154"/>
        </w:trPr>
        <w:tc>
          <w:tcPr>
            <w:tcW w:w="4400" w:type="dxa"/>
            <w:vAlign w:val="bottom"/>
            <w:shd w:val="clear" w:color="auto" w:fill="DBDBDB"/>
          </w:tcPr>
          <w:p>
            <w:pPr>
              <w:ind w:left="20"/>
              <w:spacing w:after="0"/>
              <w:rPr>
                <w:sz w:val="20"/>
                <w:szCs w:val="20"/>
                <w:color w:val="auto"/>
              </w:rPr>
            </w:pPr>
            <w:r>
              <w:rPr>
                <w:rFonts w:ascii="Arial" w:cs="Arial" w:eastAsia="Arial" w:hAnsi="Arial"/>
                <w:sz w:val="12"/>
                <w:szCs w:val="12"/>
                <w:color w:val="auto"/>
              </w:rPr>
              <w:t>Net income (loss)</w:t>
            </w:r>
          </w:p>
        </w:tc>
        <w:tc>
          <w:tcPr>
            <w:tcW w:w="400" w:type="dxa"/>
            <w:vAlign w:val="bottom"/>
            <w:shd w:val="clear" w:color="auto" w:fill="DBDBDB"/>
          </w:tcPr>
          <w:p>
            <w:pPr>
              <w:jc w:val="right"/>
              <w:ind w:right="259"/>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20,371</w:t>
            </w:r>
          </w:p>
        </w:tc>
        <w:tc>
          <w:tcPr>
            <w:tcW w:w="80" w:type="dxa"/>
            <w:vAlign w:val="bottom"/>
            <w:shd w:val="clear" w:color="auto" w:fill="DBDBDB"/>
          </w:tcPr>
          <w:p>
            <w:pPr>
              <w:spacing w:after="0"/>
              <w:rPr>
                <w:sz w:val="13"/>
                <w:szCs w:val="13"/>
                <w:color w:val="auto"/>
              </w:rPr>
            </w:pPr>
          </w:p>
        </w:tc>
        <w:tc>
          <w:tcPr>
            <w:tcW w:w="620" w:type="dxa"/>
            <w:vAlign w:val="bottom"/>
            <w:shd w:val="clear" w:color="auto" w:fill="DBDBDB"/>
          </w:tcPr>
          <w:p>
            <w:pPr>
              <w:jc w:val="right"/>
              <w:ind w:right="479"/>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(14,130)</w:t>
            </w:r>
          </w:p>
        </w:tc>
        <w:tc>
          <w:tcPr>
            <w:tcW w:w="400" w:type="dxa"/>
            <w:vAlign w:val="bottom"/>
            <w:shd w:val="clear" w:color="auto" w:fill="DBDBDB"/>
          </w:tcPr>
          <w:p>
            <w:pPr>
              <w:spacing w:after="0"/>
              <w:rPr>
                <w:sz w:val="13"/>
                <w:szCs w:val="13"/>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24,818</w:t>
            </w:r>
          </w:p>
        </w:tc>
        <w:tc>
          <w:tcPr>
            <w:tcW w:w="80" w:type="dxa"/>
            <w:vAlign w:val="bottom"/>
            <w:shd w:val="clear" w:color="auto" w:fill="DBDBDB"/>
          </w:tcPr>
          <w:p>
            <w:pPr>
              <w:spacing w:after="0"/>
              <w:rPr>
                <w:sz w:val="13"/>
                <w:szCs w:val="13"/>
                <w:color w:val="auto"/>
              </w:rPr>
            </w:pPr>
          </w:p>
        </w:tc>
        <w:tc>
          <w:tcPr>
            <w:tcW w:w="600" w:type="dxa"/>
            <w:vAlign w:val="bottom"/>
            <w:shd w:val="clear" w:color="auto" w:fill="DBDBDB"/>
          </w:tcPr>
          <w:p>
            <w:pPr>
              <w:jc w:val="right"/>
              <w:ind w:right="459"/>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77,525</w:t>
            </w:r>
          </w:p>
        </w:tc>
      </w:tr>
      <w:tr>
        <w:trPr>
          <w:trHeight w:val="159"/>
        </w:trPr>
        <w:tc>
          <w:tcPr>
            <w:tcW w:w="4400" w:type="dxa"/>
            <w:vAlign w:val="bottom"/>
          </w:tcPr>
          <w:p>
            <w:pPr>
              <w:ind w:left="180"/>
              <w:spacing w:after="0"/>
              <w:rPr>
                <w:sz w:val="20"/>
                <w:szCs w:val="20"/>
                <w:color w:val="auto"/>
              </w:rPr>
            </w:pPr>
            <w:r>
              <w:rPr>
                <w:rFonts w:ascii="Arial" w:cs="Arial" w:eastAsia="Arial" w:hAnsi="Arial"/>
                <w:sz w:val="12"/>
                <w:szCs w:val="12"/>
                <w:color w:val="auto"/>
              </w:rPr>
              <w:t>Income tax expense (benefit)</w:t>
            </w: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18,828</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(285)</w:t>
            </w: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29,309</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505</w:t>
            </w:r>
          </w:p>
        </w:tc>
      </w:tr>
      <w:tr>
        <w:trPr>
          <w:trHeight w:val="164"/>
        </w:trPr>
        <w:tc>
          <w:tcPr>
            <w:tcW w:w="4400" w:type="dxa"/>
            <w:vAlign w:val="bottom"/>
            <w:shd w:val="clear" w:color="auto" w:fill="DBDBDB"/>
          </w:tcPr>
          <w:p>
            <w:pPr>
              <w:ind w:left="180"/>
              <w:spacing w:after="0"/>
              <w:rPr>
                <w:sz w:val="20"/>
                <w:szCs w:val="20"/>
                <w:color w:val="auto"/>
              </w:rPr>
            </w:pPr>
            <w:r>
              <w:rPr>
                <w:rFonts w:ascii="Arial" w:cs="Arial" w:eastAsia="Arial" w:hAnsi="Arial"/>
                <w:sz w:val="12"/>
                <w:szCs w:val="12"/>
                <w:color w:val="auto"/>
              </w:rPr>
              <w:t>Loss on extinguishment of debt</w:t>
            </w:r>
          </w:p>
        </w:tc>
        <w:tc>
          <w:tcPr>
            <w:tcW w:w="40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2,814</w:t>
            </w:r>
          </w:p>
        </w:tc>
        <w:tc>
          <w:tcPr>
            <w:tcW w:w="8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5,999</w:t>
            </w:r>
          </w:p>
        </w:tc>
        <w:tc>
          <w:tcPr>
            <w:tcW w:w="8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59"/>
        </w:trPr>
        <w:tc>
          <w:tcPr>
            <w:tcW w:w="4400" w:type="dxa"/>
            <w:vAlign w:val="bottom"/>
          </w:tcPr>
          <w:p>
            <w:pPr>
              <w:ind w:left="180"/>
              <w:spacing w:after="0"/>
              <w:rPr>
                <w:sz w:val="20"/>
                <w:szCs w:val="20"/>
                <w:color w:val="auto"/>
              </w:rPr>
            </w:pPr>
            <w:r>
              <w:rPr>
                <w:rFonts w:ascii="Arial" w:cs="Arial" w:eastAsia="Arial" w:hAnsi="Arial"/>
                <w:sz w:val="12"/>
                <w:szCs w:val="12"/>
                <w:color w:val="auto"/>
              </w:rPr>
              <w:t>Interest expense</w:t>
            </w: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29,212</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28,519</w:t>
            </w: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59,176</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56,776</w:t>
            </w:r>
          </w:p>
        </w:tc>
      </w:tr>
      <w:tr>
        <w:trPr>
          <w:trHeight w:val="164"/>
        </w:trPr>
        <w:tc>
          <w:tcPr>
            <w:tcW w:w="4400" w:type="dxa"/>
            <w:vAlign w:val="bottom"/>
            <w:shd w:val="clear" w:color="auto" w:fill="DBDBDB"/>
          </w:tcPr>
          <w:p>
            <w:pPr>
              <w:ind w:left="180"/>
              <w:spacing w:after="0"/>
              <w:rPr>
                <w:sz w:val="20"/>
                <w:szCs w:val="20"/>
                <w:color w:val="auto"/>
              </w:rPr>
            </w:pPr>
            <w:r>
              <w:rPr>
                <w:rFonts w:ascii="Arial" w:cs="Arial" w:eastAsia="Arial" w:hAnsi="Arial"/>
                <w:sz w:val="12"/>
                <w:szCs w:val="12"/>
                <w:color w:val="auto"/>
              </w:rPr>
              <w:t>Depreciation and amortization</w:t>
            </w:r>
          </w:p>
        </w:tc>
        <w:tc>
          <w:tcPr>
            <w:tcW w:w="40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84,515</w:t>
            </w:r>
          </w:p>
        </w:tc>
        <w:tc>
          <w:tcPr>
            <w:tcW w:w="8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48,377</w:t>
            </w:r>
          </w:p>
        </w:tc>
        <w:tc>
          <w:tcPr>
            <w:tcW w:w="40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158,537</w:t>
            </w:r>
          </w:p>
        </w:tc>
        <w:tc>
          <w:tcPr>
            <w:tcW w:w="8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97,399</w:t>
            </w:r>
          </w:p>
        </w:tc>
      </w:tr>
      <w:tr>
        <w:trPr>
          <w:trHeight w:val="159"/>
        </w:trPr>
        <w:tc>
          <w:tcPr>
            <w:tcW w:w="4400" w:type="dxa"/>
            <w:vAlign w:val="bottom"/>
          </w:tcPr>
          <w:p>
            <w:pPr>
              <w:ind w:left="180"/>
              <w:spacing w:after="0"/>
              <w:rPr>
                <w:sz w:val="20"/>
                <w:szCs w:val="20"/>
                <w:color w:val="auto"/>
              </w:rPr>
            </w:pPr>
            <w:r>
              <w:rPr>
                <w:rFonts w:ascii="Arial" w:cs="Arial" w:eastAsia="Arial" w:hAnsi="Arial"/>
                <w:sz w:val="12"/>
                <w:szCs w:val="12"/>
                <w:color w:val="auto"/>
              </w:rPr>
              <w:t>Fair value (gain) loss on common stock warrant liabilities</w:t>
            </w: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(610)</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26,963</w:t>
            </w: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26,597</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(68,366)</w:t>
            </w:r>
          </w:p>
        </w:tc>
      </w:tr>
      <w:tr>
        <w:trPr>
          <w:trHeight w:val="164"/>
        </w:trPr>
        <w:tc>
          <w:tcPr>
            <w:tcW w:w="4400" w:type="dxa"/>
            <w:vAlign w:val="bottom"/>
            <w:shd w:val="clear" w:color="auto" w:fill="DBDBDB"/>
          </w:tcPr>
          <w:p>
            <w:pPr>
              <w:ind w:left="180"/>
              <w:spacing w:after="0"/>
              <w:rPr>
                <w:sz w:val="20"/>
                <w:szCs w:val="20"/>
                <w:color w:val="auto"/>
              </w:rPr>
            </w:pPr>
            <w:r>
              <w:rPr>
                <w:rFonts w:ascii="Arial" w:cs="Arial" w:eastAsia="Arial" w:hAnsi="Arial"/>
                <w:sz w:val="12"/>
                <w:szCs w:val="12"/>
                <w:color w:val="auto"/>
              </w:rPr>
              <w:t>Currency losses (gains), net</w:t>
            </w:r>
          </w:p>
        </w:tc>
        <w:tc>
          <w:tcPr>
            <w:tcW w:w="40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w:t>
            </w:r>
          </w:p>
        </w:tc>
        <w:tc>
          <w:tcPr>
            <w:tcW w:w="8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(380)</w:t>
            </w:r>
          </w:p>
        </w:tc>
        <w:tc>
          <w:tcPr>
            <w:tcW w:w="40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69</w:t>
            </w:r>
          </w:p>
        </w:tc>
        <w:tc>
          <w:tcPr>
            <w:tcW w:w="8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518</w:t>
            </w:r>
          </w:p>
        </w:tc>
      </w:tr>
      <w:tr>
        <w:trPr>
          <w:trHeight w:val="159"/>
        </w:trPr>
        <w:tc>
          <w:tcPr>
            <w:tcW w:w="4400" w:type="dxa"/>
            <w:vAlign w:val="bottom"/>
          </w:tcPr>
          <w:p>
            <w:pPr>
              <w:ind w:left="180"/>
              <w:spacing w:after="0"/>
              <w:rPr>
                <w:sz w:val="20"/>
                <w:szCs w:val="20"/>
                <w:color w:val="auto"/>
              </w:rPr>
            </w:pPr>
            <w:r>
              <w:rPr>
                <w:rFonts w:ascii="Arial" w:cs="Arial" w:eastAsia="Arial" w:hAnsi="Arial"/>
                <w:sz w:val="12"/>
                <w:szCs w:val="12"/>
                <w:color w:val="auto"/>
              </w:rPr>
              <w:t>Restructuring costs, lease impairment expense and other related charges</w:t>
            </w: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7,434</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2,143</w:t>
            </w: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11,829</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3,744</w:t>
            </w:r>
          </w:p>
        </w:tc>
      </w:tr>
      <w:tr>
        <w:trPr>
          <w:trHeight w:val="164"/>
        </w:trPr>
        <w:tc>
          <w:tcPr>
            <w:tcW w:w="4400" w:type="dxa"/>
            <w:vAlign w:val="bottom"/>
            <w:shd w:val="clear" w:color="auto" w:fill="DBDBDB"/>
          </w:tcPr>
          <w:p>
            <w:pPr>
              <w:ind w:left="180"/>
              <w:spacing w:after="0"/>
              <w:rPr>
                <w:sz w:val="20"/>
                <w:szCs w:val="20"/>
                <w:color w:val="auto"/>
              </w:rPr>
            </w:pPr>
            <w:r>
              <w:rPr>
                <w:rFonts w:ascii="Arial" w:cs="Arial" w:eastAsia="Arial" w:hAnsi="Arial"/>
                <w:sz w:val="12"/>
                <w:szCs w:val="12"/>
                <w:color w:val="auto"/>
              </w:rPr>
              <w:t>Transaction costs</w:t>
            </w:r>
          </w:p>
        </w:tc>
        <w:tc>
          <w:tcPr>
            <w:tcW w:w="400" w:type="dxa"/>
            <w:vAlign w:val="bottom"/>
            <w:shd w:val="clear" w:color="auto" w:fill="DBDBDB"/>
          </w:tcPr>
          <w:p>
            <w:pPr>
              <w:spacing w:after="0"/>
              <w:rPr>
                <w:sz w:val="14"/>
                <w:szCs w:val="14"/>
                <w:color w:val="auto"/>
              </w:rPr>
            </w:pPr>
          </w:p>
        </w:tc>
        <w:tc>
          <w:tcPr>
            <w:tcW w:w="136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DBDBDB"/>
          </w:tcPr>
          <w:p>
            <w:pPr>
              <w:spacing w:after="0"/>
              <w:rPr>
                <w:sz w:val="14"/>
                <w:szCs w:val="1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1,619</w:t>
            </w:r>
          </w:p>
        </w:tc>
        <w:tc>
          <w:tcPr>
            <w:tcW w:w="40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844</w:t>
            </w:r>
          </w:p>
        </w:tc>
        <w:tc>
          <w:tcPr>
            <w:tcW w:w="8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11,050</w:t>
            </w:r>
          </w:p>
        </w:tc>
      </w:tr>
      <w:tr>
        <w:trPr>
          <w:trHeight w:val="159"/>
        </w:trPr>
        <w:tc>
          <w:tcPr>
            <w:tcW w:w="4400" w:type="dxa"/>
            <w:vAlign w:val="bottom"/>
          </w:tcPr>
          <w:p>
            <w:pPr>
              <w:ind w:left="180"/>
              <w:spacing w:after="0"/>
              <w:rPr>
                <w:sz w:val="20"/>
                <w:szCs w:val="20"/>
                <w:color w:val="auto"/>
              </w:rPr>
            </w:pPr>
            <w:r>
              <w:rPr>
                <w:rFonts w:ascii="Arial" w:cs="Arial" w:eastAsia="Arial" w:hAnsi="Arial"/>
                <w:sz w:val="12"/>
                <w:szCs w:val="12"/>
                <w:color w:val="auto"/>
              </w:rPr>
              <w:t>Integration costs</w:t>
            </w: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7,622</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2,153</w:t>
            </w: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14,964</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3,839</w:t>
            </w:r>
          </w:p>
        </w:tc>
      </w:tr>
      <w:tr>
        <w:trPr>
          <w:trHeight w:val="164"/>
        </w:trPr>
        <w:tc>
          <w:tcPr>
            <w:tcW w:w="440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Stock compensation expense</w:t>
            </w:r>
          </w:p>
        </w:tc>
        <w:tc>
          <w:tcPr>
            <w:tcW w:w="40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4,707</w:t>
            </w:r>
          </w:p>
        </w:tc>
        <w:tc>
          <w:tcPr>
            <w:tcW w:w="8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2,227</w:t>
            </w:r>
          </w:p>
        </w:tc>
        <w:tc>
          <w:tcPr>
            <w:tcW w:w="40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8,221</w:t>
            </w:r>
          </w:p>
        </w:tc>
        <w:tc>
          <w:tcPr>
            <w:tcW w:w="8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4,014</w:t>
            </w:r>
          </w:p>
        </w:tc>
      </w:tr>
      <w:tr>
        <w:trPr>
          <w:trHeight w:val="159"/>
        </w:trPr>
        <w:tc>
          <w:tcPr>
            <w:tcW w:w="4400" w:type="dxa"/>
            <w:vAlign w:val="bottom"/>
            <w:tcBorders>
              <w:bottom w:val="single" w:sz="8" w:color="DBDBDB"/>
            </w:tcBorders>
          </w:tcPr>
          <w:p>
            <w:pPr>
              <w:ind w:left="180"/>
              <w:spacing w:after="0"/>
              <w:rPr>
                <w:sz w:val="20"/>
                <w:szCs w:val="20"/>
                <w:color w:val="auto"/>
              </w:rPr>
            </w:pPr>
            <w:r>
              <w:rPr>
                <w:rFonts w:ascii="Arial" w:cs="Arial" w:eastAsia="Arial" w:hAnsi="Arial"/>
                <w:sz w:val="12"/>
                <w:szCs w:val="12"/>
                <w:color w:val="auto"/>
              </w:rPr>
              <w:t>Other</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569</w:t>
            </w:r>
          </w:p>
        </w:tc>
        <w:tc>
          <w:tcPr>
            <w:tcW w:w="80" w:type="dxa"/>
            <w:vAlign w:val="bottom"/>
            <w:tcBorders>
              <w:bottom w:val="single" w:sz="8" w:color="DBDBDB"/>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314</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(1,283)</w:t>
            </w: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w:t>
            </w:r>
          </w:p>
        </w:tc>
      </w:tr>
      <w:tr>
        <w:trPr>
          <w:trHeight w:val="199"/>
        </w:trPr>
        <w:tc>
          <w:tcPr>
            <w:tcW w:w="4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Adjusted EBITDA</w:t>
            </w:r>
          </w:p>
        </w:tc>
        <w:tc>
          <w:tcPr>
            <w:tcW w:w="400" w:type="dxa"/>
            <w:vAlign w:val="bottom"/>
            <w:tcBorders>
              <w:bottom w:val="single" w:sz="8" w:color="auto"/>
            </w:tcBorders>
            <w:shd w:val="clear" w:color="auto" w:fill="DBDBDB"/>
          </w:tcPr>
          <w:p>
            <w:pPr>
              <w:jc w:val="right"/>
              <w:ind w:right="259"/>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175,495</w:t>
            </w:r>
          </w:p>
        </w:tc>
        <w:tc>
          <w:tcPr>
            <w:tcW w:w="80" w:type="dxa"/>
            <w:vAlign w:val="bottom"/>
            <w:tcBorders>
              <w:bottom w:val="single" w:sz="8" w:color="DBDBDB"/>
            </w:tcBorders>
            <w:shd w:val="clear" w:color="auto" w:fill="DBDBDB"/>
          </w:tcPr>
          <w:p>
            <w:pPr>
              <w:spacing w:after="0"/>
              <w:rPr>
                <w:sz w:val="16"/>
                <w:szCs w:val="16"/>
                <w:color w:val="auto"/>
              </w:rPr>
            </w:pPr>
          </w:p>
        </w:tc>
        <w:tc>
          <w:tcPr>
            <w:tcW w:w="620" w:type="dxa"/>
            <w:vAlign w:val="bottom"/>
            <w:tcBorders>
              <w:bottom w:val="single" w:sz="8" w:color="auto"/>
            </w:tcBorders>
            <w:shd w:val="clear" w:color="auto" w:fill="DBDBDB"/>
          </w:tcPr>
          <w:p>
            <w:pPr>
              <w:jc w:val="right"/>
              <w:ind w:right="479"/>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97,520</w:t>
            </w:r>
          </w:p>
        </w:tc>
        <w:tc>
          <w:tcPr>
            <w:tcW w:w="400" w:type="dxa"/>
            <w:vAlign w:val="bottom"/>
            <w:tcBorders>
              <w:bottom w:val="single" w:sz="8" w:color="auto"/>
            </w:tcBorders>
            <w:shd w:val="clear" w:color="auto" w:fill="DBDBDB"/>
          </w:tcPr>
          <w:p>
            <w:pPr>
              <w:jc w:val="right"/>
              <w:ind w:right="259"/>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339,080</w:t>
            </w:r>
          </w:p>
        </w:tc>
        <w:tc>
          <w:tcPr>
            <w:tcW w:w="80" w:type="dxa"/>
            <w:vAlign w:val="bottom"/>
            <w:tcBorders>
              <w:bottom w:val="single" w:sz="8" w:color="DBDBDB"/>
            </w:tcBorders>
            <w:shd w:val="clear" w:color="auto" w:fill="DBDBDB"/>
          </w:tcPr>
          <w:p>
            <w:pPr>
              <w:spacing w:after="0"/>
              <w:rPr>
                <w:sz w:val="16"/>
                <w:szCs w:val="16"/>
                <w:color w:val="auto"/>
              </w:rPr>
            </w:pPr>
          </w:p>
        </w:tc>
        <w:tc>
          <w:tcPr>
            <w:tcW w:w="600" w:type="dxa"/>
            <w:vAlign w:val="bottom"/>
            <w:tcBorders>
              <w:bottom w:val="single" w:sz="8" w:color="auto"/>
            </w:tcBorders>
            <w:shd w:val="clear" w:color="auto" w:fill="DBDBDB"/>
          </w:tcPr>
          <w:p>
            <w:pPr>
              <w:jc w:val="right"/>
              <w:ind w:right="459"/>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187,062</w:t>
            </w:r>
          </w:p>
        </w:tc>
      </w:tr>
      <w:tr>
        <w:trPr>
          <w:trHeight w:val="20"/>
        </w:trPr>
        <w:tc>
          <w:tcPr>
            <w:tcW w:w="44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tcBorders>
            <w:shd w:val="clear" w:color="auto" w:fill="000000"/>
          </w:tcPr>
          <w:p>
            <w:pPr>
              <w:spacing w:after="0" w:line="20" w:lineRule="exact"/>
              <w:rPr>
                <w:sz w:val="1"/>
                <w:szCs w:val="1"/>
                <w:color w:val="auto"/>
              </w:rPr>
            </w:pPr>
          </w:p>
        </w:tc>
        <w:tc>
          <w:tcPr>
            <w:tcW w:w="1280" w:type="dxa"/>
            <w:vAlign w:val="bottom"/>
            <w:tcBorders>
              <w:top w:val="single" w:sz="8" w:color="DBDBDB"/>
            </w:tcBorders>
            <w:shd w:val="clear" w:color="auto" w:fill="000000"/>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tcBorders>
            <w:shd w:val="clear" w:color="auto" w:fill="000000"/>
          </w:tcPr>
          <w:p>
            <w:pPr>
              <w:spacing w:after="0" w:line="20" w:lineRule="exact"/>
              <w:rPr>
                <w:sz w:val="1"/>
                <w:szCs w:val="1"/>
                <w:color w:val="auto"/>
              </w:rPr>
            </w:pPr>
          </w:p>
        </w:tc>
        <w:tc>
          <w:tcPr>
            <w:tcW w:w="1060" w:type="dxa"/>
            <w:vAlign w:val="bottom"/>
            <w:tcBorders>
              <w:top w:val="single" w:sz="8" w:color="DBDBDB"/>
            </w:tcBorders>
            <w:shd w:val="clear" w:color="auto" w:fill="000000"/>
          </w:tcPr>
          <w:p>
            <w:pPr>
              <w:spacing w:after="0" w:line="20" w:lineRule="exact"/>
              <w:rPr>
                <w:sz w:val="1"/>
                <w:szCs w:val="1"/>
                <w:color w:val="auto"/>
              </w:rPr>
            </w:pPr>
          </w:p>
        </w:tc>
        <w:tc>
          <w:tcPr>
            <w:tcW w:w="400" w:type="dxa"/>
            <w:vAlign w:val="bottom"/>
            <w:tcBorders>
              <w:top w:val="single" w:sz="8" w:color="DBDBDB"/>
            </w:tcBorders>
            <w:shd w:val="clear" w:color="auto" w:fill="000000"/>
          </w:tcPr>
          <w:p>
            <w:pPr>
              <w:spacing w:after="0" w:line="20" w:lineRule="exact"/>
              <w:rPr>
                <w:sz w:val="1"/>
                <w:szCs w:val="1"/>
                <w:color w:val="auto"/>
              </w:rPr>
            </w:pPr>
          </w:p>
        </w:tc>
        <w:tc>
          <w:tcPr>
            <w:tcW w:w="1280" w:type="dxa"/>
            <w:vAlign w:val="bottom"/>
            <w:tcBorders>
              <w:top w:val="single" w:sz="8" w:color="DBDBDB"/>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DBDBDB"/>
            </w:tcBorders>
            <w:shd w:val="clear" w:color="auto" w:fill="000000"/>
          </w:tcPr>
          <w:p>
            <w:pPr>
              <w:spacing w:after="0" w:line="20" w:lineRule="exact"/>
              <w:rPr>
                <w:sz w:val="1"/>
                <w:szCs w:val="1"/>
                <w:color w:val="auto"/>
              </w:rPr>
            </w:pPr>
          </w:p>
        </w:tc>
        <w:tc>
          <w:tcPr>
            <w:tcW w:w="1080" w:type="dxa"/>
            <w:vAlign w:val="bottom"/>
            <w:tcBorders>
              <w:top w:val="single" w:sz="8" w:color="DBDBDB"/>
            </w:tcBorders>
            <w:shd w:val="clear" w:color="auto" w:fill="000000"/>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Income Excluding Gain/Loss from Warrants</w:t>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We define Net Income Excluding Gain/Loss from Warrants as Net Income plus or minus the impact of the change in the fair value of the common stock warrant liability. Management believes that our</w:t>
      </w:r>
    </w:p>
    <w:tbl>
      <w:tblPr>
        <w:tblLayout w:type="fixed"/>
        <w:tblInd w:w="0" w:type="dxa"/>
        <w:tblCellMar>
          <w:top w:w="0" w:type="dxa"/>
          <w:left w:w="0" w:type="dxa"/>
          <w:bottom w:w="0" w:type="dxa"/>
          <w:right w:w="0" w:type="dxa"/>
        </w:tblCellMar>
      </w:tblPr>
      <w:tr>
        <w:trPr>
          <w:trHeight w:val="153"/>
        </w:trPr>
        <w:tc>
          <w:tcPr>
            <w:tcW w:w="3320" w:type="dxa"/>
            <w:vAlign w:val="bottom"/>
          </w:tcPr>
          <w:p>
            <w:pPr>
              <w:spacing w:after="0"/>
              <w:rPr>
                <w:sz w:val="20"/>
                <w:szCs w:val="20"/>
                <w:color w:val="auto"/>
              </w:rPr>
            </w:pPr>
            <w:r>
              <w:rPr>
                <w:rFonts w:ascii="Arial" w:cs="Arial" w:eastAsia="Arial" w:hAnsi="Arial"/>
                <w:sz w:val="12"/>
                <w:szCs w:val="12"/>
                <w:color w:val="auto"/>
              </w:rPr>
              <w:t>financial  statements  that  include  the  impact  of  this</w:t>
            </w:r>
          </w:p>
        </w:tc>
        <w:tc>
          <w:tcPr>
            <w:tcW w:w="2300" w:type="dxa"/>
            <w:vAlign w:val="bottom"/>
            <w:gridSpan w:val="2"/>
          </w:tcPr>
          <w:p>
            <w:pPr>
              <w:jc w:val="right"/>
              <w:spacing w:after="0"/>
              <w:rPr>
                <w:sz w:val="20"/>
                <w:szCs w:val="20"/>
                <w:color w:val="auto"/>
              </w:rPr>
            </w:pPr>
            <w:r>
              <w:rPr>
                <w:rFonts w:ascii="Arial" w:cs="Arial" w:eastAsia="Arial" w:hAnsi="Arial"/>
                <w:sz w:val="12"/>
                <w:szCs w:val="12"/>
                <w:color w:val="auto"/>
              </w:rPr>
              <w:t>mark-to-market  expense  or  income</w:t>
            </w:r>
          </w:p>
        </w:tc>
        <w:tc>
          <w:tcPr>
            <w:tcW w:w="360" w:type="dxa"/>
            <w:vAlign w:val="bottom"/>
          </w:tcPr>
          <w:p>
            <w:pPr>
              <w:jc w:val="right"/>
              <w:spacing w:after="0"/>
              <w:rPr>
                <w:sz w:val="20"/>
                <w:szCs w:val="20"/>
                <w:color w:val="auto"/>
              </w:rPr>
            </w:pPr>
            <w:r>
              <w:rPr>
                <w:rFonts w:ascii="Arial" w:cs="Arial" w:eastAsia="Arial" w:hAnsi="Arial"/>
                <w:sz w:val="12"/>
                <w:szCs w:val="12"/>
                <w:color w:val="auto"/>
              </w:rPr>
              <w:t>may</w:t>
            </w:r>
          </w:p>
        </w:tc>
        <w:tc>
          <w:tcPr>
            <w:tcW w:w="2100" w:type="dxa"/>
            <w:vAlign w:val="bottom"/>
            <w:gridSpan w:val="2"/>
          </w:tcPr>
          <w:p>
            <w:pPr>
              <w:jc w:val="right"/>
              <w:spacing w:after="0"/>
              <w:rPr>
                <w:sz w:val="20"/>
                <w:szCs w:val="20"/>
                <w:color w:val="auto"/>
              </w:rPr>
            </w:pPr>
            <w:r>
              <w:rPr>
                <w:rFonts w:ascii="Arial" w:cs="Arial" w:eastAsia="Arial" w:hAnsi="Arial"/>
                <w:sz w:val="12"/>
                <w:szCs w:val="12"/>
                <w:color w:val="auto"/>
              </w:rPr>
              <w:t>not  be  necessarily  reflective  of</w:t>
            </w:r>
          </w:p>
        </w:tc>
        <w:tc>
          <w:tcPr>
            <w:tcW w:w="1300" w:type="dxa"/>
            <w:vAlign w:val="bottom"/>
          </w:tcPr>
          <w:p>
            <w:pPr>
              <w:jc w:val="right"/>
              <w:spacing w:after="0"/>
              <w:rPr>
                <w:sz w:val="20"/>
                <w:szCs w:val="20"/>
                <w:color w:val="auto"/>
              </w:rPr>
            </w:pPr>
            <w:r>
              <w:rPr>
                <w:rFonts w:ascii="Arial" w:cs="Arial" w:eastAsia="Arial" w:hAnsi="Arial"/>
                <w:sz w:val="12"/>
                <w:szCs w:val="12"/>
                <w:color w:val="auto"/>
              </w:rPr>
              <w:t>the  actual  financial</w:t>
            </w:r>
          </w:p>
        </w:tc>
        <w:tc>
          <w:tcPr>
            <w:tcW w:w="1000" w:type="dxa"/>
            <w:vAlign w:val="bottom"/>
          </w:tcPr>
          <w:p>
            <w:pPr>
              <w:jc w:val="right"/>
              <w:spacing w:after="0"/>
              <w:rPr>
                <w:sz w:val="20"/>
                <w:szCs w:val="20"/>
                <w:color w:val="auto"/>
              </w:rPr>
            </w:pPr>
            <w:r>
              <w:rPr>
                <w:rFonts w:ascii="Arial" w:cs="Arial" w:eastAsia="Arial" w:hAnsi="Arial"/>
                <w:sz w:val="12"/>
                <w:szCs w:val="12"/>
                <w:color w:val="auto"/>
              </w:rPr>
              <w:t>performance  of</w:t>
            </w:r>
          </w:p>
        </w:tc>
        <w:tc>
          <w:tcPr>
            <w:tcW w:w="900" w:type="dxa"/>
            <w:vAlign w:val="bottom"/>
          </w:tcPr>
          <w:p>
            <w:pPr>
              <w:jc w:val="right"/>
              <w:spacing w:after="0"/>
              <w:rPr>
                <w:sz w:val="20"/>
                <w:szCs w:val="20"/>
                <w:color w:val="auto"/>
              </w:rPr>
            </w:pPr>
            <w:r>
              <w:rPr>
                <w:rFonts w:ascii="Arial" w:cs="Arial" w:eastAsia="Arial" w:hAnsi="Arial"/>
                <w:sz w:val="12"/>
                <w:szCs w:val="12"/>
                <w:color w:val="auto"/>
              </w:rPr>
              <w:t>our  business.</w:t>
            </w:r>
          </w:p>
        </w:tc>
        <w:tc>
          <w:tcPr>
            <w:tcW w:w="0" w:type="dxa"/>
            <w:vAlign w:val="bottom"/>
          </w:tcPr>
          <w:p>
            <w:pPr>
              <w:spacing w:after="0"/>
              <w:rPr>
                <w:sz w:val="1"/>
                <w:szCs w:val="1"/>
                <w:color w:val="auto"/>
              </w:rPr>
            </w:pPr>
          </w:p>
        </w:tc>
      </w:tr>
      <w:tr>
        <w:trPr>
          <w:trHeight w:val="167"/>
        </w:trPr>
        <w:tc>
          <w:tcPr>
            <w:tcW w:w="3320" w:type="dxa"/>
            <w:vAlign w:val="bottom"/>
            <w:shd w:val="clear" w:color="auto" w:fill="1D2758"/>
          </w:tcPr>
          <w:p>
            <w:pPr>
              <w:spacing w:after="0"/>
              <w:rPr>
                <w:sz w:val="14"/>
                <w:szCs w:val="14"/>
                <w:color w:val="auto"/>
              </w:rPr>
            </w:pPr>
          </w:p>
        </w:tc>
        <w:tc>
          <w:tcPr>
            <w:tcW w:w="820" w:type="dxa"/>
            <w:vAlign w:val="bottom"/>
            <w:shd w:val="clear" w:color="auto" w:fill="1D2758"/>
          </w:tcPr>
          <w:p>
            <w:pPr>
              <w:spacing w:after="0"/>
              <w:rPr>
                <w:sz w:val="14"/>
                <w:szCs w:val="14"/>
                <w:color w:val="auto"/>
              </w:rPr>
            </w:pPr>
          </w:p>
        </w:tc>
        <w:tc>
          <w:tcPr>
            <w:tcW w:w="3420" w:type="dxa"/>
            <w:vAlign w:val="bottom"/>
            <w:gridSpan w:val="3"/>
            <w:shd w:val="clear" w:color="auto" w:fill="1D2758"/>
          </w:tcPr>
          <w:p>
            <w:pPr>
              <w:jc w:val="right"/>
              <w:ind w:right="1079"/>
              <w:spacing w:after="0"/>
              <w:rPr>
                <w:sz w:val="20"/>
                <w:szCs w:val="20"/>
                <w:color w:val="auto"/>
              </w:rPr>
            </w:pPr>
            <w:r>
              <w:rPr>
                <w:rFonts w:ascii="Arial" w:cs="Arial" w:eastAsia="Arial" w:hAnsi="Arial"/>
                <w:sz w:val="12"/>
                <w:szCs w:val="12"/>
                <w:b w:val="1"/>
                <w:bCs w:val="1"/>
                <w:color w:val="FFFFFF"/>
              </w:rPr>
              <w:t>Three Months Ended June 30,</w:t>
            </w:r>
          </w:p>
        </w:tc>
        <w:tc>
          <w:tcPr>
            <w:tcW w:w="520" w:type="dxa"/>
            <w:vAlign w:val="bottom"/>
            <w:shd w:val="clear" w:color="auto" w:fill="1D2758"/>
          </w:tcPr>
          <w:p>
            <w:pPr>
              <w:spacing w:after="0"/>
              <w:rPr>
                <w:sz w:val="14"/>
                <w:szCs w:val="14"/>
                <w:color w:val="auto"/>
              </w:rPr>
            </w:pPr>
          </w:p>
        </w:tc>
        <w:tc>
          <w:tcPr>
            <w:tcW w:w="2300" w:type="dxa"/>
            <w:vAlign w:val="bottom"/>
            <w:gridSpan w:val="2"/>
            <w:shd w:val="clear" w:color="auto" w:fill="1D2758"/>
          </w:tcPr>
          <w:p>
            <w:pPr>
              <w:jc w:val="right"/>
              <w:spacing w:after="0"/>
              <w:rPr>
                <w:sz w:val="20"/>
                <w:szCs w:val="20"/>
                <w:color w:val="auto"/>
              </w:rPr>
            </w:pPr>
            <w:r>
              <w:rPr>
                <w:rFonts w:ascii="Arial" w:cs="Arial" w:eastAsia="Arial" w:hAnsi="Arial"/>
                <w:sz w:val="12"/>
                <w:szCs w:val="12"/>
                <w:b w:val="1"/>
                <w:bCs w:val="1"/>
                <w:color w:val="FFFFFF"/>
              </w:rPr>
              <w:t>Six Months Ended June 30,</w:t>
            </w:r>
          </w:p>
        </w:tc>
        <w:tc>
          <w:tcPr>
            <w:tcW w:w="90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shd w:val="clear" w:color="auto" w:fill="1D2758"/>
          </w:tcPr>
          <w:p>
            <w:pPr>
              <w:ind w:left="500"/>
              <w:spacing w:after="0"/>
              <w:rPr>
                <w:sz w:val="20"/>
                <w:szCs w:val="20"/>
                <w:color w:val="auto"/>
              </w:rPr>
            </w:pPr>
            <w:r>
              <w:rPr>
                <w:rFonts w:ascii="Arial" w:cs="Arial" w:eastAsia="Arial" w:hAnsi="Arial"/>
                <w:sz w:val="12"/>
                <w:szCs w:val="12"/>
                <w:b w:val="1"/>
                <w:bCs w:val="1"/>
                <w:i w:val="1"/>
                <w:iCs w:val="1"/>
                <w:color w:val="FFFFFF"/>
              </w:rPr>
              <w:t>(in thousands)</w:t>
            </w:r>
          </w:p>
        </w:tc>
        <w:tc>
          <w:tcPr>
            <w:tcW w:w="820" w:type="dxa"/>
            <w:vAlign w:val="bottom"/>
            <w:shd w:val="clear" w:color="auto" w:fill="1D2758"/>
          </w:tcPr>
          <w:p>
            <w:pPr>
              <w:spacing w:after="0"/>
              <w:rPr>
                <w:sz w:val="14"/>
                <w:szCs w:val="14"/>
                <w:color w:val="auto"/>
              </w:rPr>
            </w:pPr>
          </w:p>
        </w:tc>
        <w:tc>
          <w:tcPr>
            <w:tcW w:w="1480" w:type="dxa"/>
            <w:vAlign w:val="bottom"/>
            <w:shd w:val="clear" w:color="auto" w:fill="1D2758"/>
          </w:tcPr>
          <w:p>
            <w:pPr>
              <w:jc w:val="right"/>
              <w:ind w:right="899"/>
              <w:spacing w:after="0"/>
              <w:rPr>
                <w:sz w:val="20"/>
                <w:szCs w:val="20"/>
                <w:color w:val="auto"/>
              </w:rPr>
            </w:pPr>
            <w:r>
              <w:rPr>
                <w:rFonts w:ascii="Arial" w:cs="Arial" w:eastAsia="Arial" w:hAnsi="Arial"/>
                <w:sz w:val="12"/>
                <w:szCs w:val="12"/>
                <w:b w:val="1"/>
                <w:bCs w:val="1"/>
                <w:color w:val="FFFFFF"/>
              </w:rPr>
              <w:t>2021</w:t>
            </w:r>
          </w:p>
        </w:tc>
        <w:tc>
          <w:tcPr>
            <w:tcW w:w="360" w:type="dxa"/>
            <w:vAlign w:val="bottom"/>
            <w:shd w:val="clear" w:color="auto" w:fill="1D2758"/>
          </w:tcPr>
          <w:p>
            <w:pPr>
              <w:spacing w:after="0"/>
              <w:rPr>
                <w:sz w:val="14"/>
                <w:szCs w:val="14"/>
                <w:color w:val="auto"/>
              </w:rPr>
            </w:pPr>
          </w:p>
        </w:tc>
        <w:tc>
          <w:tcPr>
            <w:tcW w:w="1580" w:type="dxa"/>
            <w:vAlign w:val="bottom"/>
            <w:shd w:val="clear" w:color="auto" w:fill="1D2758"/>
          </w:tcPr>
          <w:p>
            <w:pPr>
              <w:jc w:val="right"/>
              <w:ind w:right="799"/>
              <w:spacing w:after="0"/>
              <w:rPr>
                <w:sz w:val="20"/>
                <w:szCs w:val="20"/>
                <w:color w:val="auto"/>
              </w:rPr>
            </w:pPr>
            <w:r>
              <w:rPr>
                <w:rFonts w:ascii="Arial" w:cs="Arial" w:eastAsia="Arial" w:hAnsi="Arial"/>
                <w:sz w:val="12"/>
                <w:szCs w:val="12"/>
                <w:b w:val="1"/>
                <w:bCs w:val="1"/>
                <w:color w:val="FFFFFF"/>
              </w:rPr>
              <w:t>2020</w:t>
            </w:r>
          </w:p>
        </w:tc>
        <w:tc>
          <w:tcPr>
            <w:tcW w:w="520" w:type="dxa"/>
            <w:vAlign w:val="bottom"/>
            <w:shd w:val="clear" w:color="auto" w:fill="1D2758"/>
          </w:tcPr>
          <w:p>
            <w:pPr>
              <w:spacing w:after="0"/>
              <w:rPr>
                <w:sz w:val="14"/>
                <w:szCs w:val="14"/>
                <w:color w:val="auto"/>
              </w:rPr>
            </w:pPr>
          </w:p>
        </w:tc>
        <w:tc>
          <w:tcPr>
            <w:tcW w:w="1300" w:type="dxa"/>
            <w:vAlign w:val="bottom"/>
            <w:shd w:val="clear" w:color="auto" w:fill="1D2758"/>
          </w:tcPr>
          <w:p>
            <w:pPr>
              <w:jc w:val="right"/>
              <w:ind w:right="659"/>
              <w:spacing w:after="0"/>
              <w:rPr>
                <w:sz w:val="20"/>
                <w:szCs w:val="20"/>
                <w:color w:val="auto"/>
              </w:rPr>
            </w:pPr>
            <w:r>
              <w:rPr>
                <w:rFonts w:ascii="Arial" w:cs="Arial" w:eastAsia="Arial" w:hAnsi="Arial"/>
                <w:sz w:val="12"/>
                <w:szCs w:val="12"/>
                <w:b w:val="1"/>
                <w:bCs w:val="1"/>
                <w:color w:val="FFFFFF"/>
              </w:rPr>
              <w:t>2021</w:t>
            </w:r>
          </w:p>
        </w:tc>
        <w:tc>
          <w:tcPr>
            <w:tcW w:w="1000" w:type="dxa"/>
            <w:vAlign w:val="bottom"/>
            <w:shd w:val="clear" w:color="auto" w:fill="1D2758"/>
          </w:tcPr>
          <w:p>
            <w:pPr>
              <w:spacing w:after="0"/>
              <w:rPr>
                <w:sz w:val="14"/>
                <w:szCs w:val="14"/>
                <w:color w:val="auto"/>
              </w:rPr>
            </w:pPr>
          </w:p>
        </w:tc>
        <w:tc>
          <w:tcPr>
            <w:tcW w:w="900" w:type="dxa"/>
            <w:vAlign w:val="bottom"/>
            <w:shd w:val="clear" w:color="auto" w:fill="1D2758"/>
          </w:tcPr>
          <w:p>
            <w:pPr>
              <w:jc w:val="right"/>
              <w:ind w:right="519"/>
              <w:spacing w:after="0"/>
              <w:rPr>
                <w:sz w:val="20"/>
                <w:szCs w:val="20"/>
                <w:color w:val="auto"/>
              </w:rPr>
            </w:pPr>
            <w:r>
              <w:rPr>
                <w:rFonts w:ascii="Arial" w:cs="Arial" w:eastAsia="Arial" w:hAnsi="Arial"/>
                <w:sz w:val="12"/>
                <w:szCs w:val="12"/>
                <w:b w:val="1"/>
                <w:bCs w:val="1"/>
                <w:color w:val="FFFFFF"/>
              </w:rPr>
              <w:t>2020</w:t>
            </w:r>
          </w:p>
        </w:tc>
        <w:tc>
          <w:tcPr>
            <w:tcW w:w="0" w:type="dxa"/>
            <w:vAlign w:val="bottom"/>
          </w:tcPr>
          <w:p>
            <w:pPr>
              <w:spacing w:after="0"/>
              <w:rPr>
                <w:sz w:val="1"/>
                <w:szCs w:val="1"/>
                <w:color w:val="auto"/>
              </w:rPr>
            </w:pPr>
          </w:p>
        </w:tc>
      </w:tr>
      <w:tr>
        <w:trPr>
          <w:trHeight w:val="161"/>
        </w:trPr>
        <w:tc>
          <w:tcPr>
            <w:tcW w:w="3320" w:type="dxa"/>
            <w:vAlign w:val="bottom"/>
            <w:shd w:val="clear" w:color="auto" w:fill="DBDBDB"/>
          </w:tcPr>
          <w:p>
            <w:pPr>
              <w:ind w:left="500"/>
              <w:spacing w:after="0"/>
              <w:rPr>
                <w:sz w:val="20"/>
                <w:szCs w:val="20"/>
                <w:color w:val="auto"/>
              </w:rPr>
            </w:pPr>
            <w:r>
              <w:rPr>
                <w:rFonts w:ascii="Arial" w:cs="Arial" w:eastAsia="Arial" w:hAnsi="Arial"/>
                <w:sz w:val="12"/>
                <w:szCs w:val="12"/>
                <w:color w:val="auto"/>
              </w:rPr>
              <w:t>Net income (loss)</w:t>
            </w:r>
          </w:p>
        </w:tc>
        <w:tc>
          <w:tcPr>
            <w:tcW w:w="820" w:type="dxa"/>
            <w:vAlign w:val="bottom"/>
            <w:shd w:val="clear" w:color="auto" w:fill="DBDBDB"/>
          </w:tcPr>
          <w:p>
            <w:pPr>
              <w:jc w:val="right"/>
              <w:ind w:right="19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20,371</w:t>
            </w:r>
          </w:p>
        </w:tc>
        <w:tc>
          <w:tcPr>
            <w:tcW w:w="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580" w:type="dxa"/>
            <w:vAlign w:val="bottom"/>
            <w:shd w:val="clear" w:color="auto" w:fill="DBDBDB"/>
          </w:tcPr>
          <w:p>
            <w:pPr>
              <w:jc w:val="right"/>
              <w:ind w:right="199"/>
              <w:spacing w:after="0"/>
              <w:rPr>
                <w:sz w:val="20"/>
                <w:szCs w:val="20"/>
                <w:color w:val="auto"/>
              </w:rPr>
            </w:pPr>
            <w:r>
              <w:rPr>
                <w:rFonts w:ascii="Arial" w:cs="Arial" w:eastAsia="Arial" w:hAnsi="Arial"/>
                <w:sz w:val="12"/>
                <w:szCs w:val="12"/>
                <w:color w:val="auto"/>
              </w:rPr>
              <w:t>(14,130)</w:t>
            </w:r>
          </w:p>
        </w:tc>
        <w:tc>
          <w:tcPr>
            <w:tcW w:w="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w:t>
            </w:r>
          </w:p>
        </w:tc>
        <w:tc>
          <w:tcPr>
            <w:tcW w:w="130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rPr>
              <w:t>24,818</w:t>
            </w:r>
          </w:p>
        </w:tc>
        <w:tc>
          <w:tcPr>
            <w:tcW w:w="1000" w:type="dxa"/>
            <w:vAlign w:val="bottom"/>
            <w:shd w:val="clear" w:color="auto" w:fill="DBDBDB"/>
          </w:tcPr>
          <w:p>
            <w:pPr>
              <w:jc w:val="right"/>
              <w:ind w:right="419"/>
              <w:spacing w:after="0"/>
              <w:rPr>
                <w:sz w:val="20"/>
                <w:szCs w:val="20"/>
                <w:color w:val="auto"/>
              </w:rPr>
            </w:pPr>
            <w:r>
              <w:rPr>
                <w:rFonts w:ascii="Arial" w:cs="Arial" w:eastAsia="Arial" w:hAnsi="Arial"/>
                <w:sz w:val="12"/>
                <w:szCs w:val="12"/>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77,525</w:t>
            </w:r>
          </w:p>
        </w:tc>
        <w:tc>
          <w:tcPr>
            <w:tcW w:w="0" w:type="dxa"/>
            <w:vAlign w:val="bottom"/>
          </w:tcPr>
          <w:p>
            <w:pPr>
              <w:spacing w:after="0"/>
              <w:rPr>
                <w:sz w:val="1"/>
                <w:szCs w:val="1"/>
                <w:color w:val="auto"/>
              </w:rPr>
            </w:pPr>
          </w:p>
        </w:tc>
      </w:tr>
      <w:tr>
        <w:trPr>
          <w:trHeight w:val="133"/>
        </w:trPr>
        <w:tc>
          <w:tcPr>
            <w:tcW w:w="3320" w:type="dxa"/>
            <w:vAlign w:val="bottom"/>
          </w:tcPr>
          <w:p>
            <w:pPr>
              <w:ind w:left="660"/>
              <w:spacing w:after="0" w:line="133" w:lineRule="exact"/>
              <w:rPr>
                <w:sz w:val="20"/>
                <w:szCs w:val="20"/>
                <w:color w:val="auto"/>
              </w:rPr>
            </w:pPr>
            <w:r>
              <w:rPr>
                <w:rFonts w:ascii="Arial" w:cs="Arial" w:eastAsia="Arial" w:hAnsi="Arial"/>
                <w:sz w:val="12"/>
                <w:szCs w:val="12"/>
                <w:color w:val="auto"/>
              </w:rPr>
              <w:t>Fair value (gain) loss on common stock warrant</w:t>
            </w:r>
          </w:p>
        </w:tc>
        <w:tc>
          <w:tcPr>
            <w:tcW w:w="8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20" w:type="dxa"/>
            <w:vAlign w:val="bottom"/>
            <w:tcBorders>
              <w:bottom w:val="single" w:sz="8" w:color="DBDBDB"/>
            </w:tcBorders>
          </w:tcPr>
          <w:p>
            <w:pPr>
              <w:ind w:left="180"/>
              <w:spacing w:after="0"/>
              <w:rPr>
                <w:sz w:val="20"/>
                <w:szCs w:val="20"/>
                <w:color w:val="auto"/>
              </w:rPr>
            </w:pPr>
            <w:r>
              <w:rPr>
                <w:rFonts w:ascii="Arial" w:cs="Arial" w:eastAsia="Arial" w:hAnsi="Arial"/>
                <w:sz w:val="12"/>
                <w:szCs w:val="12"/>
                <w:color w:val="auto"/>
              </w:rPr>
              <w:t>liabilities</w:t>
            </w:r>
          </w:p>
        </w:tc>
        <w:tc>
          <w:tcPr>
            <w:tcW w:w="8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(610)</w:t>
            </w:r>
          </w:p>
        </w:tc>
        <w:tc>
          <w:tcPr>
            <w:tcW w:w="3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rPr>
              <w:t>26,963</w:t>
            </w:r>
          </w:p>
        </w:tc>
        <w:tc>
          <w:tcPr>
            <w:tcW w:w="5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26,597</w:t>
            </w:r>
          </w:p>
        </w:tc>
        <w:tc>
          <w:tcPr>
            <w:tcW w:w="10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(68,366)</w:t>
            </w:r>
          </w:p>
        </w:tc>
        <w:tc>
          <w:tcPr>
            <w:tcW w:w="0" w:type="dxa"/>
            <w:vAlign w:val="bottom"/>
          </w:tcPr>
          <w:p>
            <w:pPr>
              <w:spacing w:after="0"/>
              <w:rPr>
                <w:sz w:val="1"/>
                <w:szCs w:val="1"/>
                <w:color w:val="auto"/>
              </w:rPr>
            </w:pPr>
          </w:p>
        </w:tc>
      </w:tr>
      <w:tr>
        <w:trPr>
          <w:trHeight w:val="115"/>
        </w:trPr>
        <w:tc>
          <w:tcPr>
            <w:tcW w:w="3320" w:type="dxa"/>
            <w:vAlign w:val="bottom"/>
            <w:shd w:val="clear" w:color="auto" w:fill="DBDBDB"/>
          </w:tcPr>
          <w:p>
            <w:pPr>
              <w:ind w:left="500"/>
              <w:spacing w:after="0" w:line="115" w:lineRule="exact"/>
              <w:rPr>
                <w:sz w:val="20"/>
                <w:szCs w:val="20"/>
                <w:color w:val="auto"/>
              </w:rPr>
            </w:pPr>
            <w:r>
              <w:rPr>
                <w:rFonts w:ascii="Arial" w:cs="Arial" w:eastAsia="Arial" w:hAnsi="Arial"/>
                <w:sz w:val="12"/>
                <w:szCs w:val="12"/>
                <w:color w:val="auto"/>
              </w:rPr>
              <w:t>Net Income (Loss) Excluding Gain/Loss from</w:t>
            </w:r>
          </w:p>
        </w:tc>
        <w:tc>
          <w:tcPr>
            <w:tcW w:w="820" w:type="dxa"/>
            <w:vAlign w:val="bottom"/>
            <w:vMerge w:val="restart"/>
            <w:shd w:val="clear" w:color="auto" w:fill="DBDBDB"/>
          </w:tcPr>
          <w:p>
            <w:pPr>
              <w:jc w:val="right"/>
              <w:ind w:right="199"/>
              <w:spacing w:after="0"/>
              <w:rPr>
                <w:sz w:val="20"/>
                <w:szCs w:val="20"/>
                <w:color w:val="auto"/>
              </w:rPr>
            </w:pPr>
            <w:r>
              <w:rPr>
                <w:rFonts w:ascii="Arial" w:cs="Arial" w:eastAsia="Arial" w:hAnsi="Arial"/>
                <w:sz w:val="12"/>
                <w:szCs w:val="12"/>
                <w:color w:val="auto"/>
              </w:rPr>
              <w:t>$</w:t>
            </w:r>
          </w:p>
        </w:tc>
        <w:tc>
          <w:tcPr>
            <w:tcW w:w="1480" w:type="dxa"/>
            <w:vAlign w:val="bottom"/>
            <w:vMerge w:val="restart"/>
            <w:shd w:val="clear" w:color="auto" w:fill="DBDBDB"/>
          </w:tcPr>
          <w:p>
            <w:pPr>
              <w:jc w:val="right"/>
              <w:ind w:right="339"/>
              <w:spacing w:after="0"/>
              <w:rPr>
                <w:sz w:val="20"/>
                <w:szCs w:val="20"/>
                <w:color w:val="auto"/>
              </w:rPr>
            </w:pPr>
            <w:r>
              <w:rPr>
                <w:rFonts w:ascii="Arial" w:cs="Arial" w:eastAsia="Arial" w:hAnsi="Arial"/>
                <w:sz w:val="12"/>
                <w:szCs w:val="12"/>
                <w:color w:val="auto"/>
              </w:rPr>
              <w:t>19,761</w:t>
            </w: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580" w:type="dxa"/>
            <w:vAlign w:val="bottom"/>
            <w:vMerge w:val="restart"/>
            <w:shd w:val="clear" w:color="auto" w:fill="DBDBDB"/>
          </w:tcPr>
          <w:p>
            <w:pPr>
              <w:jc w:val="right"/>
              <w:ind w:right="239"/>
              <w:spacing w:after="0"/>
              <w:rPr>
                <w:sz w:val="20"/>
                <w:szCs w:val="20"/>
                <w:color w:val="auto"/>
              </w:rPr>
            </w:pPr>
            <w:r>
              <w:rPr>
                <w:rFonts w:ascii="Arial" w:cs="Arial" w:eastAsia="Arial" w:hAnsi="Arial"/>
                <w:sz w:val="12"/>
                <w:szCs w:val="12"/>
                <w:color w:val="auto"/>
              </w:rPr>
              <w:t>12,833</w:t>
            </w:r>
          </w:p>
        </w:tc>
        <w:tc>
          <w:tcPr>
            <w:tcW w:w="520" w:type="dxa"/>
            <w:vAlign w:val="bottom"/>
            <w:vMerge w:val="restart"/>
            <w:shd w:val="clear" w:color="auto" w:fill="DBDBDB"/>
          </w:tcPr>
          <w:p>
            <w:pPr>
              <w:jc w:val="right"/>
              <w:ind w:right="139"/>
              <w:spacing w:after="0"/>
              <w:rPr>
                <w:sz w:val="20"/>
                <w:szCs w:val="20"/>
                <w:color w:val="auto"/>
              </w:rPr>
            </w:pPr>
            <w:r>
              <w:rPr>
                <w:rFonts w:ascii="Arial" w:cs="Arial" w:eastAsia="Arial" w:hAnsi="Arial"/>
                <w:sz w:val="12"/>
                <w:szCs w:val="12"/>
                <w:color w:val="auto"/>
              </w:rPr>
              <w:t>$</w:t>
            </w:r>
          </w:p>
        </w:tc>
        <w:tc>
          <w:tcPr>
            <w:tcW w:w="1300" w:type="dxa"/>
            <w:vAlign w:val="bottom"/>
            <w:vMerge w:val="restart"/>
            <w:shd w:val="clear" w:color="auto" w:fill="DBDBDB"/>
          </w:tcPr>
          <w:p>
            <w:pPr>
              <w:jc w:val="right"/>
              <w:ind w:right="119"/>
              <w:spacing w:after="0"/>
              <w:rPr>
                <w:sz w:val="20"/>
                <w:szCs w:val="20"/>
                <w:color w:val="auto"/>
              </w:rPr>
            </w:pPr>
            <w:r>
              <w:rPr>
                <w:rFonts w:ascii="Arial" w:cs="Arial" w:eastAsia="Arial" w:hAnsi="Arial"/>
                <w:sz w:val="12"/>
                <w:szCs w:val="12"/>
                <w:color w:val="auto"/>
              </w:rPr>
              <w:t>51,415</w:t>
            </w:r>
          </w:p>
        </w:tc>
        <w:tc>
          <w:tcPr>
            <w:tcW w:w="1000" w:type="dxa"/>
            <w:vAlign w:val="bottom"/>
            <w:vMerge w:val="restart"/>
            <w:shd w:val="clear" w:color="auto" w:fill="DBDBDB"/>
          </w:tcPr>
          <w:p>
            <w:pPr>
              <w:jc w:val="right"/>
              <w:ind w:right="419"/>
              <w:spacing w:after="0"/>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9,159</w:t>
            </w:r>
          </w:p>
        </w:tc>
        <w:tc>
          <w:tcPr>
            <w:tcW w:w="0" w:type="dxa"/>
            <w:vAlign w:val="bottom"/>
          </w:tcPr>
          <w:p>
            <w:pPr>
              <w:spacing w:after="0"/>
              <w:rPr>
                <w:sz w:val="1"/>
                <w:szCs w:val="1"/>
                <w:color w:val="auto"/>
              </w:rPr>
            </w:pPr>
          </w:p>
        </w:tc>
      </w:tr>
      <w:tr>
        <w:trPr>
          <w:trHeight w:val="150"/>
        </w:trPr>
        <w:tc>
          <w:tcPr>
            <w:tcW w:w="3320" w:type="dxa"/>
            <w:vAlign w:val="bottom"/>
            <w:tcBorders>
              <w:bottom w:val="single" w:sz="8" w:color="DBDBDB"/>
            </w:tcBorders>
            <w:shd w:val="clear" w:color="auto" w:fill="DBDBDB"/>
          </w:tcPr>
          <w:p>
            <w:pPr>
              <w:ind w:left="20"/>
              <w:spacing w:after="0" w:line="130" w:lineRule="exact"/>
              <w:rPr>
                <w:sz w:val="20"/>
                <w:szCs w:val="20"/>
                <w:color w:val="auto"/>
              </w:rPr>
            </w:pPr>
            <w:r>
              <w:rPr>
                <w:rFonts w:ascii="Arial" w:cs="Arial" w:eastAsia="Arial" w:hAnsi="Arial"/>
                <w:sz w:val="12"/>
                <w:szCs w:val="12"/>
                <w:color w:val="auto"/>
              </w:rPr>
              <w:t>Warrants</w:t>
            </w:r>
          </w:p>
        </w:tc>
        <w:tc>
          <w:tcPr>
            <w:tcW w:w="820" w:type="dxa"/>
            <w:vAlign w:val="bottom"/>
            <w:tcBorders>
              <w:bottom w:val="single" w:sz="8" w:color="auto"/>
            </w:tcBorders>
            <w:vMerge w:val="continue"/>
            <w:shd w:val="clear" w:color="auto" w:fill="DBDBDB"/>
          </w:tcPr>
          <w:p>
            <w:pPr>
              <w:spacing w:after="0"/>
              <w:rPr>
                <w:sz w:val="13"/>
                <w:szCs w:val="13"/>
                <w:color w:val="auto"/>
              </w:rPr>
            </w:pPr>
          </w:p>
        </w:tc>
        <w:tc>
          <w:tcPr>
            <w:tcW w:w="1480" w:type="dxa"/>
            <w:vAlign w:val="bottom"/>
            <w:tcBorders>
              <w:bottom w:val="single" w:sz="8" w:color="auto"/>
            </w:tcBorders>
            <w:vMerge w:val="continue"/>
            <w:shd w:val="clear" w:color="auto" w:fill="DBDBDB"/>
          </w:tcPr>
          <w:p>
            <w:pPr>
              <w:spacing w:after="0"/>
              <w:rPr>
                <w:sz w:val="13"/>
                <w:szCs w:val="13"/>
                <w:color w:val="auto"/>
              </w:rPr>
            </w:pPr>
          </w:p>
        </w:tc>
        <w:tc>
          <w:tcPr>
            <w:tcW w:w="360" w:type="dxa"/>
            <w:vAlign w:val="bottom"/>
            <w:tcBorders>
              <w:bottom w:val="single" w:sz="8" w:color="auto"/>
            </w:tcBorders>
            <w:vMerge w:val="continue"/>
            <w:shd w:val="clear" w:color="auto" w:fill="DBDBDB"/>
          </w:tcPr>
          <w:p>
            <w:pPr>
              <w:spacing w:after="0"/>
              <w:rPr>
                <w:sz w:val="13"/>
                <w:szCs w:val="13"/>
                <w:color w:val="auto"/>
              </w:rPr>
            </w:pPr>
          </w:p>
        </w:tc>
        <w:tc>
          <w:tcPr>
            <w:tcW w:w="1580" w:type="dxa"/>
            <w:vAlign w:val="bottom"/>
            <w:tcBorders>
              <w:bottom w:val="single" w:sz="8" w:color="auto"/>
            </w:tcBorders>
            <w:vMerge w:val="continue"/>
            <w:shd w:val="clear" w:color="auto" w:fill="DBDBDB"/>
          </w:tcPr>
          <w:p>
            <w:pPr>
              <w:spacing w:after="0"/>
              <w:rPr>
                <w:sz w:val="13"/>
                <w:szCs w:val="13"/>
                <w:color w:val="auto"/>
              </w:rPr>
            </w:pPr>
          </w:p>
        </w:tc>
        <w:tc>
          <w:tcPr>
            <w:tcW w:w="520" w:type="dxa"/>
            <w:vAlign w:val="bottom"/>
            <w:tcBorders>
              <w:bottom w:val="single" w:sz="8" w:color="auto"/>
            </w:tcBorders>
            <w:vMerge w:val="continue"/>
            <w:shd w:val="clear" w:color="auto" w:fill="DBDBDB"/>
          </w:tcPr>
          <w:p>
            <w:pPr>
              <w:spacing w:after="0"/>
              <w:rPr>
                <w:sz w:val="13"/>
                <w:szCs w:val="13"/>
                <w:color w:val="auto"/>
              </w:rPr>
            </w:pPr>
          </w:p>
        </w:tc>
        <w:tc>
          <w:tcPr>
            <w:tcW w:w="1300" w:type="dxa"/>
            <w:vAlign w:val="bottom"/>
            <w:tcBorders>
              <w:bottom w:val="single" w:sz="8" w:color="auto"/>
            </w:tcBorders>
            <w:vMerge w:val="continue"/>
            <w:shd w:val="clear" w:color="auto" w:fill="DBDBDB"/>
          </w:tcPr>
          <w:p>
            <w:pPr>
              <w:spacing w:after="0"/>
              <w:rPr>
                <w:sz w:val="13"/>
                <w:szCs w:val="13"/>
                <w:color w:val="auto"/>
              </w:rPr>
            </w:pPr>
          </w:p>
        </w:tc>
        <w:tc>
          <w:tcPr>
            <w:tcW w:w="1000" w:type="dxa"/>
            <w:vAlign w:val="bottom"/>
            <w:tcBorders>
              <w:bottom w:val="single" w:sz="8" w:color="auto"/>
            </w:tcBorders>
            <w:vMerge w:val="continue"/>
            <w:shd w:val="clear" w:color="auto" w:fill="DBDBDB"/>
          </w:tcPr>
          <w:p>
            <w:pPr>
              <w:spacing w:after="0"/>
              <w:rPr>
                <w:sz w:val="13"/>
                <w:szCs w:val="13"/>
                <w:color w:val="auto"/>
              </w:rPr>
            </w:pPr>
          </w:p>
        </w:tc>
        <w:tc>
          <w:tcPr>
            <w:tcW w:w="900" w:type="dxa"/>
            <w:vAlign w:val="bottom"/>
            <w:tcBorders>
              <w:bottom w:val="single" w:sz="8" w:color="auto"/>
            </w:tcBorders>
            <w:vMerge w:val="continue"/>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Adjusted Gross Profit and Adjusted Gross Profit Percentage</w:t>
      </w:r>
    </w:p>
    <w:p>
      <w:pPr>
        <w:spacing w:after="0" w:line="60"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We define Adjusted Gross Profit as gross profit plus depreciation on rental equipment. Adjusted Gross Profit Percentage is defined as Adjusted Gross Profit divided by revenue. Adjusted Gross Profit and Adjusted Gross Profit Percentage are not measurements of our financial performance under GAAP and should not be considered as an alternative to gross profit, gross profit percentage, or other performance measure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544830</wp:posOffset>
            </wp:positionV>
            <wp:extent cx="719264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49" w:name="page50"/>
    <w:bookmarkEnd w:id="49"/>
    <w:p>
      <w:pPr>
        <w:spacing w:after="0"/>
        <w:rPr>
          <w:sz w:val="20"/>
          <w:szCs w:val="20"/>
          <w:color w:val="auto"/>
        </w:rPr>
      </w:pPr>
      <w:r>
        <w:rPr>
          <w:rFonts w:ascii="Arial" w:cs="Arial" w:eastAsia="Arial" w:hAnsi="Arial"/>
          <w:sz w:val="12"/>
          <w:szCs w:val="12"/>
          <w:color w:val="auto"/>
        </w:rPr>
        <w:t>Percentage provides useful information to investors regarding our results of operations because it assists in analyzing the performance of our business.</w:t>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provides an unaudited reconciliation of gross profit to Adjusted Gross Profit and Adjusted Gross Profit Percentage on a historical basis: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shd w:val="clear" w:color="auto" w:fill="1D2758"/>
          </w:tcPr>
          <w:p>
            <w:pPr>
              <w:spacing w:after="0"/>
              <w:rPr>
                <w:sz w:val="14"/>
                <w:szCs w:val="14"/>
                <w:color w:val="auto"/>
              </w:rPr>
            </w:pPr>
          </w:p>
        </w:tc>
        <w:tc>
          <w:tcPr>
            <w:tcW w:w="380" w:type="dxa"/>
            <w:vAlign w:val="bottom"/>
            <w:shd w:val="clear" w:color="auto" w:fill="1D2758"/>
          </w:tcPr>
          <w:p>
            <w:pPr>
              <w:spacing w:after="0"/>
              <w:rPr>
                <w:sz w:val="14"/>
                <w:szCs w:val="14"/>
                <w:color w:val="auto"/>
              </w:rPr>
            </w:pPr>
          </w:p>
        </w:tc>
        <w:tc>
          <w:tcPr>
            <w:tcW w:w="1940" w:type="dxa"/>
            <w:vAlign w:val="bottom"/>
            <w:gridSpan w:val="3"/>
            <w:shd w:val="clear" w:color="auto" w:fill="1D2758"/>
          </w:tcPr>
          <w:p>
            <w:pPr>
              <w:jc w:val="right"/>
              <w:spacing w:after="0"/>
              <w:rPr>
                <w:sz w:val="20"/>
                <w:szCs w:val="20"/>
                <w:color w:val="auto"/>
              </w:rPr>
            </w:pPr>
            <w:r>
              <w:rPr>
                <w:rFonts w:ascii="Arial" w:cs="Arial" w:eastAsia="Arial" w:hAnsi="Arial"/>
                <w:sz w:val="12"/>
                <w:szCs w:val="12"/>
                <w:b w:val="1"/>
                <w:bCs w:val="1"/>
                <w:color w:val="FFFFFF"/>
              </w:rPr>
              <w:t>Three Months Ended</w:t>
            </w:r>
          </w:p>
        </w:tc>
        <w:tc>
          <w:tcPr>
            <w:tcW w:w="104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1900" w:type="dxa"/>
            <w:vAlign w:val="bottom"/>
            <w:gridSpan w:val="2"/>
            <w:shd w:val="clear" w:color="auto" w:fill="1D2758"/>
          </w:tcPr>
          <w:p>
            <w:pPr>
              <w:jc w:val="right"/>
              <w:ind w:right="39"/>
              <w:spacing w:after="0"/>
              <w:rPr>
                <w:sz w:val="20"/>
                <w:szCs w:val="20"/>
                <w:color w:val="auto"/>
              </w:rPr>
            </w:pPr>
            <w:r>
              <w:rPr>
                <w:rFonts w:ascii="Arial" w:cs="Arial" w:eastAsia="Arial" w:hAnsi="Arial"/>
                <w:sz w:val="12"/>
                <w:szCs w:val="12"/>
                <w:b w:val="1"/>
                <w:bCs w:val="1"/>
                <w:color w:val="FFFFFF"/>
              </w:rPr>
              <w:t>Six Months Ended</w:t>
            </w:r>
          </w:p>
        </w:tc>
        <w:tc>
          <w:tcPr>
            <w:tcW w:w="1020" w:type="dxa"/>
            <w:vAlign w:val="bottom"/>
            <w:shd w:val="clear" w:color="auto" w:fill="1D2758"/>
          </w:tcPr>
          <w:p>
            <w:pPr>
              <w:spacing w:after="0"/>
              <w:rPr>
                <w:sz w:val="14"/>
                <w:szCs w:val="14"/>
                <w:color w:val="auto"/>
              </w:rPr>
            </w:pPr>
          </w:p>
        </w:tc>
      </w:tr>
      <w:tr>
        <w:trPr>
          <w:trHeight w:val="159"/>
        </w:trPr>
        <w:tc>
          <w:tcPr>
            <w:tcW w:w="4580" w:type="dxa"/>
            <w:vAlign w:val="bottom"/>
            <w:shd w:val="clear" w:color="auto" w:fill="1D2758"/>
          </w:tcPr>
          <w:p>
            <w:pPr>
              <w:spacing w:after="0"/>
              <w:rPr>
                <w:sz w:val="13"/>
                <w:szCs w:val="13"/>
                <w:color w:val="auto"/>
              </w:rPr>
            </w:pPr>
          </w:p>
        </w:tc>
        <w:tc>
          <w:tcPr>
            <w:tcW w:w="380" w:type="dxa"/>
            <w:vAlign w:val="bottom"/>
            <w:shd w:val="clear" w:color="auto" w:fill="1D2758"/>
          </w:tcPr>
          <w:p>
            <w:pPr>
              <w:spacing w:after="0"/>
              <w:rPr>
                <w:sz w:val="13"/>
                <w:szCs w:val="13"/>
                <w:color w:val="auto"/>
              </w:rPr>
            </w:pPr>
          </w:p>
        </w:tc>
        <w:tc>
          <w:tcPr>
            <w:tcW w:w="1940" w:type="dxa"/>
            <w:vAlign w:val="bottom"/>
            <w:gridSpan w:val="3"/>
            <w:shd w:val="clear" w:color="auto" w:fill="1D2758"/>
          </w:tcPr>
          <w:p>
            <w:pPr>
              <w:jc w:val="right"/>
              <w:ind w:right="359"/>
              <w:spacing w:after="0"/>
              <w:rPr>
                <w:sz w:val="20"/>
                <w:szCs w:val="20"/>
                <w:color w:val="auto"/>
              </w:rPr>
            </w:pPr>
            <w:r>
              <w:rPr>
                <w:rFonts w:ascii="Arial" w:cs="Arial" w:eastAsia="Arial" w:hAnsi="Arial"/>
                <w:sz w:val="12"/>
                <w:szCs w:val="12"/>
                <w:b w:val="1"/>
                <w:bCs w:val="1"/>
                <w:color w:val="FFFFFF"/>
              </w:rPr>
              <w:t>June 30,</w:t>
            </w:r>
          </w:p>
        </w:tc>
        <w:tc>
          <w:tcPr>
            <w:tcW w:w="1040" w:type="dxa"/>
            <w:vAlign w:val="bottom"/>
            <w:shd w:val="clear" w:color="auto" w:fill="1D2758"/>
          </w:tcPr>
          <w:p>
            <w:pPr>
              <w:spacing w:after="0"/>
              <w:rPr>
                <w:sz w:val="13"/>
                <w:szCs w:val="13"/>
                <w:color w:val="auto"/>
              </w:rPr>
            </w:pPr>
          </w:p>
        </w:tc>
        <w:tc>
          <w:tcPr>
            <w:tcW w:w="420" w:type="dxa"/>
            <w:vAlign w:val="bottom"/>
            <w:shd w:val="clear" w:color="auto" w:fill="1D2758"/>
          </w:tcPr>
          <w:p>
            <w:pPr>
              <w:spacing w:after="0"/>
              <w:rPr>
                <w:sz w:val="13"/>
                <w:szCs w:val="13"/>
                <w:color w:val="auto"/>
              </w:rPr>
            </w:pPr>
          </w:p>
        </w:tc>
        <w:tc>
          <w:tcPr>
            <w:tcW w:w="1900" w:type="dxa"/>
            <w:vAlign w:val="bottom"/>
            <w:gridSpan w:val="2"/>
            <w:shd w:val="clear" w:color="auto" w:fill="1D2758"/>
          </w:tcPr>
          <w:p>
            <w:pPr>
              <w:jc w:val="right"/>
              <w:ind w:right="319"/>
              <w:spacing w:after="0"/>
              <w:rPr>
                <w:sz w:val="20"/>
                <w:szCs w:val="20"/>
                <w:color w:val="auto"/>
              </w:rPr>
            </w:pPr>
            <w:r>
              <w:rPr>
                <w:rFonts w:ascii="Arial" w:cs="Arial" w:eastAsia="Arial" w:hAnsi="Arial"/>
                <w:sz w:val="12"/>
                <w:szCs w:val="12"/>
                <w:b w:val="1"/>
                <w:bCs w:val="1"/>
                <w:color w:val="FFFFFF"/>
              </w:rPr>
              <w:t>June 30,</w:t>
            </w:r>
          </w:p>
        </w:tc>
        <w:tc>
          <w:tcPr>
            <w:tcW w:w="1020" w:type="dxa"/>
            <w:vAlign w:val="bottom"/>
            <w:shd w:val="clear" w:color="auto" w:fill="1D2758"/>
          </w:tcPr>
          <w:p>
            <w:pPr>
              <w:spacing w:after="0"/>
              <w:rPr>
                <w:sz w:val="13"/>
                <w:szCs w:val="13"/>
                <w:color w:val="auto"/>
              </w:rPr>
            </w:pPr>
          </w:p>
        </w:tc>
      </w:tr>
      <w:tr>
        <w:trPr>
          <w:trHeight w:val="164"/>
        </w:trPr>
        <w:tc>
          <w:tcPr>
            <w:tcW w:w="45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380" w:type="dxa"/>
            <w:vAlign w:val="bottom"/>
            <w:shd w:val="clear" w:color="auto" w:fill="1D2758"/>
          </w:tcPr>
          <w:p>
            <w:pPr>
              <w:spacing w:after="0"/>
              <w:rPr>
                <w:sz w:val="14"/>
                <w:szCs w:val="14"/>
                <w:color w:val="auto"/>
              </w:rPr>
            </w:pPr>
          </w:p>
        </w:tc>
        <w:tc>
          <w:tcPr>
            <w:tcW w:w="1240" w:type="dxa"/>
            <w:vAlign w:val="bottom"/>
            <w:shd w:val="clear" w:color="auto" w:fill="1D2758"/>
          </w:tcPr>
          <w:p>
            <w:pPr>
              <w:jc w:val="right"/>
              <w:ind w:right="599"/>
              <w:spacing w:after="0"/>
              <w:rPr>
                <w:sz w:val="20"/>
                <w:szCs w:val="20"/>
                <w:color w:val="auto"/>
              </w:rPr>
            </w:pPr>
            <w:r>
              <w:rPr>
                <w:rFonts w:ascii="Arial" w:cs="Arial" w:eastAsia="Arial" w:hAnsi="Arial"/>
                <w:sz w:val="12"/>
                <w:szCs w:val="12"/>
                <w:b w:val="1"/>
                <w:bCs w:val="1"/>
                <w:color w:val="FFFFFF"/>
              </w:rPr>
              <w:t>2021</w:t>
            </w:r>
          </w:p>
        </w:tc>
        <w:tc>
          <w:tcPr>
            <w:tcW w:w="80" w:type="dxa"/>
            <w:vAlign w:val="bottom"/>
            <w:shd w:val="clear" w:color="auto" w:fill="1D2758"/>
          </w:tcPr>
          <w:p>
            <w:pPr>
              <w:spacing w:after="0"/>
              <w:rPr>
                <w:sz w:val="14"/>
                <w:szCs w:val="14"/>
                <w:color w:val="auto"/>
              </w:rPr>
            </w:pPr>
          </w:p>
        </w:tc>
        <w:tc>
          <w:tcPr>
            <w:tcW w:w="620" w:type="dxa"/>
            <w:vAlign w:val="bottom"/>
            <w:shd w:val="clear" w:color="auto" w:fill="1D2758"/>
          </w:tcPr>
          <w:p>
            <w:pPr>
              <w:spacing w:after="0"/>
              <w:rPr>
                <w:sz w:val="14"/>
                <w:szCs w:val="14"/>
                <w:color w:val="auto"/>
              </w:rPr>
            </w:pPr>
          </w:p>
        </w:tc>
        <w:tc>
          <w:tcPr>
            <w:tcW w:w="1040" w:type="dxa"/>
            <w:vAlign w:val="bottom"/>
            <w:shd w:val="clear" w:color="auto" w:fill="1D2758"/>
          </w:tcPr>
          <w:p>
            <w:pPr>
              <w:jc w:val="right"/>
              <w:ind w:right="659"/>
              <w:spacing w:after="0"/>
              <w:rPr>
                <w:sz w:val="20"/>
                <w:szCs w:val="20"/>
                <w:color w:val="auto"/>
              </w:rPr>
            </w:pPr>
            <w:r>
              <w:rPr>
                <w:rFonts w:ascii="Arial" w:cs="Arial" w:eastAsia="Arial" w:hAnsi="Arial"/>
                <w:sz w:val="12"/>
                <w:szCs w:val="12"/>
                <w:b w:val="1"/>
                <w:bCs w:val="1"/>
                <w:color w:val="FFFFFF"/>
              </w:rPr>
              <w:t>2020</w:t>
            </w:r>
          </w:p>
        </w:tc>
        <w:tc>
          <w:tcPr>
            <w:tcW w:w="420" w:type="dxa"/>
            <w:vAlign w:val="bottom"/>
            <w:shd w:val="clear" w:color="auto" w:fill="1D2758"/>
          </w:tcPr>
          <w:p>
            <w:pPr>
              <w:spacing w:after="0"/>
              <w:rPr>
                <w:sz w:val="14"/>
                <w:szCs w:val="14"/>
                <w:color w:val="auto"/>
              </w:rPr>
            </w:pPr>
          </w:p>
        </w:tc>
        <w:tc>
          <w:tcPr>
            <w:tcW w:w="1280" w:type="dxa"/>
            <w:vAlign w:val="bottom"/>
            <w:shd w:val="clear" w:color="auto" w:fill="1D2758"/>
          </w:tcPr>
          <w:p>
            <w:pPr>
              <w:jc w:val="right"/>
              <w:ind w:right="659"/>
              <w:spacing w:after="0"/>
              <w:rPr>
                <w:sz w:val="20"/>
                <w:szCs w:val="20"/>
                <w:color w:val="auto"/>
              </w:rPr>
            </w:pPr>
            <w:r>
              <w:rPr>
                <w:rFonts w:ascii="Arial" w:cs="Arial" w:eastAsia="Arial" w:hAnsi="Arial"/>
                <w:sz w:val="12"/>
                <w:szCs w:val="12"/>
                <w:b w:val="1"/>
                <w:bCs w:val="1"/>
                <w:color w:val="FFFFFF"/>
              </w:rPr>
              <w:t>2021</w:t>
            </w:r>
          </w:p>
        </w:tc>
        <w:tc>
          <w:tcPr>
            <w:tcW w:w="620" w:type="dxa"/>
            <w:vAlign w:val="bottom"/>
            <w:shd w:val="clear" w:color="auto" w:fill="1D2758"/>
          </w:tcPr>
          <w:p>
            <w:pPr>
              <w:spacing w:after="0"/>
              <w:rPr>
                <w:sz w:val="14"/>
                <w:szCs w:val="14"/>
                <w:color w:val="auto"/>
              </w:rPr>
            </w:pPr>
          </w:p>
        </w:tc>
        <w:tc>
          <w:tcPr>
            <w:tcW w:w="1020" w:type="dxa"/>
            <w:vAlign w:val="bottom"/>
            <w:shd w:val="clear" w:color="auto" w:fill="1D2758"/>
          </w:tcPr>
          <w:p>
            <w:pPr>
              <w:jc w:val="right"/>
              <w:ind w:right="599"/>
              <w:spacing w:after="0"/>
              <w:rPr>
                <w:sz w:val="20"/>
                <w:szCs w:val="20"/>
                <w:color w:val="auto"/>
              </w:rPr>
            </w:pPr>
            <w:r>
              <w:rPr>
                <w:rFonts w:ascii="Arial" w:cs="Arial" w:eastAsia="Arial" w:hAnsi="Arial"/>
                <w:sz w:val="12"/>
                <w:szCs w:val="12"/>
                <w:b w:val="1"/>
                <w:bCs w:val="1"/>
                <w:color w:val="FFFFFF"/>
              </w:rPr>
              <w:t>2020</w:t>
            </w:r>
          </w:p>
        </w:tc>
      </w:tr>
      <w:tr>
        <w:trPr>
          <w:trHeight w:val="161"/>
        </w:trPr>
        <w:tc>
          <w:tcPr>
            <w:tcW w:w="458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 (A)</w:t>
            </w:r>
          </w:p>
        </w:tc>
        <w:tc>
          <w:tcPr>
            <w:tcW w:w="380" w:type="dxa"/>
            <w:vAlign w:val="bottom"/>
            <w:shd w:val="clear" w:color="auto" w:fill="DBDBDB"/>
          </w:tcPr>
          <w:p>
            <w:pPr>
              <w:jc w:val="right"/>
              <w:ind w:right="219"/>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461,102</w:t>
            </w:r>
          </w:p>
        </w:tc>
        <w:tc>
          <w:tcPr>
            <w:tcW w:w="80" w:type="dxa"/>
            <w:vAlign w:val="bottom"/>
            <w:shd w:val="clear" w:color="auto" w:fill="DBDBDB"/>
          </w:tcPr>
          <w:p>
            <w:pPr>
              <w:spacing w:after="0"/>
              <w:rPr>
                <w:sz w:val="14"/>
                <w:szCs w:val="14"/>
                <w:color w:val="auto"/>
              </w:rPr>
            </w:pPr>
          </w:p>
        </w:tc>
        <w:tc>
          <w:tcPr>
            <w:tcW w:w="620" w:type="dxa"/>
            <w:vAlign w:val="bottom"/>
            <w:shd w:val="clear" w:color="auto" w:fill="DBDBDB"/>
          </w:tcPr>
          <w:p>
            <w:pPr>
              <w:jc w:val="right"/>
              <w:ind w:right="479"/>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256,862</w:t>
            </w:r>
          </w:p>
        </w:tc>
        <w:tc>
          <w:tcPr>
            <w:tcW w:w="420" w:type="dxa"/>
            <w:vAlign w:val="bottom"/>
            <w:shd w:val="clear" w:color="auto" w:fill="DBDBDB"/>
          </w:tcPr>
          <w:p>
            <w:pPr>
              <w:jc w:val="right"/>
              <w:ind w:right="239"/>
              <w:spacing w:after="0"/>
              <w:rPr>
                <w:sz w:val="20"/>
                <w:szCs w:val="20"/>
                <w:color w:val="auto"/>
              </w:rPr>
            </w:pPr>
            <w:r>
              <w:rPr>
                <w:rFonts w:ascii="Arial" w:cs="Arial" w:eastAsia="Arial" w:hAnsi="Arial"/>
                <w:sz w:val="12"/>
                <w:szCs w:val="12"/>
                <w:color w:val="auto"/>
              </w:rPr>
              <w:t>$</w:t>
            </w:r>
          </w:p>
        </w:tc>
        <w:tc>
          <w:tcPr>
            <w:tcW w:w="128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886,425</w:t>
            </w:r>
          </w:p>
        </w:tc>
        <w:tc>
          <w:tcPr>
            <w:tcW w:w="620" w:type="dxa"/>
            <w:vAlign w:val="bottom"/>
            <w:shd w:val="clear" w:color="auto" w:fill="DBDBDB"/>
          </w:tcPr>
          <w:p>
            <w:pPr>
              <w:jc w:val="right"/>
              <w:ind w:right="439"/>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512,683</w:t>
            </w:r>
          </w:p>
        </w:tc>
      </w:tr>
      <w:tr>
        <w:trPr>
          <w:trHeight w:val="192"/>
        </w:trPr>
        <w:tc>
          <w:tcPr>
            <w:tcW w:w="4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1"/>
        </w:trPr>
        <w:tc>
          <w:tcPr>
            <w:tcW w:w="4580" w:type="dxa"/>
            <w:vAlign w:val="bottom"/>
            <w:shd w:val="clear" w:color="auto" w:fill="DBDBDB"/>
          </w:tcPr>
          <w:p>
            <w:pPr>
              <w:ind w:left="20"/>
              <w:spacing w:after="0"/>
              <w:rPr>
                <w:sz w:val="20"/>
                <w:szCs w:val="20"/>
                <w:color w:val="auto"/>
              </w:rPr>
            </w:pPr>
            <w:r>
              <w:rPr>
                <w:rFonts w:ascii="Arial" w:cs="Arial" w:eastAsia="Arial" w:hAnsi="Arial"/>
                <w:sz w:val="12"/>
                <w:szCs w:val="12"/>
                <w:color w:val="auto"/>
              </w:rPr>
              <w:t>Gross profit (B)</w:t>
            </w:r>
          </w:p>
        </w:tc>
        <w:tc>
          <w:tcPr>
            <w:tcW w:w="380" w:type="dxa"/>
            <w:vAlign w:val="bottom"/>
            <w:shd w:val="clear" w:color="auto" w:fill="DBDBDB"/>
          </w:tcPr>
          <w:p>
            <w:pPr>
              <w:jc w:val="right"/>
              <w:ind w:right="219"/>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222,810</w:t>
            </w:r>
          </w:p>
        </w:tc>
        <w:tc>
          <w:tcPr>
            <w:tcW w:w="80" w:type="dxa"/>
            <w:vAlign w:val="bottom"/>
            <w:shd w:val="clear" w:color="auto" w:fill="DBDBDB"/>
          </w:tcPr>
          <w:p>
            <w:pPr>
              <w:spacing w:after="0"/>
              <w:rPr>
                <w:sz w:val="14"/>
                <w:szCs w:val="14"/>
                <w:color w:val="auto"/>
              </w:rPr>
            </w:pPr>
          </w:p>
        </w:tc>
        <w:tc>
          <w:tcPr>
            <w:tcW w:w="620" w:type="dxa"/>
            <w:vAlign w:val="bottom"/>
            <w:shd w:val="clear" w:color="auto" w:fill="DBDBDB"/>
          </w:tcPr>
          <w:p>
            <w:pPr>
              <w:jc w:val="right"/>
              <w:ind w:right="479"/>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109,964</w:t>
            </w:r>
          </w:p>
        </w:tc>
        <w:tc>
          <w:tcPr>
            <w:tcW w:w="420" w:type="dxa"/>
            <w:vAlign w:val="bottom"/>
            <w:shd w:val="clear" w:color="auto" w:fill="DBDBDB"/>
          </w:tcPr>
          <w:p>
            <w:pPr>
              <w:jc w:val="right"/>
              <w:ind w:right="239"/>
              <w:spacing w:after="0"/>
              <w:rPr>
                <w:sz w:val="20"/>
                <w:szCs w:val="20"/>
                <w:color w:val="auto"/>
              </w:rPr>
            </w:pPr>
            <w:r>
              <w:rPr>
                <w:rFonts w:ascii="Arial" w:cs="Arial" w:eastAsia="Arial" w:hAnsi="Arial"/>
                <w:sz w:val="12"/>
                <w:szCs w:val="12"/>
                <w:color w:val="auto"/>
              </w:rPr>
              <w:t>$</w:t>
            </w:r>
          </w:p>
        </w:tc>
        <w:tc>
          <w:tcPr>
            <w:tcW w:w="128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436,190</w:t>
            </w:r>
          </w:p>
        </w:tc>
        <w:tc>
          <w:tcPr>
            <w:tcW w:w="620" w:type="dxa"/>
            <w:vAlign w:val="bottom"/>
            <w:shd w:val="clear" w:color="auto" w:fill="DBDBDB"/>
          </w:tcPr>
          <w:p>
            <w:pPr>
              <w:jc w:val="right"/>
              <w:ind w:right="439"/>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216,154</w:t>
            </w:r>
          </w:p>
        </w:tc>
      </w:tr>
      <w:tr>
        <w:trPr>
          <w:trHeight w:val="159"/>
        </w:trPr>
        <w:tc>
          <w:tcPr>
            <w:tcW w:w="4580" w:type="dxa"/>
            <w:vAlign w:val="bottom"/>
            <w:tcBorders>
              <w:bottom w:val="single" w:sz="8" w:color="DBDBDB"/>
            </w:tcBorders>
          </w:tcPr>
          <w:p>
            <w:pPr>
              <w:ind w:left="180"/>
              <w:spacing w:after="0"/>
              <w:rPr>
                <w:sz w:val="20"/>
                <w:szCs w:val="20"/>
                <w:color w:val="auto"/>
              </w:rPr>
            </w:pPr>
            <w:r>
              <w:rPr>
                <w:rFonts w:ascii="Arial" w:cs="Arial" w:eastAsia="Arial" w:hAnsi="Arial"/>
                <w:sz w:val="12"/>
                <w:szCs w:val="12"/>
                <w:color w:val="auto"/>
              </w:rPr>
              <w:t>Depreciation of rental equipment</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62,893</w:t>
            </w:r>
          </w:p>
        </w:tc>
        <w:tc>
          <w:tcPr>
            <w:tcW w:w="80" w:type="dxa"/>
            <w:vAlign w:val="bottom"/>
            <w:tcBorders>
              <w:bottom w:val="single" w:sz="8" w:color="DBDBDB"/>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45,494</w:t>
            </w: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118,591</w:t>
            </w: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91,442</w:t>
            </w:r>
          </w:p>
        </w:tc>
      </w:tr>
      <w:tr>
        <w:trPr>
          <w:trHeight w:val="176"/>
        </w:trPr>
        <w:tc>
          <w:tcPr>
            <w:tcW w:w="458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2"/>
                <w:szCs w:val="12"/>
                <w:color w:val="auto"/>
              </w:rPr>
              <w:t>Adjusted Gross Profit (C)</w:t>
            </w:r>
          </w:p>
        </w:tc>
        <w:tc>
          <w:tcPr>
            <w:tcW w:w="38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2"/>
                <w:szCs w:val="12"/>
                <w:color w:val="auto"/>
              </w:rPr>
              <w:t>285,703</w:t>
            </w:r>
          </w:p>
        </w:tc>
        <w:tc>
          <w:tcPr>
            <w:tcW w:w="80" w:type="dxa"/>
            <w:vAlign w:val="bottom"/>
            <w:tcBorders>
              <w:bottom w:val="single" w:sz="8" w:color="DBDBDB"/>
            </w:tcBorders>
            <w:shd w:val="clear" w:color="auto" w:fill="DBDBDB"/>
          </w:tcPr>
          <w:p>
            <w:pPr>
              <w:spacing w:after="0"/>
              <w:rPr>
                <w:sz w:val="14"/>
                <w:szCs w:val="14"/>
                <w:color w:val="auto"/>
              </w:rPr>
            </w:pPr>
          </w:p>
        </w:tc>
        <w:tc>
          <w:tcPr>
            <w:tcW w:w="620" w:type="dxa"/>
            <w:vAlign w:val="bottom"/>
            <w:tcBorders>
              <w:bottom w:val="single" w:sz="8" w:color="auto"/>
            </w:tcBorders>
            <w:shd w:val="clear" w:color="auto" w:fill="DBDBDB"/>
          </w:tcPr>
          <w:p>
            <w:pPr>
              <w:jc w:val="right"/>
              <w:ind w:right="479"/>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2"/>
                <w:szCs w:val="12"/>
                <w:color w:val="auto"/>
              </w:rPr>
              <w:t>155,458</w:t>
            </w:r>
          </w:p>
        </w:tc>
        <w:tc>
          <w:tcPr>
            <w:tcW w:w="42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2"/>
                <w:szCs w:val="12"/>
                <w:color w:val="auto"/>
              </w:rPr>
              <w:t>554,781</w:t>
            </w:r>
          </w:p>
        </w:tc>
        <w:tc>
          <w:tcPr>
            <w:tcW w:w="620" w:type="dxa"/>
            <w:vAlign w:val="bottom"/>
            <w:tcBorders>
              <w:bottom w:val="single" w:sz="8" w:color="auto"/>
            </w:tcBorders>
            <w:shd w:val="clear" w:color="auto" w:fill="DBDBDB"/>
          </w:tcPr>
          <w:p>
            <w:pPr>
              <w:jc w:val="right"/>
              <w:ind w:right="439"/>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2"/>
                <w:szCs w:val="12"/>
                <w:color w:val="auto"/>
              </w:rPr>
              <w:t>307,596</w:t>
            </w:r>
          </w:p>
        </w:tc>
      </w:tr>
      <w:tr>
        <w:trPr>
          <w:trHeight w:val="20"/>
        </w:trPr>
        <w:tc>
          <w:tcPr>
            <w:tcW w:w="45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r>
      <w:tr>
        <w:trPr>
          <w:trHeight w:val="134"/>
        </w:trPr>
        <w:tc>
          <w:tcPr>
            <w:tcW w:w="4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61"/>
        </w:trPr>
        <w:tc>
          <w:tcPr>
            <w:tcW w:w="4580" w:type="dxa"/>
            <w:vAlign w:val="bottom"/>
            <w:shd w:val="clear" w:color="auto" w:fill="DBDBDB"/>
          </w:tcPr>
          <w:p>
            <w:pPr>
              <w:ind w:left="20"/>
              <w:spacing w:after="0"/>
              <w:rPr>
                <w:sz w:val="20"/>
                <w:szCs w:val="20"/>
                <w:color w:val="auto"/>
              </w:rPr>
            </w:pPr>
            <w:r>
              <w:rPr>
                <w:rFonts w:ascii="Arial" w:cs="Arial" w:eastAsia="Arial" w:hAnsi="Arial"/>
                <w:sz w:val="12"/>
                <w:szCs w:val="12"/>
                <w:color w:val="auto"/>
              </w:rPr>
              <w:t>Gross Profit Percentage (B/A)</w:t>
            </w:r>
          </w:p>
        </w:tc>
        <w:tc>
          <w:tcPr>
            <w:tcW w:w="38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48.3 %</w:t>
            </w:r>
          </w:p>
        </w:tc>
        <w:tc>
          <w:tcPr>
            <w:tcW w:w="8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42.8 %</w:t>
            </w:r>
          </w:p>
        </w:tc>
        <w:tc>
          <w:tcPr>
            <w:tcW w:w="42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49.2 %</w:t>
            </w:r>
          </w:p>
        </w:tc>
        <w:tc>
          <w:tcPr>
            <w:tcW w:w="620" w:type="dxa"/>
            <w:vAlign w:val="bottom"/>
            <w:shd w:val="clear" w:color="auto" w:fill="DBDBDB"/>
          </w:tcPr>
          <w:p>
            <w:pPr>
              <w:spacing w:after="0"/>
              <w:rPr>
                <w:sz w:val="14"/>
                <w:szCs w:val="1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42.2 %</w:t>
            </w:r>
          </w:p>
        </w:tc>
      </w:tr>
      <w:tr>
        <w:trPr>
          <w:trHeight w:val="157"/>
        </w:trPr>
        <w:tc>
          <w:tcPr>
            <w:tcW w:w="4580" w:type="dxa"/>
            <w:vAlign w:val="bottom"/>
          </w:tcPr>
          <w:p>
            <w:pPr>
              <w:ind w:left="20"/>
              <w:spacing w:after="0"/>
              <w:rPr>
                <w:sz w:val="20"/>
                <w:szCs w:val="20"/>
                <w:color w:val="auto"/>
              </w:rPr>
            </w:pPr>
            <w:r>
              <w:rPr>
                <w:rFonts w:ascii="Arial" w:cs="Arial" w:eastAsia="Arial" w:hAnsi="Arial"/>
                <w:sz w:val="12"/>
                <w:szCs w:val="12"/>
                <w:color w:val="auto"/>
              </w:rPr>
              <w:t>Adjusted Gross Profit Percentage (C/A)</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62.0 %</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60.5 %</w:t>
            </w:r>
          </w:p>
        </w:tc>
        <w:tc>
          <w:tcPr>
            <w:tcW w:w="4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62.6 %</w:t>
            </w:r>
          </w:p>
        </w:tc>
        <w:tc>
          <w:tcPr>
            <w:tcW w:w="6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60.0 %</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CAPEX</w:t>
      </w:r>
    </w:p>
    <w:p>
      <w:pPr>
        <w:spacing w:after="0" w:line="111"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We define Net CAPEX as purchases of rental equipment and refurbishments and purchases of property, plant and equipment (collectively, "Total Capital Expenditures"), less proceeds from sale of rental equipment and proceeds from the sale of property, plant and equipment (collectively, "Total Proceeds"), which are all included in cash flows from investing activities. Management believes that the presentation of Net CAPEX provides useful information to investors regarding the net capital invested into our rental fleet and plant, property and equipment each year to assist in analyzing the performance of our business.</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provides unaudited reconciliations of Net CAPEX on a historical basis: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shd w:val="clear" w:color="auto" w:fill="1D2758"/>
          </w:tcPr>
          <w:p>
            <w:pPr>
              <w:spacing w:after="0"/>
              <w:rPr>
                <w:sz w:val="14"/>
                <w:szCs w:val="14"/>
                <w:color w:val="auto"/>
              </w:rPr>
            </w:pPr>
          </w:p>
        </w:tc>
        <w:tc>
          <w:tcPr>
            <w:tcW w:w="960" w:type="dxa"/>
            <w:vAlign w:val="bottom"/>
            <w:shd w:val="clear" w:color="auto" w:fill="1D2758"/>
          </w:tcPr>
          <w:p>
            <w:pPr>
              <w:spacing w:after="0"/>
              <w:rPr>
                <w:sz w:val="14"/>
                <w:szCs w:val="14"/>
                <w:color w:val="auto"/>
              </w:rPr>
            </w:pPr>
          </w:p>
        </w:tc>
        <w:tc>
          <w:tcPr>
            <w:tcW w:w="1680" w:type="dxa"/>
            <w:vAlign w:val="bottom"/>
            <w:gridSpan w:val="3"/>
            <w:shd w:val="clear" w:color="auto" w:fill="1D2758"/>
          </w:tcPr>
          <w:p>
            <w:pPr>
              <w:jc w:val="right"/>
              <w:ind w:right="379"/>
              <w:spacing w:after="0"/>
              <w:rPr>
                <w:sz w:val="20"/>
                <w:szCs w:val="20"/>
                <w:color w:val="auto"/>
              </w:rPr>
            </w:pPr>
            <w:r>
              <w:rPr>
                <w:rFonts w:ascii="Arial" w:cs="Arial" w:eastAsia="Arial" w:hAnsi="Arial"/>
                <w:sz w:val="12"/>
                <w:szCs w:val="12"/>
                <w:b w:val="1"/>
                <w:bCs w:val="1"/>
                <w:color w:val="FFFFFF"/>
              </w:rPr>
              <w:t>Three Months Ended</w:t>
            </w:r>
          </w:p>
        </w:tc>
        <w:tc>
          <w:tcPr>
            <w:tcW w:w="5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1840" w:type="dxa"/>
            <w:vAlign w:val="bottom"/>
            <w:gridSpan w:val="2"/>
            <w:shd w:val="clear" w:color="auto" w:fill="1D2758"/>
          </w:tcPr>
          <w:p>
            <w:pPr>
              <w:jc w:val="right"/>
              <w:ind w:right="19"/>
              <w:spacing w:after="0"/>
              <w:rPr>
                <w:sz w:val="20"/>
                <w:szCs w:val="20"/>
                <w:color w:val="auto"/>
              </w:rPr>
            </w:pPr>
            <w:r>
              <w:rPr>
                <w:rFonts w:ascii="Arial" w:cs="Arial" w:eastAsia="Arial" w:hAnsi="Arial"/>
                <w:sz w:val="12"/>
                <w:szCs w:val="12"/>
                <w:b w:val="1"/>
                <w:bCs w:val="1"/>
                <w:color w:val="FFFFFF"/>
              </w:rPr>
              <w:t>Six Months Ended</w:t>
            </w:r>
          </w:p>
        </w:tc>
        <w:tc>
          <w:tcPr>
            <w:tcW w:w="1000" w:type="dxa"/>
            <w:vAlign w:val="bottom"/>
            <w:shd w:val="clear" w:color="auto" w:fill="1D2758"/>
          </w:tcPr>
          <w:p>
            <w:pPr>
              <w:spacing w:after="0"/>
              <w:rPr>
                <w:sz w:val="14"/>
                <w:szCs w:val="14"/>
                <w:color w:val="auto"/>
              </w:rPr>
            </w:pPr>
          </w:p>
        </w:tc>
      </w:tr>
      <w:tr>
        <w:trPr>
          <w:trHeight w:val="159"/>
        </w:trPr>
        <w:tc>
          <w:tcPr>
            <w:tcW w:w="4800" w:type="dxa"/>
            <w:vAlign w:val="bottom"/>
            <w:shd w:val="clear" w:color="auto" w:fill="1D2758"/>
          </w:tcPr>
          <w:p>
            <w:pPr>
              <w:spacing w:after="0"/>
              <w:rPr>
                <w:sz w:val="13"/>
                <w:szCs w:val="13"/>
                <w:color w:val="auto"/>
              </w:rPr>
            </w:pPr>
          </w:p>
        </w:tc>
        <w:tc>
          <w:tcPr>
            <w:tcW w:w="960" w:type="dxa"/>
            <w:vAlign w:val="bottom"/>
            <w:shd w:val="clear" w:color="auto" w:fill="1D2758"/>
          </w:tcPr>
          <w:p>
            <w:pPr>
              <w:spacing w:after="0"/>
              <w:rPr>
                <w:sz w:val="13"/>
                <w:szCs w:val="13"/>
                <w:color w:val="auto"/>
              </w:rPr>
            </w:pPr>
          </w:p>
        </w:tc>
        <w:tc>
          <w:tcPr>
            <w:tcW w:w="1680" w:type="dxa"/>
            <w:vAlign w:val="bottom"/>
            <w:gridSpan w:val="3"/>
            <w:shd w:val="clear" w:color="auto" w:fill="1D2758"/>
          </w:tcPr>
          <w:p>
            <w:pPr>
              <w:jc w:val="right"/>
              <w:ind w:right="739"/>
              <w:spacing w:after="0"/>
              <w:rPr>
                <w:sz w:val="20"/>
                <w:szCs w:val="20"/>
                <w:color w:val="auto"/>
              </w:rPr>
            </w:pPr>
            <w:r>
              <w:rPr>
                <w:rFonts w:ascii="Arial" w:cs="Arial" w:eastAsia="Arial" w:hAnsi="Arial"/>
                <w:sz w:val="12"/>
                <w:szCs w:val="12"/>
                <w:b w:val="1"/>
                <w:bCs w:val="1"/>
                <w:color w:val="FFFFFF"/>
              </w:rPr>
              <w:t>June 30,</w:t>
            </w:r>
          </w:p>
        </w:tc>
        <w:tc>
          <w:tcPr>
            <w:tcW w:w="56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360" w:type="dxa"/>
            <w:vAlign w:val="bottom"/>
            <w:shd w:val="clear" w:color="auto" w:fill="1D2758"/>
          </w:tcPr>
          <w:p>
            <w:pPr>
              <w:spacing w:after="0"/>
              <w:rPr>
                <w:sz w:val="13"/>
                <w:szCs w:val="13"/>
                <w:color w:val="auto"/>
              </w:rPr>
            </w:pPr>
          </w:p>
        </w:tc>
        <w:tc>
          <w:tcPr>
            <w:tcW w:w="1840" w:type="dxa"/>
            <w:vAlign w:val="bottom"/>
            <w:gridSpan w:val="2"/>
            <w:shd w:val="clear" w:color="auto" w:fill="1D2758"/>
          </w:tcPr>
          <w:p>
            <w:pPr>
              <w:jc w:val="right"/>
              <w:ind w:right="299"/>
              <w:spacing w:after="0"/>
              <w:rPr>
                <w:sz w:val="20"/>
                <w:szCs w:val="20"/>
                <w:color w:val="auto"/>
              </w:rPr>
            </w:pPr>
            <w:r>
              <w:rPr>
                <w:rFonts w:ascii="Arial" w:cs="Arial" w:eastAsia="Arial" w:hAnsi="Arial"/>
                <w:sz w:val="12"/>
                <w:szCs w:val="12"/>
                <w:b w:val="1"/>
                <w:bCs w:val="1"/>
                <w:color w:val="FFFFFF"/>
              </w:rPr>
              <w:t>June 30,</w:t>
            </w:r>
          </w:p>
        </w:tc>
        <w:tc>
          <w:tcPr>
            <w:tcW w:w="1000" w:type="dxa"/>
            <w:vAlign w:val="bottom"/>
            <w:shd w:val="clear" w:color="auto" w:fill="1D2758"/>
          </w:tcPr>
          <w:p>
            <w:pPr>
              <w:spacing w:after="0"/>
              <w:rPr>
                <w:sz w:val="13"/>
                <w:szCs w:val="13"/>
                <w:color w:val="auto"/>
              </w:rPr>
            </w:pPr>
          </w:p>
        </w:tc>
      </w:tr>
      <w:tr>
        <w:trPr>
          <w:trHeight w:val="164"/>
        </w:trPr>
        <w:tc>
          <w:tcPr>
            <w:tcW w:w="480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96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2021</w:t>
            </w:r>
          </w:p>
        </w:tc>
        <w:tc>
          <w:tcPr>
            <w:tcW w:w="6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000" w:type="dxa"/>
            <w:vAlign w:val="bottom"/>
            <w:shd w:val="clear" w:color="auto" w:fill="1D2758"/>
          </w:tcPr>
          <w:p>
            <w:pPr>
              <w:jc w:val="right"/>
              <w:ind w:right="19"/>
              <w:spacing w:after="0"/>
              <w:rPr>
                <w:sz w:val="20"/>
                <w:szCs w:val="20"/>
                <w:color w:val="auto"/>
              </w:rPr>
            </w:pPr>
            <w:r>
              <w:rPr>
                <w:rFonts w:ascii="Arial" w:cs="Arial" w:eastAsia="Arial" w:hAnsi="Arial"/>
                <w:sz w:val="12"/>
                <w:szCs w:val="12"/>
                <w:b w:val="1"/>
                <w:bCs w:val="1"/>
                <w:color w:val="FFFFFF"/>
              </w:rPr>
              <w:t>2020</w:t>
            </w:r>
          </w:p>
        </w:tc>
        <w:tc>
          <w:tcPr>
            <w:tcW w:w="5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1240" w:type="dxa"/>
            <w:vAlign w:val="bottom"/>
            <w:shd w:val="clear" w:color="auto" w:fill="1D2758"/>
          </w:tcPr>
          <w:p>
            <w:pPr>
              <w:jc w:val="right"/>
              <w:ind w:right="619"/>
              <w:spacing w:after="0"/>
              <w:rPr>
                <w:sz w:val="20"/>
                <w:szCs w:val="20"/>
                <w:color w:val="auto"/>
              </w:rPr>
            </w:pPr>
            <w:r>
              <w:rPr>
                <w:rFonts w:ascii="Arial" w:cs="Arial" w:eastAsia="Arial" w:hAnsi="Arial"/>
                <w:sz w:val="12"/>
                <w:szCs w:val="12"/>
                <w:b w:val="1"/>
                <w:bCs w:val="1"/>
                <w:color w:val="FFFFFF"/>
              </w:rPr>
              <w:t>2021</w:t>
            </w:r>
          </w:p>
        </w:tc>
        <w:tc>
          <w:tcPr>
            <w:tcW w:w="600" w:type="dxa"/>
            <w:vAlign w:val="bottom"/>
            <w:shd w:val="clear" w:color="auto" w:fill="1D2758"/>
          </w:tcPr>
          <w:p>
            <w:pPr>
              <w:spacing w:after="0"/>
              <w:rPr>
                <w:sz w:val="14"/>
                <w:szCs w:val="14"/>
                <w:color w:val="auto"/>
              </w:rPr>
            </w:pPr>
          </w:p>
        </w:tc>
        <w:tc>
          <w:tcPr>
            <w:tcW w:w="1000" w:type="dxa"/>
            <w:vAlign w:val="bottom"/>
            <w:shd w:val="clear" w:color="auto" w:fill="1D2758"/>
          </w:tcPr>
          <w:p>
            <w:pPr>
              <w:jc w:val="right"/>
              <w:ind w:right="579"/>
              <w:spacing w:after="0"/>
              <w:rPr>
                <w:sz w:val="20"/>
                <w:szCs w:val="20"/>
                <w:color w:val="auto"/>
              </w:rPr>
            </w:pPr>
            <w:r>
              <w:rPr>
                <w:rFonts w:ascii="Arial" w:cs="Arial" w:eastAsia="Arial" w:hAnsi="Arial"/>
                <w:sz w:val="12"/>
                <w:szCs w:val="12"/>
                <w:b w:val="1"/>
                <w:bCs w:val="1"/>
                <w:color w:val="FFFFFF"/>
              </w:rPr>
              <w:t>2020</w:t>
            </w:r>
          </w:p>
        </w:tc>
      </w:tr>
      <w:tr>
        <w:trPr>
          <w:trHeight w:val="161"/>
        </w:trPr>
        <w:tc>
          <w:tcPr>
            <w:tcW w:w="4800" w:type="dxa"/>
            <w:vAlign w:val="bottom"/>
            <w:shd w:val="clear" w:color="auto" w:fill="DBDBDB"/>
          </w:tcPr>
          <w:p>
            <w:pPr>
              <w:ind w:left="20"/>
              <w:spacing w:after="0"/>
              <w:rPr>
                <w:sz w:val="20"/>
                <w:szCs w:val="20"/>
                <w:color w:val="auto"/>
              </w:rPr>
            </w:pPr>
            <w:r>
              <w:rPr>
                <w:rFonts w:ascii="Arial" w:cs="Arial" w:eastAsia="Arial" w:hAnsi="Arial"/>
                <w:sz w:val="12"/>
                <w:szCs w:val="12"/>
                <w:color w:val="auto"/>
              </w:rPr>
              <w:t>Total purchases of rental equipment and refurbishments</w:t>
            </w:r>
          </w:p>
        </w:tc>
        <w:tc>
          <w:tcPr>
            <w:tcW w:w="960" w:type="dxa"/>
            <w:vAlign w:val="bottom"/>
            <w:shd w:val="clear" w:color="auto" w:fill="DBDBDB"/>
          </w:tcPr>
          <w:p>
            <w:pPr>
              <w:jc w:val="right"/>
              <w:ind w:right="81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(65,282)</w:t>
            </w:r>
          </w:p>
        </w:tc>
        <w:tc>
          <w:tcPr>
            <w:tcW w:w="80" w:type="dxa"/>
            <w:vAlign w:val="bottom"/>
            <w:shd w:val="clear" w:color="auto" w:fill="DBDBDB"/>
          </w:tcPr>
          <w:p>
            <w:pPr>
              <w:spacing w:after="0"/>
              <w:rPr>
                <w:sz w:val="14"/>
                <w:szCs w:val="14"/>
                <w:color w:val="auto"/>
              </w:rPr>
            </w:pPr>
          </w:p>
        </w:tc>
        <w:tc>
          <w:tcPr>
            <w:tcW w:w="1000" w:type="dxa"/>
            <w:vAlign w:val="bottom"/>
            <w:shd w:val="clear" w:color="auto" w:fill="DBDBDB"/>
          </w:tcPr>
          <w:p>
            <w:pPr>
              <w:jc w:val="right"/>
              <w:ind w:right="859"/>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(40,034)</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19"/>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(117,817)</w:t>
            </w:r>
          </w:p>
        </w:tc>
        <w:tc>
          <w:tcPr>
            <w:tcW w:w="600" w:type="dxa"/>
            <w:vAlign w:val="bottom"/>
            <w:shd w:val="clear" w:color="auto" w:fill="DBDBDB"/>
          </w:tcPr>
          <w:p>
            <w:pPr>
              <w:jc w:val="right"/>
              <w:ind w:right="419"/>
              <w:spacing w:after="0"/>
              <w:rPr>
                <w:sz w:val="20"/>
                <w:szCs w:val="20"/>
                <w:color w:val="auto"/>
              </w:rPr>
            </w:pPr>
            <w:r>
              <w:rPr>
                <w:rFonts w:ascii="Arial" w:cs="Arial" w:eastAsia="Arial" w:hAnsi="Arial"/>
                <w:sz w:val="12"/>
                <w:szCs w:val="12"/>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(79,682)</w:t>
            </w:r>
          </w:p>
        </w:tc>
      </w:tr>
      <w:tr>
        <w:trPr>
          <w:trHeight w:val="159"/>
        </w:trPr>
        <w:tc>
          <w:tcPr>
            <w:tcW w:w="480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Total proceeds from sale of rental equipment</w:t>
            </w: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15,235</w:t>
            </w:r>
          </w:p>
        </w:tc>
        <w:tc>
          <w:tcPr>
            <w:tcW w:w="80" w:type="dxa"/>
            <w:vAlign w:val="bottom"/>
            <w:tcBorders>
              <w:bottom w:val="single" w:sz="8" w:color="DBDBDB"/>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5,316</w:t>
            </w:r>
          </w:p>
        </w:tc>
        <w:tc>
          <w:tcPr>
            <w:tcW w:w="8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30,437</w:t>
            </w:r>
          </w:p>
        </w:tc>
        <w:tc>
          <w:tcPr>
            <w:tcW w:w="6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12,102</w:t>
            </w:r>
          </w:p>
        </w:tc>
      </w:tr>
      <w:tr>
        <w:trPr>
          <w:trHeight w:val="154"/>
        </w:trPr>
        <w:tc>
          <w:tcPr>
            <w:tcW w:w="4800" w:type="dxa"/>
            <w:vAlign w:val="bottom"/>
            <w:shd w:val="clear" w:color="auto" w:fill="DBDBDB"/>
          </w:tcPr>
          <w:p>
            <w:pPr>
              <w:ind w:left="180"/>
              <w:spacing w:after="0"/>
              <w:rPr>
                <w:sz w:val="20"/>
                <w:szCs w:val="20"/>
                <w:color w:val="auto"/>
              </w:rPr>
            </w:pPr>
            <w:r>
              <w:rPr>
                <w:rFonts w:ascii="Arial" w:cs="Arial" w:eastAsia="Arial" w:hAnsi="Arial"/>
                <w:sz w:val="12"/>
                <w:szCs w:val="12"/>
                <w:color w:val="auto"/>
              </w:rPr>
              <w:t>Net CAPEX for Rental Equipment</w:t>
            </w:r>
          </w:p>
        </w:tc>
        <w:tc>
          <w:tcPr>
            <w:tcW w:w="960" w:type="dxa"/>
            <w:vAlign w:val="bottom"/>
            <w:shd w:val="clear" w:color="auto" w:fill="DBDBDB"/>
          </w:tcPr>
          <w:p>
            <w:pPr>
              <w:spacing w:after="0"/>
              <w:rPr>
                <w:sz w:val="13"/>
                <w:szCs w:val="13"/>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(50,047)</w:t>
            </w:r>
          </w:p>
        </w:tc>
        <w:tc>
          <w:tcPr>
            <w:tcW w:w="8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(34,718)</w:t>
            </w:r>
          </w:p>
        </w:tc>
        <w:tc>
          <w:tcPr>
            <w:tcW w:w="8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(87,380)</w:t>
            </w:r>
          </w:p>
        </w:tc>
        <w:tc>
          <w:tcPr>
            <w:tcW w:w="600" w:type="dxa"/>
            <w:vAlign w:val="bottom"/>
            <w:shd w:val="clear" w:color="auto" w:fill="DBDBDB"/>
          </w:tcPr>
          <w:p>
            <w:pPr>
              <w:spacing w:after="0"/>
              <w:rPr>
                <w:sz w:val="13"/>
                <w:szCs w:val="13"/>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(67,580)</w:t>
            </w:r>
          </w:p>
        </w:tc>
      </w:tr>
      <w:tr>
        <w:trPr>
          <w:trHeight w:val="159"/>
        </w:trPr>
        <w:tc>
          <w:tcPr>
            <w:tcW w:w="4800" w:type="dxa"/>
            <w:vAlign w:val="bottom"/>
          </w:tcPr>
          <w:p>
            <w:pPr>
              <w:ind w:left="20"/>
              <w:spacing w:after="0"/>
              <w:rPr>
                <w:sz w:val="20"/>
                <w:szCs w:val="20"/>
                <w:color w:val="auto"/>
              </w:rPr>
            </w:pPr>
            <w:r>
              <w:rPr>
                <w:rFonts w:ascii="Arial" w:cs="Arial" w:eastAsia="Arial" w:hAnsi="Arial"/>
                <w:sz w:val="12"/>
                <w:szCs w:val="12"/>
                <w:color w:val="auto"/>
              </w:rPr>
              <w:t>Purchase of property, plant and equipment</w:t>
            </w:r>
          </w:p>
        </w:tc>
        <w:tc>
          <w:tcPr>
            <w:tcW w:w="9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(10,143)</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(1,668)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(17,450)</w:t>
            </w:r>
          </w:p>
        </w:tc>
        <w:tc>
          <w:tcPr>
            <w:tcW w:w="6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(3,186)</w:t>
            </w:r>
          </w:p>
        </w:tc>
      </w:tr>
      <w:tr>
        <w:trPr>
          <w:trHeight w:val="164"/>
        </w:trPr>
        <w:tc>
          <w:tcPr>
            <w:tcW w:w="4800" w:type="dxa"/>
            <w:vAlign w:val="bottom"/>
            <w:shd w:val="clear" w:color="auto" w:fill="DBDBDB"/>
          </w:tcPr>
          <w:p>
            <w:pPr>
              <w:ind w:left="20"/>
              <w:spacing w:after="0"/>
              <w:rPr>
                <w:sz w:val="20"/>
                <w:szCs w:val="20"/>
                <w:color w:val="auto"/>
              </w:rPr>
            </w:pPr>
            <w:r>
              <w:rPr>
                <w:rFonts w:ascii="Arial" w:cs="Arial" w:eastAsia="Arial" w:hAnsi="Arial"/>
                <w:sz w:val="12"/>
                <w:szCs w:val="12"/>
                <w:color w:val="auto"/>
              </w:rPr>
              <w:t>Proceeds from sale of property, plant and equipment</w:t>
            </w:r>
          </w:p>
        </w:tc>
        <w:tc>
          <w:tcPr>
            <w:tcW w:w="960" w:type="dxa"/>
            <w:vAlign w:val="bottom"/>
            <w:tcBorders>
              <w:bottom w:val="single" w:sz="8" w:color="auto"/>
            </w:tcBorders>
            <w:shd w:val="clear" w:color="auto" w:fill="DBDBDB"/>
          </w:tcPr>
          <w:p>
            <w:pPr>
              <w:spacing w:after="0"/>
              <w:rPr>
                <w:sz w:val="14"/>
                <w:szCs w:val="14"/>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2,709</w:t>
            </w:r>
          </w:p>
        </w:tc>
        <w:tc>
          <w:tcPr>
            <w:tcW w:w="80" w:type="dxa"/>
            <w:vAlign w:val="bottom"/>
            <w:shd w:val="clear" w:color="auto" w:fill="DBDBDB"/>
          </w:tcPr>
          <w:p>
            <w:pPr>
              <w:spacing w:after="0"/>
              <w:rPr>
                <w:sz w:val="14"/>
                <w:szCs w:val="14"/>
                <w:color w:val="auto"/>
              </w:rPr>
            </w:pPr>
          </w:p>
        </w:tc>
        <w:tc>
          <w:tcPr>
            <w:tcW w:w="1000" w:type="dxa"/>
            <w:vAlign w:val="bottom"/>
            <w:tcBorders>
              <w:bottom w:val="single" w:sz="8" w:color="auto"/>
            </w:tcBorders>
            <w:shd w:val="clear" w:color="auto" w:fill="DBDBDB"/>
          </w:tcPr>
          <w:p>
            <w:pPr>
              <w:spacing w:after="0"/>
              <w:rPr>
                <w:sz w:val="14"/>
                <w:szCs w:val="14"/>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spacing w:after="0"/>
              <w:rPr>
                <w:sz w:val="14"/>
                <w:szCs w:val="14"/>
                <w:color w:val="auto"/>
              </w:rPr>
            </w:pPr>
          </w:p>
        </w:tc>
        <w:tc>
          <w:tcPr>
            <w:tcW w:w="124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2"/>
                <w:szCs w:val="12"/>
                <w:color w:val="auto"/>
              </w:rPr>
              <w:t>16,438</w:t>
            </w:r>
          </w:p>
        </w:tc>
        <w:tc>
          <w:tcPr>
            <w:tcW w:w="600" w:type="dxa"/>
            <w:vAlign w:val="bottom"/>
            <w:tcBorders>
              <w:bottom w:val="single" w:sz="8" w:color="auto"/>
            </w:tcBorders>
            <w:shd w:val="clear" w:color="auto" w:fill="DBDBDB"/>
          </w:tcPr>
          <w:p>
            <w:pPr>
              <w:spacing w:after="0"/>
              <w:rPr>
                <w:sz w:val="14"/>
                <w:szCs w:val="14"/>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3,843</w:t>
            </w:r>
          </w:p>
        </w:tc>
      </w:tr>
      <w:tr>
        <w:trPr>
          <w:trHeight w:val="149"/>
        </w:trPr>
        <w:tc>
          <w:tcPr>
            <w:tcW w:w="4800" w:type="dxa"/>
            <w:vAlign w:val="bottom"/>
          </w:tcPr>
          <w:p>
            <w:pPr>
              <w:ind w:left="180"/>
              <w:spacing w:after="0"/>
              <w:rPr>
                <w:sz w:val="20"/>
                <w:szCs w:val="20"/>
                <w:color w:val="auto"/>
              </w:rPr>
            </w:pPr>
            <w:r>
              <w:rPr>
                <w:rFonts w:ascii="Arial" w:cs="Arial" w:eastAsia="Arial" w:hAnsi="Arial"/>
                <w:sz w:val="12"/>
                <w:szCs w:val="12"/>
                <w:color w:val="auto"/>
              </w:rPr>
              <w:t>Net CAPEX</w:t>
            </w:r>
          </w:p>
        </w:tc>
        <w:tc>
          <w:tcPr>
            <w:tcW w:w="960" w:type="dxa"/>
            <w:vAlign w:val="bottom"/>
            <w:tcBorders>
              <w:bottom w:val="single" w:sz="8" w:color="auto"/>
            </w:tcBorders>
          </w:tcPr>
          <w:p>
            <w:pPr>
              <w:jc w:val="right"/>
              <w:ind w:right="819"/>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(57,481)</w:t>
            </w:r>
          </w:p>
        </w:tc>
        <w:tc>
          <w:tcPr>
            <w:tcW w:w="80" w:type="dxa"/>
            <w:vAlign w:val="bottom"/>
          </w:tcPr>
          <w:p>
            <w:pPr>
              <w:spacing w:after="0"/>
              <w:rPr>
                <w:sz w:val="12"/>
                <w:szCs w:val="12"/>
                <w:color w:val="auto"/>
              </w:rPr>
            </w:pPr>
          </w:p>
        </w:tc>
        <w:tc>
          <w:tcPr>
            <w:tcW w:w="1000" w:type="dxa"/>
            <w:vAlign w:val="bottom"/>
            <w:tcBorders>
              <w:bottom w:val="single" w:sz="8" w:color="auto"/>
            </w:tcBorders>
          </w:tcPr>
          <w:p>
            <w:pPr>
              <w:jc w:val="right"/>
              <w:ind w:right="85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(36,383)</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(88,392)</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(66,923)</w:t>
            </w:r>
          </w:p>
        </w:tc>
      </w:tr>
      <w:tr>
        <w:trPr>
          <w:trHeight w:val="20"/>
        </w:trPr>
        <w:tc>
          <w:tcPr>
            <w:tcW w:w="4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1D2758"/>
        </w:rPr>
        <w:t>Summary Business Segment Supplemental Pro Forma Financial Information</w:t>
      </w:r>
    </w:p>
    <w:p>
      <w:pPr>
        <w:spacing w:after="0" w:line="85"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As a result of the Merger and the significant financing transactions, we believe presenting supplemental pro forma financial information is beneficial to the readers of the financial statements. The following table sets forth key metrics used by management to run the business on a pro forma basis as if the Merger and financing transactions had occurred on January 1, 2019. Refer to the Supplemental Pro Forma Financial Information section below for the full reconciliation of the statements of operations.</w:t>
      </w:r>
    </w:p>
    <w:p>
      <w:pPr>
        <w:spacing w:after="0" w:line="29"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The Company operates in four reportable segments as follows: NA Modular, NA Storage, UK Storage and Tank and Pump. The NA Modular segment represents the activities of WillScot prior to the Merger. The NA Storage, UK Storage, and Tank and Pump segments align to the three segments reported by Mobile Mini prior to the Merger. These reporting segments are aligned with how we operate and analyze our 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542925</wp:posOffset>
            </wp:positionV>
            <wp:extent cx="719264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color w:val="auto"/>
        </w:rPr>
        <w:t>Comparison of Three Months Ended June 30, 2021 and 2020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shd w:val="clear" w:color="auto" w:fill="1D2758"/>
          </w:tcPr>
          <w:p>
            <w:pPr>
              <w:spacing w:after="0"/>
              <w:rPr>
                <w:sz w:val="14"/>
                <w:szCs w:val="14"/>
                <w:color w:val="auto"/>
              </w:rPr>
            </w:pPr>
          </w:p>
        </w:tc>
        <w:tc>
          <w:tcPr>
            <w:tcW w:w="300" w:type="dxa"/>
            <w:vAlign w:val="bottom"/>
            <w:shd w:val="clear" w:color="auto" w:fill="1D2758"/>
          </w:tcPr>
          <w:p>
            <w:pPr>
              <w:spacing w:after="0"/>
              <w:rPr>
                <w:sz w:val="14"/>
                <w:szCs w:val="14"/>
                <w:color w:val="auto"/>
              </w:rPr>
            </w:pPr>
          </w:p>
        </w:tc>
        <w:tc>
          <w:tcPr>
            <w:tcW w:w="3420" w:type="dxa"/>
            <w:vAlign w:val="bottom"/>
            <w:gridSpan w:val="5"/>
            <w:shd w:val="clear" w:color="auto" w:fill="1D2758"/>
          </w:tcPr>
          <w:p>
            <w:pPr>
              <w:ind w:left="200"/>
              <w:spacing w:after="0"/>
              <w:rPr>
                <w:sz w:val="20"/>
                <w:szCs w:val="20"/>
                <w:color w:val="auto"/>
              </w:rPr>
            </w:pPr>
            <w:r>
              <w:rPr>
                <w:rFonts w:ascii="Arial" w:cs="Arial" w:eastAsia="Arial" w:hAnsi="Arial"/>
                <w:sz w:val="12"/>
                <w:szCs w:val="12"/>
                <w:b w:val="1"/>
                <w:bCs w:val="1"/>
                <w:color w:val="FFFFFF"/>
              </w:rPr>
              <w:t>Pro Forma Combined Quarter Ended June 30,</w:t>
            </w:r>
          </w:p>
        </w:tc>
        <w:tc>
          <w:tcPr>
            <w:tcW w:w="320" w:type="dxa"/>
            <w:vAlign w:val="bottom"/>
            <w:shd w:val="clear" w:color="auto" w:fill="1D2758"/>
          </w:tcPr>
          <w:p>
            <w:pPr>
              <w:spacing w:after="0"/>
              <w:rPr>
                <w:sz w:val="14"/>
                <w:szCs w:val="14"/>
                <w:color w:val="auto"/>
              </w:rPr>
            </w:pPr>
          </w:p>
        </w:tc>
        <w:tc>
          <w:tcPr>
            <w:tcW w:w="1920" w:type="dxa"/>
            <w:vAlign w:val="bottom"/>
            <w:gridSpan w:val="3"/>
            <w:shd w:val="clear" w:color="auto" w:fill="1D2758"/>
          </w:tcPr>
          <w:p>
            <w:pPr>
              <w:ind w:left="1040"/>
              <w:spacing w:after="0"/>
              <w:rPr>
                <w:sz w:val="20"/>
                <w:szCs w:val="20"/>
                <w:color w:val="auto"/>
              </w:rPr>
            </w:pPr>
            <w:r>
              <w:rPr>
                <w:rFonts w:ascii="Arial" w:cs="Arial" w:eastAsia="Arial" w:hAnsi="Arial"/>
                <w:sz w:val="12"/>
                <w:szCs w:val="12"/>
                <w:b w:val="1"/>
                <w:bCs w:val="1"/>
                <w:color w:val="FFFFFF"/>
              </w:rPr>
              <w:t>2021 vs. 2020</w:t>
            </w:r>
          </w:p>
        </w:tc>
        <w:tc>
          <w:tcPr>
            <w:tcW w:w="1260" w:type="dxa"/>
            <w:vAlign w:val="bottom"/>
            <w:shd w:val="clear" w:color="auto" w:fill="1D2758"/>
          </w:tcPr>
          <w:p>
            <w:pPr>
              <w:spacing w:after="0"/>
              <w:rPr>
                <w:sz w:val="14"/>
                <w:szCs w:val="14"/>
                <w:color w:val="auto"/>
              </w:rPr>
            </w:pPr>
          </w:p>
        </w:tc>
      </w:tr>
      <w:tr>
        <w:trPr>
          <w:trHeight w:val="161"/>
        </w:trPr>
        <w:tc>
          <w:tcPr>
            <w:tcW w:w="406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300" w:type="dxa"/>
            <w:vAlign w:val="bottom"/>
            <w:shd w:val="clear" w:color="auto" w:fill="1D2758"/>
          </w:tcPr>
          <w:p>
            <w:pPr>
              <w:spacing w:after="0"/>
              <w:rPr>
                <w:sz w:val="14"/>
                <w:szCs w:val="14"/>
                <w:color w:val="auto"/>
              </w:rPr>
            </w:pPr>
          </w:p>
        </w:tc>
        <w:tc>
          <w:tcPr>
            <w:tcW w:w="1480" w:type="dxa"/>
            <w:vAlign w:val="bottom"/>
            <w:shd w:val="clear" w:color="auto" w:fill="1D2758"/>
          </w:tcPr>
          <w:p>
            <w:pPr>
              <w:jc w:val="right"/>
              <w:ind w:right="699"/>
              <w:spacing w:after="0"/>
              <w:rPr>
                <w:sz w:val="20"/>
                <w:szCs w:val="20"/>
                <w:color w:val="auto"/>
              </w:rPr>
            </w:pPr>
            <w:r>
              <w:rPr>
                <w:rFonts w:ascii="Arial" w:cs="Arial" w:eastAsia="Arial" w:hAnsi="Arial"/>
                <w:sz w:val="12"/>
                <w:szCs w:val="12"/>
                <w:b w:val="1"/>
                <w:bCs w:val="1"/>
                <w:color w:val="FFFFFF"/>
              </w:rPr>
              <w:t>2021</w:t>
            </w:r>
          </w:p>
        </w:tc>
        <w:tc>
          <w:tcPr>
            <w:tcW w:w="8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1360" w:type="dxa"/>
            <w:vAlign w:val="bottom"/>
            <w:shd w:val="clear" w:color="auto" w:fill="1D2758"/>
          </w:tcPr>
          <w:p>
            <w:pPr>
              <w:jc w:val="right"/>
              <w:ind w:right="699"/>
              <w:spacing w:after="0"/>
              <w:rPr>
                <w:sz w:val="20"/>
                <w:szCs w:val="20"/>
                <w:color w:val="auto"/>
              </w:rPr>
            </w:pPr>
            <w:r>
              <w:rPr>
                <w:rFonts w:ascii="Arial" w:cs="Arial" w:eastAsia="Arial" w:hAnsi="Arial"/>
                <w:sz w:val="12"/>
                <w:szCs w:val="12"/>
                <w:b w:val="1"/>
                <w:bCs w:val="1"/>
                <w:color w:val="FFFFFF"/>
              </w:rPr>
              <w:t>2020</w:t>
            </w:r>
          </w:p>
        </w:tc>
        <w:tc>
          <w:tcPr>
            <w:tcW w:w="80" w:type="dxa"/>
            <w:vAlign w:val="bottom"/>
            <w:shd w:val="clear" w:color="auto" w:fill="1D2758"/>
          </w:tcPr>
          <w:p>
            <w:pPr>
              <w:spacing w:after="0"/>
              <w:rPr>
                <w:sz w:val="14"/>
                <w:szCs w:val="14"/>
                <w:color w:val="auto"/>
              </w:rPr>
            </w:pPr>
          </w:p>
        </w:tc>
        <w:tc>
          <w:tcPr>
            <w:tcW w:w="320" w:type="dxa"/>
            <w:vAlign w:val="bottom"/>
            <w:shd w:val="clear" w:color="auto" w:fill="1D2758"/>
          </w:tcPr>
          <w:p>
            <w:pPr>
              <w:spacing w:after="0"/>
              <w:rPr>
                <w:sz w:val="14"/>
                <w:szCs w:val="14"/>
                <w:color w:val="auto"/>
              </w:rPr>
            </w:pPr>
          </w:p>
        </w:tc>
        <w:tc>
          <w:tcPr>
            <w:tcW w:w="1920" w:type="dxa"/>
            <w:vAlign w:val="bottom"/>
            <w:gridSpan w:val="3"/>
            <w:shd w:val="clear" w:color="auto" w:fill="1D2758"/>
          </w:tcPr>
          <w:p>
            <w:pPr>
              <w:ind w:left="240"/>
              <w:spacing w:after="0"/>
              <w:rPr>
                <w:sz w:val="20"/>
                <w:szCs w:val="20"/>
                <w:color w:val="auto"/>
              </w:rPr>
            </w:pPr>
            <w:r>
              <w:rPr>
                <w:rFonts w:ascii="Arial" w:cs="Arial" w:eastAsia="Arial" w:hAnsi="Arial"/>
                <w:sz w:val="12"/>
                <w:szCs w:val="12"/>
                <w:b w:val="1"/>
                <w:bCs w:val="1"/>
                <w:color w:val="FFFFFF"/>
              </w:rPr>
              <w:t>$ Change</w:t>
            </w:r>
          </w:p>
        </w:tc>
        <w:tc>
          <w:tcPr>
            <w:tcW w:w="1260" w:type="dxa"/>
            <w:vAlign w:val="bottom"/>
            <w:shd w:val="clear" w:color="auto" w:fill="1D2758"/>
          </w:tcPr>
          <w:p>
            <w:pPr>
              <w:jc w:val="right"/>
              <w:ind w:right="519"/>
              <w:spacing w:after="0"/>
              <w:rPr>
                <w:sz w:val="20"/>
                <w:szCs w:val="20"/>
                <w:color w:val="auto"/>
              </w:rPr>
            </w:pPr>
            <w:r>
              <w:rPr>
                <w:rFonts w:ascii="Arial" w:cs="Arial" w:eastAsia="Arial" w:hAnsi="Arial"/>
                <w:sz w:val="12"/>
                <w:szCs w:val="12"/>
                <w:b w:val="1"/>
                <w:bCs w:val="1"/>
                <w:color w:val="FFFFFF"/>
              </w:rPr>
              <w:t>% Change</w:t>
            </w:r>
          </w:p>
        </w:tc>
      </w:tr>
      <w:tr>
        <w:trPr>
          <w:trHeight w:val="161"/>
        </w:trPr>
        <w:tc>
          <w:tcPr>
            <w:tcW w:w="406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w:t>
            </w:r>
          </w:p>
        </w:tc>
        <w:tc>
          <w:tcPr>
            <w:tcW w:w="300" w:type="dxa"/>
            <w:vAlign w:val="bottom"/>
            <w:shd w:val="clear" w:color="auto" w:fill="DBDBDB"/>
          </w:tcPr>
          <w:p>
            <w:pPr>
              <w:jc w:val="right"/>
              <w:ind w:right="159"/>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461,102</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jc w:val="right"/>
              <w:ind w:right="279"/>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390,525</w:t>
            </w:r>
          </w:p>
        </w:tc>
        <w:tc>
          <w:tcPr>
            <w:tcW w:w="80" w:type="dxa"/>
            <w:vAlign w:val="bottom"/>
            <w:shd w:val="clear" w:color="auto" w:fill="DBDBDB"/>
          </w:tcPr>
          <w:p>
            <w:pPr>
              <w:spacing w:after="0"/>
              <w:rPr>
                <w:sz w:val="14"/>
                <w:szCs w:val="14"/>
                <w:color w:val="auto"/>
              </w:rPr>
            </w:pPr>
          </w:p>
        </w:tc>
        <w:tc>
          <w:tcPr>
            <w:tcW w:w="320" w:type="dxa"/>
            <w:vAlign w:val="bottom"/>
            <w:shd w:val="clear" w:color="auto" w:fill="DBDBDB"/>
          </w:tcPr>
          <w:p>
            <w:pPr>
              <w:jc w:val="right"/>
              <w:ind w:right="179"/>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70,577</w:t>
            </w:r>
          </w:p>
        </w:tc>
        <w:tc>
          <w:tcPr>
            <w:tcW w:w="8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18.1 %</w:t>
            </w:r>
          </w:p>
        </w:tc>
      </w:tr>
      <w:tr>
        <w:trPr>
          <w:trHeight w:val="159"/>
        </w:trPr>
        <w:tc>
          <w:tcPr>
            <w:tcW w:w="4060" w:type="dxa"/>
            <w:vAlign w:val="bottom"/>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300" w:type="dxa"/>
            <w:vAlign w:val="bottom"/>
          </w:tcPr>
          <w:p>
            <w:pPr>
              <w:jc w:val="right"/>
              <w:ind w:right="159"/>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122,387</w:t>
            </w:r>
          </w:p>
        </w:tc>
        <w:tc>
          <w:tcPr>
            <w:tcW w:w="80" w:type="dxa"/>
            <w:vAlign w:val="bottom"/>
          </w:tcPr>
          <w:p>
            <w:pPr>
              <w:spacing w:after="0"/>
              <w:rPr>
                <w:sz w:val="13"/>
                <w:szCs w:val="13"/>
                <w:color w:val="auto"/>
              </w:rPr>
            </w:pPr>
          </w:p>
        </w:tc>
        <w:tc>
          <w:tcPr>
            <w:tcW w:w="420" w:type="dxa"/>
            <w:vAlign w:val="bottom"/>
          </w:tcPr>
          <w:p>
            <w:pPr>
              <w:jc w:val="right"/>
              <w:ind w:right="279"/>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111,757</w:t>
            </w:r>
          </w:p>
        </w:tc>
        <w:tc>
          <w:tcPr>
            <w:tcW w:w="80" w:type="dxa"/>
            <w:vAlign w:val="bottom"/>
          </w:tcPr>
          <w:p>
            <w:pPr>
              <w:spacing w:after="0"/>
              <w:rPr>
                <w:sz w:val="13"/>
                <w:szCs w:val="13"/>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10,630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9.5 %</w:t>
            </w:r>
          </w:p>
        </w:tc>
      </w:tr>
      <w:tr>
        <w:trPr>
          <w:trHeight w:val="164"/>
        </w:trPr>
        <w:tc>
          <w:tcPr>
            <w:tcW w:w="4060" w:type="dxa"/>
            <w:vAlign w:val="bottom"/>
            <w:shd w:val="clear" w:color="auto" w:fill="DBDBDB"/>
          </w:tcPr>
          <w:p>
            <w:pPr>
              <w:ind w:left="20"/>
              <w:spacing w:after="0"/>
              <w:rPr>
                <w:sz w:val="20"/>
                <w:szCs w:val="20"/>
                <w:color w:val="auto"/>
              </w:rPr>
            </w:pPr>
            <w:r>
              <w:rPr>
                <w:rFonts w:ascii="Arial" w:cs="Arial" w:eastAsia="Arial" w:hAnsi="Arial"/>
                <w:sz w:val="12"/>
                <w:szCs w:val="12"/>
                <w:color w:val="auto"/>
              </w:rPr>
              <w:t>Net income (loss)</w:t>
            </w:r>
          </w:p>
        </w:tc>
        <w:tc>
          <w:tcPr>
            <w:tcW w:w="300" w:type="dxa"/>
            <w:vAlign w:val="bottom"/>
            <w:shd w:val="clear" w:color="auto" w:fill="DBDBDB"/>
          </w:tcPr>
          <w:p>
            <w:pPr>
              <w:jc w:val="right"/>
              <w:ind w:right="159"/>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20,371</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jc w:val="right"/>
              <w:ind w:right="279"/>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(1,161)</w:t>
            </w:r>
          </w:p>
        </w:tc>
        <w:tc>
          <w:tcPr>
            <w:tcW w:w="80" w:type="dxa"/>
            <w:vAlign w:val="bottom"/>
            <w:shd w:val="clear" w:color="auto" w:fill="DBDBDB"/>
          </w:tcPr>
          <w:p>
            <w:pPr>
              <w:spacing w:after="0"/>
              <w:rPr>
                <w:sz w:val="14"/>
                <w:szCs w:val="14"/>
                <w:color w:val="auto"/>
              </w:rPr>
            </w:pPr>
          </w:p>
        </w:tc>
        <w:tc>
          <w:tcPr>
            <w:tcW w:w="320" w:type="dxa"/>
            <w:vAlign w:val="bottom"/>
            <w:shd w:val="clear" w:color="auto" w:fill="DBDBDB"/>
          </w:tcPr>
          <w:p>
            <w:pPr>
              <w:jc w:val="right"/>
              <w:ind w:right="179"/>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21,532</w:t>
            </w:r>
          </w:p>
        </w:tc>
        <w:tc>
          <w:tcPr>
            <w:tcW w:w="8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(1854.6)%</w:t>
            </w:r>
          </w:p>
        </w:tc>
      </w:tr>
      <w:tr>
        <w:trPr>
          <w:trHeight w:val="159"/>
        </w:trPr>
        <w:tc>
          <w:tcPr>
            <w:tcW w:w="4060" w:type="dxa"/>
            <w:vAlign w:val="bottom"/>
          </w:tcPr>
          <w:p>
            <w:pPr>
              <w:ind w:left="20"/>
              <w:spacing w:after="0"/>
              <w:rPr>
                <w:sz w:val="20"/>
                <w:szCs w:val="20"/>
                <w:color w:val="auto"/>
              </w:rPr>
            </w:pPr>
            <w:r>
              <w:rPr>
                <w:rFonts w:ascii="Arial" w:cs="Arial" w:eastAsia="Arial" w:hAnsi="Arial"/>
                <w:sz w:val="12"/>
                <w:szCs w:val="12"/>
                <w:color w:val="auto"/>
              </w:rPr>
              <w:t>Adjusted EBITDA</w:t>
            </w:r>
          </w:p>
        </w:tc>
        <w:tc>
          <w:tcPr>
            <w:tcW w:w="300" w:type="dxa"/>
            <w:vAlign w:val="bottom"/>
          </w:tcPr>
          <w:p>
            <w:pPr>
              <w:jc w:val="right"/>
              <w:ind w:right="159"/>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175,495</w:t>
            </w:r>
          </w:p>
        </w:tc>
        <w:tc>
          <w:tcPr>
            <w:tcW w:w="80" w:type="dxa"/>
            <w:vAlign w:val="bottom"/>
          </w:tcPr>
          <w:p>
            <w:pPr>
              <w:spacing w:after="0"/>
              <w:rPr>
                <w:sz w:val="13"/>
                <w:szCs w:val="13"/>
                <w:color w:val="auto"/>
              </w:rPr>
            </w:pPr>
          </w:p>
        </w:tc>
        <w:tc>
          <w:tcPr>
            <w:tcW w:w="420" w:type="dxa"/>
            <w:vAlign w:val="bottom"/>
          </w:tcPr>
          <w:p>
            <w:pPr>
              <w:jc w:val="right"/>
              <w:ind w:right="279"/>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153,802</w:t>
            </w:r>
          </w:p>
        </w:tc>
        <w:tc>
          <w:tcPr>
            <w:tcW w:w="80" w:type="dxa"/>
            <w:vAlign w:val="bottom"/>
          </w:tcPr>
          <w:p>
            <w:pPr>
              <w:spacing w:after="0"/>
              <w:rPr>
                <w:sz w:val="13"/>
                <w:szCs w:val="13"/>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21,693</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14.1 %</w:t>
            </w:r>
          </w:p>
        </w:tc>
      </w:tr>
      <w:tr>
        <w:trPr>
          <w:trHeight w:val="194"/>
        </w:trPr>
        <w:tc>
          <w:tcPr>
            <w:tcW w:w="406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13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3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r>
      <w:tr>
        <w:trPr>
          <w:trHeight w:val="159"/>
        </w:trPr>
        <w:tc>
          <w:tcPr>
            <w:tcW w:w="4060" w:type="dxa"/>
            <w:vAlign w:val="bottom"/>
          </w:tcPr>
          <w:p>
            <w:pPr>
              <w:ind w:left="20"/>
              <w:spacing w:after="0"/>
              <w:rPr>
                <w:sz w:val="20"/>
                <w:szCs w:val="20"/>
                <w:color w:val="auto"/>
              </w:rPr>
            </w:pPr>
            <w:r>
              <w:rPr>
                <w:rFonts w:ascii="Arial" w:cs="Arial" w:eastAsia="Arial" w:hAnsi="Arial"/>
                <w:sz w:val="12"/>
                <w:szCs w:val="12"/>
                <w:color w:val="auto"/>
              </w:rPr>
              <w:t>Other Financial Data:</w:t>
            </w:r>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64"/>
        </w:trPr>
        <w:tc>
          <w:tcPr>
            <w:tcW w:w="40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Adjusted EBITDA - NA Modular</w:t>
            </w:r>
          </w:p>
        </w:tc>
        <w:tc>
          <w:tcPr>
            <w:tcW w:w="300" w:type="dxa"/>
            <w:vAlign w:val="bottom"/>
            <w:shd w:val="clear" w:color="auto" w:fill="DBDBDB"/>
          </w:tcPr>
          <w:p>
            <w:pPr>
              <w:jc w:val="right"/>
              <w:ind w:right="159"/>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103,545</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jc w:val="right"/>
              <w:ind w:right="279"/>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97,520</w:t>
            </w:r>
          </w:p>
        </w:tc>
        <w:tc>
          <w:tcPr>
            <w:tcW w:w="80" w:type="dxa"/>
            <w:vAlign w:val="bottom"/>
            <w:shd w:val="clear" w:color="auto" w:fill="DBDBDB"/>
          </w:tcPr>
          <w:p>
            <w:pPr>
              <w:spacing w:after="0"/>
              <w:rPr>
                <w:sz w:val="14"/>
                <w:szCs w:val="14"/>
                <w:color w:val="auto"/>
              </w:rPr>
            </w:pPr>
          </w:p>
        </w:tc>
        <w:tc>
          <w:tcPr>
            <w:tcW w:w="320" w:type="dxa"/>
            <w:vAlign w:val="bottom"/>
            <w:shd w:val="clear" w:color="auto" w:fill="DBDBDB"/>
          </w:tcPr>
          <w:p>
            <w:pPr>
              <w:jc w:val="right"/>
              <w:ind w:right="179"/>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6,025</w:t>
            </w:r>
          </w:p>
        </w:tc>
        <w:tc>
          <w:tcPr>
            <w:tcW w:w="8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6.2 %</w:t>
            </w:r>
          </w:p>
        </w:tc>
      </w:tr>
      <w:tr>
        <w:trPr>
          <w:trHeight w:val="159"/>
        </w:trPr>
        <w:tc>
          <w:tcPr>
            <w:tcW w:w="4060" w:type="dxa"/>
            <w:vAlign w:val="bottom"/>
          </w:tcPr>
          <w:p>
            <w:pPr>
              <w:ind w:left="180"/>
              <w:spacing w:after="0"/>
              <w:rPr>
                <w:sz w:val="20"/>
                <w:szCs w:val="20"/>
                <w:color w:val="auto"/>
              </w:rPr>
            </w:pPr>
            <w:r>
              <w:rPr>
                <w:rFonts w:ascii="Arial" w:cs="Arial" w:eastAsia="Arial" w:hAnsi="Arial"/>
                <w:sz w:val="12"/>
                <w:szCs w:val="12"/>
                <w:color w:val="auto"/>
              </w:rPr>
              <w:t>Adjusted EBITDA - NA Storage</w:t>
            </w:r>
          </w:p>
        </w:tc>
        <w:tc>
          <w:tcPr>
            <w:tcW w:w="3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49,526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40,770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8,756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21.5 %</w:t>
            </w:r>
          </w:p>
        </w:tc>
      </w:tr>
      <w:tr>
        <w:trPr>
          <w:trHeight w:val="164"/>
        </w:trPr>
        <w:tc>
          <w:tcPr>
            <w:tcW w:w="40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Adjusted EBITDA - UK Storage</w:t>
            </w:r>
          </w:p>
        </w:tc>
        <w:tc>
          <w:tcPr>
            <w:tcW w:w="300" w:type="dxa"/>
            <w:vAlign w:val="bottom"/>
            <w:shd w:val="clear" w:color="auto" w:fill="DBDBDB"/>
          </w:tcPr>
          <w:p>
            <w:pPr>
              <w:spacing w:after="0"/>
              <w:rPr>
                <w:sz w:val="14"/>
                <w:szCs w:val="14"/>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12,328</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6,853</w:t>
            </w:r>
          </w:p>
        </w:tc>
        <w:tc>
          <w:tcPr>
            <w:tcW w:w="8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5,475</w:t>
            </w:r>
          </w:p>
        </w:tc>
        <w:tc>
          <w:tcPr>
            <w:tcW w:w="8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79.9 %</w:t>
            </w:r>
          </w:p>
        </w:tc>
      </w:tr>
      <w:tr>
        <w:trPr>
          <w:trHeight w:val="159"/>
        </w:trPr>
        <w:tc>
          <w:tcPr>
            <w:tcW w:w="4060" w:type="dxa"/>
            <w:vAlign w:val="bottom"/>
            <w:tcBorders>
              <w:bottom w:val="single" w:sz="8" w:color="DBDBDB"/>
            </w:tcBorders>
          </w:tcPr>
          <w:p>
            <w:pPr>
              <w:ind w:left="180"/>
              <w:spacing w:after="0"/>
              <w:rPr>
                <w:sz w:val="20"/>
                <w:szCs w:val="20"/>
                <w:color w:val="auto"/>
              </w:rPr>
            </w:pPr>
            <w:r>
              <w:rPr>
                <w:rFonts w:ascii="Arial" w:cs="Arial" w:eastAsia="Arial" w:hAnsi="Arial"/>
                <w:sz w:val="12"/>
                <w:szCs w:val="12"/>
                <w:color w:val="auto"/>
              </w:rPr>
              <w:t>Adjusted EBITDA - Tank and Pump</w:t>
            </w: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10,096</w:t>
            </w:r>
          </w:p>
        </w:tc>
        <w:tc>
          <w:tcPr>
            <w:tcW w:w="80" w:type="dxa"/>
            <w:vAlign w:val="bottom"/>
            <w:tcBorders>
              <w:bottom w:val="single" w:sz="8" w:color="DBDBDB"/>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8,659</w:t>
            </w:r>
          </w:p>
        </w:tc>
        <w:tc>
          <w:tcPr>
            <w:tcW w:w="80" w:type="dxa"/>
            <w:vAlign w:val="bottom"/>
            <w:tcBorders>
              <w:bottom w:val="single" w:sz="8" w:color="DBDBDB"/>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1,437</w:t>
            </w:r>
          </w:p>
        </w:tc>
        <w:tc>
          <w:tcPr>
            <w:tcW w:w="80" w:type="dxa"/>
            <w:vAlign w:val="bottom"/>
            <w:tcBorders>
              <w:bottom w:val="single" w:sz="8" w:color="DBDBDB"/>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16.6 %</w:t>
            </w:r>
          </w:p>
        </w:tc>
      </w:tr>
      <w:tr>
        <w:trPr>
          <w:trHeight w:val="179"/>
        </w:trPr>
        <w:tc>
          <w:tcPr>
            <w:tcW w:w="4060" w:type="dxa"/>
            <w:vAlign w:val="bottom"/>
            <w:tcBorders>
              <w:bottom w:val="single" w:sz="8" w:color="DBDBDB"/>
            </w:tcBorders>
            <w:shd w:val="clear" w:color="auto" w:fill="DBDBDB"/>
          </w:tcPr>
          <w:p>
            <w:pPr>
              <w:ind w:left="180"/>
              <w:spacing w:after="0" w:line="154" w:lineRule="exact"/>
              <w:rPr>
                <w:sz w:val="20"/>
                <w:szCs w:val="20"/>
                <w:color w:val="auto"/>
              </w:rPr>
            </w:pPr>
            <w:r>
              <w:rPr>
                <w:rFonts w:ascii="Arial" w:cs="Arial" w:eastAsia="Arial" w:hAnsi="Arial"/>
                <w:sz w:val="12"/>
                <w:szCs w:val="12"/>
                <w:color w:val="auto"/>
              </w:rPr>
              <w:t>Consolidated Adjusted EBITDA</w:t>
            </w:r>
            <w:r>
              <w:rPr>
                <w:rFonts w:ascii="Arial" w:cs="Arial" w:eastAsia="Arial" w:hAnsi="Arial"/>
                <w:sz w:val="15"/>
                <w:szCs w:val="15"/>
                <w:color w:val="auto"/>
                <w:vertAlign w:val="superscript"/>
              </w:rPr>
              <w:t>(a)</w:t>
            </w:r>
          </w:p>
        </w:tc>
        <w:tc>
          <w:tcPr>
            <w:tcW w:w="30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175,495</w:t>
            </w:r>
          </w:p>
        </w:tc>
        <w:tc>
          <w:tcPr>
            <w:tcW w:w="80" w:type="dxa"/>
            <w:vAlign w:val="bottom"/>
            <w:tcBorders>
              <w:bottom w:val="single" w:sz="8" w:color="DBDBDB"/>
            </w:tcBorders>
            <w:shd w:val="clear" w:color="auto" w:fill="DBDBDB"/>
          </w:tcPr>
          <w:p>
            <w:pPr>
              <w:spacing w:after="0"/>
              <w:rPr>
                <w:sz w:val="15"/>
                <w:szCs w:val="15"/>
                <w:color w:val="auto"/>
              </w:rPr>
            </w:pPr>
          </w:p>
        </w:tc>
        <w:tc>
          <w:tcPr>
            <w:tcW w:w="420" w:type="dxa"/>
            <w:vAlign w:val="bottom"/>
            <w:tcBorders>
              <w:bottom w:val="single" w:sz="8" w:color="auto"/>
            </w:tcBorders>
            <w:shd w:val="clear" w:color="auto" w:fill="DBDBDB"/>
          </w:tcPr>
          <w:p>
            <w:pPr>
              <w:jc w:val="right"/>
              <w:ind w:right="279"/>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153,802</w:t>
            </w:r>
          </w:p>
        </w:tc>
        <w:tc>
          <w:tcPr>
            <w:tcW w:w="80" w:type="dxa"/>
            <w:vAlign w:val="bottom"/>
            <w:tcBorders>
              <w:bottom w:val="single" w:sz="8" w:color="DBDBDB"/>
            </w:tcBorders>
            <w:shd w:val="clear" w:color="auto" w:fill="DBDBDB"/>
          </w:tcPr>
          <w:p>
            <w:pPr>
              <w:spacing w:after="0"/>
              <w:rPr>
                <w:sz w:val="15"/>
                <w:szCs w:val="15"/>
                <w:color w:val="auto"/>
              </w:rPr>
            </w:pPr>
          </w:p>
        </w:tc>
        <w:tc>
          <w:tcPr>
            <w:tcW w:w="32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21,693</w:t>
            </w:r>
          </w:p>
        </w:tc>
        <w:tc>
          <w:tcPr>
            <w:tcW w:w="80" w:type="dxa"/>
            <w:vAlign w:val="bottom"/>
            <w:tcBorders>
              <w:bottom w:val="single" w:sz="8" w:color="DBDBDB"/>
            </w:tcBorders>
            <w:shd w:val="clear" w:color="auto" w:fill="DBDBDB"/>
          </w:tcPr>
          <w:p>
            <w:pPr>
              <w:spacing w:after="0"/>
              <w:rPr>
                <w:sz w:val="15"/>
                <w:szCs w:val="15"/>
                <w:color w:val="auto"/>
              </w:rPr>
            </w:pPr>
          </w:p>
        </w:tc>
        <w:tc>
          <w:tcPr>
            <w:tcW w:w="500" w:type="dxa"/>
            <w:vAlign w:val="bottom"/>
            <w:tcBorders>
              <w:bottom w:val="single" w:sz="8" w:color="auto"/>
            </w:tcBorders>
            <w:shd w:val="clear" w:color="auto" w:fill="DBDBDB"/>
          </w:tcPr>
          <w:p>
            <w:pPr>
              <w:spacing w:after="0"/>
              <w:rPr>
                <w:sz w:val="15"/>
                <w:szCs w:val="15"/>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14.1 %</w:t>
            </w:r>
          </w:p>
        </w:tc>
      </w:tr>
      <w:tr>
        <w:trPr>
          <w:trHeight w:val="20"/>
        </w:trPr>
        <w:tc>
          <w:tcPr>
            <w:tcW w:w="406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460" w:hanging="446"/>
        <w:spacing w:after="0"/>
        <w:tabs>
          <w:tab w:leader="none" w:pos="4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We present Adjusted EBITDA, a measurement not calculated in accordance with GAAP, because it is a key metric used by management to assess financial performance.</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 Modular - Quarterly Results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Pro Forma Quarterly Results for the Six Months Ended June 30, 2021: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for units on rent and</w:t>
            </w:r>
          </w:p>
        </w:tc>
        <w:tc>
          <w:tcPr>
            <w:tcW w:w="1880" w:type="dxa"/>
            <w:vAlign w:val="bottom"/>
            <w:shd w:val="clear" w:color="auto" w:fill="1D2758"/>
          </w:tcPr>
          <w:p>
            <w:pPr>
              <w:spacing w:after="0"/>
              <w:rPr>
                <w:sz w:val="12"/>
                <w:szCs w:val="12"/>
                <w:color w:val="auto"/>
              </w:rPr>
            </w:pPr>
          </w:p>
        </w:tc>
        <w:tc>
          <w:tcPr>
            <w:tcW w:w="1500" w:type="dxa"/>
            <w:vAlign w:val="bottom"/>
            <w:vMerge w:val="restart"/>
            <w:shd w:val="clear" w:color="auto" w:fill="1D2758"/>
          </w:tcPr>
          <w:p>
            <w:pPr>
              <w:jc w:val="right"/>
              <w:ind w:right="879"/>
              <w:spacing w:after="0"/>
              <w:rPr>
                <w:sz w:val="20"/>
                <w:szCs w:val="20"/>
                <w:color w:val="auto"/>
              </w:rPr>
            </w:pPr>
            <w:r>
              <w:rPr>
                <w:rFonts w:ascii="Arial" w:cs="Arial" w:eastAsia="Arial" w:hAnsi="Arial"/>
                <w:sz w:val="12"/>
                <w:szCs w:val="12"/>
                <w:b w:val="1"/>
                <w:bCs w:val="1"/>
                <w:color w:val="FFFFFF"/>
              </w:rPr>
              <w:t>Q1</w:t>
            </w:r>
          </w:p>
        </w:tc>
        <w:tc>
          <w:tcPr>
            <w:tcW w:w="520" w:type="dxa"/>
            <w:vAlign w:val="bottom"/>
            <w:shd w:val="clear" w:color="auto" w:fill="1D2758"/>
          </w:tcPr>
          <w:p>
            <w:pPr>
              <w:spacing w:after="0"/>
              <w:rPr>
                <w:sz w:val="12"/>
                <w:szCs w:val="12"/>
                <w:color w:val="auto"/>
              </w:rPr>
            </w:pPr>
          </w:p>
        </w:tc>
        <w:tc>
          <w:tcPr>
            <w:tcW w:w="1520" w:type="dxa"/>
            <w:vAlign w:val="bottom"/>
            <w:vMerge w:val="restart"/>
            <w:shd w:val="clear" w:color="auto" w:fill="1D2758"/>
          </w:tcPr>
          <w:p>
            <w:pPr>
              <w:jc w:val="right"/>
              <w:ind w:right="879"/>
              <w:spacing w:after="0"/>
              <w:rPr>
                <w:sz w:val="20"/>
                <w:szCs w:val="20"/>
                <w:color w:val="auto"/>
              </w:rPr>
            </w:pPr>
            <w:r>
              <w:rPr>
                <w:rFonts w:ascii="Arial" w:cs="Arial" w:eastAsia="Arial" w:hAnsi="Arial"/>
                <w:sz w:val="12"/>
                <w:szCs w:val="12"/>
                <w:b w:val="1"/>
                <w:bCs w:val="1"/>
                <w:color w:val="FFFFFF"/>
              </w:rPr>
              <w:t>Q2</w:t>
            </w:r>
          </w:p>
        </w:tc>
        <w:tc>
          <w:tcPr>
            <w:tcW w:w="500" w:type="dxa"/>
            <w:vAlign w:val="bottom"/>
            <w:shd w:val="clear" w:color="auto" w:fill="1D2758"/>
          </w:tcPr>
          <w:p>
            <w:pPr>
              <w:spacing w:after="0"/>
              <w:rPr>
                <w:sz w:val="12"/>
                <w:szCs w:val="12"/>
                <w:color w:val="auto"/>
              </w:rPr>
            </w:pPr>
          </w:p>
        </w:tc>
        <w:tc>
          <w:tcPr>
            <w:tcW w:w="1480" w:type="dxa"/>
            <w:vAlign w:val="bottom"/>
            <w:vMerge w:val="restart"/>
            <w:shd w:val="clear" w:color="auto" w:fill="1D2758"/>
          </w:tcPr>
          <w:p>
            <w:pPr>
              <w:jc w:val="right"/>
              <w:ind w:right="779"/>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61"/>
        </w:trPr>
        <w:tc>
          <w:tcPr>
            <w:tcW w:w="38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monthly rental rate)</w:t>
            </w:r>
          </w:p>
        </w:tc>
        <w:tc>
          <w:tcPr>
            <w:tcW w:w="1880" w:type="dxa"/>
            <w:vAlign w:val="bottom"/>
            <w:shd w:val="clear" w:color="auto" w:fill="1D2758"/>
          </w:tcPr>
          <w:p>
            <w:pPr>
              <w:spacing w:after="0"/>
              <w:rPr>
                <w:sz w:val="14"/>
                <w:szCs w:val="14"/>
                <w:color w:val="auto"/>
              </w:rPr>
            </w:pPr>
          </w:p>
        </w:tc>
        <w:tc>
          <w:tcPr>
            <w:tcW w:w="1500" w:type="dxa"/>
            <w:vAlign w:val="bottom"/>
            <w:vMerge w:val="continue"/>
            <w:shd w:val="clear" w:color="auto" w:fill="1D2758"/>
          </w:tcPr>
          <w:p>
            <w:pPr>
              <w:spacing w:after="0"/>
              <w:rPr>
                <w:sz w:val="14"/>
                <w:szCs w:val="14"/>
                <w:color w:val="auto"/>
              </w:rPr>
            </w:pPr>
          </w:p>
        </w:tc>
        <w:tc>
          <w:tcPr>
            <w:tcW w:w="520" w:type="dxa"/>
            <w:vAlign w:val="bottom"/>
            <w:shd w:val="clear" w:color="auto" w:fill="1D2758"/>
          </w:tcPr>
          <w:p>
            <w:pPr>
              <w:spacing w:after="0"/>
              <w:rPr>
                <w:sz w:val="14"/>
                <w:szCs w:val="14"/>
                <w:color w:val="auto"/>
              </w:rPr>
            </w:pPr>
          </w:p>
        </w:tc>
        <w:tc>
          <w:tcPr>
            <w:tcW w:w="1520" w:type="dxa"/>
            <w:vAlign w:val="bottom"/>
            <w:vMerge w:val="continue"/>
            <w:shd w:val="clear" w:color="auto" w:fill="1D2758"/>
          </w:tcPr>
          <w:p>
            <w:pPr>
              <w:spacing w:after="0"/>
              <w:rPr>
                <w:sz w:val="14"/>
                <w:szCs w:val="14"/>
                <w:color w:val="auto"/>
              </w:rPr>
            </w:pPr>
          </w:p>
        </w:tc>
        <w:tc>
          <w:tcPr>
            <w:tcW w:w="500" w:type="dxa"/>
            <w:vAlign w:val="bottom"/>
            <w:shd w:val="clear" w:color="auto" w:fill="1D2758"/>
          </w:tcPr>
          <w:p>
            <w:pPr>
              <w:spacing w:after="0"/>
              <w:rPr>
                <w:sz w:val="14"/>
                <w:szCs w:val="14"/>
                <w:color w:val="auto"/>
              </w:rPr>
            </w:pPr>
          </w:p>
        </w:tc>
        <w:tc>
          <w:tcPr>
            <w:tcW w:w="148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Revenue</w:t>
            </w:r>
          </w:p>
        </w:tc>
        <w:tc>
          <w:tcPr>
            <w:tcW w:w="1880" w:type="dxa"/>
            <w:vAlign w:val="bottom"/>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266,224</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289,382</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555,606</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Gross profit</w:t>
            </w:r>
          </w:p>
        </w:tc>
        <w:tc>
          <w:tcPr>
            <w:tcW w:w="1880" w:type="dxa"/>
            <w:vAlign w:val="bottom"/>
            <w:shd w:val="clear" w:color="auto" w:fill="DBDBDB"/>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113,002</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116,136</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229,138</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Adjusted EBITDA</w:t>
            </w:r>
          </w:p>
        </w:tc>
        <w:tc>
          <w:tcPr>
            <w:tcW w:w="1880" w:type="dxa"/>
            <w:vAlign w:val="bottom"/>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97,371</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103,545</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200,916</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Capital expenditures for rental equipment</w:t>
            </w:r>
          </w:p>
        </w:tc>
        <w:tc>
          <w:tcPr>
            <w:tcW w:w="1880" w:type="dxa"/>
            <w:vAlign w:val="bottom"/>
            <w:shd w:val="clear" w:color="auto" w:fill="DBDBDB"/>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39,135</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49,364</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88,499</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Average modular space units on rent</w:t>
            </w:r>
          </w:p>
        </w:tc>
        <w:tc>
          <w:tcPr>
            <w:tcW w:w="1880" w:type="dxa"/>
            <w:vAlign w:val="bottom"/>
          </w:tcPr>
          <w:p>
            <w:pPr>
              <w:spacing w:after="0"/>
              <w:rPr>
                <w:sz w:val="13"/>
                <w:szCs w:val="13"/>
                <w:color w:val="auto"/>
              </w:rPr>
            </w:pP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84,795</w:t>
            </w:r>
          </w:p>
        </w:tc>
        <w:tc>
          <w:tcPr>
            <w:tcW w:w="520" w:type="dxa"/>
            <w:vAlign w:val="bottom"/>
          </w:tcPr>
          <w:p>
            <w:pPr>
              <w:spacing w:after="0"/>
              <w:rPr>
                <w:sz w:val="13"/>
                <w:szCs w:val="13"/>
                <w:color w:val="auto"/>
              </w:rPr>
            </w:pP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84,754</w:t>
            </w:r>
          </w:p>
        </w:tc>
        <w:tc>
          <w:tcPr>
            <w:tcW w:w="500" w:type="dxa"/>
            <w:vAlign w:val="bottom"/>
          </w:tcPr>
          <w:p>
            <w:pPr>
              <w:spacing w:after="0"/>
              <w:rPr>
                <w:sz w:val="13"/>
                <w:szCs w:val="13"/>
                <w:color w:val="auto"/>
              </w:rPr>
            </w:pP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84,737</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utilization rate</w:t>
            </w:r>
          </w:p>
        </w:tc>
        <w:tc>
          <w:tcPr>
            <w:tcW w:w="188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67.6 %</w:t>
            </w:r>
          </w:p>
        </w:tc>
        <w:tc>
          <w:tcPr>
            <w:tcW w:w="52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67.7 %</w:t>
            </w:r>
          </w:p>
        </w:tc>
        <w:tc>
          <w:tcPr>
            <w:tcW w:w="500" w:type="dxa"/>
            <w:vAlign w:val="bottom"/>
            <w:shd w:val="clear" w:color="auto" w:fill="DBDBDB"/>
          </w:tcPr>
          <w:p>
            <w:pPr>
              <w:spacing w:after="0"/>
              <w:rPr>
                <w:sz w:val="14"/>
                <w:szCs w:val="14"/>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67.6 %</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Average modular space monthly rental rate</w:t>
            </w:r>
          </w:p>
        </w:tc>
        <w:tc>
          <w:tcPr>
            <w:tcW w:w="1880" w:type="dxa"/>
            <w:vAlign w:val="bottom"/>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737</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801</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769</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portable storage units on rent</w:t>
            </w:r>
          </w:p>
        </w:tc>
        <w:tc>
          <w:tcPr>
            <w:tcW w:w="1880" w:type="dxa"/>
            <w:vAlign w:val="bottom"/>
            <w:shd w:val="clear" w:color="auto" w:fill="DBDBDB"/>
          </w:tcPr>
          <w:p>
            <w:pPr>
              <w:spacing w:after="0"/>
              <w:rPr>
                <w:sz w:val="14"/>
                <w:szCs w:val="14"/>
                <w:color w:val="auto"/>
              </w:rPr>
            </w:pP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14,903</w:t>
            </w:r>
          </w:p>
        </w:tc>
        <w:tc>
          <w:tcPr>
            <w:tcW w:w="520" w:type="dxa"/>
            <w:vAlign w:val="bottom"/>
            <w:shd w:val="clear" w:color="auto" w:fill="DBDBDB"/>
          </w:tcPr>
          <w:p>
            <w:pPr>
              <w:spacing w:after="0"/>
              <w:rPr>
                <w:sz w:val="14"/>
                <w:szCs w:val="14"/>
                <w:color w:val="auto"/>
              </w:rPr>
            </w:pP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13,301</w:t>
            </w:r>
          </w:p>
        </w:tc>
        <w:tc>
          <w:tcPr>
            <w:tcW w:w="500" w:type="dxa"/>
            <w:vAlign w:val="bottom"/>
            <w:shd w:val="clear" w:color="auto" w:fill="DBDBDB"/>
          </w:tcPr>
          <w:p>
            <w:pPr>
              <w:spacing w:after="0"/>
              <w:rPr>
                <w:sz w:val="14"/>
                <w:szCs w:val="14"/>
                <w:color w:val="auto"/>
              </w:rPr>
            </w:pP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14,186</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Average portable storage utilization rate</w:t>
            </w:r>
          </w:p>
        </w:tc>
        <w:tc>
          <w:tcPr>
            <w:tcW w:w="18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60.3 %</w:t>
            </w: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69.8 %</w:t>
            </w:r>
          </w:p>
        </w:tc>
        <w:tc>
          <w:tcPr>
            <w:tcW w:w="5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64.8 %</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portable storage monthly rental rate</w:t>
            </w:r>
          </w:p>
        </w:tc>
        <w:tc>
          <w:tcPr>
            <w:tcW w:w="1880" w:type="dxa"/>
            <w:vAlign w:val="bottom"/>
            <w:shd w:val="clear" w:color="auto" w:fill="DBDBDB"/>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124</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133</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128</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Pro Forma Quarterly Results for the Six Months Ended June 30,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for units on rent and</w:t>
            </w:r>
          </w:p>
        </w:tc>
        <w:tc>
          <w:tcPr>
            <w:tcW w:w="1880" w:type="dxa"/>
            <w:vAlign w:val="bottom"/>
            <w:shd w:val="clear" w:color="auto" w:fill="1D2758"/>
          </w:tcPr>
          <w:p>
            <w:pPr>
              <w:spacing w:after="0"/>
              <w:rPr>
                <w:sz w:val="12"/>
                <w:szCs w:val="12"/>
                <w:color w:val="auto"/>
              </w:rPr>
            </w:pPr>
          </w:p>
        </w:tc>
        <w:tc>
          <w:tcPr>
            <w:tcW w:w="1500" w:type="dxa"/>
            <w:vAlign w:val="bottom"/>
            <w:vMerge w:val="restart"/>
            <w:shd w:val="clear" w:color="auto" w:fill="1D2758"/>
          </w:tcPr>
          <w:p>
            <w:pPr>
              <w:jc w:val="right"/>
              <w:ind w:right="879"/>
              <w:spacing w:after="0"/>
              <w:rPr>
                <w:sz w:val="20"/>
                <w:szCs w:val="20"/>
                <w:color w:val="auto"/>
              </w:rPr>
            </w:pPr>
            <w:r>
              <w:rPr>
                <w:rFonts w:ascii="Arial" w:cs="Arial" w:eastAsia="Arial" w:hAnsi="Arial"/>
                <w:sz w:val="12"/>
                <w:szCs w:val="12"/>
                <w:b w:val="1"/>
                <w:bCs w:val="1"/>
                <w:color w:val="FFFFFF"/>
              </w:rPr>
              <w:t>Q1</w:t>
            </w:r>
          </w:p>
        </w:tc>
        <w:tc>
          <w:tcPr>
            <w:tcW w:w="520" w:type="dxa"/>
            <w:vAlign w:val="bottom"/>
            <w:shd w:val="clear" w:color="auto" w:fill="1D2758"/>
          </w:tcPr>
          <w:p>
            <w:pPr>
              <w:spacing w:after="0"/>
              <w:rPr>
                <w:sz w:val="12"/>
                <w:szCs w:val="12"/>
                <w:color w:val="auto"/>
              </w:rPr>
            </w:pPr>
          </w:p>
        </w:tc>
        <w:tc>
          <w:tcPr>
            <w:tcW w:w="1520" w:type="dxa"/>
            <w:vAlign w:val="bottom"/>
            <w:vMerge w:val="restart"/>
            <w:shd w:val="clear" w:color="auto" w:fill="1D2758"/>
          </w:tcPr>
          <w:p>
            <w:pPr>
              <w:jc w:val="right"/>
              <w:ind w:right="879"/>
              <w:spacing w:after="0"/>
              <w:rPr>
                <w:sz w:val="20"/>
                <w:szCs w:val="20"/>
                <w:color w:val="auto"/>
              </w:rPr>
            </w:pPr>
            <w:r>
              <w:rPr>
                <w:rFonts w:ascii="Arial" w:cs="Arial" w:eastAsia="Arial" w:hAnsi="Arial"/>
                <w:sz w:val="12"/>
                <w:szCs w:val="12"/>
                <w:b w:val="1"/>
                <w:bCs w:val="1"/>
                <w:color w:val="FFFFFF"/>
              </w:rPr>
              <w:t>Q2</w:t>
            </w:r>
          </w:p>
        </w:tc>
        <w:tc>
          <w:tcPr>
            <w:tcW w:w="500" w:type="dxa"/>
            <w:vAlign w:val="bottom"/>
            <w:shd w:val="clear" w:color="auto" w:fill="1D2758"/>
          </w:tcPr>
          <w:p>
            <w:pPr>
              <w:spacing w:after="0"/>
              <w:rPr>
                <w:sz w:val="12"/>
                <w:szCs w:val="12"/>
                <w:color w:val="auto"/>
              </w:rPr>
            </w:pPr>
          </w:p>
        </w:tc>
        <w:tc>
          <w:tcPr>
            <w:tcW w:w="1480" w:type="dxa"/>
            <w:vAlign w:val="bottom"/>
            <w:vMerge w:val="restart"/>
            <w:shd w:val="clear" w:color="auto" w:fill="1D2758"/>
          </w:tcPr>
          <w:p>
            <w:pPr>
              <w:jc w:val="right"/>
              <w:ind w:right="779"/>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61"/>
        </w:trPr>
        <w:tc>
          <w:tcPr>
            <w:tcW w:w="38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monthly rental rate)</w:t>
            </w:r>
          </w:p>
        </w:tc>
        <w:tc>
          <w:tcPr>
            <w:tcW w:w="1880" w:type="dxa"/>
            <w:vAlign w:val="bottom"/>
            <w:shd w:val="clear" w:color="auto" w:fill="1D2758"/>
          </w:tcPr>
          <w:p>
            <w:pPr>
              <w:spacing w:after="0"/>
              <w:rPr>
                <w:sz w:val="14"/>
                <w:szCs w:val="14"/>
                <w:color w:val="auto"/>
              </w:rPr>
            </w:pPr>
          </w:p>
        </w:tc>
        <w:tc>
          <w:tcPr>
            <w:tcW w:w="1500" w:type="dxa"/>
            <w:vAlign w:val="bottom"/>
            <w:vMerge w:val="continue"/>
            <w:shd w:val="clear" w:color="auto" w:fill="1D2758"/>
          </w:tcPr>
          <w:p>
            <w:pPr>
              <w:spacing w:after="0"/>
              <w:rPr>
                <w:sz w:val="14"/>
                <w:szCs w:val="14"/>
                <w:color w:val="auto"/>
              </w:rPr>
            </w:pPr>
          </w:p>
        </w:tc>
        <w:tc>
          <w:tcPr>
            <w:tcW w:w="520" w:type="dxa"/>
            <w:vAlign w:val="bottom"/>
            <w:shd w:val="clear" w:color="auto" w:fill="1D2758"/>
          </w:tcPr>
          <w:p>
            <w:pPr>
              <w:spacing w:after="0"/>
              <w:rPr>
                <w:sz w:val="14"/>
                <w:szCs w:val="14"/>
                <w:color w:val="auto"/>
              </w:rPr>
            </w:pPr>
          </w:p>
        </w:tc>
        <w:tc>
          <w:tcPr>
            <w:tcW w:w="1520" w:type="dxa"/>
            <w:vAlign w:val="bottom"/>
            <w:vMerge w:val="continue"/>
            <w:shd w:val="clear" w:color="auto" w:fill="1D2758"/>
          </w:tcPr>
          <w:p>
            <w:pPr>
              <w:spacing w:after="0"/>
              <w:rPr>
                <w:sz w:val="14"/>
                <w:szCs w:val="14"/>
                <w:color w:val="auto"/>
              </w:rPr>
            </w:pPr>
          </w:p>
        </w:tc>
        <w:tc>
          <w:tcPr>
            <w:tcW w:w="500" w:type="dxa"/>
            <w:vAlign w:val="bottom"/>
            <w:shd w:val="clear" w:color="auto" w:fill="1D2758"/>
          </w:tcPr>
          <w:p>
            <w:pPr>
              <w:spacing w:after="0"/>
              <w:rPr>
                <w:sz w:val="14"/>
                <w:szCs w:val="14"/>
                <w:color w:val="auto"/>
              </w:rPr>
            </w:pPr>
          </w:p>
        </w:tc>
        <w:tc>
          <w:tcPr>
            <w:tcW w:w="148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Revenue</w:t>
            </w:r>
          </w:p>
        </w:tc>
        <w:tc>
          <w:tcPr>
            <w:tcW w:w="1880" w:type="dxa"/>
            <w:vAlign w:val="bottom"/>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255,821</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256,862</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512,683</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Gross profit</w:t>
            </w:r>
          </w:p>
        </w:tc>
        <w:tc>
          <w:tcPr>
            <w:tcW w:w="1880" w:type="dxa"/>
            <w:vAlign w:val="bottom"/>
            <w:shd w:val="clear" w:color="auto" w:fill="DBDBDB"/>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106,190</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109,964</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216,154</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Adjusted EBITDA</w:t>
            </w:r>
          </w:p>
        </w:tc>
        <w:tc>
          <w:tcPr>
            <w:tcW w:w="1880" w:type="dxa"/>
            <w:vAlign w:val="bottom"/>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89,544</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97,520</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187,062</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Capital expenditures for rental equipment</w:t>
            </w:r>
          </w:p>
        </w:tc>
        <w:tc>
          <w:tcPr>
            <w:tcW w:w="1880" w:type="dxa"/>
            <w:vAlign w:val="bottom"/>
            <w:shd w:val="clear" w:color="auto" w:fill="DBDBDB"/>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39,648</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40,034</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79,682</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Average modular space units on rent</w:t>
            </w:r>
          </w:p>
        </w:tc>
        <w:tc>
          <w:tcPr>
            <w:tcW w:w="1880" w:type="dxa"/>
            <w:vAlign w:val="bottom"/>
          </w:tcPr>
          <w:p>
            <w:pPr>
              <w:spacing w:after="0"/>
              <w:rPr>
                <w:sz w:val="13"/>
                <w:szCs w:val="13"/>
                <w:color w:val="auto"/>
              </w:rPr>
            </w:pP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87,988</w:t>
            </w:r>
          </w:p>
        </w:tc>
        <w:tc>
          <w:tcPr>
            <w:tcW w:w="520" w:type="dxa"/>
            <w:vAlign w:val="bottom"/>
          </w:tcPr>
          <w:p>
            <w:pPr>
              <w:spacing w:after="0"/>
              <w:rPr>
                <w:sz w:val="13"/>
                <w:szCs w:val="13"/>
                <w:color w:val="auto"/>
              </w:rPr>
            </w:pP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87,096</w:t>
            </w:r>
          </w:p>
        </w:tc>
        <w:tc>
          <w:tcPr>
            <w:tcW w:w="500" w:type="dxa"/>
            <w:vAlign w:val="bottom"/>
          </w:tcPr>
          <w:p>
            <w:pPr>
              <w:spacing w:after="0"/>
              <w:rPr>
                <w:sz w:val="13"/>
                <w:szCs w:val="13"/>
                <w:color w:val="auto"/>
              </w:rPr>
            </w:pP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87,542</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utilization rate</w:t>
            </w:r>
          </w:p>
        </w:tc>
        <w:tc>
          <w:tcPr>
            <w:tcW w:w="188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69.2 %</w:t>
            </w:r>
          </w:p>
        </w:tc>
        <w:tc>
          <w:tcPr>
            <w:tcW w:w="52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68.5 %</w:t>
            </w:r>
          </w:p>
        </w:tc>
        <w:tc>
          <w:tcPr>
            <w:tcW w:w="500" w:type="dxa"/>
            <w:vAlign w:val="bottom"/>
            <w:shd w:val="clear" w:color="auto" w:fill="DBDBDB"/>
          </w:tcPr>
          <w:p>
            <w:pPr>
              <w:spacing w:after="0"/>
              <w:rPr>
                <w:sz w:val="14"/>
                <w:szCs w:val="14"/>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68.9 %</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Average modular space monthly rental rate</w:t>
            </w:r>
          </w:p>
        </w:tc>
        <w:tc>
          <w:tcPr>
            <w:tcW w:w="1880" w:type="dxa"/>
            <w:vAlign w:val="bottom"/>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653</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669</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661</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portable storage units on rent</w:t>
            </w:r>
          </w:p>
        </w:tc>
        <w:tc>
          <w:tcPr>
            <w:tcW w:w="1880" w:type="dxa"/>
            <w:vAlign w:val="bottom"/>
            <w:shd w:val="clear" w:color="auto" w:fill="DBDBDB"/>
          </w:tcPr>
          <w:p>
            <w:pPr>
              <w:spacing w:after="0"/>
              <w:rPr>
                <w:sz w:val="14"/>
                <w:szCs w:val="14"/>
                <w:color w:val="auto"/>
              </w:rPr>
            </w:pP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16,346</w:t>
            </w:r>
          </w:p>
        </w:tc>
        <w:tc>
          <w:tcPr>
            <w:tcW w:w="520" w:type="dxa"/>
            <w:vAlign w:val="bottom"/>
            <w:shd w:val="clear" w:color="auto" w:fill="DBDBDB"/>
          </w:tcPr>
          <w:p>
            <w:pPr>
              <w:spacing w:after="0"/>
              <w:rPr>
                <w:sz w:val="14"/>
                <w:szCs w:val="14"/>
                <w:color w:val="auto"/>
              </w:rPr>
            </w:pP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15,869</w:t>
            </w:r>
          </w:p>
        </w:tc>
        <w:tc>
          <w:tcPr>
            <w:tcW w:w="500" w:type="dxa"/>
            <w:vAlign w:val="bottom"/>
            <w:shd w:val="clear" w:color="auto" w:fill="DBDBDB"/>
          </w:tcPr>
          <w:p>
            <w:pPr>
              <w:spacing w:after="0"/>
              <w:rPr>
                <w:sz w:val="14"/>
                <w:szCs w:val="14"/>
                <w:color w:val="auto"/>
              </w:rPr>
            </w:pP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16,114</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Average portable storage utilization rate</w:t>
            </w:r>
          </w:p>
        </w:tc>
        <w:tc>
          <w:tcPr>
            <w:tcW w:w="18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64.1 %</w:t>
            </w: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62.5 %</w:t>
            </w:r>
          </w:p>
        </w:tc>
        <w:tc>
          <w:tcPr>
            <w:tcW w:w="5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63.5 %</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portable storage monthly rental rate</w:t>
            </w:r>
          </w:p>
        </w:tc>
        <w:tc>
          <w:tcPr>
            <w:tcW w:w="1880" w:type="dxa"/>
            <w:vAlign w:val="bottom"/>
            <w:shd w:val="clear" w:color="auto" w:fill="DBDBDB"/>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119</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120</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958"/>
        </w:trPr>
        <w:tc>
          <w:tcPr>
            <w:tcW w:w="38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51" w:name="page52"/>
    <w:bookmarkEnd w:id="51"/>
    <w:p>
      <w:pPr>
        <w:jc w:val="both"/>
        <w:ind w:firstLine="484"/>
        <w:spacing w:after="0" w:line="258" w:lineRule="auto"/>
        <w:rPr>
          <w:sz w:val="20"/>
          <w:szCs w:val="20"/>
          <w:color w:val="auto"/>
        </w:rPr>
      </w:pPr>
      <w:r>
        <w:rPr>
          <w:rFonts w:ascii="Arial" w:cs="Arial" w:eastAsia="Arial" w:hAnsi="Arial"/>
          <w:sz w:val="12"/>
          <w:szCs w:val="12"/>
          <w:color w:val="auto"/>
        </w:rPr>
        <w:t>The NA Modular segment represents the activities of WillScot prior to the Merger. As a result, there are no differences between pro forma results and actual results on a reported basis. Please see comparison of results for the three months ended June 30, 2021 and 2020 within "Business Segment Results" above.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 Storage - Quarterly Results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Pro Forma Quarterly Results for the Six Months Ended June 30, 2021: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for units on rent and</w:t>
            </w:r>
          </w:p>
        </w:tc>
        <w:tc>
          <w:tcPr>
            <w:tcW w:w="1880" w:type="dxa"/>
            <w:vAlign w:val="bottom"/>
            <w:shd w:val="clear" w:color="auto" w:fill="1D2758"/>
          </w:tcPr>
          <w:p>
            <w:pPr>
              <w:spacing w:after="0"/>
              <w:rPr>
                <w:sz w:val="12"/>
                <w:szCs w:val="12"/>
                <w:color w:val="auto"/>
              </w:rPr>
            </w:pPr>
          </w:p>
        </w:tc>
        <w:tc>
          <w:tcPr>
            <w:tcW w:w="1500" w:type="dxa"/>
            <w:vAlign w:val="bottom"/>
            <w:vMerge w:val="restart"/>
            <w:shd w:val="clear" w:color="auto" w:fill="1D2758"/>
          </w:tcPr>
          <w:p>
            <w:pPr>
              <w:jc w:val="right"/>
              <w:ind w:right="879"/>
              <w:spacing w:after="0"/>
              <w:rPr>
                <w:sz w:val="20"/>
                <w:szCs w:val="20"/>
                <w:color w:val="auto"/>
              </w:rPr>
            </w:pPr>
            <w:r>
              <w:rPr>
                <w:rFonts w:ascii="Arial" w:cs="Arial" w:eastAsia="Arial" w:hAnsi="Arial"/>
                <w:sz w:val="12"/>
                <w:szCs w:val="12"/>
                <w:b w:val="1"/>
                <w:bCs w:val="1"/>
                <w:color w:val="FFFFFF"/>
              </w:rPr>
              <w:t>Q1</w:t>
            </w:r>
          </w:p>
        </w:tc>
        <w:tc>
          <w:tcPr>
            <w:tcW w:w="520" w:type="dxa"/>
            <w:vAlign w:val="bottom"/>
            <w:shd w:val="clear" w:color="auto" w:fill="1D2758"/>
          </w:tcPr>
          <w:p>
            <w:pPr>
              <w:spacing w:after="0"/>
              <w:rPr>
                <w:sz w:val="12"/>
                <w:szCs w:val="12"/>
                <w:color w:val="auto"/>
              </w:rPr>
            </w:pPr>
          </w:p>
        </w:tc>
        <w:tc>
          <w:tcPr>
            <w:tcW w:w="1520" w:type="dxa"/>
            <w:vAlign w:val="bottom"/>
            <w:vMerge w:val="restart"/>
            <w:shd w:val="clear" w:color="auto" w:fill="1D2758"/>
          </w:tcPr>
          <w:p>
            <w:pPr>
              <w:jc w:val="right"/>
              <w:ind w:right="879"/>
              <w:spacing w:after="0"/>
              <w:rPr>
                <w:sz w:val="20"/>
                <w:szCs w:val="20"/>
                <w:color w:val="auto"/>
              </w:rPr>
            </w:pPr>
            <w:r>
              <w:rPr>
                <w:rFonts w:ascii="Arial" w:cs="Arial" w:eastAsia="Arial" w:hAnsi="Arial"/>
                <w:sz w:val="12"/>
                <w:szCs w:val="12"/>
                <w:b w:val="1"/>
                <w:bCs w:val="1"/>
                <w:color w:val="FFFFFF"/>
              </w:rPr>
              <w:t>Q2</w:t>
            </w:r>
          </w:p>
        </w:tc>
        <w:tc>
          <w:tcPr>
            <w:tcW w:w="500" w:type="dxa"/>
            <w:vAlign w:val="bottom"/>
            <w:shd w:val="clear" w:color="auto" w:fill="1D2758"/>
          </w:tcPr>
          <w:p>
            <w:pPr>
              <w:spacing w:after="0"/>
              <w:rPr>
                <w:sz w:val="12"/>
                <w:szCs w:val="12"/>
                <w:color w:val="auto"/>
              </w:rPr>
            </w:pPr>
          </w:p>
        </w:tc>
        <w:tc>
          <w:tcPr>
            <w:tcW w:w="1480" w:type="dxa"/>
            <w:vAlign w:val="bottom"/>
            <w:vMerge w:val="restart"/>
            <w:shd w:val="clear" w:color="auto" w:fill="1D2758"/>
          </w:tcPr>
          <w:p>
            <w:pPr>
              <w:jc w:val="right"/>
              <w:ind w:right="779"/>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61"/>
        </w:trPr>
        <w:tc>
          <w:tcPr>
            <w:tcW w:w="38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monthly rental rate)</w:t>
            </w:r>
          </w:p>
        </w:tc>
        <w:tc>
          <w:tcPr>
            <w:tcW w:w="1880" w:type="dxa"/>
            <w:vAlign w:val="bottom"/>
            <w:shd w:val="clear" w:color="auto" w:fill="1D2758"/>
          </w:tcPr>
          <w:p>
            <w:pPr>
              <w:spacing w:after="0"/>
              <w:rPr>
                <w:sz w:val="14"/>
                <w:szCs w:val="14"/>
                <w:color w:val="auto"/>
              </w:rPr>
            </w:pPr>
          </w:p>
        </w:tc>
        <w:tc>
          <w:tcPr>
            <w:tcW w:w="1500" w:type="dxa"/>
            <w:vAlign w:val="bottom"/>
            <w:vMerge w:val="continue"/>
            <w:shd w:val="clear" w:color="auto" w:fill="1D2758"/>
          </w:tcPr>
          <w:p>
            <w:pPr>
              <w:spacing w:after="0"/>
              <w:rPr>
                <w:sz w:val="14"/>
                <w:szCs w:val="14"/>
                <w:color w:val="auto"/>
              </w:rPr>
            </w:pPr>
          </w:p>
        </w:tc>
        <w:tc>
          <w:tcPr>
            <w:tcW w:w="520" w:type="dxa"/>
            <w:vAlign w:val="bottom"/>
            <w:shd w:val="clear" w:color="auto" w:fill="1D2758"/>
          </w:tcPr>
          <w:p>
            <w:pPr>
              <w:spacing w:after="0"/>
              <w:rPr>
                <w:sz w:val="14"/>
                <w:szCs w:val="14"/>
                <w:color w:val="auto"/>
              </w:rPr>
            </w:pPr>
          </w:p>
        </w:tc>
        <w:tc>
          <w:tcPr>
            <w:tcW w:w="1520" w:type="dxa"/>
            <w:vAlign w:val="bottom"/>
            <w:vMerge w:val="continue"/>
            <w:shd w:val="clear" w:color="auto" w:fill="1D2758"/>
          </w:tcPr>
          <w:p>
            <w:pPr>
              <w:spacing w:after="0"/>
              <w:rPr>
                <w:sz w:val="14"/>
                <w:szCs w:val="14"/>
                <w:color w:val="auto"/>
              </w:rPr>
            </w:pPr>
          </w:p>
        </w:tc>
        <w:tc>
          <w:tcPr>
            <w:tcW w:w="500" w:type="dxa"/>
            <w:vAlign w:val="bottom"/>
            <w:shd w:val="clear" w:color="auto" w:fill="1D2758"/>
          </w:tcPr>
          <w:p>
            <w:pPr>
              <w:spacing w:after="0"/>
              <w:rPr>
                <w:sz w:val="14"/>
                <w:szCs w:val="14"/>
                <w:color w:val="auto"/>
              </w:rPr>
            </w:pPr>
          </w:p>
        </w:tc>
        <w:tc>
          <w:tcPr>
            <w:tcW w:w="148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w:t>
            </w:r>
          </w:p>
        </w:tc>
        <w:tc>
          <w:tcPr>
            <w:tcW w:w="1880" w:type="dxa"/>
            <w:vAlign w:val="bottom"/>
            <w:shd w:val="clear" w:color="auto" w:fill="DBDBDB"/>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107,748</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115,794</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223,542</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1880" w:type="dxa"/>
            <w:vAlign w:val="bottom"/>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72,619</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75,721</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148,340</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Adjusted EBITDA</w:t>
            </w:r>
          </w:p>
        </w:tc>
        <w:tc>
          <w:tcPr>
            <w:tcW w:w="1880" w:type="dxa"/>
            <w:vAlign w:val="bottom"/>
            <w:shd w:val="clear" w:color="auto" w:fill="DBDBDB"/>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46,322</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49,526</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95,848</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Capital expenditures for rental equipment</w:t>
            </w:r>
          </w:p>
        </w:tc>
        <w:tc>
          <w:tcPr>
            <w:tcW w:w="1880" w:type="dxa"/>
            <w:vAlign w:val="bottom"/>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3,472</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8,773</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12,245</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units on rent</w:t>
            </w:r>
          </w:p>
        </w:tc>
        <w:tc>
          <w:tcPr>
            <w:tcW w:w="1880" w:type="dxa"/>
            <w:vAlign w:val="bottom"/>
            <w:shd w:val="clear" w:color="auto" w:fill="DBDBDB"/>
          </w:tcPr>
          <w:p>
            <w:pPr>
              <w:spacing w:after="0"/>
              <w:rPr>
                <w:sz w:val="14"/>
                <w:szCs w:val="14"/>
                <w:color w:val="auto"/>
              </w:rPr>
            </w:pP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16,439</w:t>
            </w:r>
          </w:p>
        </w:tc>
        <w:tc>
          <w:tcPr>
            <w:tcW w:w="520" w:type="dxa"/>
            <w:vAlign w:val="bottom"/>
            <w:shd w:val="clear" w:color="auto" w:fill="DBDBDB"/>
          </w:tcPr>
          <w:p>
            <w:pPr>
              <w:spacing w:after="0"/>
              <w:rPr>
                <w:sz w:val="14"/>
                <w:szCs w:val="14"/>
                <w:color w:val="auto"/>
              </w:rPr>
            </w:pP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16,360</w:t>
            </w:r>
          </w:p>
        </w:tc>
        <w:tc>
          <w:tcPr>
            <w:tcW w:w="500" w:type="dxa"/>
            <w:vAlign w:val="bottom"/>
            <w:shd w:val="clear" w:color="auto" w:fill="DBDBDB"/>
          </w:tcPr>
          <w:p>
            <w:pPr>
              <w:spacing w:after="0"/>
              <w:rPr>
                <w:sz w:val="14"/>
                <w:szCs w:val="14"/>
                <w:color w:val="auto"/>
              </w:rPr>
            </w:pP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16,399</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Average modular space utilization rate</w:t>
            </w:r>
          </w:p>
        </w:tc>
        <w:tc>
          <w:tcPr>
            <w:tcW w:w="18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79.4 %</w:t>
            </w: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78.4 %</w:t>
            </w:r>
          </w:p>
        </w:tc>
        <w:tc>
          <w:tcPr>
            <w:tcW w:w="5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78.9 %</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monthly rental rate</w:t>
            </w:r>
          </w:p>
        </w:tc>
        <w:tc>
          <w:tcPr>
            <w:tcW w:w="1880" w:type="dxa"/>
            <w:vAlign w:val="bottom"/>
            <w:shd w:val="clear" w:color="auto" w:fill="DBDBDB"/>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535</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573</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554</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Average portable storage units on rent</w:t>
            </w:r>
          </w:p>
        </w:tc>
        <w:tc>
          <w:tcPr>
            <w:tcW w:w="1880" w:type="dxa"/>
            <w:vAlign w:val="bottom"/>
          </w:tcPr>
          <w:p>
            <w:pPr>
              <w:spacing w:after="0"/>
              <w:rPr>
                <w:sz w:val="13"/>
                <w:szCs w:val="13"/>
                <w:color w:val="auto"/>
              </w:rPr>
            </w:pP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105,810</w:t>
            </w:r>
          </w:p>
        </w:tc>
        <w:tc>
          <w:tcPr>
            <w:tcW w:w="520" w:type="dxa"/>
            <w:vAlign w:val="bottom"/>
          </w:tcPr>
          <w:p>
            <w:pPr>
              <w:spacing w:after="0"/>
              <w:rPr>
                <w:sz w:val="13"/>
                <w:szCs w:val="13"/>
                <w:color w:val="auto"/>
              </w:rPr>
            </w:pP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112,862</w:t>
            </w:r>
          </w:p>
        </w:tc>
        <w:tc>
          <w:tcPr>
            <w:tcW w:w="500" w:type="dxa"/>
            <w:vAlign w:val="bottom"/>
          </w:tcPr>
          <w:p>
            <w:pPr>
              <w:spacing w:after="0"/>
              <w:rPr>
                <w:sz w:val="13"/>
                <w:szCs w:val="13"/>
                <w:color w:val="auto"/>
              </w:rPr>
            </w:pP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109,355</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portable storage utilization rate</w:t>
            </w:r>
          </w:p>
        </w:tc>
        <w:tc>
          <w:tcPr>
            <w:tcW w:w="188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73.9 %</w:t>
            </w:r>
          </w:p>
        </w:tc>
        <w:tc>
          <w:tcPr>
            <w:tcW w:w="52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76.1 %</w:t>
            </w:r>
          </w:p>
        </w:tc>
        <w:tc>
          <w:tcPr>
            <w:tcW w:w="500" w:type="dxa"/>
            <w:vAlign w:val="bottom"/>
            <w:shd w:val="clear" w:color="auto" w:fill="DBDBDB"/>
          </w:tcPr>
          <w:p>
            <w:pPr>
              <w:spacing w:after="0"/>
              <w:rPr>
                <w:sz w:val="14"/>
                <w:szCs w:val="14"/>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75.0 %</w:t>
            </w:r>
          </w:p>
        </w:tc>
        <w:tc>
          <w:tcPr>
            <w:tcW w:w="0" w:type="dxa"/>
            <w:vAlign w:val="bottom"/>
          </w:tcPr>
          <w:p>
            <w:pPr>
              <w:spacing w:after="0"/>
              <w:rPr>
                <w:sz w:val="1"/>
                <w:szCs w:val="1"/>
                <w:color w:val="auto"/>
              </w:rPr>
            </w:pPr>
          </w:p>
        </w:tc>
      </w:tr>
      <w:tr>
        <w:trPr>
          <w:trHeight w:val="157"/>
        </w:trPr>
        <w:tc>
          <w:tcPr>
            <w:tcW w:w="3880" w:type="dxa"/>
            <w:vAlign w:val="bottom"/>
          </w:tcPr>
          <w:p>
            <w:pPr>
              <w:ind w:left="20"/>
              <w:spacing w:after="0"/>
              <w:rPr>
                <w:sz w:val="20"/>
                <w:szCs w:val="20"/>
                <w:color w:val="auto"/>
              </w:rPr>
            </w:pPr>
            <w:r>
              <w:rPr>
                <w:rFonts w:ascii="Arial" w:cs="Arial" w:eastAsia="Arial" w:hAnsi="Arial"/>
                <w:sz w:val="12"/>
                <w:szCs w:val="12"/>
                <w:color w:val="auto"/>
              </w:rPr>
              <w:t>Average portable storage monthly rental rate</w:t>
            </w:r>
          </w:p>
        </w:tc>
        <w:tc>
          <w:tcPr>
            <w:tcW w:w="1880" w:type="dxa"/>
            <w:vAlign w:val="bottom"/>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148</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151</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Pro Forma Quarterly Results for the Six Months Ended June 30,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for units on rent and</w:t>
            </w:r>
          </w:p>
        </w:tc>
        <w:tc>
          <w:tcPr>
            <w:tcW w:w="1880" w:type="dxa"/>
            <w:vAlign w:val="bottom"/>
            <w:shd w:val="clear" w:color="auto" w:fill="1D2758"/>
          </w:tcPr>
          <w:p>
            <w:pPr>
              <w:spacing w:after="0"/>
              <w:rPr>
                <w:sz w:val="12"/>
                <w:szCs w:val="12"/>
                <w:color w:val="auto"/>
              </w:rPr>
            </w:pPr>
          </w:p>
        </w:tc>
        <w:tc>
          <w:tcPr>
            <w:tcW w:w="1500" w:type="dxa"/>
            <w:vAlign w:val="bottom"/>
            <w:vMerge w:val="restart"/>
            <w:shd w:val="clear" w:color="auto" w:fill="1D2758"/>
          </w:tcPr>
          <w:p>
            <w:pPr>
              <w:jc w:val="right"/>
              <w:ind w:right="879"/>
              <w:spacing w:after="0"/>
              <w:rPr>
                <w:sz w:val="20"/>
                <w:szCs w:val="20"/>
                <w:color w:val="auto"/>
              </w:rPr>
            </w:pPr>
            <w:r>
              <w:rPr>
                <w:rFonts w:ascii="Arial" w:cs="Arial" w:eastAsia="Arial" w:hAnsi="Arial"/>
                <w:sz w:val="12"/>
                <w:szCs w:val="12"/>
                <w:b w:val="1"/>
                <w:bCs w:val="1"/>
                <w:color w:val="FFFFFF"/>
              </w:rPr>
              <w:t>Q1</w:t>
            </w:r>
          </w:p>
        </w:tc>
        <w:tc>
          <w:tcPr>
            <w:tcW w:w="520" w:type="dxa"/>
            <w:vAlign w:val="bottom"/>
            <w:shd w:val="clear" w:color="auto" w:fill="1D2758"/>
          </w:tcPr>
          <w:p>
            <w:pPr>
              <w:spacing w:after="0"/>
              <w:rPr>
                <w:sz w:val="12"/>
                <w:szCs w:val="12"/>
                <w:color w:val="auto"/>
              </w:rPr>
            </w:pPr>
          </w:p>
        </w:tc>
        <w:tc>
          <w:tcPr>
            <w:tcW w:w="1520" w:type="dxa"/>
            <w:vAlign w:val="bottom"/>
            <w:vMerge w:val="restart"/>
            <w:shd w:val="clear" w:color="auto" w:fill="1D2758"/>
          </w:tcPr>
          <w:p>
            <w:pPr>
              <w:jc w:val="right"/>
              <w:ind w:right="879"/>
              <w:spacing w:after="0"/>
              <w:rPr>
                <w:sz w:val="20"/>
                <w:szCs w:val="20"/>
                <w:color w:val="auto"/>
              </w:rPr>
            </w:pPr>
            <w:r>
              <w:rPr>
                <w:rFonts w:ascii="Arial" w:cs="Arial" w:eastAsia="Arial" w:hAnsi="Arial"/>
                <w:sz w:val="12"/>
                <w:szCs w:val="12"/>
                <w:b w:val="1"/>
                <w:bCs w:val="1"/>
                <w:color w:val="FFFFFF"/>
              </w:rPr>
              <w:t>Q2</w:t>
            </w:r>
          </w:p>
        </w:tc>
        <w:tc>
          <w:tcPr>
            <w:tcW w:w="500" w:type="dxa"/>
            <w:vAlign w:val="bottom"/>
            <w:shd w:val="clear" w:color="auto" w:fill="1D2758"/>
          </w:tcPr>
          <w:p>
            <w:pPr>
              <w:spacing w:after="0"/>
              <w:rPr>
                <w:sz w:val="12"/>
                <w:szCs w:val="12"/>
                <w:color w:val="auto"/>
              </w:rPr>
            </w:pPr>
          </w:p>
        </w:tc>
        <w:tc>
          <w:tcPr>
            <w:tcW w:w="1480" w:type="dxa"/>
            <w:vAlign w:val="bottom"/>
            <w:vMerge w:val="restart"/>
            <w:shd w:val="clear" w:color="auto" w:fill="1D2758"/>
          </w:tcPr>
          <w:p>
            <w:pPr>
              <w:jc w:val="right"/>
              <w:ind w:right="779"/>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61"/>
        </w:trPr>
        <w:tc>
          <w:tcPr>
            <w:tcW w:w="38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monthly rental rate)</w:t>
            </w:r>
          </w:p>
        </w:tc>
        <w:tc>
          <w:tcPr>
            <w:tcW w:w="1880" w:type="dxa"/>
            <w:vAlign w:val="bottom"/>
            <w:shd w:val="clear" w:color="auto" w:fill="1D2758"/>
          </w:tcPr>
          <w:p>
            <w:pPr>
              <w:spacing w:after="0"/>
              <w:rPr>
                <w:sz w:val="14"/>
                <w:szCs w:val="14"/>
                <w:color w:val="auto"/>
              </w:rPr>
            </w:pPr>
          </w:p>
        </w:tc>
        <w:tc>
          <w:tcPr>
            <w:tcW w:w="1500" w:type="dxa"/>
            <w:vAlign w:val="bottom"/>
            <w:vMerge w:val="continue"/>
            <w:shd w:val="clear" w:color="auto" w:fill="1D2758"/>
          </w:tcPr>
          <w:p>
            <w:pPr>
              <w:spacing w:after="0"/>
              <w:rPr>
                <w:sz w:val="14"/>
                <w:szCs w:val="14"/>
                <w:color w:val="auto"/>
              </w:rPr>
            </w:pPr>
          </w:p>
        </w:tc>
        <w:tc>
          <w:tcPr>
            <w:tcW w:w="520" w:type="dxa"/>
            <w:vAlign w:val="bottom"/>
            <w:shd w:val="clear" w:color="auto" w:fill="1D2758"/>
          </w:tcPr>
          <w:p>
            <w:pPr>
              <w:spacing w:after="0"/>
              <w:rPr>
                <w:sz w:val="14"/>
                <w:szCs w:val="14"/>
                <w:color w:val="auto"/>
              </w:rPr>
            </w:pPr>
          </w:p>
        </w:tc>
        <w:tc>
          <w:tcPr>
            <w:tcW w:w="1520" w:type="dxa"/>
            <w:vAlign w:val="bottom"/>
            <w:vMerge w:val="continue"/>
            <w:shd w:val="clear" w:color="auto" w:fill="1D2758"/>
          </w:tcPr>
          <w:p>
            <w:pPr>
              <w:spacing w:after="0"/>
              <w:rPr>
                <w:sz w:val="14"/>
                <w:szCs w:val="14"/>
                <w:color w:val="auto"/>
              </w:rPr>
            </w:pPr>
          </w:p>
        </w:tc>
        <w:tc>
          <w:tcPr>
            <w:tcW w:w="500" w:type="dxa"/>
            <w:vAlign w:val="bottom"/>
            <w:shd w:val="clear" w:color="auto" w:fill="1D2758"/>
          </w:tcPr>
          <w:p>
            <w:pPr>
              <w:spacing w:after="0"/>
              <w:rPr>
                <w:sz w:val="14"/>
                <w:szCs w:val="14"/>
                <w:color w:val="auto"/>
              </w:rPr>
            </w:pPr>
          </w:p>
        </w:tc>
        <w:tc>
          <w:tcPr>
            <w:tcW w:w="148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w:t>
            </w:r>
          </w:p>
        </w:tc>
        <w:tc>
          <w:tcPr>
            <w:tcW w:w="1880" w:type="dxa"/>
            <w:vAlign w:val="bottom"/>
            <w:shd w:val="clear" w:color="auto" w:fill="DBDBDB"/>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103,495</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92,826</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196,321</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1880" w:type="dxa"/>
            <w:vAlign w:val="bottom"/>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71,400</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66,639</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138,039</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Adjusted EBITDA</w:t>
            </w:r>
          </w:p>
        </w:tc>
        <w:tc>
          <w:tcPr>
            <w:tcW w:w="1880" w:type="dxa"/>
            <w:vAlign w:val="bottom"/>
            <w:shd w:val="clear" w:color="auto" w:fill="DBDBDB"/>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43,994</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40,770</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84,764</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Capital expenditures for rental equipment</w:t>
            </w:r>
          </w:p>
        </w:tc>
        <w:tc>
          <w:tcPr>
            <w:tcW w:w="1880" w:type="dxa"/>
            <w:vAlign w:val="bottom"/>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5,200</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7,272</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12,472</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units on rent</w:t>
            </w:r>
          </w:p>
        </w:tc>
        <w:tc>
          <w:tcPr>
            <w:tcW w:w="1880" w:type="dxa"/>
            <w:vAlign w:val="bottom"/>
            <w:shd w:val="clear" w:color="auto" w:fill="DBDBDB"/>
          </w:tcPr>
          <w:p>
            <w:pPr>
              <w:spacing w:after="0"/>
              <w:rPr>
                <w:sz w:val="14"/>
                <w:szCs w:val="14"/>
                <w:color w:val="auto"/>
              </w:rPr>
            </w:pP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15,509</w:t>
            </w:r>
          </w:p>
        </w:tc>
        <w:tc>
          <w:tcPr>
            <w:tcW w:w="520" w:type="dxa"/>
            <w:vAlign w:val="bottom"/>
            <w:shd w:val="clear" w:color="auto" w:fill="DBDBDB"/>
          </w:tcPr>
          <w:p>
            <w:pPr>
              <w:spacing w:after="0"/>
              <w:rPr>
                <w:sz w:val="14"/>
                <w:szCs w:val="14"/>
                <w:color w:val="auto"/>
              </w:rPr>
            </w:pP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15,757</w:t>
            </w:r>
          </w:p>
        </w:tc>
        <w:tc>
          <w:tcPr>
            <w:tcW w:w="500" w:type="dxa"/>
            <w:vAlign w:val="bottom"/>
            <w:shd w:val="clear" w:color="auto" w:fill="DBDBDB"/>
          </w:tcPr>
          <w:p>
            <w:pPr>
              <w:spacing w:after="0"/>
              <w:rPr>
                <w:sz w:val="14"/>
                <w:szCs w:val="14"/>
                <w:color w:val="auto"/>
              </w:rPr>
            </w:pP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15,633</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Average modular space utilization rate</w:t>
            </w:r>
          </w:p>
        </w:tc>
        <w:tc>
          <w:tcPr>
            <w:tcW w:w="18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77.8 %</w:t>
            </w: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78.6 %</w:t>
            </w:r>
          </w:p>
        </w:tc>
        <w:tc>
          <w:tcPr>
            <w:tcW w:w="5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78.2 %</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monthly rental rate</w:t>
            </w:r>
          </w:p>
        </w:tc>
        <w:tc>
          <w:tcPr>
            <w:tcW w:w="1880" w:type="dxa"/>
            <w:vAlign w:val="bottom"/>
            <w:shd w:val="clear" w:color="auto" w:fill="DBDBDB"/>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497</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463</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480</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Average portable storage units on rent</w:t>
            </w:r>
          </w:p>
        </w:tc>
        <w:tc>
          <w:tcPr>
            <w:tcW w:w="1880" w:type="dxa"/>
            <w:vAlign w:val="bottom"/>
          </w:tcPr>
          <w:p>
            <w:pPr>
              <w:spacing w:after="0"/>
              <w:rPr>
                <w:sz w:val="13"/>
                <w:szCs w:val="13"/>
                <w:color w:val="auto"/>
              </w:rPr>
            </w:pP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105,441</w:t>
            </w:r>
          </w:p>
        </w:tc>
        <w:tc>
          <w:tcPr>
            <w:tcW w:w="520" w:type="dxa"/>
            <w:vAlign w:val="bottom"/>
          </w:tcPr>
          <w:p>
            <w:pPr>
              <w:spacing w:after="0"/>
              <w:rPr>
                <w:sz w:val="13"/>
                <w:szCs w:val="13"/>
                <w:color w:val="auto"/>
              </w:rPr>
            </w:pP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101,463</w:t>
            </w:r>
          </w:p>
        </w:tc>
        <w:tc>
          <w:tcPr>
            <w:tcW w:w="500" w:type="dxa"/>
            <w:vAlign w:val="bottom"/>
          </w:tcPr>
          <w:p>
            <w:pPr>
              <w:spacing w:after="0"/>
              <w:rPr>
                <w:sz w:val="13"/>
                <w:szCs w:val="13"/>
                <w:color w:val="auto"/>
              </w:rPr>
            </w:pP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103,452</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portable storage utilization rate</w:t>
            </w:r>
          </w:p>
        </w:tc>
        <w:tc>
          <w:tcPr>
            <w:tcW w:w="188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73.1 %</w:t>
            </w:r>
          </w:p>
        </w:tc>
        <w:tc>
          <w:tcPr>
            <w:tcW w:w="52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70.6 %</w:t>
            </w:r>
          </w:p>
        </w:tc>
        <w:tc>
          <w:tcPr>
            <w:tcW w:w="500" w:type="dxa"/>
            <w:vAlign w:val="bottom"/>
            <w:shd w:val="clear" w:color="auto" w:fill="DBDBDB"/>
          </w:tcPr>
          <w:p>
            <w:pPr>
              <w:spacing w:after="0"/>
              <w:rPr>
                <w:sz w:val="14"/>
                <w:szCs w:val="14"/>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71.8 %</w:t>
            </w:r>
          </w:p>
        </w:tc>
        <w:tc>
          <w:tcPr>
            <w:tcW w:w="0" w:type="dxa"/>
            <w:vAlign w:val="bottom"/>
          </w:tcPr>
          <w:p>
            <w:pPr>
              <w:spacing w:after="0"/>
              <w:rPr>
                <w:sz w:val="1"/>
                <w:szCs w:val="1"/>
                <w:color w:val="auto"/>
              </w:rPr>
            </w:pPr>
          </w:p>
        </w:tc>
      </w:tr>
      <w:tr>
        <w:trPr>
          <w:trHeight w:val="157"/>
        </w:trPr>
        <w:tc>
          <w:tcPr>
            <w:tcW w:w="3880" w:type="dxa"/>
            <w:vAlign w:val="bottom"/>
          </w:tcPr>
          <w:p>
            <w:pPr>
              <w:ind w:left="20"/>
              <w:spacing w:after="0"/>
              <w:rPr>
                <w:sz w:val="20"/>
                <w:szCs w:val="20"/>
                <w:color w:val="auto"/>
              </w:rPr>
            </w:pPr>
            <w:r>
              <w:rPr>
                <w:rFonts w:ascii="Arial" w:cs="Arial" w:eastAsia="Arial" w:hAnsi="Arial"/>
                <w:sz w:val="12"/>
                <w:szCs w:val="12"/>
                <w:color w:val="auto"/>
              </w:rPr>
              <w:t>Average portable storage monthly rental rate</w:t>
            </w:r>
          </w:p>
        </w:tc>
        <w:tc>
          <w:tcPr>
            <w:tcW w:w="1880" w:type="dxa"/>
            <w:vAlign w:val="bottom"/>
          </w:tcPr>
          <w:p>
            <w:pPr>
              <w:jc w:val="right"/>
              <w:ind w:right="35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146</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143</w:t>
            </w:r>
          </w:p>
        </w:tc>
        <w:tc>
          <w:tcPr>
            <w:tcW w:w="5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Comparison of Three Months Ended June 30, 2021 and 2020</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NA Storage</w:t>
      </w:r>
    </w:p>
    <w:p>
      <w:pPr>
        <w:spacing w:after="0" w:line="84"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2"/>
          <w:szCs w:val="12"/>
          <w:b w:val="1"/>
          <w:bCs w:val="1"/>
          <w:color w:val="auto"/>
        </w:rPr>
        <w:t xml:space="preserve">Revenue: </w:t>
      </w:r>
      <w:r>
        <w:rPr>
          <w:rFonts w:ascii="Arial" w:cs="Arial" w:eastAsia="Arial" w:hAnsi="Arial"/>
          <w:sz w:val="12"/>
          <w:szCs w:val="12"/>
          <w:color w:val="auto"/>
        </w:rPr>
        <w:t>Total revenue increased $23.0 million, or 24.8%, to $115.8 million for the three months ended June 30, 2021 from $92.8 million for the three months ended June 30, 2020. Leasing revenues</w:t>
      </w:r>
      <w:r>
        <w:rPr>
          <w:rFonts w:ascii="Arial" w:cs="Arial" w:eastAsia="Arial" w:hAnsi="Arial"/>
          <w:sz w:val="12"/>
          <w:szCs w:val="12"/>
          <w:b w:val="1"/>
          <w:bCs w:val="1"/>
          <w:color w:val="auto"/>
        </w:rPr>
        <w:t xml:space="preserve"> </w:t>
      </w:r>
      <w:r>
        <w:rPr>
          <w:rFonts w:ascii="Arial" w:cs="Arial" w:eastAsia="Arial" w:hAnsi="Arial"/>
          <w:sz w:val="12"/>
          <w:szCs w:val="12"/>
          <w:color w:val="auto"/>
        </w:rPr>
        <w:t>increased $14.5 million in the current quarter compared to the prior-year quarter. Modular space average units on rent increased 3.8% and average modular space monthly rental rates increased 23.8% year-over-year driven primarily by increased pricing on new deliveries. Portable storage units on rent increased 11.2% and average portable storage monthly rental rates increased 5.6% year-over-year also as a result of increased pricing on new deliveries. Delivery and installation revenues increased $7.0 million year-over-year as delivery levels have increased as a result of economic recovery. Sales revenues increased $1.5 million compared to the prior-year quarter.</w:t>
      </w:r>
    </w:p>
    <w:p>
      <w:pPr>
        <w:spacing w:after="0" w:line="57"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2"/>
          <w:szCs w:val="12"/>
          <w:b w:val="1"/>
          <w:bCs w:val="1"/>
          <w:color w:val="auto"/>
        </w:rPr>
        <w:t xml:space="preserve">Gross Profit: </w:t>
      </w:r>
      <w:r>
        <w:rPr>
          <w:rFonts w:ascii="Arial" w:cs="Arial" w:eastAsia="Arial" w:hAnsi="Arial"/>
          <w:sz w:val="12"/>
          <w:szCs w:val="12"/>
          <w:color w:val="auto"/>
        </w:rPr>
        <w:t>Gross profit increased by $9.1 million, or 13.7%, to $75.7 million for the three months ended June 30, 2021 compared to $66.6 million compared to the three months ended June 30, 2020.</w:t>
      </w:r>
      <w:r>
        <w:rPr>
          <w:rFonts w:ascii="Arial" w:cs="Arial" w:eastAsia="Arial" w:hAnsi="Arial"/>
          <w:sz w:val="12"/>
          <w:szCs w:val="12"/>
          <w:b w:val="1"/>
          <w:bCs w:val="1"/>
          <w:color w:val="auto"/>
        </w:rPr>
        <w:t xml:space="preserve"> </w:t>
      </w:r>
      <w:r>
        <w:rPr>
          <w:rFonts w:ascii="Arial" w:cs="Arial" w:eastAsia="Arial" w:hAnsi="Arial"/>
          <w:sz w:val="12"/>
          <w:szCs w:val="12"/>
          <w:color w:val="auto"/>
        </w:rPr>
        <w:t>Gross profit on leasing activity increased by $9.8 million year-over-year driven both by increased volume and pricing as described above. For delivery and installation, gross profit increased $1.2 million. Sales gross profit increased by $0.9 million to $2.6 million.</w:t>
      </w:r>
    </w:p>
    <w:p>
      <w:pPr>
        <w:spacing w:after="0" w:line="49"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2"/>
          <w:szCs w:val="12"/>
          <w:b w:val="1"/>
          <w:bCs w:val="1"/>
          <w:color w:val="auto"/>
        </w:rPr>
        <w:t xml:space="preserve">Adjusted EBITDA: </w:t>
      </w:r>
      <w:r>
        <w:rPr>
          <w:rFonts w:ascii="Arial" w:cs="Arial" w:eastAsia="Arial" w:hAnsi="Arial"/>
          <w:sz w:val="12"/>
          <w:szCs w:val="12"/>
          <w:color w:val="auto"/>
        </w:rPr>
        <w:t>Adjusted EBITDA increased $8.7 million, or 21.3%, to $49.5 million for the three months ended June 30, 2021 from $40.8 million for the three months ended June 30, 2020 and the</w:t>
      </w:r>
      <w:r>
        <w:rPr>
          <w:rFonts w:ascii="Arial" w:cs="Arial" w:eastAsia="Arial" w:hAnsi="Arial"/>
          <w:sz w:val="12"/>
          <w:szCs w:val="12"/>
          <w:b w:val="1"/>
          <w:bCs w:val="1"/>
          <w:color w:val="auto"/>
        </w:rPr>
        <w:t xml:space="preserve"> </w:t>
      </w:r>
      <w:r>
        <w:rPr>
          <w:rFonts w:ascii="Arial" w:cs="Arial" w:eastAsia="Arial" w:hAnsi="Arial"/>
          <w:sz w:val="12"/>
          <w:szCs w:val="12"/>
          <w:color w:val="auto"/>
        </w:rPr>
        <w:t>margin contracted to 42.8% from 43.9%. The increase in Adjusted EBITDA was driven primarily by increased leasing gross profit as described above, partially offset by increased SG&amp;A. Excluding acquisition costs and stock-based compensation, SG&amp;A increased $3.1 million in this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538480</wp:posOffset>
            </wp:positionV>
            <wp:extent cx="719264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bookmarkStart w:id="52" w:name="page53"/>
    <w:bookmarkEnd w:id="52"/>
    <w:p>
      <w:pPr>
        <w:spacing w:after="0"/>
        <w:rPr>
          <w:sz w:val="20"/>
          <w:szCs w:val="20"/>
          <w:color w:val="auto"/>
        </w:rPr>
      </w:pPr>
      <w:r>
        <w:rPr>
          <w:rFonts w:ascii="Arial" w:cs="Arial" w:eastAsia="Arial" w:hAnsi="Arial"/>
          <w:sz w:val="12"/>
          <w:szCs w:val="12"/>
          <w:color w:val="auto"/>
        </w:rPr>
        <w:t>The increase was comprised of increased costs for personnel, including commissions and other variable compensation, travel, occupancy and computer costs.</w:t>
      </w:r>
    </w:p>
    <w:p>
      <w:pPr>
        <w:spacing w:after="0" w:line="70"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color w:val="auto"/>
        </w:rPr>
        <w:t xml:space="preserve">Capital Expenditures for Rental Equipment: </w:t>
      </w:r>
      <w:r>
        <w:rPr>
          <w:rFonts w:ascii="Arial" w:cs="Arial" w:eastAsia="Arial" w:hAnsi="Arial"/>
          <w:sz w:val="12"/>
          <w:szCs w:val="12"/>
          <w:color w:val="auto"/>
        </w:rPr>
        <w:t>Purchases of rental equipment and refurbishments of $8.8 million were $1.5 million higher than the prior-year quarter driven by increased fleet</w:t>
      </w:r>
      <w:r>
        <w:rPr>
          <w:rFonts w:ascii="Arial" w:cs="Arial" w:eastAsia="Arial" w:hAnsi="Arial"/>
          <w:sz w:val="12"/>
          <w:szCs w:val="12"/>
          <w:b w:val="1"/>
          <w:bCs w:val="1"/>
          <w:color w:val="auto"/>
        </w:rPr>
        <w:t xml:space="preserve"> </w:t>
      </w:r>
      <w:r>
        <w:rPr>
          <w:rFonts w:ascii="Arial" w:cs="Arial" w:eastAsia="Arial" w:hAnsi="Arial"/>
          <w:sz w:val="12"/>
          <w:szCs w:val="12"/>
          <w:color w:val="auto"/>
        </w:rPr>
        <w:t>investments for specific products, largely ground level offices, to grow units on rent as demand has recovered to pre-COVID-19 levels.</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Comparison of Six Months Ended June 30, 2021 and 2020</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NA Storage</w:t>
      </w:r>
    </w:p>
    <w:p>
      <w:pPr>
        <w:spacing w:after="0" w:line="84"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2"/>
          <w:szCs w:val="12"/>
          <w:b w:val="1"/>
          <w:bCs w:val="1"/>
          <w:color w:val="auto"/>
        </w:rPr>
        <w:t xml:space="preserve">Revenue: </w:t>
      </w:r>
      <w:r>
        <w:rPr>
          <w:rFonts w:ascii="Arial" w:cs="Arial" w:eastAsia="Arial" w:hAnsi="Arial"/>
          <w:sz w:val="12"/>
          <w:szCs w:val="12"/>
          <w:color w:val="auto"/>
        </w:rPr>
        <w:t>Total revenue increased $27.2 million, or 13.9%, to $223.5 million for the six months ended June 30, 2021 from $196.3 million for the six months ended June 30, 2020. Leasing revenues</w:t>
      </w:r>
      <w:r>
        <w:rPr>
          <w:rFonts w:ascii="Arial" w:cs="Arial" w:eastAsia="Arial" w:hAnsi="Arial"/>
          <w:sz w:val="12"/>
          <w:szCs w:val="12"/>
          <w:b w:val="1"/>
          <w:bCs w:val="1"/>
          <w:color w:val="auto"/>
        </w:rPr>
        <w:t xml:space="preserve"> </w:t>
      </w:r>
      <w:r>
        <w:rPr>
          <w:rFonts w:ascii="Arial" w:cs="Arial" w:eastAsia="Arial" w:hAnsi="Arial"/>
          <w:sz w:val="12"/>
          <w:szCs w:val="12"/>
          <w:color w:val="auto"/>
        </w:rPr>
        <w:t>increased $18.5 million in the current quarter compared to the prior-year quarter. Modular space average units on rent increased 4.9% and average modular space monthly rental rates increased 15.4% year-over-year driven primarily by increased pricing on new deliveries. Portable storage units on rent increased 5.7% and average portable storage monthly rental rates increased 3.4% year-over-year also driven primarily by increased pricing on new deliveries. Delivery and installation revenues increased $6.5 million year-over-year as delivery levels in the second quarter have increased as a result of economic recovery. Sales revenues increased $2.2 million compared to the prior-year quarter.</w:t>
      </w:r>
    </w:p>
    <w:p>
      <w:pPr>
        <w:spacing w:after="0" w:line="57"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2"/>
          <w:szCs w:val="12"/>
          <w:b w:val="1"/>
          <w:bCs w:val="1"/>
          <w:color w:val="auto"/>
        </w:rPr>
        <w:t xml:space="preserve">Gross Profit: </w:t>
      </w:r>
      <w:r>
        <w:rPr>
          <w:rFonts w:ascii="Arial" w:cs="Arial" w:eastAsia="Arial" w:hAnsi="Arial"/>
          <w:sz w:val="12"/>
          <w:szCs w:val="12"/>
          <w:color w:val="auto"/>
        </w:rPr>
        <w:t>Gross profit increased by $10.3 million, or 7.5%, to $148.3 million for the six months ended June 30, 2021 compared to $138.0 million compared to the six months ended June 30, 2020.</w:t>
      </w:r>
      <w:r>
        <w:rPr>
          <w:rFonts w:ascii="Arial" w:cs="Arial" w:eastAsia="Arial" w:hAnsi="Arial"/>
          <w:sz w:val="12"/>
          <w:szCs w:val="12"/>
          <w:b w:val="1"/>
          <w:bCs w:val="1"/>
          <w:color w:val="auto"/>
        </w:rPr>
        <w:t xml:space="preserve"> </w:t>
      </w:r>
      <w:r>
        <w:rPr>
          <w:rFonts w:ascii="Arial" w:cs="Arial" w:eastAsia="Arial" w:hAnsi="Arial"/>
          <w:sz w:val="12"/>
          <w:szCs w:val="12"/>
          <w:color w:val="auto"/>
        </w:rPr>
        <w:t>Gross profit on leasing activity increased by $12.2 million year-over-year driven both by increased volume and pricing as described above. For delivery and installation, gross profit increased $0.1 million. Sales gross profit increased by $1.0 million to $4.8 million.</w:t>
      </w:r>
    </w:p>
    <w:p>
      <w:pPr>
        <w:spacing w:after="0" w:line="49"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b w:val="1"/>
          <w:bCs w:val="1"/>
          <w:color w:val="auto"/>
        </w:rPr>
        <w:t xml:space="preserve">Adjusted EBITDA: </w:t>
      </w:r>
      <w:r>
        <w:rPr>
          <w:rFonts w:ascii="Arial" w:cs="Arial" w:eastAsia="Arial" w:hAnsi="Arial"/>
          <w:sz w:val="12"/>
          <w:szCs w:val="12"/>
          <w:color w:val="auto"/>
        </w:rPr>
        <w:t>Adjusted EBITDA increased $11.0 million, or 13.0%, to $95.8 million for the six months ended June 30, 2021 from $84.8 million for the six months ended June 30, 2020 and the</w:t>
      </w:r>
      <w:r>
        <w:rPr>
          <w:rFonts w:ascii="Arial" w:cs="Arial" w:eastAsia="Arial" w:hAnsi="Arial"/>
          <w:sz w:val="12"/>
          <w:szCs w:val="12"/>
          <w:b w:val="1"/>
          <w:bCs w:val="1"/>
          <w:color w:val="auto"/>
        </w:rPr>
        <w:t xml:space="preserve"> </w:t>
      </w:r>
      <w:r>
        <w:rPr>
          <w:rFonts w:ascii="Arial" w:cs="Arial" w:eastAsia="Arial" w:hAnsi="Arial"/>
          <w:sz w:val="12"/>
          <w:szCs w:val="12"/>
          <w:color w:val="auto"/>
        </w:rPr>
        <w:t>margin contracted to 42.9% from 43.2%. The increase in Adjusted EBITDA was driven primarily by increased leasing gross profit as described above, partially offset by increased SG&amp;A. Excluding acquisition costs and stock-based compensation, SG&amp;A increased $2.2 million in this segment. The increase was comprised of increased costs for personnel, including commissions and other variable compensation, occupancy, insurance, and computer costs.</w:t>
      </w:r>
    </w:p>
    <w:p>
      <w:pPr>
        <w:spacing w:after="0" w:line="52"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2"/>
          <w:szCs w:val="12"/>
          <w:b w:val="1"/>
          <w:bCs w:val="1"/>
          <w:color w:val="auto"/>
        </w:rPr>
        <w:t xml:space="preserve">Capital Expenditures for Rental Equipment: </w:t>
      </w:r>
      <w:r>
        <w:rPr>
          <w:rFonts w:ascii="Arial" w:cs="Arial" w:eastAsia="Arial" w:hAnsi="Arial"/>
          <w:sz w:val="12"/>
          <w:szCs w:val="12"/>
          <w:color w:val="auto"/>
        </w:rPr>
        <w:t>Purchases of rental equipment and refurbishments of $12.2 million for the six months ended June 30, 2021 were $0.3 million lower than for the six months</w:t>
      </w:r>
      <w:r>
        <w:rPr>
          <w:rFonts w:ascii="Arial" w:cs="Arial" w:eastAsia="Arial" w:hAnsi="Arial"/>
          <w:sz w:val="12"/>
          <w:szCs w:val="12"/>
          <w:b w:val="1"/>
          <w:bCs w:val="1"/>
          <w:color w:val="auto"/>
        </w:rPr>
        <w:t xml:space="preserve"> </w:t>
      </w:r>
      <w:r>
        <w:rPr>
          <w:rFonts w:ascii="Arial" w:cs="Arial" w:eastAsia="Arial" w:hAnsi="Arial"/>
          <w:sz w:val="12"/>
          <w:szCs w:val="12"/>
          <w:color w:val="auto"/>
        </w:rPr>
        <w:t>ended June 30, 2020. Rental fleet expenditures in the first quarter were significantly below 2020 levels in response to COVID-19-related demand reductions, but as recovery has occurred in the second quarter, we have begun to invest to meet demand for specific products, largely ground level offices.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UK Storage - Quarterly Results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Pro Forma Quarterly Results for the Six Months Ended June 30, 2021: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for units on rent and</w:t>
            </w:r>
          </w:p>
        </w:tc>
        <w:tc>
          <w:tcPr>
            <w:tcW w:w="1880" w:type="dxa"/>
            <w:vAlign w:val="bottom"/>
            <w:shd w:val="clear" w:color="auto" w:fill="1D2758"/>
          </w:tcPr>
          <w:p>
            <w:pPr>
              <w:spacing w:after="0"/>
              <w:rPr>
                <w:sz w:val="12"/>
                <w:szCs w:val="12"/>
                <w:color w:val="auto"/>
              </w:rPr>
            </w:pPr>
          </w:p>
        </w:tc>
        <w:tc>
          <w:tcPr>
            <w:tcW w:w="1500" w:type="dxa"/>
            <w:vAlign w:val="bottom"/>
            <w:vMerge w:val="restart"/>
            <w:shd w:val="clear" w:color="auto" w:fill="1D2758"/>
          </w:tcPr>
          <w:p>
            <w:pPr>
              <w:jc w:val="right"/>
              <w:ind w:right="859"/>
              <w:spacing w:after="0"/>
              <w:rPr>
                <w:sz w:val="20"/>
                <w:szCs w:val="20"/>
                <w:color w:val="auto"/>
              </w:rPr>
            </w:pPr>
            <w:r>
              <w:rPr>
                <w:rFonts w:ascii="Arial" w:cs="Arial" w:eastAsia="Arial" w:hAnsi="Arial"/>
                <w:sz w:val="12"/>
                <w:szCs w:val="12"/>
                <w:b w:val="1"/>
                <w:bCs w:val="1"/>
                <w:color w:val="FFFFFF"/>
              </w:rPr>
              <w:t>Q1</w:t>
            </w:r>
          </w:p>
        </w:tc>
        <w:tc>
          <w:tcPr>
            <w:tcW w:w="520" w:type="dxa"/>
            <w:vAlign w:val="bottom"/>
            <w:shd w:val="clear" w:color="auto" w:fill="1D2758"/>
          </w:tcPr>
          <w:p>
            <w:pPr>
              <w:spacing w:after="0"/>
              <w:rPr>
                <w:sz w:val="12"/>
                <w:szCs w:val="12"/>
                <w:color w:val="auto"/>
              </w:rPr>
            </w:pPr>
          </w:p>
        </w:tc>
        <w:tc>
          <w:tcPr>
            <w:tcW w:w="1520" w:type="dxa"/>
            <w:vAlign w:val="bottom"/>
            <w:vMerge w:val="restart"/>
            <w:shd w:val="clear" w:color="auto" w:fill="1D2758"/>
          </w:tcPr>
          <w:p>
            <w:pPr>
              <w:jc w:val="right"/>
              <w:ind w:right="879"/>
              <w:spacing w:after="0"/>
              <w:rPr>
                <w:sz w:val="20"/>
                <w:szCs w:val="20"/>
                <w:color w:val="auto"/>
              </w:rPr>
            </w:pPr>
            <w:r>
              <w:rPr>
                <w:rFonts w:ascii="Arial" w:cs="Arial" w:eastAsia="Arial" w:hAnsi="Arial"/>
                <w:sz w:val="12"/>
                <w:szCs w:val="12"/>
                <w:b w:val="1"/>
                <w:bCs w:val="1"/>
                <w:color w:val="FFFFFF"/>
              </w:rPr>
              <w:t>Q2</w:t>
            </w:r>
          </w:p>
        </w:tc>
        <w:tc>
          <w:tcPr>
            <w:tcW w:w="500" w:type="dxa"/>
            <w:vAlign w:val="bottom"/>
            <w:shd w:val="clear" w:color="auto" w:fill="1D2758"/>
          </w:tcPr>
          <w:p>
            <w:pPr>
              <w:spacing w:after="0"/>
              <w:rPr>
                <w:sz w:val="12"/>
                <w:szCs w:val="12"/>
                <w:color w:val="auto"/>
              </w:rPr>
            </w:pPr>
          </w:p>
        </w:tc>
        <w:tc>
          <w:tcPr>
            <w:tcW w:w="1480" w:type="dxa"/>
            <w:vAlign w:val="bottom"/>
            <w:vMerge w:val="restart"/>
            <w:shd w:val="clear" w:color="auto" w:fill="1D2758"/>
          </w:tcPr>
          <w:p>
            <w:pPr>
              <w:jc w:val="right"/>
              <w:ind w:right="779"/>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61"/>
        </w:trPr>
        <w:tc>
          <w:tcPr>
            <w:tcW w:w="38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monthly rental rate)</w:t>
            </w:r>
          </w:p>
        </w:tc>
        <w:tc>
          <w:tcPr>
            <w:tcW w:w="1880" w:type="dxa"/>
            <w:vAlign w:val="bottom"/>
            <w:shd w:val="clear" w:color="auto" w:fill="1D2758"/>
          </w:tcPr>
          <w:p>
            <w:pPr>
              <w:spacing w:after="0"/>
              <w:rPr>
                <w:sz w:val="14"/>
                <w:szCs w:val="14"/>
                <w:color w:val="auto"/>
              </w:rPr>
            </w:pPr>
          </w:p>
        </w:tc>
        <w:tc>
          <w:tcPr>
            <w:tcW w:w="1500" w:type="dxa"/>
            <w:vAlign w:val="bottom"/>
            <w:vMerge w:val="continue"/>
            <w:shd w:val="clear" w:color="auto" w:fill="1D2758"/>
          </w:tcPr>
          <w:p>
            <w:pPr>
              <w:spacing w:after="0"/>
              <w:rPr>
                <w:sz w:val="14"/>
                <w:szCs w:val="14"/>
                <w:color w:val="auto"/>
              </w:rPr>
            </w:pPr>
          </w:p>
        </w:tc>
        <w:tc>
          <w:tcPr>
            <w:tcW w:w="520" w:type="dxa"/>
            <w:vAlign w:val="bottom"/>
            <w:shd w:val="clear" w:color="auto" w:fill="1D2758"/>
          </w:tcPr>
          <w:p>
            <w:pPr>
              <w:spacing w:after="0"/>
              <w:rPr>
                <w:sz w:val="14"/>
                <w:szCs w:val="14"/>
                <w:color w:val="auto"/>
              </w:rPr>
            </w:pPr>
          </w:p>
        </w:tc>
        <w:tc>
          <w:tcPr>
            <w:tcW w:w="1520" w:type="dxa"/>
            <w:vAlign w:val="bottom"/>
            <w:vMerge w:val="continue"/>
            <w:shd w:val="clear" w:color="auto" w:fill="1D2758"/>
          </w:tcPr>
          <w:p>
            <w:pPr>
              <w:spacing w:after="0"/>
              <w:rPr>
                <w:sz w:val="14"/>
                <w:szCs w:val="14"/>
                <w:color w:val="auto"/>
              </w:rPr>
            </w:pPr>
          </w:p>
        </w:tc>
        <w:tc>
          <w:tcPr>
            <w:tcW w:w="500" w:type="dxa"/>
            <w:vAlign w:val="bottom"/>
            <w:shd w:val="clear" w:color="auto" w:fill="1D2758"/>
          </w:tcPr>
          <w:p>
            <w:pPr>
              <w:spacing w:after="0"/>
              <w:rPr>
                <w:sz w:val="14"/>
                <w:szCs w:val="14"/>
                <w:color w:val="auto"/>
              </w:rPr>
            </w:pPr>
          </w:p>
        </w:tc>
        <w:tc>
          <w:tcPr>
            <w:tcW w:w="148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w:t>
            </w:r>
          </w:p>
        </w:tc>
        <w:tc>
          <w:tcPr>
            <w:tcW w:w="188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27,007</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28,432</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55,439</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188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16,493</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17,937</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34,430</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Adjusted EBITDA</w:t>
            </w:r>
          </w:p>
        </w:tc>
        <w:tc>
          <w:tcPr>
            <w:tcW w:w="188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11,064</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12,328</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23,392</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Capital expenditures for rental equipment</w:t>
            </w:r>
          </w:p>
        </w:tc>
        <w:tc>
          <w:tcPr>
            <w:tcW w:w="188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6,770</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4,226</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10,996</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units on rent</w:t>
            </w:r>
          </w:p>
        </w:tc>
        <w:tc>
          <w:tcPr>
            <w:tcW w:w="1880" w:type="dxa"/>
            <w:vAlign w:val="bottom"/>
            <w:shd w:val="clear" w:color="auto" w:fill="DBDBDB"/>
          </w:tcPr>
          <w:p>
            <w:pPr>
              <w:spacing w:after="0"/>
              <w:rPr>
                <w:sz w:val="14"/>
                <w:szCs w:val="14"/>
                <w:color w:val="auto"/>
              </w:rPr>
            </w:pP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9,115</w:t>
            </w:r>
          </w:p>
        </w:tc>
        <w:tc>
          <w:tcPr>
            <w:tcW w:w="520" w:type="dxa"/>
            <w:vAlign w:val="bottom"/>
            <w:shd w:val="clear" w:color="auto" w:fill="DBDBDB"/>
          </w:tcPr>
          <w:p>
            <w:pPr>
              <w:spacing w:after="0"/>
              <w:rPr>
                <w:sz w:val="14"/>
                <w:szCs w:val="14"/>
                <w:color w:val="auto"/>
              </w:rPr>
            </w:pP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9,354</w:t>
            </w:r>
          </w:p>
        </w:tc>
        <w:tc>
          <w:tcPr>
            <w:tcW w:w="500" w:type="dxa"/>
            <w:vAlign w:val="bottom"/>
            <w:shd w:val="clear" w:color="auto" w:fill="DBDBDB"/>
          </w:tcPr>
          <w:p>
            <w:pPr>
              <w:spacing w:after="0"/>
              <w:rPr>
                <w:sz w:val="14"/>
                <w:szCs w:val="14"/>
                <w:color w:val="auto"/>
              </w:rPr>
            </w:pP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9,235</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Average modular space utilization rate</w:t>
            </w:r>
          </w:p>
        </w:tc>
        <w:tc>
          <w:tcPr>
            <w:tcW w:w="18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83.8 %</w:t>
            </w: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84.3 %</w:t>
            </w:r>
          </w:p>
        </w:tc>
        <w:tc>
          <w:tcPr>
            <w:tcW w:w="5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84.1 %</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monthly rental rate</w:t>
            </w:r>
          </w:p>
        </w:tc>
        <w:tc>
          <w:tcPr>
            <w:tcW w:w="188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404</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438</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420</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Average portable storage units on rent</w:t>
            </w:r>
          </w:p>
        </w:tc>
        <w:tc>
          <w:tcPr>
            <w:tcW w:w="1880" w:type="dxa"/>
            <w:vAlign w:val="bottom"/>
          </w:tcPr>
          <w:p>
            <w:pPr>
              <w:spacing w:after="0"/>
              <w:rPr>
                <w:sz w:val="13"/>
                <w:szCs w:val="13"/>
                <w:color w:val="auto"/>
              </w:rPr>
            </w:pP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24,647</w:t>
            </w:r>
          </w:p>
        </w:tc>
        <w:tc>
          <w:tcPr>
            <w:tcW w:w="520" w:type="dxa"/>
            <w:vAlign w:val="bottom"/>
          </w:tcPr>
          <w:p>
            <w:pPr>
              <w:spacing w:after="0"/>
              <w:rPr>
                <w:sz w:val="13"/>
                <w:szCs w:val="13"/>
                <w:color w:val="auto"/>
              </w:rPr>
            </w:pP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25,573</w:t>
            </w:r>
          </w:p>
        </w:tc>
        <w:tc>
          <w:tcPr>
            <w:tcW w:w="500" w:type="dxa"/>
            <w:vAlign w:val="bottom"/>
          </w:tcPr>
          <w:p>
            <w:pPr>
              <w:spacing w:after="0"/>
              <w:rPr>
                <w:sz w:val="13"/>
                <w:szCs w:val="13"/>
                <w:color w:val="auto"/>
              </w:rPr>
            </w:pP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25,112</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portable storage utilization rate</w:t>
            </w:r>
          </w:p>
        </w:tc>
        <w:tc>
          <w:tcPr>
            <w:tcW w:w="188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89.2 %</w:t>
            </w:r>
          </w:p>
        </w:tc>
        <w:tc>
          <w:tcPr>
            <w:tcW w:w="52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91.8 %</w:t>
            </w:r>
          </w:p>
        </w:tc>
        <w:tc>
          <w:tcPr>
            <w:tcW w:w="500" w:type="dxa"/>
            <w:vAlign w:val="bottom"/>
            <w:shd w:val="clear" w:color="auto" w:fill="DBDBDB"/>
          </w:tcPr>
          <w:p>
            <w:pPr>
              <w:spacing w:after="0"/>
              <w:rPr>
                <w:sz w:val="14"/>
                <w:szCs w:val="14"/>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90.5 %</w:t>
            </w:r>
          </w:p>
        </w:tc>
        <w:tc>
          <w:tcPr>
            <w:tcW w:w="0" w:type="dxa"/>
            <w:vAlign w:val="bottom"/>
          </w:tcPr>
          <w:p>
            <w:pPr>
              <w:spacing w:after="0"/>
              <w:rPr>
                <w:sz w:val="1"/>
                <w:szCs w:val="1"/>
                <w:color w:val="auto"/>
              </w:rPr>
            </w:pPr>
          </w:p>
        </w:tc>
      </w:tr>
      <w:tr>
        <w:trPr>
          <w:trHeight w:val="157"/>
        </w:trPr>
        <w:tc>
          <w:tcPr>
            <w:tcW w:w="3880" w:type="dxa"/>
            <w:vAlign w:val="bottom"/>
          </w:tcPr>
          <w:p>
            <w:pPr>
              <w:ind w:left="20"/>
              <w:spacing w:after="0"/>
              <w:rPr>
                <w:sz w:val="20"/>
                <w:szCs w:val="20"/>
                <w:color w:val="auto"/>
              </w:rPr>
            </w:pPr>
            <w:r>
              <w:rPr>
                <w:rFonts w:ascii="Arial" w:cs="Arial" w:eastAsia="Arial" w:hAnsi="Arial"/>
                <w:sz w:val="12"/>
                <w:szCs w:val="12"/>
                <w:color w:val="auto"/>
              </w:rPr>
              <w:t>Average portable storage monthly rental rate</w:t>
            </w:r>
          </w:p>
        </w:tc>
        <w:tc>
          <w:tcPr>
            <w:tcW w:w="188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82</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88</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963"/>
        </w:trPr>
        <w:tc>
          <w:tcPr>
            <w:tcW w:w="38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i w:val="1"/>
          <w:iCs w:val="1"/>
          <w:color w:val="1D2758"/>
        </w:rPr>
        <w:t>Pro Forma Quarterly Results for the Six Months Ended June 30,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for units on rent and</w:t>
            </w:r>
          </w:p>
        </w:tc>
        <w:tc>
          <w:tcPr>
            <w:tcW w:w="1880" w:type="dxa"/>
            <w:vAlign w:val="bottom"/>
            <w:shd w:val="clear" w:color="auto" w:fill="1D2758"/>
          </w:tcPr>
          <w:p>
            <w:pPr>
              <w:spacing w:after="0"/>
              <w:rPr>
                <w:sz w:val="12"/>
                <w:szCs w:val="12"/>
                <w:color w:val="auto"/>
              </w:rPr>
            </w:pPr>
          </w:p>
        </w:tc>
        <w:tc>
          <w:tcPr>
            <w:tcW w:w="1500" w:type="dxa"/>
            <w:vAlign w:val="bottom"/>
            <w:vMerge w:val="restart"/>
            <w:shd w:val="clear" w:color="auto" w:fill="1D2758"/>
          </w:tcPr>
          <w:p>
            <w:pPr>
              <w:jc w:val="right"/>
              <w:ind w:right="859"/>
              <w:spacing w:after="0"/>
              <w:rPr>
                <w:sz w:val="20"/>
                <w:szCs w:val="20"/>
                <w:color w:val="auto"/>
              </w:rPr>
            </w:pPr>
            <w:r>
              <w:rPr>
                <w:rFonts w:ascii="Arial" w:cs="Arial" w:eastAsia="Arial" w:hAnsi="Arial"/>
                <w:sz w:val="12"/>
                <w:szCs w:val="12"/>
                <w:b w:val="1"/>
                <w:bCs w:val="1"/>
                <w:color w:val="FFFFFF"/>
              </w:rPr>
              <w:t>Q1</w:t>
            </w:r>
          </w:p>
        </w:tc>
        <w:tc>
          <w:tcPr>
            <w:tcW w:w="520" w:type="dxa"/>
            <w:vAlign w:val="bottom"/>
            <w:shd w:val="clear" w:color="auto" w:fill="1D2758"/>
          </w:tcPr>
          <w:p>
            <w:pPr>
              <w:spacing w:after="0"/>
              <w:rPr>
                <w:sz w:val="12"/>
                <w:szCs w:val="12"/>
                <w:color w:val="auto"/>
              </w:rPr>
            </w:pPr>
          </w:p>
        </w:tc>
        <w:tc>
          <w:tcPr>
            <w:tcW w:w="1520" w:type="dxa"/>
            <w:vAlign w:val="bottom"/>
            <w:vMerge w:val="restart"/>
            <w:shd w:val="clear" w:color="auto" w:fill="1D2758"/>
          </w:tcPr>
          <w:p>
            <w:pPr>
              <w:jc w:val="right"/>
              <w:ind w:right="879"/>
              <w:spacing w:after="0"/>
              <w:rPr>
                <w:sz w:val="20"/>
                <w:szCs w:val="20"/>
                <w:color w:val="auto"/>
              </w:rPr>
            </w:pPr>
            <w:r>
              <w:rPr>
                <w:rFonts w:ascii="Arial" w:cs="Arial" w:eastAsia="Arial" w:hAnsi="Arial"/>
                <w:sz w:val="12"/>
                <w:szCs w:val="12"/>
                <w:b w:val="1"/>
                <w:bCs w:val="1"/>
                <w:color w:val="FFFFFF"/>
              </w:rPr>
              <w:t>Q2</w:t>
            </w:r>
          </w:p>
        </w:tc>
        <w:tc>
          <w:tcPr>
            <w:tcW w:w="500" w:type="dxa"/>
            <w:vAlign w:val="bottom"/>
            <w:shd w:val="clear" w:color="auto" w:fill="1D2758"/>
          </w:tcPr>
          <w:p>
            <w:pPr>
              <w:spacing w:after="0"/>
              <w:rPr>
                <w:sz w:val="12"/>
                <w:szCs w:val="12"/>
                <w:color w:val="auto"/>
              </w:rPr>
            </w:pPr>
          </w:p>
        </w:tc>
        <w:tc>
          <w:tcPr>
            <w:tcW w:w="1480" w:type="dxa"/>
            <w:vAlign w:val="bottom"/>
            <w:vMerge w:val="restart"/>
            <w:shd w:val="clear" w:color="auto" w:fill="1D2758"/>
          </w:tcPr>
          <w:p>
            <w:pPr>
              <w:jc w:val="right"/>
              <w:ind w:right="779"/>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61"/>
        </w:trPr>
        <w:tc>
          <w:tcPr>
            <w:tcW w:w="38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monthly rental rate)</w:t>
            </w:r>
          </w:p>
        </w:tc>
        <w:tc>
          <w:tcPr>
            <w:tcW w:w="1880" w:type="dxa"/>
            <w:vAlign w:val="bottom"/>
            <w:shd w:val="clear" w:color="auto" w:fill="1D2758"/>
          </w:tcPr>
          <w:p>
            <w:pPr>
              <w:spacing w:after="0"/>
              <w:rPr>
                <w:sz w:val="14"/>
                <w:szCs w:val="14"/>
                <w:color w:val="auto"/>
              </w:rPr>
            </w:pPr>
          </w:p>
        </w:tc>
        <w:tc>
          <w:tcPr>
            <w:tcW w:w="1500" w:type="dxa"/>
            <w:vAlign w:val="bottom"/>
            <w:vMerge w:val="continue"/>
            <w:shd w:val="clear" w:color="auto" w:fill="1D2758"/>
          </w:tcPr>
          <w:p>
            <w:pPr>
              <w:spacing w:after="0"/>
              <w:rPr>
                <w:sz w:val="14"/>
                <w:szCs w:val="14"/>
                <w:color w:val="auto"/>
              </w:rPr>
            </w:pPr>
          </w:p>
        </w:tc>
        <w:tc>
          <w:tcPr>
            <w:tcW w:w="520" w:type="dxa"/>
            <w:vAlign w:val="bottom"/>
            <w:shd w:val="clear" w:color="auto" w:fill="1D2758"/>
          </w:tcPr>
          <w:p>
            <w:pPr>
              <w:spacing w:after="0"/>
              <w:rPr>
                <w:sz w:val="14"/>
                <w:szCs w:val="14"/>
                <w:color w:val="auto"/>
              </w:rPr>
            </w:pPr>
          </w:p>
        </w:tc>
        <w:tc>
          <w:tcPr>
            <w:tcW w:w="1520" w:type="dxa"/>
            <w:vAlign w:val="bottom"/>
            <w:vMerge w:val="continue"/>
            <w:shd w:val="clear" w:color="auto" w:fill="1D2758"/>
          </w:tcPr>
          <w:p>
            <w:pPr>
              <w:spacing w:after="0"/>
              <w:rPr>
                <w:sz w:val="14"/>
                <w:szCs w:val="14"/>
                <w:color w:val="auto"/>
              </w:rPr>
            </w:pPr>
          </w:p>
        </w:tc>
        <w:tc>
          <w:tcPr>
            <w:tcW w:w="500" w:type="dxa"/>
            <w:vAlign w:val="bottom"/>
            <w:shd w:val="clear" w:color="auto" w:fill="1D2758"/>
          </w:tcPr>
          <w:p>
            <w:pPr>
              <w:spacing w:after="0"/>
              <w:rPr>
                <w:sz w:val="14"/>
                <w:szCs w:val="14"/>
                <w:color w:val="auto"/>
              </w:rPr>
            </w:pPr>
          </w:p>
        </w:tc>
        <w:tc>
          <w:tcPr>
            <w:tcW w:w="148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w:t>
            </w:r>
          </w:p>
        </w:tc>
        <w:tc>
          <w:tcPr>
            <w:tcW w:w="188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20,197</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17,154</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37,351</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188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11,372</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10,991</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22,363</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Adjusted EBITDA</w:t>
            </w:r>
          </w:p>
        </w:tc>
        <w:tc>
          <w:tcPr>
            <w:tcW w:w="188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6,405</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6,853</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13,258</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Capital expenditures for rental equipment</w:t>
            </w:r>
          </w:p>
        </w:tc>
        <w:tc>
          <w:tcPr>
            <w:tcW w:w="188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337</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522</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859</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units on rent</w:t>
            </w:r>
          </w:p>
        </w:tc>
        <w:tc>
          <w:tcPr>
            <w:tcW w:w="1880" w:type="dxa"/>
            <w:vAlign w:val="bottom"/>
            <w:shd w:val="clear" w:color="auto" w:fill="DBDBDB"/>
          </w:tcPr>
          <w:p>
            <w:pPr>
              <w:spacing w:after="0"/>
              <w:rPr>
                <w:sz w:val="14"/>
                <w:szCs w:val="14"/>
                <w:color w:val="auto"/>
              </w:rPr>
            </w:pP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7,850</w:t>
            </w:r>
          </w:p>
        </w:tc>
        <w:tc>
          <w:tcPr>
            <w:tcW w:w="520" w:type="dxa"/>
            <w:vAlign w:val="bottom"/>
            <w:shd w:val="clear" w:color="auto" w:fill="DBDBDB"/>
          </w:tcPr>
          <w:p>
            <w:pPr>
              <w:spacing w:after="0"/>
              <w:rPr>
                <w:sz w:val="14"/>
                <w:szCs w:val="14"/>
                <w:color w:val="auto"/>
              </w:rPr>
            </w:pP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7,912</w:t>
            </w:r>
          </w:p>
        </w:tc>
        <w:tc>
          <w:tcPr>
            <w:tcW w:w="500" w:type="dxa"/>
            <w:vAlign w:val="bottom"/>
            <w:shd w:val="clear" w:color="auto" w:fill="DBDBDB"/>
          </w:tcPr>
          <w:p>
            <w:pPr>
              <w:spacing w:after="0"/>
              <w:rPr>
                <w:sz w:val="14"/>
                <w:szCs w:val="14"/>
                <w:color w:val="auto"/>
              </w:rPr>
            </w:pP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7,881</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Average modular space utilization rate</w:t>
            </w:r>
          </w:p>
        </w:tc>
        <w:tc>
          <w:tcPr>
            <w:tcW w:w="18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74.2 %</w:t>
            </w:r>
          </w:p>
        </w:tc>
        <w:tc>
          <w:tcPr>
            <w:tcW w:w="5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74.6 %</w:t>
            </w:r>
          </w:p>
        </w:tc>
        <w:tc>
          <w:tcPr>
            <w:tcW w:w="5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74.4 %</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modular space monthly rental rate</w:t>
            </w:r>
          </w:p>
        </w:tc>
        <w:tc>
          <w:tcPr>
            <w:tcW w:w="188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326</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313</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320</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Average portable storage units on rent</w:t>
            </w:r>
          </w:p>
        </w:tc>
        <w:tc>
          <w:tcPr>
            <w:tcW w:w="1880" w:type="dxa"/>
            <w:vAlign w:val="bottom"/>
          </w:tcPr>
          <w:p>
            <w:pPr>
              <w:spacing w:after="0"/>
              <w:rPr>
                <w:sz w:val="13"/>
                <w:szCs w:val="13"/>
                <w:color w:val="auto"/>
              </w:rPr>
            </w:pP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23,328</w:t>
            </w:r>
          </w:p>
        </w:tc>
        <w:tc>
          <w:tcPr>
            <w:tcW w:w="520" w:type="dxa"/>
            <w:vAlign w:val="bottom"/>
          </w:tcPr>
          <w:p>
            <w:pPr>
              <w:spacing w:after="0"/>
              <w:rPr>
                <w:sz w:val="13"/>
                <w:szCs w:val="13"/>
                <w:color w:val="auto"/>
              </w:rPr>
            </w:pP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22,870</w:t>
            </w:r>
          </w:p>
        </w:tc>
        <w:tc>
          <w:tcPr>
            <w:tcW w:w="500" w:type="dxa"/>
            <w:vAlign w:val="bottom"/>
          </w:tcPr>
          <w:p>
            <w:pPr>
              <w:spacing w:after="0"/>
              <w:rPr>
                <w:sz w:val="13"/>
                <w:szCs w:val="13"/>
                <w:color w:val="auto"/>
              </w:rPr>
            </w:pP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23,099</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portable storage utilization rate</w:t>
            </w:r>
          </w:p>
        </w:tc>
        <w:tc>
          <w:tcPr>
            <w:tcW w:w="188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83.7 %</w:t>
            </w:r>
          </w:p>
        </w:tc>
        <w:tc>
          <w:tcPr>
            <w:tcW w:w="52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82.2 %</w:t>
            </w:r>
          </w:p>
        </w:tc>
        <w:tc>
          <w:tcPr>
            <w:tcW w:w="500" w:type="dxa"/>
            <w:vAlign w:val="bottom"/>
            <w:shd w:val="clear" w:color="auto" w:fill="DBDBDB"/>
          </w:tcPr>
          <w:p>
            <w:pPr>
              <w:spacing w:after="0"/>
              <w:rPr>
                <w:sz w:val="14"/>
                <w:szCs w:val="14"/>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83.0 %</w:t>
            </w:r>
          </w:p>
        </w:tc>
        <w:tc>
          <w:tcPr>
            <w:tcW w:w="0" w:type="dxa"/>
            <w:vAlign w:val="bottom"/>
          </w:tcPr>
          <w:p>
            <w:pPr>
              <w:spacing w:after="0"/>
              <w:rPr>
                <w:sz w:val="1"/>
                <w:szCs w:val="1"/>
                <w:color w:val="auto"/>
              </w:rPr>
            </w:pPr>
          </w:p>
        </w:tc>
      </w:tr>
      <w:tr>
        <w:trPr>
          <w:trHeight w:val="157"/>
        </w:trPr>
        <w:tc>
          <w:tcPr>
            <w:tcW w:w="3880" w:type="dxa"/>
            <w:vAlign w:val="bottom"/>
          </w:tcPr>
          <w:p>
            <w:pPr>
              <w:ind w:left="20"/>
              <w:spacing w:after="0"/>
              <w:rPr>
                <w:sz w:val="20"/>
                <w:szCs w:val="20"/>
                <w:color w:val="auto"/>
              </w:rPr>
            </w:pPr>
            <w:r>
              <w:rPr>
                <w:rFonts w:ascii="Arial" w:cs="Arial" w:eastAsia="Arial" w:hAnsi="Arial"/>
                <w:sz w:val="12"/>
                <w:szCs w:val="12"/>
                <w:color w:val="auto"/>
              </w:rPr>
              <w:t>Average portable storage monthly rental rate</w:t>
            </w:r>
          </w:p>
        </w:tc>
        <w:tc>
          <w:tcPr>
            <w:tcW w:w="188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73</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70</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Comparison of Three Months Ended June 30, 2021 and 2020</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UK Storage</w:t>
      </w:r>
    </w:p>
    <w:p>
      <w:pPr>
        <w:spacing w:after="0" w:line="84"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b w:val="1"/>
          <w:bCs w:val="1"/>
          <w:color w:val="auto"/>
        </w:rPr>
        <w:t xml:space="preserve">Revenue: </w:t>
      </w:r>
      <w:r>
        <w:rPr>
          <w:rFonts w:ascii="Arial" w:cs="Arial" w:eastAsia="Arial" w:hAnsi="Arial"/>
          <w:sz w:val="12"/>
          <w:szCs w:val="12"/>
          <w:color w:val="auto"/>
        </w:rPr>
        <w:t>Total revenue increased $11.2 million, or 65.1%, to $28.4 million for the three months ended June 30, 2021 from $17.2 million for the three months ended June 30, 2020. In local currency total</w:t>
      </w:r>
      <w:r>
        <w:rPr>
          <w:rFonts w:ascii="Arial" w:cs="Arial" w:eastAsia="Arial" w:hAnsi="Arial"/>
          <w:sz w:val="12"/>
          <w:szCs w:val="12"/>
          <w:b w:val="1"/>
          <w:bCs w:val="1"/>
          <w:color w:val="auto"/>
        </w:rPr>
        <w:t xml:space="preserve"> </w:t>
      </w:r>
      <w:r>
        <w:rPr>
          <w:rFonts w:ascii="Arial" w:cs="Arial" w:eastAsia="Arial" w:hAnsi="Arial"/>
          <w:sz w:val="12"/>
          <w:szCs w:val="12"/>
          <w:color w:val="auto"/>
        </w:rPr>
        <w:t>revenues increased 47.1%. Leasing revenues increased $7.8 million in the current quarter compared to the prior-year quarter. Modular space average units on rent increased 18.2%, while portable storage units on rent increased 11.8%. Average monthly rental rates for modular space units and portable storage units increased 39.9% and 25.7% year-over-year, respectively, including the impacts of currency fluctuations. Delivery and installation revenues increased $3.1 million year-over-year. Sales revenues increased $0.4 million compared to the prior-year quarter.</w:t>
      </w:r>
    </w:p>
    <w:p>
      <w:pPr>
        <w:spacing w:after="0" w:line="52"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color w:val="auto"/>
        </w:rPr>
        <w:t xml:space="preserve">Gross Profit: </w:t>
      </w:r>
      <w:r>
        <w:rPr>
          <w:rFonts w:ascii="Arial" w:cs="Arial" w:eastAsia="Arial" w:hAnsi="Arial"/>
          <w:sz w:val="12"/>
          <w:szCs w:val="12"/>
          <w:color w:val="auto"/>
        </w:rPr>
        <w:t>Gross profit increased $6.9 million, or 62.7%, for the three months ended June 30, 2021 to $17.9 million from $11.0 million for the three months ended June 30, 2020. In local currency,</w:t>
      </w:r>
      <w:r>
        <w:rPr>
          <w:rFonts w:ascii="Arial" w:cs="Arial" w:eastAsia="Arial" w:hAnsi="Arial"/>
          <w:sz w:val="12"/>
          <w:szCs w:val="12"/>
          <w:b w:val="1"/>
          <w:bCs w:val="1"/>
          <w:color w:val="auto"/>
        </w:rPr>
        <w:t xml:space="preserve"> </w:t>
      </w:r>
      <w:r>
        <w:rPr>
          <w:rFonts w:ascii="Arial" w:cs="Arial" w:eastAsia="Arial" w:hAnsi="Arial"/>
          <w:sz w:val="12"/>
          <w:szCs w:val="12"/>
          <w:color w:val="auto"/>
        </w:rPr>
        <w:t>gross profit increased 44.8%. This increase was driven by a significant increase in fleet utilization coupled with strong rental rate growth and strategic cost management.</w:t>
      </w:r>
    </w:p>
    <w:p>
      <w:pPr>
        <w:spacing w:after="0" w:line="38"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2"/>
          <w:szCs w:val="12"/>
          <w:b w:val="1"/>
          <w:bCs w:val="1"/>
          <w:color w:val="auto"/>
        </w:rPr>
        <w:t xml:space="preserve">Adjusted EBITDA: </w:t>
      </w:r>
      <w:r>
        <w:rPr>
          <w:rFonts w:ascii="Arial" w:cs="Arial" w:eastAsia="Arial" w:hAnsi="Arial"/>
          <w:sz w:val="12"/>
          <w:szCs w:val="12"/>
          <w:color w:val="auto"/>
        </w:rPr>
        <w:t>Adjusted EBITDA increased $5.4 million, or 78.3%, to $12.3 million for three months ended June 30, 2021 from $6.9 million for the three months ended June 30, 2020 and the margin</w:t>
      </w:r>
      <w:r>
        <w:rPr>
          <w:rFonts w:ascii="Arial" w:cs="Arial" w:eastAsia="Arial" w:hAnsi="Arial"/>
          <w:sz w:val="12"/>
          <w:szCs w:val="12"/>
          <w:b w:val="1"/>
          <w:bCs w:val="1"/>
          <w:color w:val="auto"/>
        </w:rPr>
        <w:t xml:space="preserve"> </w:t>
      </w:r>
      <w:r>
        <w:rPr>
          <w:rFonts w:ascii="Arial" w:cs="Arial" w:eastAsia="Arial" w:hAnsi="Arial"/>
          <w:sz w:val="12"/>
          <w:szCs w:val="12"/>
          <w:color w:val="auto"/>
        </w:rPr>
        <w:t>expanded to 43.4% from 39.9%. The increase results primarily from the favorable gross profit discussed above, partially offset by increased SG&amp;A of $2.0 million driven by increased costs for personnel, including commissions and other variable compensation.</w:t>
      </w:r>
    </w:p>
    <w:p>
      <w:pPr>
        <w:spacing w:after="0" w:line="49"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color w:val="auto"/>
        </w:rPr>
        <w:t xml:space="preserve">Capital Expenditures for Rental Equipment: </w:t>
      </w:r>
      <w:r>
        <w:rPr>
          <w:rFonts w:ascii="Arial" w:cs="Arial" w:eastAsia="Arial" w:hAnsi="Arial"/>
          <w:sz w:val="12"/>
          <w:szCs w:val="12"/>
          <w:color w:val="auto"/>
        </w:rPr>
        <w:t>Purchases of rental equipment and refurbishments of $4.2 million were driving the $3.7 million increase compared to the prior-year quarter. These</w:t>
      </w:r>
      <w:r>
        <w:rPr>
          <w:rFonts w:ascii="Arial" w:cs="Arial" w:eastAsia="Arial" w:hAnsi="Arial"/>
          <w:sz w:val="12"/>
          <w:szCs w:val="12"/>
          <w:b w:val="1"/>
          <w:bCs w:val="1"/>
          <w:color w:val="auto"/>
        </w:rPr>
        <w:t xml:space="preserve"> </w:t>
      </w:r>
      <w:r>
        <w:rPr>
          <w:rFonts w:ascii="Arial" w:cs="Arial" w:eastAsia="Arial" w:hAnsi="Arial"/>
          <w:sz w:val="12"/>
          <w:szCs w:val="12"/>
          <w:color w:val="auto"/>
        </w:rPr>
        <w:t>investments were made to fulfill increasing demand and to drive increased units on rent and utilization.</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Comparison of Six Months Ended June 30, 2021 and 2020</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UK Storage</w:t>
      </w:r>
    </w:p>
    <w:p>
      <w:pPr>
        <w:spacing w:after="0" w:line="84"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2"/>
          <w:szCs w:val="12"/>
          <w:b w:val="1"/>
          <w:bCs w:val="1"/>
          <w:color w:val="auto"/>
        </w:rPr>
        <w:t xml:space="preserve">Revenue: </w:t>
      </w:r>
      <w:r>
        <w:rPr>
          <w:rFonts w:ascii="Arial" w:cs="Arial" w:eastAsia="Arial" w:hAnsi="Arial"/>
          <w:sz w:val="12"/>
          <w:szCs w:val="12"/>
          <w:color w:val="auto"/>
        </w:rPr>
        <w:t>Total revenue increased $18.0 million, or 48.1%, to $55.4 million for the six months ended June 30, 2021 from $37.4 million for the six months ended June 30, 2020. In local currency total</w:t>
      </w:r>
      <w:r>
        <w:rPr>
          <w:rFonts w:ascii="Arial" w:cs="Arial" w:eastAsia="Arial" w:hAnsi="Arial"/>
          <w:sz w:val="12"/>
          <w:szCs w:val="12"/>
          <w:b w:val="1"/>
          <w:bCs w:val="1"/>
          <w:color w:val="auto"/>
        </w:rPr>
        <w:t xml:space="preserve"> </w:t>
      </w:r>
      <w:r>
        <w:rPr>
          <w:rFonts w:ascii="Arial" w:cs="Arial" w:eastAsia="Arial" w:hAnsi="Arial"/>
          <w:sz w:val="12"/>
          <w:szCs w:val="12"/>
          <w:color w:val="auto"/>
        </w:rPr>
        <w:t>revenues increased 34.9%. Leasing revenues increased $12.6 million in the current quarter compared to the prior-year quarter. Modular space average units on rent increased 17.2%, while portable storage units on rent increased 8.7%. Monthly rental rates for modular space units and portable storage units increased 31.3% and 18.1% year-over-year, respectively, including the impacts of currency fluctuations.</w:t>
      </w:r>
    </w:p>
    <w:p>
      <w:pPr>
        <w:spacing w:after="0" w:line="49"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color w:val="auto"/>
        </w:rPr>
        <w:t xml:space="preserve">Gross Profit: </w:t>
      </w:r>
      <w:r>
        <w:rPr>
          <w:rFonts w:ascii="Arial" w:cs="Arial" w:eastAsia="Arial" w:hAnsi="Arial"/>
          <w:sz w:val="12"/>
          <w:szCs w:val="12"/>
          <w:color w:val="auto"/>
        </w:rPr>
        <w:t>Gross profit increased $12.0 million, or 53.6%, for the six months ended June 30, 2021 to $34.4 million from $22.4 million for the six months ended June 30, 2020. In local currency, gross</w:t>
      </w:r>
      <w:r>
        <w:rPr>
          <w:rFonts w:ascii="Arial" w:cs="Arial" w:eastAsia="Arial" w:hAnsi="Arial"/>
          <w:sz w:val="12"/>
          <w:szCs w:val="12"/>
          <w:b w:val="1"/>
          <w:bCs w:val="1"/>
          <w:color w:val="auto"/>
        </w:rPr>
        <w:t xml:space="preserve"> </w:t>
      </w:r>
      <w:r>
        <w:rPr>
          <w:rFonts w:ascii="Arial" w:cs="Arial" w:eastAsia="Arial" w:hAnsi="Arial"/>
          <w:sz w:val="12"/>
          <w:szCs w:val="12"/>
          <w:color w:val="auto"/>
        </w:rPr>
        <w:t>profit increased 39.8%. This increase was driven by a significant increase in fleet utilization coupled with strong rental rate growth and strategic cost management.</w:t>
      </w:r>
    </w:p>
    <w:p>
      <w:pPr>
        <w:spacing w:after="0" w:line="38"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2"/>
          <w:szCs w:val="12"/>
          <w:b w:val="1"/>
          <w:bCs w:val="1"/>
          <w:color w:val="auto"/>
        </w:rPr>
        <w:t xml:space="preserve">Adjusted EBITDA: </w:t>
      </w:r>
      <w:r>
        <w:rPr>
          <w:rFonts w:ascii="Arial" w:cs="Arial" w:eastAsia="Arial" w:hAnsi="Arial"/>
          <w:sz w:val="12"/>
          <w:szCs w:val="12"/>
          <w:color w:val="auto"/>
        </w:rPr>
        <w:t>Adjusted EBITDA increased $10.1 million, or 75.9%, to $23.4 million for six months ended June 30, 2021 from $13.3 million for the six months ended June 30, 2020 and the margin</w:t>
      </w:r>
      <w:r>
        <w:rPr>
          <w:rFonts w:ascii="Arial" w:cs="Arial" w:eastAsia="Arial" w:hAnsi="Arial"/>
          <w:sz w:val="12"/>
          <w:szCs w:val="12"/>
          <w:b w:val="1"/>
          <w:bCs w:val="1"/>
          <w:color w:val="auto"/>
        </w:rPr>
        <w:t xml:space="preserve"> </w:t>
      </w:r>
      <w:r>
        <w:rPr>
          <w:rFonts w:ascii="Arial" w:cs="Arial" w:eastAsia="Arial" w:hAnsi="Arial"/>
          <w:sz w:val="12"/>
          <w:szCs w:val="12"/>
          <w:color w:val="auto"/>
        </w:rPr>
        <w:t>expanded to 42.2% from 35.5%. The increase results primarily from the favorable gross profit discussed above, partially offset by increased SG&amp;A of $2.6 million driven by increased costs for personnel, including commissions and other variable compensation.</w:t>
      </w:r>
    </w:p>
    <w:p>
      <w:pPr>
        <w:spacing w:after="0" w:line="49"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color w:val="auto"/>
        </w:rPr>
        <w:t xml:space="preserve">Capital Expenditures for Rental Equipment: </w:t>
      </w:r>
      <w:r>
        <w:rPr>
          <w:rFonts w:ascii="Arial" w:cs="Arial" w:eastAsia="Arial" w:hAnsi="Arial"/>
          <w:sz w:val="12"/>
          <w:szCs w:val="12"/>
          <w:color w:val="auto"/>
        </w:rPr>
        <w:t>Purchases of rental equipment and refurbishments of $11.0 million were driving the $10.2 million increase compared to the prior-year quarter. These</w:t>
      </w:r>
      <w:r>
        <w:rPr>
          <w:rFonts w:ascii="Arial" w:cs="Arial" w:eastAsia="Arial" w:hAnsi="Arial"/>
          <w:sz w:val="12"/>
          <w:szCs w:val="12"/>
          <w:b w:val="1"/>
          <w:bCs w:val="1"/>
          <w:color w:val="auto"/>
        </w:rPr>
        <w:t xml:space="preserve"> </w:t>
      </w:r>
      <w:r>
        <w:rPr>
          <w:rFonts w:ascii="Arial" w:cs="Arial" w:eastAsia="Arial" w:hAnsi="Arial"/>
          <w:sz w:val="12"/>
          <w:szCs w:val="12"/>
          <w:color w:val="auto"/>
        </w:rPr>
        <w:t>investments were made to fulfill increasing demand and to drive increased units on rent and utilization.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531495</wp:posOffset>
            </wp:positionV>
            <wp:extent cx="719264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color w:val="auto"/>
        </w:rPr>
        <w:t>Tank and Pump - Quarterly Results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Pro Forma Quarterly Results for the Six Months Ended June 30, 2021: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2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for units on rent and</w:t>
            </w:r>
          </w:p>
        </w:tc>
        <w:tc>
          <w:tcPr>
            <w:tcW w:w="740" w:type="dxa"/>
            <w:vAlign w:val="bottom"/>
            <w:shd w:val="clear" w:color="auto" w:fill="1D2758"/>
          </w:tcPr>
          <w:p>
            <w:pPr>
              <w:spacing w:after="0"/>
              <w:rPr>
                <w:sz w:val="12"/>
                <w:szCs w:val="12"/>
                <w:color w:val="auto"/>
              </w:rPr>
            </w:pPr>
          </w:p>
        </w:tc>
        <w:tc>
          <w:tcPr>
            <w:tcW w:w="1500" w:type="dxa"/>
            <w:vAlign w:val="bottom"/>
            <w:vMerge w:val="restart"/>
            <w:shd w:val="clear" w:color="auto" w:fill="1D2758"/>
          </w:tcPr>
          <w:p>
            <w:pPr>
              <w:jc w:val="right"/>
              <w:ind w:right="859"/>
              <w:spacing w:after="0"/>
              <w:rPr>
                <w:sz w:val="20"/>
                <w:szCs w:val="20"/>
                <w:color w:val="auto"/>
              </w:rPr>
            </w:pPr>
            <w:r>
              <w:rPr>
                <w:rFonts w:ascii="Arial" w:cs="Arial" w:eastAsia="Arial" w:hAnsi="Arial"/>
                <w:sz w:val="12"/>
                <w:szCs w:val="12"/>
                <w:b w:val="1"/>
                <w:bCs w:val="1"/>
                <w:color w:val="FFFFFF"/>
              </w:rPr>
              <w:t>Q1</w:t>
            </w:r>
          </w:p>
        </w:tc>
        <w:tc>
          <w:tcPr>
            <w:tcW w:w="520" w:type="dxa"/>
            <w:vAlign w:val="bottom"/>
            <w:shd w:val="clear" w:color="auto" w:fill="1D2758"/>
          </w:tcPr>
          <w:p>
            <w:pPr>
              <w:spacing w:after="0"/>
              <w:rPr>
                <w:sz w:val="12"/>
                <w:szCs w:val="12"/>
                <w:color w:val="auto"/>
              </w:rPr>
            </w:pPr>
          </w:p>
        </w:tc>
        <w:tc>
          <w:tcPr>
            <w:tcW w:w="1520" w:type="dxa"/>
            <w:vAlign w:val="bottom"/>
            <w:vMerge w:val="restart"/>
            <w:shd w:val="clear" w:color="auto" w:fill="1D2758"/>
          </w:tcPr>
          <w:p>
            <w:pPr>
              <w:jc w:val="right"/>
              <w:ind w:right="879"/>
              <w:spacing w:after="0"/>
              <w:rPr>
                <w:sz w:val="20"/>
                <w:szCs w:val="20"/>
                <w:color w:val="auto"/>
              </w:rPr>
            </w:pPr>
            <w:r>
              <w:rPr>
                <w:rFonts w:ascii="Arial" w:cs="Arial" w:eastAsia="Arial" w:hAnsi="Arial"/>
                <w:sz w:val="12"/>
                <w:szCs w:val="12"/>
                <w:b w:val="1"/>
                <w:bCs w:val="1"/>
                <w:color w:val="FFFFFF"/>
              </w:rPr>
              <w:t>Q2</w:t>
            </w:r>
          </w:p>
        </w:tc>
        <w:tc>
          <w:tcPr>
            <w:tcW w:w="500" w:type="dxa"/>
            <w:vAlign w:val="bottom"/>
            <w:shd w:val="clear" w:color="auto" w:fill="1D2758"/>
          </w:tcPr>
          <w:p>
            <w:pPr>
              <w:spacing w:after="0"/>
              <w:rPr>
                <w:sz w:val="12"/>
                <w:szCs w:val="12"/>
                <w:color w:val="auto"/>
              </w:rPr>
            </w:pPr>
          </w:p>
        </w:tc>
        <w:tc>
          <w:tcPr>
            <w:tcW w:w="1480" w:type="dxa"/>
            <w:vAlign w:val="bottom"/>
            <w:vMerge w:val="restart"/>
            <w:shd w:val="clear" w:color="auto" w:fill="1D2758"/>
          </w:tcPr>
          <w:p>
            <w:pPr>
              <w:jc w:val="right"/>
              <w:ind w:right="779"/>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61"/>
        </w:trPr>
        <w:tc>
          <w:tcPr>
            <w:tcW w:w="502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monthly rental rate)</w:t>
            </w:r>
          </w:p>
        </w:tc>
        <w:tc>
          <w:tcPr>
            <w:tcW w:w="740" w:type="dxa"/>
            <w:vAlign w:val="bottom"/>
            <w:shd w:val="clear" w:color="auto" w:fill="1D2758"/>
          </w:tcPr>
          <w:p>
            <w:pPr>
              <w:spacing w:after="0"/>
              <w:rPr>
                <w:sz w:val="14"/>
                <w:szCs w:val="14"/>
                <w:color w:val="auto"/>
              </w:rPr>
            </w:pPr>
          </w:p>
        </w:tc>
        <w:tc>
          <w:tcPr>
            <w:tcW w:w="1500" w:type="dxa"/>
            <w:vAlign w:val="bottom"/>
            <w:vMerge w:val="continue"/>
            <w:shd w:val="clear" w:color="auto" w:fill="1D2758"/>
          </w:tcPr>
          <w:p>
            <w:pPr>
              <w:spacing w:after="0"/>
              <w:rPr>
                <w:sz w:val="14"/>
                <w:szCs w:val="14"/>
                <w:color w:val="auto"/>
              </w:rPr>
            </w:pPr>
          </w:p>
        </w:tc>
        <w:tc>
          <w:tcPr>
            <w:tcW w:w="520" w:type="dxa"/>
            <w:vAlign w:val="bottom"/>
            <w:shd w:val="clear" w:color="auto" w:fill="1D2758"/>
          </w:tcPr>
          <w:p>
            <w:pPr>
              <w:spacing w:after="0"/>
              <w:rPr>
                <w:sz w:val="14"/>
                <w:szCs w:val="14"/>
                <w:color w:val="auto"/>
              </w:rPr>
            </w:pPr>
          </w:p>
        </w:tc>
        <w:tc>
          <w:tcPr>
            <w:tcW w:w="1520" w:type="dxa"/>
            <w:vAlign w:val="bottom"/>
            <w:vMerge w:val="continue"/>
            <w:shd w:val="clear" w:color="auto" w:fill="1D2758"/>
          </w:tcPr>
          <w:p>
            <w:pPr>
              <w:spacing w:after="0"/>
              <w:rPr>
                <w:sz w:val="14"/>
                <w:szCs w:val="14"/>
                <w:color w:val="auto"/>
              </w:rPr>
            </w:pPr>
          </w:p>
        </w:tc>
        <w:tc>
          <w:tcPr>
            <w:tcW w:w="500" w:type="dxa"/>
            <w:vAlign w:val="bottom"/>
            <w:shd w:val="clear" w:color="auto" w:fill="1D2758"/>
          </w:tcPr>
          <w:p>
            <w:pPr>
              <w:spacing w:after="0"/>
              <w:rPr>
                <w:sz w:val="14"/>
                <w:szCs w:val="14"/>
                <w:color w:val="auto"/>
              </w:rPr>
            </w:pPr>
          </w:p>
        </w:tc>
        <w:tc>
          <w:tcPr>
            <w:tcW w:w="148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2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w:t>
            </w:r>
          </w:p>
        </w:tc>
        <w:tc>
          <w:tcPr>
            <w:tcW w:w="74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24,344</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27,494</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51,838</w:t>
            </w:r>
          </w:p>
        </w:tc>
        <w:tc>
          <w:tcPr>
            <w:tcW w:w="0" w:type="dxa"/>
            <w:vAlign w:val="bottom"/>
          </w:tcPr>
          <w:p>
            <w:pPr>
              <w:spacing w:after="0"/>
              <w:rPr>
                <w:sz w:val="1"/>
                <w:szCs w:val="1"/>
                <w:color w:val="auto"/>
              </w:rPr>
            </w:pPr>
          </w:p>
        </w:tc>
      </w:tr>
      <w:tr>
        <w:trPr>
          <w:trHeight w:val="159"/>
        </w:trPr>
        <w:tc>
          <w:tcPr>
            <w:tcW w:w="502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74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11,266</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13,016</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24,282</w:t>
            </w:r>
          </w:p>
        </w:tc>
        <w:tc>
          <w:tcPr>
            <w:tcW w:w="0" w:type="dxa"/>
            <w:vAlign w:val="bottom"/>
          </w:tcPr>
          <w:p>
            <w:pPr>
              <w:spacing w:after="0"/>
              <w:rPr>
                <w:sz w:val="1"/>
                <w:szCs w:val="1"/>
                <w:color w:val="auto"/>
              </w:rPr>
            </w:pPr>
          </w:p>
        </w:tc>
      </w:tr>
      <w:tr>
        <w:trPr>
          <w:trHeight w:val="164"/>
        </w:trPr>
        <w:tc>
          <w:tcPr>
            <w:tcW w:w="5020" w:type="dxa"/>
            <w:vAlign w:val="bottom"/>
            <w:shd w:val="clear" w:color="auto" w:fill="DBDBDB"/>
          </w:tcPr>
          <w:p>
            <w:pPr>
              <w:ind w:left="20"/>
              <w:spacing w:after="0"/>
              <w:rPr>
                <w:sz w:val="20"/>
                <w:szCs w:val="20"/>
                <w:color w:val="auto"/>
              </w:rPr>
            </w:pPr>
            <w:r>
              <w:rPr>
                <w:rFonts w:ascii="Arial" w:cs="Arial" w:eastAsia="Arial" w:hAnsi="Arial"/>
                <w:sz w:val="12"/>
                <w:szCs w:val="12"/>
                <w:color w:val="auto"/>
              </w:rPr>
              <w:t>Adjusted EBITDA</w:t>
            </w:r>
          </w:p>
        </w:tc>
        <w:tc>
          <w:tcPr>
            <w:tcW w:w="74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8,828</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shd w:val="clear" w:color="auto" w:fill="DBDBDB"/>
          </w:tcPr>
          <w:p>
            <w:pPr>
              <w:jc w:val="right"/>
              <w:ind w:right="139"/>
              <w:spacing w:after="0"/>
              <w:rPr>
                <w:sz w:val="20"/>
                <w:szCs w:val="20"/>
                <w:color w:val="auto"/>
              </w:rPr>
            </w:pPr>
            <w:r>
              <w:rPr>
                <w:rFonts w:ascii="Arial" w:cs="Arial" w:eastAsia="Arial" w:hAnsi="Arial"/>
                <w:sz w:val="12"/>
                <w:szCs w:val="12"/>
                <w:color w:val="auto"/>
              </w:rPr>
              <w:t>10,096</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18,924</w:t>
            </w:r>
          </w:p>
        </w:tc>
        <w:tc>
          <w:tcPr>
            <w:tcW w:w="0" w:type="dxa"/>
            <w:vAlign w:val="bottom"/>
          </w:tcPr>
          <w:p>
            <w:pPr>
              <w:spacing w:after="0"/>
              <w:rPr>
                <w:sz w:val="1"/>
                <w:szCs w:val="1"/>
                <w:color w:val="auto"/>
              </w:rPr>
            </w:pPr>
          </w:p>
        </w:tc>
      </w:tr>
      <w:tr>
        <w:trPr>
          <w:trHeight w:val="159"/>
        </w:trPr>
        <w:tc>
          <w:tcPr>
            <w:tcW w:w="5020" w:type="dxa"/>
            <w:vAlign w:val="bottom"/>
          </w:tcPr>
          <w:p>
            <w:pPr>
              <w:ind w:left="20"/>
              <w:spacing w:after="0"/>
              <w:rPr>
                <w:sz w:val="20"/>
                <w:szCs w:val="20"/>
                <w:color w:val="auto"/>
              </w:rPr>
            </w:pPr>
            <w:r>
              <w:rPr>
                <w:rFonts w:ascii="Arial" w:cs="Arial" w:eastAsia="Arial" w:hAnsi="Arial"/>
                <w:sz w:val="12"/>
                <w:szCs w:val="12"/>
                <w:color w:val="auto"/>
              </w:rPr>
              <w:t>Capital expenditures for rental equipment</w:t>
            </w:r>
          </w:p>
        </w:tc>
        <w:tc>
          <w:tcPr>
            <w:tcW w:w="74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139"/>
              <w:spacing w:after="0"/>
              <w:rPr>
                <w:sz w:val="20"/>
                <w:szCs w:val="20"/>
                <w:color w:val="auto"/>
              </w:rPr>
            </w:pPr>
            <w:r>
              <w:rPr>
                <w:rFonts w:ascii="Arial" w:cs="Arial" w:eastAsia="Arial" w:hAnsi="Arial"/>
                <w:sz w:val="12"/>
                <w:szCs w:val="12"/>
                <w:color w:val="auto"/>
              </w:rPr>
              <w:t>3,158</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139"/>
              <w:spacing w:after="0"/>
              <w:rPr>
                <w:sz w:val="20"/>
                <w:szCs w:val="20"/>
                <w:color w:val="auto"/>
              </w:rPr>
            </w:pPr>
            <w:r>
              <w:rPr>
                <w:rFonts w:ascii="Arial" w:cs="Arial" w:eastAsia="Arial" w:hAnsi="Arial"/>
                <w:sz w:val="12"/>
                <w:szCs w:val="12"/>
                <w:color w:val="auto"/>
              </w:rPr>
              <w:t>2,919</w:t>
            </w:r>
          </w:p>
        </w:tc>
        <w:tc>
          <w:tcPr>
            <w:tcW w:w="50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6,077</w:t>
            </w:r>
          </w:p>
        </w:tc>
        <w:tc>
          <w:tcPr>
            <w:tcW w:w="0" w:type="dxa"/>
            <w:vAlign w:val="bottom"/>
          </w:tcPr>
          <w:p>
            <w:pPr>
              <w:spacing w:after="0"/>
              <w:rPr>
                <w:sz w:val="1"/>
                <w:szCs w:val="1"/>
                <w:color w:val="auto"/>
              </w:rPr>
            </w:pPr>
          </w:p>
        </w:tc>
      </w:tr>
      <w:tr>
        <w:trPr>
          <w:trHeight w:val="164"/>
        </w:trPr>
        <w:tc>
          <w:tcPr>
            <w:tcW w:w="502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tank and pump solutions rental fleet utilization based on original equipment cost</w:t>
            </w:r>
          </w:p>
        </w:tc>
        <w:tc>
          <w:tcPr>
            <w:tcW w:w="74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67.4 %</w:t>
            </w:r>
          </w:p>
        </w:tc>
        <w:tc>
          <w:tcPr>
            <w:tcW w:w="52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71.2 %</w:t>
            </w:r>
          </w:p>
        </w:tc>
        <w:tc>
          <w:tcPr>
            <w:tcW w:w="500" w:type="dxa"/>
            <w:vAlign w:val="bottom"/>
            <w:shd w:val="clear" w:color="auto" w:fill="DBDBDB"/>
          </w:tcPr>
          <w:p>
            <w:pPr>
              <w:spacing w:after="0"/>
              <w:rPr>
                <w:sz w:val="14"/>
                <w:szCs w:val="14"/>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69.3 %</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Pro Forma Quarterly Results for the Six Months Ended June 30,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 except for units on rent and</w:t>
            </w:r>
          </w:p>
        </w:tc>
        <w:tc>
          <w:tcPr>
            <w:tcW w:w="1880" w:type="dxa"/>
            <w:vAlign w:val="bottom"/>
            <w:shd w:val="clear" w:color="auto" w:fill="1D2758"/>
          </w:tcPr>
          <w:p>
            <w:pPr>
              <w:spacing w:after="0"/>
              <w:rPr>
                <w:sz w:val="12"/>
                <w:szCs w:val="12"/>
                <w:color w:val="auto"/>
              </w:rPr>
            </w:pPr>
          </w:p>
        </w:tc>
        <w:tc>
          <w:tcPr>
            <w:tcW w:w="1440" w:type="dxa"/>
            <w:vAlign w:val="bottom"/>
            <w:vMerge w:val="restart"/>
            <w:shd w:val="clear" w:color="auto" w:fill="1D2758"/>
          </w:tcPr>
          <w:p>
            <w:pPr>
              <w:jc w:val="right"/>
              <w:ind w:right="799"/>
              <w:spacing w:after="0"/>
              <w:rPr>
                <w:sz w:val="20"/>
                <w:szCs w:val="20"/>
                <w:color w:val="auto"/>
              </w:rPr>
            </w:pPr>
            <w:r>
              <w:rPr>
                <w:rFonts w:ascii="Arial" w:cs="Arial" w:eastAsia="Arial" w:hAnsi="Arial"/>
                <w:sz w:val="12"/>
                <w:szCs w:val="12"/>
                <w:b w:val="1"/>
                <w:bCs w:val="1"/>
                <w:color w:val="FFFFFF"/>
              </w:rPr>
              <w:t>Q1</w:t>
            </w:r>
          </w:p>
        </w:tc>
        <w:tc>
          <w:tcPr>
            <w:tcW w:w="580" w:type="dxa"/>
            <w:vAlign w:val="bottom"/>
            <w:shd w:val="clear" w:color="auto" w:fill="1D2758"/>
          </w:tcPr>
          <w:p>
            <w:pPr>
              <w:spacing w:after="0"/>
              <w:rPr>
                <w:sz w:val="12"/>
                <w:szCs w:val="12"/>
                <w:color w:val="auto"/>
              </w:rPr>
            </w:pPr>
          </w:p>
        </w:tc>
        <w:tc>
          <w:tcPr>
            <w:tcW w:w="1440" w:type="dxa"/>
            <w:vAlign w:val="bottom"/>
            <w:vMerge w:val="restart"/>
            <w:shd w:val="clear" w:color="auto" w:fill="1D2758"/>
          </w:tcPr>
          <w:p>
            <w:pPr>
              <w:jc w:val="right"/>
              <w:ind w:right="799"/>
              <w:spacing w:after="0"/>
              <w:rPr>
                <w:sz w:val="20"/>
                <w:szCs w:val="20"/>
                <w:color w:val="auto"/>
              </w:rPr>
            </w:pPr>
            <w:r>
              <w:rPr>
                <w:rFonts w:ascii="Arial" w:cs="Arial" w:eastAsia="Arial" w:hAnsi="Arial"/>
                <w:sz w:val="12"/>
                <w:szCs w:val="12"/>
                <w:b w:val="1"/>
                <w:bCs w:val="1"/>
                <w:color w:val="FFFFFF"/>
              </w:rPr>
              <w:t>Q2</w:t>
            </w:r>
          </w:p>
        </w:tc>
        <w:tc>
          <w:tcPr>
            <w:tcW w:w="580" w:type="dxa"/>
            <w:vAlign w:val="bottom"/>
            <w:shd w:val="clear" w:color="auto" w:fill="1D2758"/>
          </w:tcPr>
          <w:p>
            <w:pPr>
              <w:spacing w:after="0"/>
              <w:rPr>
                <w:sz w:val="12"/>
                <w:szCs w:val="12"/>
                <w:color w:val="auto"/>
              </w:rPr>
            </w:pPr>
          </w:p>
        </w:tc>
        <w:tc>
          <w:tcPr>
            <w:tcW w:w="1480" w:type="dxa"/>
            <w:vAlign w:val="bottom"/>
            <w:vMerge w:val="restart"/>
            <w:shd w:val="clear" w:color="auto" w:fill="1D2758"/>
          </w:tcPr>
          <w:p>
            <w:pPr>
              <w:jc w:val="right"/>
              <w:ind w:right="779"/>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61"/>
        </w:trPr>
        <w:tc>
          <w:tcPr>
            <w:tcW w:w="38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monthly rental rate)</w:t>
            </w:r>
          </w:p>
        </w:tc>
        <w:tc>
          <w:tcPr>
            <w:tcW w:w="1880" w:type="dxa"/>
            <w:vAlign w:val="bottom"/>
            <w:shd w:val="clear" w:color="auto" w:fill="1D2758"/>
          </w:tcPr>
          <w:p>
            <w:pPr>
              <w:spacing w:after="0"/>
              <w:rPr>
                <w:sz w:val="14"/>
                <w:szCs w:val="14"/>
                <w:color w:val="auto"/>
              </w:rPr>
            </w:pPr>
          </w:p>
        </w:tc>
        <w:tc>
          <w:tcPr>
            <w:tcW w:w="1440" w:type="dxa"/>
            <w:vAlign w:val="bottom"/>
            <w:vMerge w:val="continue"/>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1440" w:type="dxa"/>
            <w:vAlign w:val="bottom"/>
            <w:vMerge w:val="continue"/>
            <w:shd w:val="clear" w:color="auto" w:fill="1D2758"/>
          </w:tcPr>
          <w:p>
            <w:pPr>
              <w:spacing w:after="0"/>
              <w:rPr>
                <w:sz w:val="14"/>
                <w:szCs w:val="14"/>
                <w:color w:val="auto"/>
              </w:rPr>
            </w:pPr>
          </w:p>
        </w:tc>
        <w:tc>
          <w:tcPr>
            <w:tcW w:w="580" w:type="dxa"/>
            <w:vAlign w:val="bottom"/>
            <w:shd w:val="clear" w:color="auto" w:fill="1D2758"/>
          </w:tcPr>
          <w:p>
            <w:pPr>
              <w:spacing w:after="0"/>
              <w:rPr>
                <w:sz w:val="14"/>
                <w:szCs w:val="14"/>
                <w:color w:val="auto"/>
              </w:rPr>
            </w:pPr>
          </w:p>
        </w:tc>
        <w:tc>
          <w:tcPr>
            <w:tcW w:w="148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w:t>
            </w:r>
          </w:p>
        </w:tc>
        <w:tc>
          <w:tcPr>
            <w:tcW w:w="188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44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26,884</w:t>
            </w:r>
          </w:p>
        </w:tc>
        <w:tc>
          <w:tcPr>
            <w:tcW w:w="58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440" w:type="dxa"/>
            <w:vAlign w:val="bottom"/>
            <w:shd w:val="clear" w:color="auto" w:fill="DBDBDB"/>
          </w:tcPr>
          <w:p>
            <w:pPr>
              <w:jc w:val="right"/>
              <w:ind w:right="59"/>
              <w:spacing w:after="0"/>
              <w:rPr>
                <w:sz w:val="20"/>
                <w:szCs w:val="20"/>
                <w:color w:val="auto"/>
              </w:rPr>
            </w:pPr>
            <w:r>
              <w:rPr>
                <w:rFonts w:ascii="Arial" w:cs="Arial" w:eastAsia="Arial" w:hAnsi="Arial"/>
                <w:sz w:val="12"/>
                <w:szCs w:val="12"/>
                <w:color w:val="auto"/>
              </w:rPr>
              <w:t>23,684</w:t>
            </w:r>
          </w:p>
        </w:tc>
        <w:tc>
          <w:tcPr>
            <w:tcW w:w="58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50,568</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188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79"/>
              <w:spacing w:after="0"/>
              <w:rPr>
                <w:sz w:val="20"/>
                <w:szCs w:val="20"/>
                <w:color w:val="auto"/>
              </w:rPr>
            </w:pPr>
            <w:r>
              <w:rPr>
                <w:rFonts w:ascii="Arial" w:cs="Arial" w:eastAsia="Arial" w:hAnsi="Arial"/>
                <w:sz w:val="12"/>
                <w:szCs w:val="12"/>
                <w:color w:val="auto"/>
              </w:rPr>
              <w:t>13,279</w:t>
            </w:r>
          </w:p>
        </w:tc>
        <w:tc>
          <w:tcPr>
            <w:tcW w:w="58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59"/>
              <w:spacing w:after="0"/>
              <w:rPr>
                <w:sz w:val="20"/>
                <w:szCs w:val="20"/>
                <w:color w:val="auto"/>
              </w:rPr>
            </w:pPr>
            <w:r>
              <w:rPr>
                <w:rFonts w:ascii="Arial" w:cs="Arial" w:eastAsia="Arial" w:hAnsi="Arial"/>
                <w:sz w:val="12"/>
                <w:szCs w:val="12"/>
                <w:color w:val="auto"/>
              </w:rPr>
              <w:t>11,723</w:t>
            </w:r>
          </w:p>
        </w:tc>
        <w:tc>
          <w:tcPr>
            <w:tcW w:w="58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25,002</w:t>
            </w:r>
          </w:p>
        </w:tc>
        <w:tc>
          <w:tcPr>
            <w:tcW w:w="0" w:type="dxa"/>
            <w:vAlign w:val="bottom"/>
          </w:tcPr>
          <w:p>
            <w:pPr>
              <w:spacing w:after="0"/>
              <w:rPr>
                <w:sz w:val="1"/>
                <w:szCs w:val="1"/>
                <w:color w:val="auto"/>
              </w:rPr>
            </w:pPr>
          </w:p>
        </w:tc>
      </w:tr>
      <w:tr>
        <w:trPr>
          <w:trHeight w:val="164"/>
        </w:trPr>
        <w:tc>
          <w:tcPr>
            <w:tcW w:w="38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Adjusted EBITDA</w:t>
            </w:r>
          </w:p>
        </w:tc>
        <w:tc>
          <w:tcPr>
            <w:tcW w:w="188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44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9,477</w:t>
            </w:r>
          </w:p>
        </w:tc>
        <w:tc>
          <w:tcPr>
            <w:tcW w:w="580" w:type="dxa"/>
            <w:vAlign w:val="bottom"/>
            <w:shd w:val="clear" w:color="auto" w:fill="DBDBDB"/>
          </w:tcPr>
          <w:p>
            <w:pPr>
              <w:jc w:val="right"/>
              <w:ind w:right="339"/>
              <w:spacing w:after="0"/>
              <w:rPr>
                <w:sz w:val="20"/>
                <w:szCs w:val="20"/>
                <w:color w:val="auto"/>
              </w:rPr>
            </w:pPr>
            <w:r>
              <w:rPr>
                <w:rFonts w:ascii="Arial" w:cs="Arial" w:eastAsia="Arial" w:hAnsi="Arial"/>
                <w:sz w:val="12"/>
                <w:szCs w:val="12"/>
                <w:color w:val="auto"/>
              </w:rPr>
              <w:t>$</w:t>
            </w:r>
          </w:p>
        </w:tc>
        <w:tc>
          <w:tcPr>
            <w:tcW w:w="1440" w:type="dxa"/>
            <w:vAlign w:val="bottom"/>
            <w:shd w:val="clear" w:color="auto" w:fill="DBDBDB"/>
          </w:tcPr>
          <w:p>
            <w:pPr>
              <w:jc w:val="right"/>
              <w:ind w:right="59"/>
              <w:spacing w:after="0"/>
              <w:rPr>
                <w:sz w:val="20"/>
                <w:szCs w:val="20"/>
                <w:color w:val="auto"/>
              </w:rPr>
            </w:pPr>
            <w:r>
              <w:rPr>
                <w:rFonts w:ascii="Arial" w:cs="Arial" w:eastAsia="Arial" w:hAnsi="Arial"/>
                <w:sz w:val="12"/>
                <w:szCs w:val="12"/>
                <w:color w:val="auto"/>
              </w:rPr>
              <w:t>8,659</w:t>
            </w:r>
          </w:p>
        </w:tc>
        <w:tc>
          <w:tcPr>
            <w:tcW w:w="58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18,136</w:t>
            </w:r>
          </w:p>
        </w:tc>
        <w:tc>
          <w:tcPr>
            <w:tcW w:w="0" w:type="dxa"/>
            <w:vAlign w:val="bottom"/>
          </w:tcPr>
          <w:p>
            <w:pPr>
              <w:spacing w:after="0"/>
              <w:rPr>
                <w:sz w:val="1"/>
                <w:szCs w:val="1"/>
                <w:color w:val="auto"/>
              </w:rPr>
            </w:pPr>
          </w:p>
        </w:tc>
      </w:tr>
      <w:tr>
        <w:trPr>
          <w:trHeight w:val="157"/>
        </w:trPr>
        <w:tc>
          <w:tcPr>
            <w:tcW w:w="3880" w:type="dxa"/>
            <w:vAlign w:val="bottom"/>
          </w:tcPr>
          <w:p>
            <w:pPr>
              <w:ind w:left="20"/>
              <w:spacing w:after="0"/>
              <w:rPr>
                <w:sz w:val="20"/>
                <w:szCs w:val="20"/>
                <w:color w:val="auto"/>
              </w:rPr>
            </w:pPr>
            <w:r>
              <w:rPr>
                <w:rFonts w:ascii="Arial" w:cs="Arial" w:eastAsia="Arial" w:hAnsi="Arial"/>
                <w:sz w:val="12"/>
                <w:szCs w:val="12"/>
                <w:color w:val="auto"/>
              </w:rPr>
              <w:t>Capital expenditures for rental equipment</w:t>
            </w:r>
          </w:p>
        </w:tc>
        <w:tc>
          <w:tcPr>
            <w:tcW w:w="188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79"/>
              <w:spacing w:after="0"/>
              <w:rPr>
                <w:sz w:val="20"/>
                <w:szCs w:val="20"/>
                <w:color w:val="auto"/>
              </w:rPr>
            </w:pPr>
            <w:r>
              <w:rPr>
                <w:rFonts w:ascii="Arial" w:cs="Arial" w:eastAsia="Arial" w:hAnsi="Arial"/>
                <w:sz w:val="12"/>
                <w:szCs w:val="12"/>
                <w:color w:val="auto"/>
              </w:rPr>
              <w:t>4,514</w:t>
            </w:r>
          </w:p>
        </w:tc>
        <w:tc>
          <w:tcPr>
            <w:tcW w:w="58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59"/>
              <w:spacing w:after="0"/>
              <w:rPr>
                <w:sz w:val="20"/>
                <w:szCs w:val="20"/>
                <w:color w:val="auto"/>
              </w:rPr>
            </w:pPr>
            <w:r>
              <w:rPr>
                <w:rFonts w:ascii="Arial" w:cs="Arial" w:eastAsia="Arial" w:hAnsi="Arial"/>
                <w:sz w:val="12"/>
                <w:szCs w:val="12"/>
                <w:color w:val="auto"/>
              </w:rPr>
              <w:t>941</w:t>
            </w:r>
          </w:p>
        </w:tc>
        <w:tc>
          <w:tcPr>
            <w:tcW w:w="58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9"/>
              <w:spacing w:after="0"/>
              <w:rPr>
                <w:sz w:val="20"/>
                <w:szCs w:val="20"/>
                <w:color w:val="auto"/>
              </w:rPr>
            </w:pPr>
            <w:r>
              <w:rPr>
                <w:rFonts w:ascii="Arial" w:cs="Arial" w:eastAsia="Arial" w:hAnsi="Arial"/>
                <w:sz w:val="12"/>
                <w:szCs w:val="12"/>
                <w:color w:val="auto"/>
              </w:rPr>
              <w:t>5,455</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800" w:type="dxa"/>
            <w:vAlign w:val="bottom"/>
            <w:shd w:val="clear" w:color="auto" w:fill="DBDBDB"/>
          </w:tcPr>
          <w:p>
            <w:pPr>
              <w:ind w:left="20"/>
              <w:spacing w:after="0"/>
              <w:rPr>
                <w:sz w:val="20"/>
                <w:szCs w:val="20"/>
                <w:color w:val="auto"/>
              </w:rPr>
            </w:pPr>
            <w:r>
              <w:rPr>
                <w:rFonts w:ascii="Arial" w:cs="Arial" w:eastAsia="Arial" w:hAnsi="Arial"/>
                <w:sz w:val="12"/>
                <w:szCs w:val="12"/>
                <w:color w:val="auto"/>
              </w:rPr>
              <w:t>Average tank and pump solutions rental fleet utilization based on original equipment cost</w:t>
            </w:r>
          </w:p>
        </w:tc>
        <w:tc>
          <w:tcPr>
            <w:tcW w:w="2240" w:type="dxa"/>
            <w:vAlign w:val="bottom"/>
            <w:shd w:val="clear" w:color="auto" w:fill="DBDBDB"/>
          </w:tcPr>
          <w:p>
            <w:pPr>
              <w:jc w:val="right"/>
              <w:ind w:right="779"/>
              <w:spacing w:after="0"/>
              <w:rPr>
                <w:sz w:val="20"/>
                <w:szCs w:val="20"/>
                <w:color w:val="auto"/>
              </w:rPr>
            </w:pPr>
            <w:r>
              <w:rPr>
                <w:rFonts w:ascii="Arial" w:cs="Arial" w:eastAsia="Arial" w:hAnsi="Arial"/>
                <w:sz w:val="12"/>
                <w:szCs w:val="12"/>
                <w:color w:val="auto"/>
              </w:rPr>
              <w:t>66.4 %</w:t>
            </w:r>
          </w:p>
        </w:tc>
        <w:tc>
          <w:tcPr>
            <w:tcW w:w="2020" w:type="dxa"/>
            <w:vAlign w:val="bottom"/>
            <w:shd w:val="clear" w:color="auto" w:fill="DBDBDB"/>
          </w:tcPr>
          <w:p>
            <w:pPr>
              <w:jc w:val="right"/>
              <w:ind w:right="759"/>
              <w:spacing w:after="0"/>
              <w:rPr>
                <w:sz w:val="20"/>
                <w:szCs w:val="20"/>
                <w:color w:val="auto"/>
              </w:rPr>
            </w:pPr>
            <w:r>
              <w:rPr>
                <w:rFonts w:ascii="Arial" w:cs="Arial" w:eastAsia="Arial" w:hAnsi="Arial"/>
                <w:sz w:val="12"/>
                <w:szCs w:val="12"/>
                <w:color w:val="auto"/>
              </w:rPr>
              <w:t>60.5 %</w:t>
            </w: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63.4 %</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Comparison of Three Months Ended June 30, 2021 and 2020</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Tank &amp; Pump</w:t>
      </w:r>
    </w:p>
    <w:p>
      <w:pPr>
        <w:spacing w:after="0" w:line="84"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b w:val="1"/>
          <w:bCs w:val="1"/>
          <w:color w:val="auto"/>
        </w:rPr>
        <w:t xml:space="preserve">Revenue: </w:t>
      </w:r>
      <w:r>
        <w:rPr>
          <w:rFonts w:ascii="Arial" w:cs="Arial" w:eastAsia="Arial" w:hAnsi="Arial"/>
          <w:sz w:val="12"/>
          <w:szCs w:val="12"/>
          <w:color w:val="auto"/>
        </w:rPr>
        <w:t>Total revenue increased $3.8 million, or 16.0%, to $27.5 million for the three months ended June 30, 2021 from $23.7 million for the three months ended June 30, 2020. These increases were</w:t>
      </w:r>
      <w:r>
        <w:rPr>
          <w:rFonts w:ascii="Arial" w:cs="Arial" w:eastAsia="Arial" w:hAnsi="Arial"/>
          <w:sz w:val="12"/>
          <w:szCs w:val="12"/>
          <w:b w:val="1"/>
          <w:bCs w:val="1"/>
          <w:color w:val="auto"/>
        </w:rPr>
        <w:t xml:space="preserve"> </w:t>
      </w:r>
      <w:r>
        <w:rPr>
          <w:rFonts w:ascii="Arial" w:cs="Arial" w:eastAsia="Arial" w:hAnsi="Arial"/>
          <w:sz w:val="12"/>
          <w:szCs w:val="12"/>
          <w:color w:val="auto"/>
        </w:rPr>
        <w:t>driven by increased average OEC rental fleet utilization, which increased 1070 bps to 71.2% for the three months ended June 30, 2021 from 60.5% for the three months ended June 30, 2020. 2020 results beginning in the second quarter especially were significantly impacted by lower mid- and down-stream oil and gas activity, petrochemical refining activity and specifically the lower demand for jet fuel resulting from COVID-19.</w:t>
      </w:r>
    </w:p>
    <w:p>
      <w:pPr>
        <w:spacing w:after="0" w:line="52"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color w:val="auto"/>
        </w:rPr>
        <w:t xml:space="preserve">Gross Profit: </w:t>
      </w:r>
      <w:r>
        <w:rPr>
          <w:rFonts w:ascii="Arial" w:cs="Arial" w:eastAsia="Arial" w:hAnsi="Arial"/>
          <w:sz w:val="12"/>
          <w:szCs w:val="12"/>
          <w:color w:val="auto"/>
        </w:rPr>
        <w:t>Gross profit increased $1.3 million, or 11.1%, for the three months ended June 30, 2021 to $13.0 million from $11.7 million for the three months ended June 30, 2020. This increase was</w:t>
      </w:r>
      <w:r>
        <w:rPr>
          <w:rFonts w:ascii="Arial" w:cs="Arial" w:eastAsia="Arial" w:hAnsi="Arial"/>
          <w:sz w:val="12"/>
          <w:szCs w:val="12"/>
          <w:b w:val="1"/>
          <w:bCs w:val="1"/>
          <w:color w:val="auto"/>
        </w:rPr>
        <w:t xml:space="preserve"> </w:t>
      </w:r>
      <w:r>
        <w:rPr>
          <w:rFonts w:ascii="Arial" w:cs="Arial" w:eastAsia="Arial" w:hAnsi="Arial"/>
          <w:sz w:val="12"/>
          <w:szCs w:val="12"/>
          <w:color w:val="auto"/>
        </w:rPr>
        <w:t>driven by increased gross profit for leasing activity, which increased $1.4 million driven by the increased revenue as discussed above.</w:t>
      </w:r>
    </w:p>
    <w:p>
      <w:pPr>
        <w:spacing w:after="0" w:line="38"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2"/>
          <w:szCs w:val="12"/>
          <w:b w:val="1"/>
          <w:bCs w:val="1"/>
          <w:color w:val="auto"/>
        </w:rPr>
        <w:t xml:space="preserve">Adjusted EBITDA: </w:t>
      </w:r>
      <w:r>
        <w:rPr>
          <w:rFonts w:ascii="Arial" w:cs="Arial" w:eastAsia="Arial" w:hAnsi="Arial"/>
          <w:sz w:val="12"/>
          <w:szCs w:val="12"/>
          <w:color w:val="auto"/>
        </w:rPr>
        <w:t>Adjusted EBITDA increased $1.4 million, or 16.1%, to $10.1 million for the three months ended June 30, 2021 from $8.7 million for the three months ended June 30, 2020 and the</w:t>
      </w:r>
      <w:r>
        <w:rPr>
          <w:rFonts w:ascii="Arial" w:cs="Arial" w:eastAsia="Arial" w:hAnsi="Arial"/>
          <w:sz w:val="12"/>
          <w:szCs w:val="12"/>
          <w:b w:val="1"/>
          <w:bCs w:val="1"/>
          <w:color w:val="auto"/>
        </w:rPr>
        <w:t xml:space="preserve"> </w:t>
      </w:r>
      <w:r>
        <w:rPr>
          <w:rFonts w:ascii="Arial" w:cs="Arial" w:eastAsia="Arial" w:hAnsi="Arial"/>
          <w:sz w:val="12"/>
          <w:szCs w:val="12"/>
          <w:color w:val="auto"/>
        </w:rPr>
        <w:t>margin was essentially flat to prior-year quarter. The increase in Adjusted EBITDA was driven by the increased gross profit discussed above, further complemented by a $0.2 million reduction in SG&amp;A expense driven primarily by decreased personnel costs.</w:t>
      </w:r>
    </w:p>
    <w:p>
      <w:pPr>
        <w:spacing w:after="0" w:line="49"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color w:val="auto"/>
        </w:rPr>
        <w:t xml:space="preserve">Capital Expenditures for Rental Equipment: </w:t>
      </w:r>
      <w:r>
        <w:rPr>
          <w:rFonts w:ascii="Arial" w:cs="Arial" w:eastAsia="Arial" w:hAnsi="Arial"/>
          <w:sz w:val="12"/>
          <w:szCs w:val="12"/>
          <w:color w:val="auto"/>
        </w:rPr>
        <w:t>Current quarter expenditures of $2.9 million were $2.0 million higher than the prior-year quarter as we began to increase investment in additional rental</w:t>
      </w:r>
      <w:r>
        <w:rPr>
          <w:rFonts w:ascii="Arial" w:cs="Arial" w:eastAsia="Arial" w:hAnsi="Arial"/>
          <w:sz w:val="12"/>
          <w:szCs w:val="12"/>
          <w:b w:val="1"/>
          <w:bCs w:val="1"/>
          <w:color w:val="auto"/>
        </w:rPr>
        <w:t xml:space="preserve"> </w:t>
      </w:r>
      <w:r>
        <w:rPr>
          <w:rFonts w:ascii="Arial" w:cs="Arial" w:eastAsia="Arial" w:hAnsi="Arial"/>
          <w:sz w:val="12"/>
          <w:szCs w:val="12"/>
          <w:color w:val="auto"/>
        </w:rPr>
        <w:t>equipment to fund increasing fleet utilization.</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Comparison of Six Months Ended June 30, 2021 and 2020</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Tank &amp; Pump</w:t>
      </w:r>
    </w:p>
    <w:p>
      <w:pPr>
        <w:spacing w:after="0" w:line="84"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2"/>
          <w:szCs w:val="12"/>
          <w:b w:val="1"/>
          <w:bCs w:val="1"/>
          <w:color w:val="auto"/>
        </w:rPr>
        <w:t xml:space="preserve">Revenue: </w:t>
      </w:r>
      <w:r>
        <w:rPr>
          <w:rFonts w:ascii="Arial" w:cs="Arial" w:eastAsia="Arial" w:hAnsi="Arial"/>
          <w:sz w:val="12"/>
          <w:szCs w:val="12"/>
          <w:color w:val="auto"/>
        </w:rPr>
        <w:t>Total revenue increased $1.2 million, or 2.4%, to $51.8 million for the six months ended June 30, 2021 from $50.6 million for the six months ended June 30, 2020. These increases were driven</w:t>
      </w:r>
      <w:r>
        <w:rPr>
          <w:rFonts w:ascii="Arial" w:cs="Arial" w:eastAsia="Arial" w:hAnsi="Arial"/>
          <w:sz w:val="12"/>
          <w:szCs w:val="12"/>
          <w:b w:val="1"/>
          <w:bCs w:val="1"/>
          <w:color w:val="auto"/>
        </w:rPr>
        <w:t xml:space="preserve"> </w:t>
      </w:r>
      <w:r>
        <w:rPr>
          <w:rFonts w:ascii="Arial" w:cs="Arial" w:eastAsia="Arial" w:hAnsi="Arial"/>
          <w:sz w:val="12"/>
          <w:szCs w:val="12"/>
          <w:color w:val="auto"/>
        </w:rPr>
        <w:t>by increased average OEC rental fleet utilization, which increased 580 bps to 69.3% for the six months ended June 30, 2021 from 63.5% for the six months ended June 30, 2020. 2020 results beginning in the second quarter especially were significantly impacted by lower mid- and down-stream oil and gas activity, petrochemical refining activity and specifically the lower demand for jet fuel resulting from COVID-19.</w:t>
      </w:r>
    </w:p>
    <w:p>
      <w:pPr>
        <w:spacing w:after="0" w:line="49"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color w:val="auto"/>
        </w:rPr>
        <w:t xml:space="preserve">Gross Profit: </w:t>
      </w:r>
      <w:r>
        <w:rPr>
          <w:rFonts w:ascii="Arial" w:cs="Arial" w:eastAsia="Arial" w:hAnsi="Arial"/>
          <w:sz w:val="12"/>
          <w:szCs w:val="12"/>
          <w:color w:val="auto"/>
        </w:rPr>
        <w:t>Gross profit decreased $0.7 million, or 2.8%, for the six months ended June 30, 2021 to $24.3 million from $25.0 million for the six months ended June 30, 2020. Gross profit for leasing</w:t>
      </w:r>
      <w:r>
        <w:rPr>
          <w:rFonts w:ascii="Arial" w:cs="Arial" w:eastAsia="Arial" w:hAnsi="Arial"/>
          <w:sz w:val="12"/>
          <w:szCs w:val="12"/>
          <w:b w:val="1"/>
          <w:bCs w:val="1"/>
          <w:color w:val="auto"/>
        </w:rPr>
        <w:t xml:space="preserve"> </w:t>
      </w:r>
      <w:r>
        <w:rPr>
          <w:rFonts w:ascii="Arial" w:cs="Arial" w:eastAsia="Arial" w:hAnsi="Arial"/>
          <w:sz w:val="12"/>
          <w:szCs w:val="12"/>
          <w:color w:val="auto"/>
        </w:rPr>
        <w:t>activity was flat compared to the prior-year quarter, however gross profit for delivery and installation activity decreased $0.6 million and gross profit for sales activity decreased $0.4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531495</wp:posOffset>
            </wp:positionV>
            <wp:extent cx="719264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55" w:name="page56"/>
    <w:bookmarkEnd w:id="55"/>
    <w:p>
      <w:pPr>
        <w:jc w:val="both"/>
        <w:ind w:firstLine="484"/>
        <w:spacing w:after="0" w:line="264" w:lineRule="auto"/>
        <w:rPr>
          <w:sz w:val="20"/>
          <w:szCs w:val="20"/>
          <w:color w:val="auto"/>
        </w:rPr>
      </w:pPr>
      <w:r>
        <w:rPr>
          <w:rFonts w:ascii="Arial" w:cs="Arial" w:eastAsia="Arial" w:hAnsi="Arial"/>
          <w:sz w:val="12"/>
          <w:szCs w:val="12"/>
          <w:b w:val="1"/>
          <w:bCs w:val="1"/>
          <w:color w:val="auto"/>
        </w:rPr>
        <w:t xml:space="preserve">Adjusted EBITDA: </w:t>
      </w:r>
      <w:r>
        <w:rPr>
          <w:rFonts w:ascii="Arial" w:cs="Arial" w:eastAsia="Arial" w:hAnsi="Arial"/>
          <w:sz w:val="12"/>
          <w:szCs w:val="12"/>
          <w:color w:val="auto"/>
        </w:rPr>
        <w:t>Adjusted EBITDA increased $0.8 million, or 4.4%, to $19.0 million for the six months ended June 30, 2021 from $18.2 million for the six months ended June 30, 2020 and the margin</w:t>
      </w:r>
      <w:r>
        <w:rPr>
          <w:rFonts w:ascii="Arial" w:cs="Arial" w:eastAsia="Arial" w:hAnsi="Arial"/>
          <w:sz w:val="12"/>
          <w:szCs w:val="12"/>
          <w:b w:val="1"/>
          <w:bCs w:val="1"/>
          <w:color w:val="auto"/>
        </w:rPr>
        <w:t xml:space="preserve"> </w:t>
      </w:r>
      <w:r>
        <w:rPr>
          <w:rFonts w:ascii="Arial" w:cs="Arial" w:eastAsia="Arial" w:hAnsi="Arial"/>
          <w:sz w:val="12"/>
          <w:szCs w:val="12"/>
          <w:color w:val="auto"/>
        </w:rPr>
        <w:t>improved to 36.5% from 35.9%. The increase in Adjusted EBITDA was driven by a $1.7 million reduction in SG&amp;A expense primarily driven by lower personnel costs, partially offset by the lower gross profit discussed above.</w:t>
      </w:r>
    </w:p>
    <w:p>
      <w:pPr>
        <w:spacing w:after="0" w:line="49"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2"/>
          <w:szCs w:val="12"/>
          <w:b w:val="1"/>
          <w:bCs w:val="1"/>
          <w:color w:val="auto"/>
        </w:rPr>
        <w:t xml:space="preserve">Capital Expenditures for Rental Equipment: </w:t>
      </w:r>
      <w:r>
        <w:rPr>
          <w:rFonts w:ascii="Arial" w:cs="Arial" w:eastAsia="Arial" w:hAnsi="Arial"/>
          <w:sz w:val="12"/>
          <w:szCs w:val="12"/>
          <w:color w:val="auto"/>
        </w:rPr>
        <w:t>Year to date expenditures of $6.1 million were $0.7 million higher than the prior-year quarter as we began to increase investment in additional rental</w:t>
      </w:r>
      <w:r>
        <w:rPr>
          <w:rFonts w:ascii="Arial" w:cs="Arial" w:eastAsia="Arial" w:hAnsi="Arial"/>
          <w:sz w:val="12"/>
          <w:szCs w:val="12"/>
          <w:b w:val="1"/>
          <w:bCs w:val="1"/>
          <w:color w:val="auto"/>
        </w:rPr>
        <w:t xml:space="preserve"> </w:t>
      </w:r>
      <w:r>
        <w:rPr>
          <w:rFonts w:ascii="Arial" w:cs="Arial" w:eastAsia="Arial" w:hAnsi="Arial"/>
          <w:sz w:val="12"/>
          <w:szCs w:val="12"/>
          <w:color w:val="auto"/>
        </w:rPr>
        <w:t>equipment to fund increasing fleet utilization.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1D2758"/>
        </w:rPr>
        <w:t>Liquidity and Capital Resources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11"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WillScot Mobile Mini is a holding company that derives its operating cash flow from its operating subsidiaries. Our principal sources of liquidity include cash generated by operating activities from our subsidiaries, borrowings under the 2020 ABL Facility, and sales of equity and debt securities. We believe that our liquidity sources and operating cash flows are sufficient to address our operating, debt service and capital requirements over the next twelve months.</w:t>
      </w:r>
    </w:p>
    <w:p>
      <w:pPr>
        <w:spacing w:after="0" w:line="29"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We have been consistently engaged in both the debt and equity capital markets both opportunistically and as necessary to support the growth of our business, desired leverage levels, and other capital allocation priorities. Subsequent to the Merger, we believe we have ample liquidity in the 2020 ABL Facility and are generating substantial free cash flow, which together support both organic operations and other capital allocation priorities as they arise.</w:t>
      </w:r>
    </w:p>
    <w:p>
      <w:pPr>
        <w:spacing w:after="0" w:line="29" w:lineRule="exact"/>
        <w:rPr>
          <w:sz w:val="20"/>
          <w:szCs w:val="20"/>
          <w:color w:val="auto"/>
        </w:rPr>
      </w:pPr>
    </w:p>
    <w:p>
      <w:pPr>
        <w:jc w:val="both"/>
        <w:ind w:firstLine="484"/>
        <w:spacing w:after="0" w:line="248" w:lineRule="auto"/>
        <w:rPr>
          <w:sz w:val="20"/>
          <w:szCs w:val="20"/>
          <w:color w:val="auto"/>
        </w:rPr>
      </w:pPr>
      <w:r>
        <w:rPr>
          <w:rFonts w:ascii="Arial" w:cs="Arial" w:eastAsia="Arial" w:hAnsi="Arial"/>
          <w:sz w:val="12"/>
          <w:szCs w:val="12"/>
          <w:color w:val="auto"/>
        </w:rPr>
        <w:t>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w:t>
      </w:r>
    </w:p>
    <w:p>
      <w:pPr>
        <w:spacing w:after="0" w:line="32" w:lineRule="exact"/>
        <w:rPr>
          <w:sz w:val="20"/>
          <w:szCs w:val="20"/>
          <w:color w:val="auto"/>
        </w:rPr>
      </w:pPr>
    </w:p>
    <w:p>
      <w:pPr>
        <w:jc w:val="both"/>
        <w:ind w:firstLine="484"/>
        <w:spacing w:after="0" w:line="248" w:lineRule="auto"/>
        <w:rPr>
          <w:sz w:val="20"/>
          <w:szCs w:val="20"/>
          <w:color w:val="auto"/>
        </w:rPr>
      </w:pPr>
      <w:r>
        <w:rPr>
          <w:rFonts w:ascii="Arial" w:cs="Arial" w:eastAsia="Arial" w:hAnsi="Arial"/>
          <w:sz w:val="12"/>
          <w:szCs w:val="12"/>
          <w:color w:val="auto"/>
        </w:rPr>
        <w:t>On July 1, 2020, in connection with the completion of the Merger, Holdings, WSII, and certain of its subsidiaries, entered into a new asset-based credit agreement, that provides for revolving credit facilities in the aggregate principal amount of up to $2.4 billion, consisting of: (i) a senior secured asset-based US dollar revolving credit facility in the aggregate principal amount of $2.0 billion (the “US Facility”), available to WSII and certain of its subsidiaries (collectively, the “US Borrowers”), and (ii) a $400 million senior secured asset-based multicurrency revolving credit facility (the "Multicurrency Facility") together with the US Facility (collectively, the “2020 ABL Facility”), available to be drawn in US Dollars, Canadian Dollars, British Pounds Sterling or Euros by the US Borrowers, and certain of WSII’s wholly-owned subsidiaries organized in Canada and in the United Kingdom. Borrowing availability under the 2020 ABL Facility is equal to the lesser of $2.4 billion and the applicable borrowing bases. The borrowing bases are a function of, among other things, the value of the assets in the relevant collateral pool. At June 30, 2021, we had $917.4 million of available borrowing capacity under the 2020 ABL Facility.</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COVID-19 Impact on Liquidity</w:t>
      </w:r>
    </w:p>
    <w:p>
      <w:pPr>
        <w:spacing w:after="0" w:line="111"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We continue to monitor the impact that the global pandemic is having on our financial operations and liquidity; however, to date this impact has been immaterial, and we see the adverse impacts of COVID-19 diminishing as the global economy recovers. We regularly manage all aspects of our business including, but not limited to, monitoring the financial health of our customers, suppliers and other third-party relationships, actively managing our cost structure, reducing or delaying capital spending, and developing new opportunities for growth. We believe that the actions we have taken in recent years to increase our scale and competitive position and strengthen our balance sheet positioned us well to manage through economic cycles and have positioned us well for the current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544830</wp:posOffset>
            </wp:positionV>
            <wp:extent cx="719264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color w:val="auto"/>
        </w:rPr>
        <w:t>Cash Flow Comparison of the Six Months Ended June 30, 2021 and 2020</w:t>
      </w:r>
    </w:p>
    <w:p>
      <w:pPr>
        <w:spacing w:after="0" w:line="111"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Significant factors driving our liquidity position include cash flows generated from operating activities and capital expenditures. Our ability to fund our capital needs will be affected by our ongoing ability to generate cash from operations and access to capital markets.</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summarizes our change in cash and cash equivalents for the periods presented: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60" w:type="dxa"/>
            <w:vAlign w:val="bottom"/>
            <w:shd w:val="clear" w:color="auto" w:fill="1D2758"/>
          </w:tcPr>
          <w:p>
            <w:pPr>
              <w:spacing w:after="0"/>
              <w:rPr>
                <w:sz w:val="12"/>
                <w:szCs w:val="12"/>
                <w:color w:val="auto"/>
              </w:rPr>
            </w:pPr>
          </w:p>
        </w:tc>
        <w:tc>
          <w:tcPr>
            <w:tcW w:w="600" w:type="dxa"/>
            <w:vAlign w:val="bottom"/>
            <w:shd w:val="clear" w:color="auto" w:fill="1D2758"/>
          </w:tcPr>
          <w:p>
            <w:pPr>
              <w:spacing w:after="0"/>
              <w:rPr>
                <w:sz w:val="12"/>
                <w:szCs w:val="12"/>
                <w:color w:val="auto"/>
              </w:rPr>
            </w:pPr>
          </w:p>
        </w:tc>
        <w:tc>
          <w:tcPr>
            <w:tcW w:w="2740" w:type="dxa"/>
            <w:vAlign w:val="bottom"/>
            <w:gridSpan w:val="3"/>
            <w:shd w:val="clear" w:color="auto" w:fill="1D2758"/>
          </w:tcPr>
          <w:p>
            <w:pPr>
              <w:jc w:val="right"/>
              <w:ind w:right="239"/>
              <w:spacing w:after="0"/>
              <w:rPr>
                <w:sz w:val="20"/>
                <w:szCs w:val="20"/>
                <w:color w:val="auto"/>
              </w:rPr>
            </w:pPr>
            <w:r>
              <w:rPr>
                <w:rFonts w:ascii="Arial" w:cs="Arial" w:eastAsia="Arial" w:hAnsi="Arial"/>
                <w:sz w:val="12"/>
                <w:szCs w:val="12"/>
                <w:b w:val="1"/>
                <w:bCs w:val="1"/>
                <w:color w:val="FFFFFF"/>
              </w:rPr>
              <w:t>Six Months Ended</w:t>
            </w:r>
          </w:p>
        </w:tc>
        <w:tc>
          <w:tcPr>
            <w:tcW w:w="1680" w:type="dxa"/>
            <w:vAlign w:val="bottom"/>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260" w:type="dxa"/>
            <w:vAlign w:val="bottom"/>
            <w:shd w:val="clear" w:color="auto" w:fill="1D2758"/>
          </w:tcPr>
          <w:p>
            <w:pPr>
              <w:spacing w:after="0"/>
              <w:rPr>
                <w:sz w:val="13"/>
                <w:szCs w:val="13"/>
                <w:color w:val="auto"/>
              </w:rPr>
            </w:pPr>
          </w:p>
        </w:tc>
        <w:tc>
          <w:tcPr>
            <w:tcW w:w="600" w:type="dxa"/>
            <w:vAlign w:val="bottom"/>
            <w:shd w:val="clear" w:color="auto" w:fill="1D2758"/>
          </w:tcPr>
          <w:p>
            <w:pPr>
              <w:spacing w:after="0"/>
              <w:rPr>
                <w:sz w:val="13"/>
                <w:szCs w:val="13"/>
                <w:color w:val="auto"/>
              </w:rPr>
            </w:pPr>
          </w:p>
        </w:tc>
        <w:tc>
          <w:tcPr>
            <w:tcW w:w="2740" w:type="dxa"/>
            <w:vAlign w:val="bottom"/>
            <w:gridSpan w:val="3"/>
            <w:shd w:val="clear" w:color="auto" w:fill="1D2758"/>
          </w:tcPr>
          <w:p>
            <w:pPr>
              <w:jc w:val="right"/>
              <w:ind w:right="519"/>
              <w:spacing w:after="0"/>
              <w:rPr>
                <w:sz w:val="20"/>
                <w:szCs w:val="20"/>
                <w:color w:val="auto"/>
              </w:rPr>
            </w:pPr>
            <w:r>
              <w:rPr>
                <w:rFonts w:ascii="Arial" w:cs="Arial" w:eastAsia="Arial" w:hAnsi="Arial"/>
                <w:sz w:val="12"/>
                <w:szCs w:val="12"/>
                <w:b w:val="1"/>
                <w:bCs w:val="1"/>
                <w:color w:val="FFFFFF"/>
              </w:rPr>
              <w:t>June 30,</w:t>
            </w:r>
          </w:p>
        </w:tc>
        <w:tc>
          <w:tcPr>
            <w:tcW w:w="168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26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600" w:type="dxa"/>
            <w:vAlign w:val="bottom"/>
            <w:shd w:val="clear" w:color="auto" w:fill="1D2758"/>
          </w:tcPr>
          <w:p>
            <w:pPr>
              <w:spacing w:after="0"/>
              <w:rPr>
                <w:sz w:val="13"/>
                <w:szCs w:val="13"/>
                <w:color w:val="auto"/>
              </w:rPr>
            </w:pPr>
          </w:p>
        </w:tc>
        <w:tc>
          <w:tcPr>
            <w:tcW w:w="1880" w:type="dxa"/>
            <w:vAlign w:val="bottom"/>
            <w:vMerge w:val="restart"/>
            <w:shd w:val="clear" w:color="auto" w:fill="1D2758"/>
          </w:tcPr>
          <w:p>
            <w:pPr>
              <w:jc w:val="right"/>
              <w:ind w:right="1039"/>
              <w:spacing w:after="0"/>
              <w:rPr>
                <w:sz w:val="20"/>
                <w:szCs w:val="20"/>
                <w:color w:val="auto"/>
              </w:rPr>
            </w:pPr>
            <w:r>
              <w:rPr>
                <w:rFonts w:ascii="Arial" w:cs="Arial" w:eastAsia="Arial" w:hAnsi="Arial"/>
                <w:sz w:val="12"/>
                <w:szCs w:val="12"/>
                <w:b w:val="1"/>
                <w:bCs w:val="1"/>
                <w:color w:val="FFFFFF"/>
              </w:rPr>
              <w:t>2021</w:t>
            </w:r>
          </w:p>
        </w:tc>
        <w:tc>
          <w:tcPr>
            <w:tcW w:w="80" w:type="dxa"/>
            <w:vAlign w:val="bottom"/>
            <w:shd w:val="clear" w:color="auto" w:fill="1D2758"/>
          </w:tcPr>
          <w:p>
            <w:pPr>
              <w:spacing w:after="0"/>
              <w:rPr>
                <w:sz w:val="13"/>
                <w:szCs w:val="13"/>
                <w:color w:val="auto"/>
              </w:rPr>
            </w:pPr>
          </w:p>
        </w:tc>
        <w:tc>
          <w:tcPr>
            <w:tcW w:w="78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039"/>
              <w:spacing w:after="0"/>
              <w:rPr>
                <w:sz w:val="20"/>
                <w:szCs w:val="20"/>
                <w:color w:val="auto"/>
              </w:rPr>
            </w:pPr>
            <w:r>
              <w:rPr>
                <w:rFonts w:ascii="Arial" w:cs="Arial" w:eastAsia="Arial" w:hAnsi="Arial"/>
                <w:sz w:val="12"/>
                <w:szCs w:val="12"/>
                <w:b w:val="1"/>
                <w:bCs w:val="1"/>
                <w:color w:val="FFFFFF"/>
              </w:rPr>
              <w:t>2020</w:t>
            </w:r>
          </w:p>
        </w:tc>
        <w:tc>
          <w:tcPr>
            <w:tcW w:w="0" w:type="dxa"/>
            <w:vAlign w:val="bottom"/>
          </w:tcPr>
          <w:p>
            <w:pPr>
              <w:spacing w:after="0"/>
              <w:rPr>
                <w:sz w:val="1"/>
                <w:szCs w:val="1"/>
                <w:color w:val="auto"/>
              </w:rPr>
            </w:pPr>
          </w:p>
        </w:tc>
      </w:tr>
      <w:tr>
        <w:trPr>
          <w:trHeight w:val="74"/>
        </w:trPr>
        <w:tc>
          <w:tcPr>
            <w:tcW w:w="6260" w:type="dxa"/>
            <w:vAlign w:val="bottom"/>
            <w:shd w:val="clear" w:color="auto" w:fill="1D2758"/>
          </w:tcPr>
          <w:p>
            <w:pPr>
              <w:spacing w:after="0"/>
              <w:rPr>
                <w:sz w:val="6"/>
                <w:szCs w:val="6"/>
                <w:color w:val="auto"/>
              </w:rPr>
            </w:pPr>
          </w:p>
        </w:tc>
        <w:tc>
          <w:tcPr>
            <w:tcW w:w="600" w:type="dxa"/>
            <w:vAlign w:val="bottom"/>
            <w:shd w:val="clear" w:color="auto" w:fill="1D2758"/>
          </w:tcPr>
          <w:p>
            <w:pPr>
              <w:spacing w:after="0"/>
              <w:rPr>
                <w:sz w:val="6"/>
                <w:szCs w:val="6"/>
                <w:color w:val="auto"/>
              </w:rPr>
            </w:pPr>
          </w:p>
        </w:tc>
        <w:tc>
          <w:tcPr>
            <w:tcW w:w="1880" w:type="dxa"/>
            <w:vAlign w:val="bottom"/>
            <w:vMerge w:val="continue"/>
            <w:shd w:val="clear" w:color="auto" w:fill="1D2758"/>
          </w:tcPr>
          <w:p>
            <w:pPr>
              <w:spacing w:after="0"/>
              <w:rPr>
                <w:sz w:val="6"/>
                <w:szCs w:val="6"/>
                <w:color w:val="auto"/>
              </w:rPr>
            </w:pPr>
          </w:p>
        </w:tc>
        <w:tc>
          <w:tcPr>
            <w:tcW w:w="80" w:type="dxa"/>
            <w:vAlign w:val="bottom"/>
            <w:shd w:val="clear" w:color="auto" w:fill="1D2758"/>
          </w:tcPr>
          <w:p>
            <w:pPr>
              <w:spacing w:after="0"/>
              <w:rPr>
                <w:sz w:val="6"/>
                <w:szCs w:val="6"/>
                <w:color w:val="auto"/>
              </w:rPr>
            </w:pPr>
          </w:p>
        </w:tc>
        <w:tc>
          <w:tcPr>
            <w:tcW w:w="780" w:type="dxa"/>
            <w:vAlign w:val="bottom"/>
            <w:shd w:val="clear" w:color="auto" w:fill="1D2758"/>
          </w:tcPr>
          <w:p>
            <w:pPr>
              <w:spacing w:after="0"/>
              <w:rPr>
                <w:sz w:val="6"/>
                <w:szCs w:val="6"/>
                <w:color w:val="auto"/>
              </w:rPr>
            </w:pPr>
          </w:p>
        </w:tc>
        <w:tc>
          <w:tcPr>
            <w:tcW w:w="1680" w:type="dxa"/>
            <w:vAlign w:val="bottom"/>
            <w:vMerge w:val="continue"/>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260" w:type="dxa"/>
            <w:vAlign w:val="bottom"/>
            <w:shd w:val="clear" w:color="auto" w:fill="DBDBDB"/>
          </w:tcPr>
          <w:p>
            <w:pPr>
              <w:ind w:left="20"/>
              <w:spacing w:after="0"/>
              <w:rPr>
                <w:sz w:val="20"/>
                <w:szCs w:val="20"/>
                <w:color w:val="auto"/>
              </w:rPr>
            </w:pPr>
            <w:r>
              <w:rPr>
                <w:rFonts w:ascii="Arial" w:cs="Arial" w:eastAsia="Arial" w:hAnsi="Arial"/>
                <w:sz w:val="12"/>
                <w:szCs w:val="12"/>
                <w:color w:val="auto"/>
              </w:rPr>
              <w:t>Net cash from operating activities</w:t>
            </w:r>
          </w:p>
        </w:tc>
        <w:tc>
          <w:tcPr>
            <w:tcW w:w="600" w:type="dxa"/>
            <w:vAlign w:val="bottom"/>
            <w:vMerge w:val="restart"/>
            <w:shd w:val="clear" w:color="auto" w:fill="DBDBDB"/>
          </w:tcPr>
          <w:p>
            <w:pPr>
              <w:jc w:val="right"/>
              <w:ind w:right="459"/>
              <w:spacing w:after="0"/>
              <w:rPr>
                <w:sz w:val="20"/>
                <w:szCs w:val="20"/>
                <w:color w:val="auto"/>
              </w:rPr>
            </w:pPr>
            <w:r>
              <w:rPr>
                <w:rFonts w:ascii="Arial" w:cs="Arial" w:eastAsia="Arial" w:hAnsi="Arial"/>
                <w:sz w:val="12"/>
                <w:szCs w:val="12"/>
                <w:color w:val="auto"/>
                <w:w w:val="89"/>
              </w:rPr>
              <w:t>$</w:t>
            </w:r>
          </w:p>
        </w:tc>
        <w:tc>
          <w:tcPr>
            <w:tcW w:w="188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261,608</w:t>
            </w:r>
          </w:p>
        </w:tc>
        <w:tc>
          <w:tcPr>
            <w:tcW w:w="80" w:type="dxa"/>
            <w:vAlign w:val="bottom"/>
            <w:shd w:val="clear" w:color="auto" w:fill="DBDBDB"/>
          </w:tcPr>
          <w:p>
            <w:pPr>
              <w:spacing w:after="0"/>
              <w:rPr>
                <w:sz w:val="13"/>
                <w:szCs w:val="13"/>
                <w:color w:val="auto"/>
              </w:rPr>
            </w:pPr>
          </w:p>
        </w:tc>
        <w:tc>
          <w:tcPr>
            <w:tcW w:w="780" w:type="dxa"/>
            <w:vAlign w:val="bottom"/>
            <w:vMerge w:val="restart"/>
            <w:shd w:val="clear" w:color="auto" w:fill="DBDBDB"/>
          </w:tcPr>
          <w:p>
            <w:pPr>
              <w:jc w:val="right"/>
              <w:ind w:right="639"/>
              <w:spacing w:after="0"/>
              <w:rPr>
                <w:sz w:val="20"/>
                <w:szCs w:val="20"/>
                <w:color w:val="auto"/>
              </w:rPr>
            </w:pPr>
            <w:r>
              <w:rPr>
                <w:rFonts w:ascii="Arial" w:cs="Arial" w:eastAsia="Arial" w:hAnsi="Arial"/>
                <w:sz w:val="12"/>
                <w:szCs w:val="12"/>
                <w:color w:val="auto"/>
                <w:w w:val="89"/>
              </w:rPr>
              <w:t>$</w:t>
            </w:r>
          </w:p>
        </w:tc>
        <w:tc>
          <w:tcPr>
            <w:tcW w:w="168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113,727</w:t>
            </w:r>
          </w:p>
        </w:tc>
        <w:tc>
          <w:tcPr>
            <w:tcW w:w="0" w:type="dxa"/>
            <w:vAlign w:val="bottom"/>
          </w:tcPr>
          <w:p>
            <w:pPr>
              <w:spacing w:after="0"/>
              <w:rPr>
                <w:sz w:val="1"/>
                <w:szCs w:val="1"/>
                <w:color w:val="auto"/>
              </w:rPr>
            </w:pPr>
          </w:p>
        </w:tc>
      </w:tr>
      <w:tr>
        <w:trPr>
          <w:trHeight w:val="75"/>
        </w:trPr>
        <w:tc>
          <w:tcPr>
            <w:tcW w:w="6260" w:type="dxa"/>
            <w:vAlign w:val="bottom"/>
            <w:shd w:val="clear" w:color="auto" w:fill="DBDBDB"/>
          </w:tcPr>
          <w:p>
            <w:pPr>
              <w:spacing w:after="0"/>
              <w:rPr>
                <w:sz w:val="6"/>
                <w:szCs w:val="6"/>
                <w:color w:val="auto"/>
              </w:rPr>
            </w:pPr>
          </w:p>
        </w:tc>
        <w:tc>
          <w:tcPr>
            <w:tcW w:w="600" w:type="dxa"/>
            <w:vAlign w:val="bottom"/>
            <w:vMerge w:val="continue"/>
            <w:shd w:val="clear" w:color="auto" w:fill="DBDBDB"/>
          </w:tcPr>
          <w:p>
            <w:pPr>
              <w:spacing w:after="0"/>
              <w:rPr>
                <w:sz w:val="6"/>
                <w:szCs w:val="6"/>
                <w:color w:val="auto"/>
              </w:rPr>
            </w:pPr>
          </w:p>
        </w:tc>
        <w:tc>
          <w:tcPr>
            <w:tcW w:w="1880" w:type="dxa"/>
            <w:vAlign w:val="bottom"/>
            <w:vMerge w:val="continue"/>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780" w:type="dxa"/>
            <w:vAlign w:val="bottom"/>
            <w:vMerge w:val="continue"/>
            <w:shd w:val="clear" w:color="auto" w:fill="DBDBDB"/>
          </w:tcPr>
          <w:p>
            <w:pPr>
              <w:spacing w:after="0"/>
              <w:rPr>
                <w:sz w:val="6"/>
                <w:szCs w:val="6"/>
                <w:color w:val="auto"/>
              </w:rPr>
            </w:pPr>
          </w:p>
        </w:tc>
        <w:tc>
          <w:tcPr>
            <w:tcW w:w="168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260" w:type="dxa"/>
            <w:vAlign w:val="bottom"/>
          </w:tcPr>
          <w:p>
            <w:pPr>
              <w:ind w:left="20"/>
              <w:spacing w:after="0"/>
              <w:rPr>
                <w:sz w:val="20"/>
                <w:szCs w:val="20"/>
                <w:color w:val="auto"/>
              </w:rPr>
            </w:pPr>
            <w:r>
              <w:rPr>
                <w:rFonts w:ascii="Arial" w:cs="Arial" w:eastAsia="Arial" w:hAnsi="Arial"/>
                <w:sz w:val="12"/>
                <w:szCs w:val="12"/>
                <w:color w:val="auto"/>
              </w:rPr>
              <w:t>Net cash from investing activities</w:t>
            </w:r>
          </w:p>
        </w:tc>
        <w:tc>
          <w:tcPr>
            <w:tcW w:w="600" w:type="dxa"/>
            <w:vAlign w:val="bottom"/>
          </w:tcPr>
          <w:p>
            <w:pPr>
              <w:spacing w:after="0"/>
              <w:rPr>
                <w:sz w:val="13"/>
                <w:szCs w:val="13"/>
                <w:color w:val="auto"/>
              </w:rPr>
            </w:pPr>
          </w:p>
        </w:tc>
        <w:tc>
          <w:tcPr>
            <w:tcW w:w="1880" w:type="dxa"/>
            <w:vAlign w:val="bottom"/>
            <w:vMerge w:val="restart"/>
          </w:tcPr>
          <w:p>
            <w:pPr>
              <w:jc w:val="right"/>
              <w:spacing w:after="0"/>
              <w:rPr>
                <w:sz w:val="20"/>
                <w:szCs w:val="20"/>
                <w:color w:val="auto"/>
              </w:rPr>
            </w:pPr>
            <w:r>
              <w:rPr>
                <w:rFonts w:ascii="Arial" w:cs="Arial" w:eastAsia="Arial" w:hAnsi="Arial"/>
                <w:sz w:val="12"/>
                <w:szCs w:val="12"/>
                <w:color w:val="auto"/>
              </w:rPr>
              <w:t>(88,392)</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Arial" w:cs="Arial" w:eastAsia="Arial" w:hAnsi="Arial"/>
                <w:sz w:val="12"/>
                <w:szCs w:val="12"/>
                <w:color w:val="auto"/>
              </w:rPr>
              <w:t>(66,923)</w:t>
            </w:r>
          </w:p>
        </w:tc>
        <w:tc>
          <w:tcPr>
            <w:tcW w:w="0" w:type="dxa"/>
            <w:vAlign w:val="bottom"/>
          </w:tcPr>
          <w:p>
            <w:pPr>
              <w:spacing w:after="0"/>
              <w:rPr>
                <w:sz w:val="1"/>
                <w:szCs w:val="1"/>
                <w:color w:val="auto"/>
              </w:rPr>
            </w:pPr>
          </w:p>
        </w:tc>
      </w:tr>
      <w:tr>
        <w:trPr>
          <w:trHeight w:val="73"/>
        </w:trPr>
        <w:tc>
          <w:tcPr>
            <w:tcW w:w="6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6260" w:type="dxa"/>
            <w:vAlign w:val="bottom"/>
            <w:shd w:val="clear" w:color="auto" w:fill="DBDBDB"/>
          </w:tcPr>
          <w:p>
            <w:pPr>
              <w:ind w:left="20"/>
              <w:spacing w:after="0"/>
              <w:rPr>
                <w:sz w:val="20"/>
                <w:szCs w:val="20"/>
                <w:color w:val="auto"/>
              </w:rPr>
            </w:pPr>
            <w:r>
              <w:rPr>
                <w:rFonts w:ascii="Arial" w:cs="Arial" w:eastAsia="Arial" w:hAnsi="Arial"/>
                <w:sz w:val="12"/>
                <w:szCs w:val="12"/>
                <w:color w:val="auto"/>
              </w:rPr>
              <w:t>Net cash from financing activities</w:t>
            </w:r>
          </w:p>
        </w:tc>
        <w:tc>
          <w:tcPr>
            <w:tcW w:w="600" w:type="dxa"/>
            <w:vAlign w:val="bottom"/>
            <w:shd w:val="clear" w:color="auto" w:fill="DBDBDB"/>
          </w:tcPr>
          <w:p>
            <w:pPr>
              <w:spacing w:after="0"/>
              <w:rPr>
                <w:sz w:val="13"/>
                <w:szCs w:val="13"/>
                <w:color w:val="auto"/>
              </w:rPr>
            </w:pPr>
          </w:p>
        </w:tc>
        <w:tc>
          <w:tcPr>
            <w:tcW w:w="188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(182,913)</w:t>
            </w:r>
          </w:p>
        </w:tc>
        <w:tc>
          <w:tcPr>
            <w:tcW w:w="8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68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614,693</w:t>
            </w:r>
          </w:p>
        </w:tc>
        <w:tc>
          <w:tcPr>
            <w:tcW w:w="0" w:type="dxa"/>
            <w:vAlign w:val="bottom"/>
          </w:tcPr>
          <w:p>
            <w:pPr>
              <w:spacing w:after="0"/>
              <w:rPr>
                <w:sz w:val="1"/>
                <w:szCs w:val="1"/>
                <w:color w:val="auto"/>
              </w:rPr>
            </w:pPr>
          </w:p>
        </w:tc>
      </w:tr>
      <w:tr>
        <w:trPr>
          <w:trHeight w:val="75"/>
        </w:trPr>
        <w:tc>
          <w:tcPr>
            <w:tcW w:w="6260" w:type="dxa"/>
            <w:vAlign w:val="bottom"/>
            <w:shd w:val="clear" w:color="auto" w:fill="DBDBDB"/>
          </w:tcPr>
          <w:p>
            <w:pPr>
              <w:spacing w:after="0"/>
              <w:rPr>
                <w:sz w:val="6"/>
                <w:szCs w:val="6"/>
                <w:color w:val="auto"/>
              </w:rPr>
            </w:pPr>
          </w:p>
        </w:tc>
        <w:tc>
          <w:tcPr>
            <w:tcW w:w="600" w:type="dxa"/>
            <w:vAlign w:val="bottom"/>
            <w:shd w:val="clear" w:color="auto" w:fill="DBDBDB"/>
          </w:tcPr>
          <w:p>
            <w:pPr>
              <w:spacing w:after="0"/>
              <w:rPr>
                <w:sz w:val="6"/>
                <w:szCs w:val="6"/>
                <w:color w:val="auto"/>
              </w:rPr>
            </w:pPr>
          </w:p>
        </w:tc>
        <w:tc>
          <w:tcPr>
            <w:tcW w:w="1880" w:type="dxa"/>
            <w:vAlign w:val="bottom"/>
            <w:vMerge w:val="continue"/>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780" w:type="dxa"/>
            <w:vAlign w:val="bottom"/>
            <w:shd w:val="clear" w:color="auto" w:fill="DBDBDB"/>
          </w:tcPr>
          <w:p>
            <w:pPr>
              <w:spacing w:after="0"/>
              <w:rPr>
                <w:sz w:val="6"/>
                <w:szCs w:val="6"/>
                <w:color w:val="auto"/>
              </w:rPr>
            </w:pPr>
          </w:p>
        </w:tc>
        <w:tc>
          <w:tcPr>
            <w:tcW w:w="168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260" w:type="dxa"/>
            <w:vAlign w:val="bottom"/>
          </w:tcPr>
          <w:p>
            <w:pPr>
              <w:ind w:left="20"/>
              <w:spacing w:after="0"/>
              <w:rPr>
                <w:sz w:val="20"/>
                <w:szCs w:val="20"/>
                <w:color w:val="auto"/>
              </w:rPr>
            </w:pPr>
            <w:r>
              <w:rPr>
                <w:rFonts w:ascii="Arial" w:cs="Arial" w:eastAsia="Arial" w:hAnsi="Arial"/>
                <w:sz w:val="12"/>
                <w:szCs w:val="12"/>
                <w:color w:val="auto"/>
              </w:rPr>
              <w:t>Effect of exchange rate changes on cash and cash equivalents</w:t>
            </w:r>
          </w:p>
        </w:tc>
        <w:tc>
          <w:tcPr>
            <w:tcW w:w="600" w:type="dxa"/>
            <w:vAlign w:val="bottom"/>
          </w:tcPr>
          <w:p>
            <w:pPr>
              <w:spacing w:after="0"/>
              <w:rPr>
                <w:sz w:val="13"/>
                <w:szCs w:val="13"/>
                <w:color w:val="auto"/>
              </w:rPr>
            </w:pPr>
          </w:p>
        </w:tc>
        <w:tc>
          <w:tcPr>
            <w:tcW w:w="1880" w:type="dxa"/>
            <w:vAlign w:val="bottom"/>
            <w:vMerge w:val="restart"/>
          </w:tcPr>
          <w:p>
            <w:pPr>
              <w:jc w:val="right"/>
              <w:spacing w:after="0"/>
              <w:rPr>
                <w:sz w:val="20"/>
                <w:szCs w:val="20"/>
                <w:color w:val="auto"/>
              </w:rPr>
            </w:pPr>
            <w:r>
              <w:rPr>
                <w:rFonts w:ascii="Arial" w:cs="Arial" w:eastAsia="Arial" w:hAnsi="Arial"/>
                <w:sz w:val="12"/>
                <w:szCs w:val="12"/>
                <w:color w:val="auto"/>
              </w:rPr>
              <w:t>162</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Arial" w:cs="Arial" w:eastAsia="Arial" w:hAnsi="Arial"/>
                <w:sz w:val="12"/>
                <w:szCs w:val="12"/>
                <w:color w:val="auto"/>
              </w:rPr>
              <w:t>(394)</w:t>
            </w:r>
          </w:p>
        </w:tc>
        <w:tc>
          <w:tcPr>
            <w:tcW w:w="0" w:type="dxa"/>
            <w:vAlign w:val="bottom"/>
          </w:tcPr>
          <w:p>
            <w:pPr>
              <w:spacing w:after="0"/>
              <w:rPr>
                <w:sz w:val="1"/>
                <w:szCs w:val="1"/>
                <w:color w:val="auto"/>
              </w:rPr>
            </w:pPr>
          </w:p>
        </w:tc>
      </w:tr>
      <w:tr>
        <w:trPr>
          <w:trHeight w:val="73"/>
        </w:trPr>
        <w:tc>
          <w:tcPr>
            <w:tcW w:w="6260" w:type="dxa"/>
            <w:vAlign w:val="bottom"/>
            <w:tcBorders>
              <w:bottom w:val="single" w:sz="8" w:color="DBDBDB"/>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DBDBDB"/>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62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Net change in cash and cash equivalents</w:t>
            </w:r>
          </w:p>
        </w:tc>
        <w:tc>
          <w:tcPr>
            <w:tcW w:w="600" w:type="dxa"/>
            <w:vAlign w:val="bottom"/>
            <w:vMerge w:val="restart"/>
            <w:shd w:val="clear" w:color="auto" w:fill="DBDBDB"/>
          </w:tcPr>
          <w:p>
            <w:pPr>
              <w:jc w:val="right"/>
              <w:ind w:right="459"/>
              <w:spacing w:after="0"/>
              <w:rPr>
                <w:sz w:val="20"/>
                <w:szCs w:val="20"/>
                <w:color w:val="auto"/>
              </w:rPr>
            </w:pPr>
            <w:r>
              <w:rPr>
                <w:rFonts w:ascii="Arial" w:cs="Arial" w:eastAsia="Arial" w:hAnsi="Arial"/>
                <w:sz w:val="12"/>
                <w:szCs w:val="12"/>
                <w:color w:val="auto"/>
                <w:w w:val="89"/>
              </w:rPr>
              <w:t>$</w:t>
            </w:r>
          </w:p>
        </w:tc>
        <w:tc>
          <w:tcPr>
            <w:tcW w:w="188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(9,535)</w:t>
            </w:r>
          </w:p>
        </w:tc>
        <w:tc>
          <w:tcPr>
            <w:tcW w:w="80" w:type="dxa"/>
            <w:vAlign w:val="bottom"/>
            <w:shd w:val="clear" w:color="auto" w:fill="DBDBDB"/>
          </w:tcPr>
          <w:p>
            <w:pPr>
              <w:spacing w:after="0"/>
              <w:rPr>
                <w:sz w:val="12"/>
                <w:szCs w:val="12"/>
                <w:color w:val="auto"/>
              </w:rPr>
            </w:pPr>
          </w:p>
        </w:tc>
        <w:tc>
          <w:tcPr>
            <w:tcW w:w="780" w:type="dxa"/>
            <w:vAlign w:val="bottom"/>
            <w:vMerge w:val="restart"/>
            <w:shd w:val="clear" w:color="auto" w:fill="DBDBDB"/>
          </w:tcPr>
          <w:p>
            <w:pPr>
              <w:jc w:val="right"/>
              <w:ind w:right="639"/>
              <w:spacing w:after="0"/>
              <w:rPr>
                <w:sz w:val="20"/>
                <w:szCs w:val="20"/>
                <w:color w:val="auto"/>
              </w:rPr>
            </w:pPr>
            <w:r>
              <w:rPr>
                <w:rFonts w:ascii="Arial" w:cs="Arial" w:eastAsia="Arial" w:hAnsi="Arial"/>
                <w:sz w:val="12"/>
                <w:szCs w:val="12"/>
                <w:color w:val="auto"/>
                <w:w w:val="89"/>
              </w:rPr>
              <w:t>$</w:t>
            </w:r>
          </w:p>
        </w:tc>
        <w:tc>
          <w:tcPr>
            <w:tcW w:w="168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661,103</w:t>
            </w:r>
          </w:p>
        </w:tc>
        <w:tc>
          <w:tcPr>
            <w:tcW w:w="0" w:type="dxa"/>
            <w:vAlign w:val="bottom"/>
          </w:tcPr>
          <w:p>
            <w:pPr>
              <w:spacing w:after="0"/>
              <w:rPr>
                <w:sz w:val="1"/>
                <w:szCs w:val="1"/>
                <w:color w:val="auto"/>
              </w:rPr>
            </w:pPr>
          </w:p>
        </w:tc>
      </w:tr>
      <w:tr>
        <w:trPr>
          <w:trHeight w:val="73"/>
        </w:trPr>
        <w:tc>
          <w:tcPr>
            <w:tcW w:w="6260" w:type="dxa"/>
            <w:vAlign w:val="bottom"/>
            <w:tcBorders>
              <w:bottom w:val="single" w:sz="8" w:color="DBDBDB"/>
            </w:tcBorders>
            <w:shd w:val="clear" w:color="auto" w:fill="DBDBDB"/>
          </w:tcPr>
          <w:p>
            <w:pPr>
              <w:spacing w:after="0"/>
              <w:rPr>
                <w:sz w:val="6"/>
                <w:szCs w:val="6"/>
                <w:color w:val="auto"/>
              </w:rPr>
            </w:pPr>
          </w:p>
        </w:tc>
        <w:tc>
          <w:tcPr>
            <w:tcW w:w="600" w:type="dxa"/>
            <w:vAlign w:val="bottom"/>
            <w:tcBorders>
              <w:bottom w:val="single" w:sz="8" w:color="auto"/>
            </w:tcBorders>
            <w:vMerge w:val="continue"/>
            <w:shd w:val="clear" w:color="auto" w:fill="DBDBDB"/>
          </w:tcPr>
          <w:p>
            <w:pPr>
              <w:spacing w:after="0"/>
              <w:rPr>
                <w:sz w:val="6"/>
                <w:szCs w:val="6"/>
                <w:color w:val="auto"/>
              </w:rPr>
            </w:pPr>
          </w:p>
        </w:tc>
        <w:tc>
          <w:tcPr>
            <w:tcW w:w="1880" w:type="dxa"/>
            <w:vAlign w:val="bottom"/>
            <w:tcBorders>
              <w:bottom w:val="single" w:sz="8" w:color="auto"/>
            </w:tcBorders>
            <w:vMerge w:val="continue"/>
            <w:shd w:val="clear" w:color="auto" w:fill="DBDBDB"/>
          </w:tcPr>
          <w:p>
            <w:pPr>
              <w:spacing w:after="0"/>
              <w:rPr>
                <w:sz w:val="6"/>
                <w:szCs w:val="6"/>
                <w:color w:val="auto"/>
              </w:rPr>
            </w:pPr>
          </w:p>
        </w:tc>
        <w:tc>
          <w:tcPr>
            <w:tcW w:w="80" w:type="dxa"/>
            <w:vAlign w:val="bottom"/>
            <w:tcBorders>
              <w:bottom w:val="single" w:sz="8" w:color="DBDBDB"/>
            </w:tcBorders>
            <w:shd w:val="clear" w:color="auto" w:fill="DBDBDB"/>
          </w:tcPr>
          <w:p>
            <w:pPr>
              <w:spacing w:after="0"/>
              <w:rPr>
                <w:sz w:val="6"/>
                <w:szCs w:val="6"/>
                <w:color w:val="auto"/>
              </w:rPr>
            </w:pPr>
          </w:p>
        </w:tc>
        <w:tc>
          <w:tcPr>
            <w:tcW w:w="780" w:type="dxa"/>
            <w:vAlign w:val="bottom"/>
            <w:tcBorders>
              <w:bottom w:val="single" w:sz="8" w:color="auto"/>
            </w:tcBorders>
            <w:vMerge w:val="continue"/>
            <w:shd w:val="clear" w:color="auto" w:fill="DBDBDB"/>
          </w:tcPr>
          <w:p>
            <w:pPr>
              <w:spacing w:after="0"/>
              <w:rPr>
                <w:sz w:val="6"/>
                <w:szCs w:val="6"/>
                <w:color w:val="auto"/>
              </w:rPr>
            </w:pPr>
          </w:p>
        </w:tc>
        <w:tc>
          <w:tcPr>
            <w:tcW w:w="1680" w:type="dxa"/>
            <w:vAlign w:val="bottom"/>
            <w:tcBorders>
              <w:bottom w:val="single" w:sz="8" w:color="auto"/>
            </w:tcBorders>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Cash Flows from Operating Activities</w:t>
      </w:r>
    </w:p>
    <w:p>
      <w:pPr>
        <w:spacing w:after="0" w:line="98"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Cash provided by operating activities for the six months ended June 30, 2021 was $261.6 million as compared to $113.7 million for the six months ended June 30, 2020, an increase of $147.9 million. The increase was due to an increase of $140.8 million of net income, adjusted for non-cash items, in addition to an increase of $7.1 million in the net movements of the operating assets and liabilities. The increase related to the net movements of operating assets and liabilities was attributable to an increase in the change in accounts payable and other accrued expenses and prepaid and other assets in the six months ended June 30, 2021 compared to the same period in 2020, partially offset by an increase in the change in trade receivables in the six months ended June 30, 2021 compared to the same period in 2020.</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Cash Flows from Investing Activities</w:t>
      </w:r>
    </w:p>
    <w:p>
      <w:pPr>
        <w:spacing w:after="0" w:line="98" w:lineRule="exact"/>
        <w:rPr>
          <w:sz w:val="20"/>
          <w:szCs w:val="20"/>
          <w:color w:val="auto"/>
        </w:rPr>
      </w:pPr>
    </w:p>
    <w:p>
      <w:pPr>
        <w:jc w:val="both"/>
        <w:ind w:firstLine="484"/>
        <w:spacing w:after="0" w:line="251" w:lineRule="auto"/>
        <w:rPr>
          <w:sz w:val="20"/>
          <w:szCs w:val="20"/>
          <w:color w:val="auto"/>
        </w:rPr>
      </w:pPr>
      <w:r>
        <w:rPr>
          <w:rFonts w:ascii="Arial" w:cs="Arial" w:eastAsia="Arial" w:hAnsi="Arial"/>
          <w:sz w:val="12"/>
          <w:szCs w:val="12"/>
          <w:color w:val="auto"/>
        </w:rPr>
        <w:t>Cash used in investing activities for the six months ended June 30, 2021 was $88.4 million as compared to $66.9 million for the six months ended June 30, 2020, an increase of $21.5 million. The increase in cash used in investing activities was driven by a $38.1 million increase in cash used for purchase of rental equipment and refurbishments and a $14.3 million increase in cash used for the purchase of property, plant and equipment. This was partially offset by a $12.6 million increase in proceeds from sale of property, plant and equipment and an $18.3 million increase in proceeds from the sale of rental equipment.</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Cash Flows from Financing Activities</w:t>
      </w:r>
    </w:p>
    <w:p>
      <w:pPr>
        <w:spacing w:after="0" w:line="98"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Cash used in financing activities for the six months ended June 30, 2021 was $182.9 million as compared to $614.7 million of cash provided by financing activities for the six months ended June 30, 2020, an increase of $797.6 million in cash used. The increase is primarily due to $650.0 million received from borrowing in the second quarter of 2020 in anticipation of financing the acquisition of Mobile Mini and $214.3 million paid in 2021 to repurchase common stock and warrants.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Free Cash Flow</w:t>
      </w:r>
    </w:p>
    <w:p>
      <w:pPr>
        <w:spacing w:after="0" w:line="111"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Free Cash Flow is a non-GAAP measure. 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additional information concerning cash flow available to fund our capital allocation alternatives. The following table provides a reconciliation of net cash provided by operating activities to Free Cash Flow.</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80" w:type="dxa"/>
            <w:vAlign w:val="bottom"/>
            <w:shd w:val="clear" w:color="auto" w:fill="1D2758"/>
          </w:tcPr>
          <w:p>
            <w:pPr>
              <w:spacing w:after="0"/>
              <w:rPr>
                <w:sz w:val="12"/>
                <w:szCs w:val="12"/>
                <w:color w:val="auto"/>
              </w:rPr>
            </w:pPr>
          </w:p>
        </w:tc>
        <w:tc>
          <w:tcPr>
            <w:tcW w:w="2260" w:type="dxa"/>
            <w:vAlign w:val="bottom"/>
            <w:gridSpan w:val="4"/>
            <w:shd w:val="clear" w:color="auto" w:fill="1D2758"/>
          </w:tcPr>
          <w:p>
            <w:pPr>
              <w:jc w:val="right"/>
              <w:ind w:right="239"/>
              <w:spacing w:after="0"/>
              <w:rPr>
                <w:sz w:val="20"/>
                <w:szCs w:val="20"/>
                <w:color w:val="auto"/>
              </w:rPr>
            </w:pPr>
            <w:r>
              <w:rPr>
                <w:rFonts w:ascii="Arial" w:cs="Arial" w:eastAsia="Arial" w:hAnsi="Arial"/>
                <w:sz w:val="12"/>
                <w:szCs w:val="12"/>
                <w:b w:val="1"/>
                <w:bCs w:val="1"/>
                <w:color w:val="FFFFFF"/>
              </w:rPr>
              <w:t>Three Months Ended</w:t>
            </w:r>
          </w:p>
        </w:tc>
        <w:tc>
          <w:tcPr>
            <w:tcW w:w="500" w:type="dxa"/>
            <w:vAlign w:val="bottom"/>
            <w:shd w:val="clear" w:color="auto" w:fill="1D2758"/>
          </w:tcPr>
          <w:p>
            <w:pPr>
              <w:spacing w:after="0"/>
              <w:rPr>
                <w:sz w:val="12"/>
                <w:szCs w:val="12"/>
                <w:color w:val="auto"/>
              </w:rPr>
            </w:pPr>
          </w:p>
        </w:tc>
        <w:tc>
          <w:tcPr>
            <w:tcW w:w="80" w:type="dxa"/>
            <w:vAlign w:val="bottom"/>
            <w:shd w:val="clear" w:color="auto" w:fill="1D2758"/>
          </w:tcPr>
          <w:p>
            <w:pPr>
              <w:spacing w:after="0"/>
              <w:rPr>
                <w:sz w:val="12"/>
                <w:szCs w:val="12"/>
                <w:color w:val="auto"/>
              </w:rPr>
            </w:pPr>
          </w:p>
        </w:tc>
        <w:tc>
          <w:tcPr>
            <w:tcW w:w="320" w:type="dxa"/>
            <w:vAlign w:val="bottom"/>
            <w:shd w:val="clear" w:color="auto" w:fill="1D2758"/>
          </w:tcPr>
          <w:p>
            <w:pPr>
              <w:spacing w:after="0"/>
              <w:rPr>
                <w:sz w:val="12"/>
                <w:szCs w:val="12"/>
                <w:color w:val="auto"/>
              </w:rPr>
            </w:pPr>
          </w:p>
        </w:tc>
        <w:tc>
          <w:tcPr>
            <w:tcW w:w="1600" w:type="dxa"/>
            <w:vAlign w:val="bottom"/>
            <w:gridSpan w:val="3"/>
            <w:shd w:val="clear" w:color="auto" w:fill="1D2758"/>
          </w:tcPr>
          <w:p>
            <w:pPr>
              <w:jc w:val="right"/>
              <w:spacing w:after="0"/>
              <w:rPr>
                <w:sz w:val="20"/>
                <w:szCs w:val="20"/>
                <w:color w:val="auto"/>
              </w:rPr>
            </w:pPr>
            <w:r>
              <w:rPr>
                <w:rFonts w:ascii="Arial" w:cs="Arial" w:eastAsia="Arial" w:hAnsi="Arial"/>
                <w:sz w:val="12"/>
                <w:szCs w:val="12"/>
                <w:b w:val="1"/>
                <w:bCs w:val="1"/>
                <w:color w:val="FFFFFF"/>
              </w:rPr>
              <w:t>Six Months Ended</w:t>
            </w:r>
          </w:p>
        </w:tc>
        <w:tc>
          <w:tcPr>
            <w:tcW w:w="840" w:type="dxa"/>
            <w:vAlign w:val="bottom"/>
            <w:shd w:val="clear" w:color="auto" w:fill="1D2758"/>
          </w:tcPr>
          <w:p>
            <w:pPr>
              <w:spacing w:after="0"/>
              <w:rPr>
                <w:sz w:val="12"/>
                <w:szCs w:val="12"/>
                <w:color w:val="auto"/>
              </w:rPr>
            </w:pPr>
          </w:p>
        </w:tc>
      </w:tr>
      <w:tr>
        <w:trPr>
          <w:trHeight w:val="160"/>
        </w:trPr>
        <w:tc>
          <w:tcPr>
            <w:tcW w:w="5680" w:type="dxa"/>
            <w:vAlign w:val="bottom"/>
            <w:shd w:val="clear" w:color="auto" w:fill="1D2758"/>
          </w:tcPr>
          <w:p>
            <w:pPr>
              <w:spacing w:after="0"/>
              <w:rPr>
                <w:sz w:val="13"/>
                <w:szCs w:val="13"/>
                <w:color w:val="auto"/>
              </w:rPr>
            </w:pPr>
          </w:p>
        </w:tc>
        <w:tc>
          <w:tcPr>
            <w:tcW w:w="820" w:type="dxa"/>
            <w:vAlign w:val="bottom"/>
            <w:shd w:val="clear" w:color="auto" w:fill="1D2758"/>
          </w:tcPr>
          <w:p>
            <w:pPr>
              <w:spacing w:after="0"/>
              <w:rPr>
                <w:sz w:val="13"/>
                <w:szCs w:val="13"/>
                <w:color w:val="auto"/>
              </w:rPr>
            </w:pPr>
          </w:p>
        </w:tc>
        <w:tc>
          <w:tcPr>
            <w:tcW w:w="1440" w:type="dxa"/>
            <w:vAlign w:val="bottom"/>
            <w:gridSpan w:val="3"/>
            <w:shd w:val="clear" w:color="auto" w:fill="1D2758"/>
          </w:tcPr>
          <w:p>
            <w:pPr>
              <w:jc w:val="right"/>
              <w:ind w:right="579"/>
              <w:spacing w:after="0"/>
              <w:rPr>
                <w:sz w:val="20"/>
                <w:szCs w:val="20"/>
                <w:color w:val="auto"/>
              </w:rPr>
            </w:pPr>
            <w:r>
              <w:rPr>
                <w:rFonts w:ascii="Arial" w:cs="Arial" w:eastAsia="Arial" w:hAnsi="Arial"/>
                <w:sz w:val="12"/>
                <w:szCs w:val="12"/>
                <w:b w:val="1"/>
                <w:bCs w:val="1"/>
                <w:color w:val="FFFFFF"/>
              </w:rPr>
              <w:t>June 30,</w:t>
            </w:r>
          </w:p>
        </w:tc>
        <w:tc>
          <w:tcPr>
            <w:tcW w:w="50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320" w:type="dxa"/>
            <w:vAlign w:val="bottom"/>
            <w:shd w:val="clear" w:color="auto" w:fill="1D2758"/>
          </w:tcPr>
          <w:p>
            <w:pPr>
              <w:spacing w:after="0"/>
              <w:rPr>
                <w:sz w:val="13"/>
                <w:szCs w:val="13"/>
                <w:color w:val="auto"/>
              </w:rPr>
            </w:pPr>
          </w:p>
        </w:tc>
        <w:tc>
          <w:tcPr>
            <w:tcW w:w="1600" w:type="dxa"/>
            <w:vAlign w:val="bottom"/>
            <w:gridSpan w:val="3"/>
            <w:shd w:val="clear" w:color="auto" w:fill="1D2758"/>
          </w:tcPr>
          <w:p>
            <w:pPr>
              <w:jc w:val="right"/>
              <w:ind w:right="239"/>
              <w:spacing w:after="0"/>
              <w:rPr>
                <w:sz w:val="20"/>
                <w:szCs w:val="20"/>
                <w:color w:val="auto"/>
              </w:rPr>
            </w:pPr>
            <w:r>
              <w:rPr>
                <w:rFonts w:ascii="Arial" w:cs="Arial" w:eastAsia="Arial" w:hAnsi="Arial"/>
                <w:sz w:val="12"/>
                <w:szCs w:val="12"/>
                <w:b w:val="1"/>
                <w:bCs w:val="1"/>
                <w:color w:val="FFFFFF"/>
              </w:rPr>
              <w:t>June 30,</w:t>
            </w:r>
          </w:p>
        </w:tc>
        <w:tc>
          <w:tcPr>
            <w:tcW w:w="840" w:type="dxa"/>
            <w:vAlign w:val="bottom"/>
            <w:shd w:val="clear" w:color="auto" w:fill="1D2758"/>
          </w:tcPr>
          <w:p>
            <w:pPr>
              <w:spacing w:after="0"/>
              <w:rPr>
                <w:sz w:val="13"/>
                <w:szCs w:val="13"/>
                <w:color w:val="auto"/>
              </w:rPr>
            </w:pPr>
          </w:p>
        </w:tc>
      </w:tr>
      <w:tr>
        <w:trPr>
          <w:trHeight w:val="163"/>
        </w:trPr>
        <w:tc>
          <w:tcPr>
            <w:tcW w:w="568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82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2021</w:t>
            </w:r>
          </w:p>
        </w:tc>
        <w:tc>
          <w:tcPr>
            <w:tcW w:w="52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840" w:type="dxa"/>
            <w:vAlign w:val="bottom"/>
            <w:shd w:val="clear" w:color="auto" w:fill="1D2758"/>
          </w:tcPr>
          <w:p>
            <w:pPr>
              <w:jc w:val="right"/>
              <w:spacing w:after="0"/>
              <w:rPr>
                <w:sz w:val="20"/>
                <w:szCs w:val="20"/>
                <w:color w:val="auto"/>
              </w:rPr>
            </w:pPr>
            <w:r>
              <w:rPr>
                <w:rFonts w:ascii="Arial" w:cs="Arial" w:eastAsia="Arial" w:hAnsi="Arial"/>
                <w:sz w:val="12"/>
                <w:szCs w:val="12"/>
                <w:b w:val="1"/>
                <w:bCs w:val="1"/>
                <w:color w:val="FFFFFF"/>
              </w:rPr>
              <w:t>2020</w:t>
            </w:r>
          </w:p>
        </w:tc>
        <w:tc>
          <w:tcPr>
            <w:tcW w:w="5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320" w:type="dxa"/>
            <w:vAlign w:val="bottom"/>
            <w:shd w:val="clear" w:color="auto" w:fill="1D2758"/>
          </w:tcPr>
          <w:p>
            <w:pPr>
              <w:spacing w:after="0"/>
              <w:rPr>
                <w:sz w:val="14"/>
                <w:szCs w:val="14"/>
                <w:color w:val="auto"/>
              </w:rPr>
            </w:pPr>
          </w:p>
        </w:tc>
        <w:tc>
          <w:tcPr>
            <w:tcW w:w="1020" w:type="dxa"/>
            <w:vAlign w:val="bottom"/>
            <w:shd w:val="clear" w:color="auto" w:fill="1D2758"/>
          </w:tcPr>
          <w:p>
            <w:pPr>
              <w:jc w:val="right"/>
              <w:ind w:right="479"/>
              <w:spacing w:after="0"/>
              <w:rPr>
                <w:sz w:val="20"/>
                <w:szCs w:val="20"/>
                <w:color w:val="auto"/>
              </w:rPr>
            </w:pPr>
            <w:r>
              <w:rPr>
                <w:rFonts w:ascii="Arial" w:cs="Arial" w:eastAsia="Arial" w:hAnsi="Arial"/>
                <w:sz w:val="12"/>
                <w:szCs w:val="12"/>
                <w:b w:val="1"/>
                <w:bCs w:val="1"/>
                <w:color w:val="FFFFFF"/>
              </w:rPr>
              <w:t>2021</w:t>
            </w:r>
          </w:p>
        </w:tc>
        <w:tc>
          <w:tcPr>
            <w:tcW w:w="80" w:type="dxa"/>
            <w:vAlign w:val="bottom"/>
            <w:shd w:val="clear" w:color="auto" w:fill="1D2758"/>
          </w:tcPr>
          <w:p>
            <w:pPr>
              <w:spacing w:after="0"/>
              <w:rPr>
                <w:sz w:val="14"/>
                <w:szCs w:val="14"/>
                <w:color w:val="auto"/>
              </w:rPr>
            </w:pPr>
          </w:p>
        </w:tc>
        <w:tc>
          <w:tcPr>
            <w:tcW w:w="500" w:type="dxa"/>
            <w:vAlign w:val="bottom"/>
            <w:shd w:val="clear" w:color="auto" w:fill="1D2758"/>
          </w:tcPr>
          <w:p>
            <w:pPr>
              <w:spacing w:after="0"/>
              <w:rPr>
                <w:sz w:val="14"/>
                <w:szCs w:val="14"/>
                <w:color w:val="auto"/>
              </w:rPr>
            </w:pPr>
          </w:p>
        </w:tc>
        <w:tc>
          <w:tcPr>
            <w:tcW w:w="840" w:type="dxa"/>
            <w:vAlign w:val="bottom"/>
            <w:shd w:val="clear" w:color="auto" w:fill="1D2758"/>
          </w:tcPr>
          <w:p>
            <w:pPr>
              <w:jc w:val="right"/>
              <w:ind w:right="459"/>
              <w:spacing w:after="0"/>
              <w:rPr>
                <w:sz w:val="20"/>
                <w:szCs w:val="20"/>
                <w:color w:val="auto"/>
              </w:rPr>
            </w:pPr>
            <w:r>
              <w:rPr>
                <w:rFonts w:ascii="Arial" w:cs="Arial" w:eastAsia="Arial" w:hAnsi="Arial"/>
                <w:sz w:val="12"/>
                <w:szCs w:val="12"/>
                <w:b w:val="1"/>
                <w:bCs w:val="1"/>
                <w:color w:val="FFFFFF"/>
              </w:rPr>
              <w:t>2020</w:t>
            </w:r>
          </w:p>
        </w:tc>
      </w:tr>
      <w:tr>
        <w:trPr>
          <w:trHeight w:val="161"/>
        </w:trPr>
        <w:tc>
          <w:tcPr>
            <w:tcW w:w="5680" w:type="dxa"/>
            <w:vAlign w:val="bottom"/>
            <w:shd w:val="clear" w:color="auto" w:fill="DBDBDB"/>
          </w:tcPr>
          <w:p>
            <w:pPr>
              <w:ind w:left="20"/>
              <w:spacing w:after="0"/>
              <w:rPr>
                <w:sz w:val="20"/>
                <w:szCs w:val="20"/>
                <w:color w:val="auto"/>
              </w:rPr>
            </w:pPr>
            <w:r>
              <w:rPr>
                <w:rFonts w:ascii="Arial" w:cs="Arial" w:eastAsia="Arial" w:hAnsi="Arial"/>
                <w:sz w:val="12"/>
                <w:szCs w:val="12"/>
                <w:color w:val="auto"/>
              </w:rPr>
              <w:t>Net cash provided by operating activities</w:t>
            </w:r>
          </w:p>
        </w:tc>
        <w:tc>
          <w:tcPr>
            <w:tcW w:w="820" w:type="dxa"/>
            <w:vAlign w:val="bottom"/>
            <w:shd w:val="clear" w:color="auto" w:fill="DBDBDB"/>
          </w:tcPr>
          <w:p>
            <w:pPr>
              <w:jc w:val="right"/>
              <w:ind w:right="679"/>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139,537</w:t>
            </w:r>
          </w:p>
        </w:tc>
        <w:tc>
          <w:tcPr>
            <w:tcW w:w="80" w:type="dxa"/>
            <w:vAlign w:val="bottom"/>
            <w:shd w:val="clear" w:color="auto" w:fill="DBDBDB"/>
          </w:tcPr>
          <w:p>
            <w:pPr>
              <w:spacing w:after="0"/>
              <w:rPr>
                <w:sz w:val="14"/>
                <w:szCs w:val="14"/>
                <w:color w:val="auto"/>
              </w:rPr>
            </w:pPr>
          </w:p>
        </w:tc>
        <w:tc>
          <w:tcPr>
            <w:tcW w:w="840" w:type="dxa"/>
            <w:vAlign w:val="bottom"/>
            <w:shd w:val="clear" w:color="auto" w:fill="DBDBDB"/>
          </w:tcPr>
          <w:p>
            <w:pPr>
              <w:jc w:val="right"/>
              <w:ind w:right="699"/>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75,379</w:t>
            </w:r>
          </w:p>
        </w:tc>
        <w:tc>
          <w:tcPr>
            <w:tcW w:w="80" w:type="dxa"/>
            <w:vAlign w:val="bottom"/>
            <w:shd w:val="clear" w:color="auto" w:fill="DBDBDB"/>
          </w:tcPr>
          <w:p>
            <w:pPr>
              <w:spacing w:after="0"/>
              <w:rPr>
                <w:sz w:val="14"/>
                <w:szCs w:val="14"/>
                <w:color w:val="auto"/>
              </w:rPr>
            </w:pPr>
          </w:p>
        </w:tc>
        <w:tc>
          <w:tcPr>
            <w:tcW w:w="320" w:type="dxa"/>
            <w:vAlign w:val="bottom"/>
            <w:shd w:val="clear" w:color="auto" w:fill="DBDBDB"/>
          </w:tcPr>
          <w:p>
            <w:pPr>
              <w:jc w:val="right"/>
              <w:ind w:right="179"/>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261,608</w:t>
            </w:r>
          </w:p>
        </w:tc>
        <w:tc>
          <w:tcPr>
            <w:tcW w:w="80" w:type="dxa"/>
            <w:vAlign w:val="bottom"/>
            <w:shd w:val="clear" w:color="auto" w:fill="DBDBDB"/>
          </w:tcPr>
          <w:p>
            <w:pPr>
              <w:spacing w:after="0"/>
              <w:rPr>
                <w:sz w:val="14"/>
                <w:szCs w:val="14"/>
                <w:color w:val="auto"/>
              </w:rPr>
            </w:pPr>
          </w:p>
        </w:tc>
        <w:tc>
          <w:tcPr>
            <w:tcW w:w="500" w:type="dxa"/>
            <w:vAlign w:val="bottom"/>
            <w:shd w:val="clear" w:color="auto" w:fill="DBDBDB"/>
          </w:tcPr>
          <w:p>
            <w:pPr>
              <w:jc w:val="right"/>
              <w:ind w:right="359"/>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113,727</w:t>
            </w:r>
          </w:p>
        </w:tc>
      </w:tr>
      <w:tr>
        <w:trPr>
          <w:trHeight w:val="159"/>
        </w:trPr>
        <w:tc>
          <w:tcPr>
            <w:tcW w:w="5680" w:type="dxa"/>
            <w:vAlign w:val="bottom"/>
          </w:tcPr>
          <w:p>
            <w:pPr>
              <w:ind w:left="20"/>
              <w:spacing w:after="0"/>
              <w:rPr>
                <w:sz w:val="20"/>
                <w:szCs w:val="20"/>
                <w:color w:val="auto"/>
              </w:rPr>
            </w:pPr>
            <w:r>
              <w:rPr>
                <w:rFonts w:ascii="Arial" w:cs="Arial" w:eastAsia="Arial" w:hAnsi="Arial"/>
                <w:sz w:val="12"/>
                <w:szCs w:val="12"/>
                <w:color w:val="auto"/>
              </w:rPr>
              <w:t>Purchase of rental equipment and refurbishments</w:t>
            </w:r>
          </w:p>
        </w:tc>
        <w:tc>
          <w:tcPr>
            <w:tcW w:w="8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(65,282)</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(40,034)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(117,817)</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(79,682)</w:t>
            </w:r>
          </w:p>
        </w:tc>
      </w:tr>
      <w:tr>
        <w:trPr>
          <w:trHeight w:val="164"/>
        </w:trPr>
        <w:tc>
          <w:tcPr>
            <w:tcW w:w="5680" w:type="dxa"/>
            <w:vAlign w:val="bottom"/>
            <w:shd w:val="clear" w:color="auto" w:fill="DBDBDB"/>
          </w:tcPr>
          <w:p>
            <w:pPr>
              <w:ind w:left="20"/>
              <w:spacing w:after="0"/>
              <w:rPr>
                <w:sz w:val="20"/>
                <w:szCs w:val="20"/>
                <w:color w:val="auto"/>
              </w:rPr>
            </w:pPr>
            <w:r>
              <w:rPr>
                <w:rFonts w:ascii="Arial" w:cs="Arial" w:eastAsia="Arial" w:hAnsi="Arial"/>
                <w:sz w:val="12"/>
                <w:szCs w:val="12"/>
                <w:color w:val="auto"/>
              </w:rPr>
              <w:t>Proceeds from sale of rental equipment</w:t>
            </w:r>
          </w:p>
        </w:tc>
        <w:tc>
          <w:tcPr>
            <w:tcW w:w="820" w:type="dxa"/>
            <w:vAlign w:val="bottom"/>
            <w:shd w:val="clear" w:color="auto" w:fill="DBDBDB"/>
          </w:tcPr>
          <w:p>
            <w:pPr>
              <w:spacing w:after="0"/>
              <w:rPr>
                <w:sz w:val="14"/>
                <w:szCs w:val="14"/>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15,235</w:t>
            </w:r>
          </w:p>
        </w:tc>
        <w:tc>
          <w:tcPr>
            <w:tcW w:w="8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5,316</w:t>
            </w:r>
          </w:p>
        </w:tc>
        <w:tc>
          <w:tcPr>
            <w:tcW w:w="8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30,437</w:t>
            </w:r>
          </w:p>
        </w:tc>
        <w:tc>
          <w:tcPr>
            <w:tcW w:w="8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12,102</w:t>
            </w:r>
          </w:p>
        </w:tc>
      </w:tr>
      <w:tr>
        <w:trPr>
          <w:trHeight w:val="159"/>
        </w:trPr>
        <w:tc>
          <w:tcPr>
            <w:tcW w:w="5680" w:type="dxa"/>
            <w:vAlign w:val="bottom"/>
          </w:tcPr>
          <w:p>
            <w:pPr>
              <w:ind w:left="20"/>
              <w:spacing w:after="0"/>
              <w:rPr>
                <w:sz w:val="20"/>
                <w:szCs w:val="20"/>
                <w:color w:val="auto"/>
              </w:rPr>
            </w:pPr>
            <w:r>
              <w:rPr>
                <w:rFonts w:ascii="Arial" w:cs="Arial" w:eastAsia="Arial" w:hAnsi="Arial"/>
                <w:sz w:val="12"/>
                <w:szCs w:val="12"/>
                <w:color w:val="auto"/>
              </w:rPr>
              <w:t>Purchase of property, plant and equipment</w:t>
            </w:r>
          </w:p>
        </w:tc>
        <w:tc>
          <w:tcPr>
            <w:tcW w:w="8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(10,143)</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(1,668)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(17,450)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(3,186)</w:t>
            </w:r>
          </w:p>
        </w:tc>
      </w:tr>
      <w:tr>
        <w:trPr>
          <w:trHeight w:val="161"/>
        </w:trPr>
        <w:tc>
          <w:tcPr>
            <w:tcW w:w="5680" w:type="dxa"/>
            <w:vAlign w:val="bottom"/>
            <w:shd w:val="clear" w:color="auto" w:fill="DBDBDB"/>
          </w:tcPr>
          <w:p>
            <w:pPr>
              <w:ind w:left="20"/>
              <w:spacing w:after="0"/>
              <w:rPr>
                <w:sz w:val="20"/>
                <w:szCs w:val="20"/>
                <w:color w:val="auto"/>
              </w:rPr>
            </w:pPr>
            <w:r>
              <w:rPr>
                <w:rFonts w:ascii="Arial" w:cs="Arial" w:eastAsia="Arial" w:hAnsi="Arial"/>
                <w:sz w:val="12"/>
                <w:szCs w:val="12"/>
                <w:color w:val="auto"/>
              </w:rPr>
              <w:t>Proceeds from the sale of property, plant and equipment</w:t>
            </w:r>
          </w:p>
        </w:tc>
        <w:tc>
          <w:tcPr>
            <w:tcW w:w="820" w:type="dxa"/>
            <w:vAlign w:val="bottom"/>
            <w:tcBorders>
              <w:bottom w:val="single" w:sz="8" w:color="auto"/>
            </w:tcBorders>
            <w:shd w:val="clear" w:color="auto" w:fill="DBDBDB"/>
          </w:tcPr>
          <w:p>
            <w:pPr>
              <w:spacing w:after="0"/>
              <w:rPr>
                <w:sz w:val="14"/>
                <w:szCs w:val="14"/>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2,709</w:t>
            </w:r>
          </w:p>
        </w:tc>
        <w:tc>
          <w:tcPr>
            <w:tcW w:w="80" w:type="dxa"/>
            <w:vAlign w:val="bottom"/>
            <w:shd w:val="clear" w:color="auto" w:fill="DBDBDB"/>
          </w:tcPr>
          <w:p>
            <w:pPr>
              <w:spacing w:after="0"/>
              <w:rPr>
                <w:sz w:val="14"/>
                <w:szCs w:val="14"/>
                <w:color w:val="auto"/>
              </w:rPr>
            </w:pPr>
          </w:p>
        </w:tc>
        <w:tc>
          <w:tcPr>
            <w:tcW w:w="840" w:type="dxa"/>
            <w:vAlign w:val="bottom"/>
            <w:tcBorders>
              <w:bottom w:val="single" w:sz="8" w:color="auto"/>
            </w:tcBorders>
            <w:shd w:val="clear" w:color="auto" w:fill="DBDBDB"/>
          </w:tcPr>
          <w:p>
            <w:pPr>
              <w:spacing w:after="0"/>
              <w:rPr>
                <w:sz w:val="14"/>
                <w:szCs w:val="14"/>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DBDBDB"/>
          </w:tcPr>
          <w:p>
            <w:pPr>
              <w:spacing w:after="0"/>
              <w:rPr>
                <w:sz w:val="14"/>
                <w:szCs w:val="14"/>
                <w:color w:val="auto"/>
              </w:rPr>
            </w:pPr>
          </w:p>
        </w:tc>
        <w:tc>
          <w:tcPr>
            <w:tcW w:w="320" w:type="dxa"/>
            <w:vAlign w:val="bottom"/>
            <w:tcBorders>
              <w:bottom w:val="single" w:sz="8" w:color="auto"/>
            </w:tcBorders>
            <w:shd w:val="clear" w:color="auto" w:fill="DBDBDB"/>
          </w:tcPr>
          <w:p>
            <w:pPr>
              <w:spacing w:after="0"/>
              <w:rPr>
                <w:sz w:val="14"/>
                <w:szCs w:val="14"/>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16,438</w:t>
            </w:r>
          </w:p>
        </w:tc>
        <w:tc>
          <w:tcPr>
            <w:tcW w:w="80" w:type="dxa"/>
            <w:vAlign w:val="bottom"/>
            <w:shd w:val="clear" w:color="auto" w:fill="DBDBDB"/>
          </w:tcPr>
          <w:p>
            <w:pPr>
              <w:spacing w:after="0"/>
              <w:rPr>
                <w:sz w:val="14"/>
                <w:szCs w:val="14"/>
                <w:color w:val="auto"/>
              </w:rPr>
            </w:pPr>
          </w:p>
        </w:tc>
        <w:tc>
          <w:tcPr>
            <w:tcW w:w="500" w:type="dxa"/>
            <w:vAlign w:val="bottom"/>
            <w:tcBorders>
              <w:bottom w:val="single" w:sz="8" w:color="auto"/>
            </w:tcBorders>
            <w:shd w:val="clear" w:color="auto" w:fill="DBDBDB"/>
          </w:tcPr>
          <w:p>
            <w:pPr>
              <w:spacing w:after="0"/>
              <w:rPr>
                <w:sz w:val="14"/>
                <w:szCs w:val="14"/>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3,843</w:t>
            </w:r>
          </w:p>
        </w:tc>
      </w:tr>
      <w:tr>
        <w:trPr>
          <w:trHeight w:val="154"/>
        </w:trPr>
        <w:tc>
          <w:tcPr>
            <w:tcW w:w="5680" w:type="dxa"/>
            <w:vAlign w:val="bottom"/>
          </w:tcPr>
          <w:p>
            <w:pPr>
              <w:ind w:left="180"/>
              <w:spacing w:after="0"/>
              <w:rPr>
                <w:sz w:val="20"/>
                <w:szCs w:val="20"/>
                <w:color w:val="auto"/>
              </w:rPr>
            </w:pPr>
            <w:r>
              <w:rPr>
                <w:rFonts w:ascii="Arial" w:cs="Arial" w:eastAsia="Arial" w:hAnsi="Arial"/>
                <w:sz w:val="12"/>
                <w:szCs w:val="12"/>
                <w:color w:val="auto"/>
              </w:rPr>
              <w:t>Free Cash Flow</w:t>
            </w:r>
          </w:p>
        </w:tc>
        <w:tc>
          <w:tcPr>
            <w:tcW w:w="820" w:type="dxa"/>
            <w:vAlign w:val="bottom"/>
            <w:tcBorders>
              <w:bottom w:val="single" w:sz="8" w:color="auto"/>
            </w:tcBorders>
          </w:tcPr>
          <w:p>
            <w:pPr>
              <w:jc w:val="right"/>
              <w:ind w:right="679"/>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82,056</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right"/>
              <w:ind w:right="699"/>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38,996</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173,216</w:t>
            </w:r>
          </w:p>
        </w:tc>
        <w:tc>
          <w:tcPr>
            <w:tcW w:w="80" w:type="dxa"/>
            <w:vAlign w:val="bottom"/>
          </w:tcPr>
          <w:p>
            <w:pPr>
              <w:spacing w:after="0"/>
              <w:rPr>
                <w:sz w:val="13"/>
                <w:szCs w:val="13"/>
                <w:color w:val="auto"/>
              </w:rPr>
            </w:pPr>
          </w:p>
        </w:tc>
        <w:tc>
          <w:tcPr>
            <w:tcW w:w="50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46,804</w:t>
            </w:r>
          </w:p>
        </w:tc>
      </w:tr>
      <w:tr>
        <w:trPr>
          <w:trHeight w:val="20"/>
        </w:trPr>
        <w:tc>
          <w:tcPr>
            <w:tcW w:w="5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929"/>
        </w:trPr>
        <w:tc>
          <w:tcPr>
            <w:tcW w:w="56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57" w:name="page58"/>
    <w:bookmarkEnd w:id="57"/>
    <w:p>
      <w:pPr>
        <w:jc w:val="both"/>
        <w:ind w:firstLine="484"/>
        <w:spacing w:after="0" w:line="249" w:lineRule="auto"/>
        <w:rPr>
          <w:sz w:val="20"/>
          <w:szCs w:val="20"/>
          <w:color w:val="auto"/>
        </w:rPr>
      </w:pPr>
      <w:r>
        <w:rPr>
          <w:rFonts w:ascii="Arial" w:cs="Arial" w:eastAsia="Arial" w:hAnsi="Arial"/>
          <w:sz w:val="12"/>
          <w:szCs w:val="12"/>
          <w:color w:val="auto"/>
        </w:rPr>
        <w:t>Free Cash Flow for the six months ended June 30, 2021 was an inflow of $173.2 million as compared to an inflow of $46.8 million for the six months ended June 30, 2020, an increase in Free Cash Flow of $126.4 million. Free Cash Flow increased year over year principally as a result of the $147.9 million increase in cash provided by operating activities and partially offset by the $38.1 million increase in cash used in the purchase of rental equipment and refurbishments. The $139.5 million in cash provided by operating activities for the three months ended June 30, 2021 was returned to shareholders through stock and warrant repurchases and cancellations and reinvested into the business to support the purchase of rental equipment, including VAPS, and refurbishments.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1D2758"/>
        </w:rPr>
        <w:t>Contractual Obligations</w:t>
      </w:r>
    </w:p>
    <w:p>
      <w:pPr>
        <w:spacing w:after="0" w:line="8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presents information relating to our contractual obligations and commercial commitments as of June 30,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300" w:type="dxa"/>
            <w:vAlign w:val="bottom"/>
            <w:shd w:val="clear" w:color="auto" w:fill="1D2758"/>
          </w:tcPr>
          <w:p>
            <w:pPr>
              <w:spacing w:after="0"/>
              <w:rPr>
                <w:sz w:val="14"/>
                <w:szCs w:val="14"/>
                <w:color w:val="auto"/>
              </w:rPr>
            </w:pPr>
          </w:p>
        </w:tc>
        <w:tc>
          <w:tcPr>
            <w:tcW w:w="1120" w:type="dxa"/>
            <w:vAlign w:val="bottom"/>
            <w:gridSpan w:val="2"/>
            <w:shd w:val="clear" w:color="auto" w:fill="1D2758"/>
          </w:tcPr>
          <w:p>
            <w:pPr>
              <w:ind w:left="240"/>
              <w:spacing w:after="0"/>
              <w:rPr>
                <w:sz w:val="20"/>
                <w:szCs w:val="20"/>
                <w:color w:val="auto"/>
              </w:rPr>
            </w:pPr>
            <w:r>
              <w:rPr>
                <w:rFonts w:ascii="Arial" w:cs="Arial" w:eastAsia="Arial" w:hAnsi="Arial"/>
                <w:sz w:val="12"/>
                <w:szCs w:val="12"/>
                <w:b w:val="1"/>
                <w:bCs w:val="1"/>
                <w:color w:val="FFFFFF"/>
              </w:rPr>
              <w:t>Total</w:t>
            </w:r>
          </w:p>
        </w:tc>
        <w:tc>
          <w:tcPr>
            <w:tcW w:w="140" w:type="dxa"/>
            <w:vAlign w:val="bottom"/>
            <w:shd w:val="clear" w:color="auto" w:fill="1D2758"/>
          </w:tcPr>
          <w:p>
            <w:pPr>
              <w:spacing w:after="0"/>
              <w:rPr>
                <w:sz w:val="14"/>
                <w:szCs w:val="14"/>
                <w:color w:val="auto"/>
              </w:rPr>
            </w:pPr>
          </w:p>
        </w:tc>
        <w:tc>
          <w:tcPr>
            <w:tcW w:w="1280" w:type="dxa"/>
            <w:vAlign w:val="bottom"/>
            <w:gridSpan w:val="2"/>
            <w:shd w:val="clear" w:color="auto" w:fill="1D2758"/>
          </w:tcPr>
          <w:p>
            <w:pPr>
              <w:ind w:left="60"/>
              <w:spacing w:after="0"/>
              <w:rPr>
                <w:sz w:val="20"/>
                <w:szCs w:val="20"/>
                <w:color w:val="auto"/>
              </w:rPr>
            </w:pPr>
            <w:r>
              <w:rPr>
                <w:rFonts w:ascii="Arial" w:cs="Arial" w:eastAsia="Arial" w:hAnsi="Arial"/>
                <w:sz w:val="12"/>
                <w:szCs w:val="12"/>
                <w:b w:val="1"/>
                <w:bCs w:val="1"/>
                <w:color w:val="FFFFFF"/>
              </w:rPr>
              <w:t>Less than 1 year</w:t>
            </w:r>
          </w:p>
        </w:tc>
        <w:tc>
          <w:tcPr>
            <w:tcW w:w="1400" w:type="dxa"/>
            <w:vAlign w:val="bottom"/>
            <w:gridSpan w:val="3"/>
            <w:shd w:val="clear" w:color="auto" w:fill="1D2758"/>
          </w:tcPr>
          <w:p>
            <w:pPr>
              <w:ind w:left="60"/>
              <w:spacing w:after="0"/>
              <w:rPr>
                <w:sz w:val="20"/>
                <w:szCs w:val="20"/>
                <w:color w:val="auto"/>
              </w:rPr>
            </w:pPr>
            <w:r>
              <w:rPr>
                <w:rFonts w:ascii="Arial" w:cs="Arial" w:eastAsia="Arial" w:hAnsi="Arial"/>
                <w:sz w:val="12"/>
                <w:szCs w:val="12"/>
                <w:b w:val="1"/>
                <w:bCs w:val="1"/>
                <w:color w:val="FFFFFF"/>
              </w:rPr>
              <w:t>Between 1 to 3 years</w:t>
            </w:r>
          </w:p>
        </w:tc>
        <w:tc>
          <w:tcPr>
            <w:tcW w:w="1340" w:type="dxa"/>
            <w:vAlign w:val="bottom"/>
            <w:gridSpan w:val="2"/>
            <w:shd w:val="clear" w:color="auto" w:fill="1D2758"/>
          </w:tcPr>
          <w:p>
            <w:pPr>
              <w:jc w:val="right"/>
              <w:ind w:right="19"/>
              <w:spacing w:after="0"/>
              <w:rPr>
                <w:sz w:val="20"/>
                <w:szCs w:val="20"/>
                <w:color w:val="auto"/>
              </w:rPr>
            </w:pPr>
            <w:r>
              <w:rPr>
                <w:rFonts w:ascii="Arial" w:cs="Arial" w:eastAsia="Arial" w:hAnsi="Arial"/>
                <w:sz w:val="12"/>
                <w:szCs w:val="12"/>
                <w:b w:val="1"/>
                <w:bCs w:val="1"/>
                <w:color w:val="FFFFFF"/>
              </w:rPr>
              <w:t>Between 3 to 5 years</w:t>
            </w:r>
          </w:p>
        </w:tc>
        <w:tc>
          <w:tcPr>
            <w:tcW w:w="18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1200" w:type="dxa"/>
            <w:vAlign w:val="bottom"/>
            <w:shd w:val="clear" w:color="auto" w:fill="1D2758"/>
          </w:tcPr>
          <w:p>
            <w:pPr>
              <w:jc w:val="right"/>
              <w:ind w:right="79"/>
              <w:spacing w:after="0"/>
              <w:rPr>
                <w:sz w:val="20"/>
                <w:szCs w:val="20"/>
                <w:color w:val="auto"/>
              </w:rPr>
            </w:pPr>
            <w:r>
              <w:rPr>
                <w:rFonts w:ascii="Arial" w:cs="Arial" w:eastAsia="Arial" w:hAnsi="Arial"/>
                <w:sz w:val="12"/>
                <w:szCs w:val="12"/>
                <w:b w:val="1"/>
                <w:bCs w:val="1"/>
                <w:color w:val="FFFFFF"/>
              </w:rPr>
              <w:t>More than 5 years</w:t>
            </w:r>
          </w:p>
        </w:tc>
      </w:tr>
      <w:tr>
        <w:trPr>
          <w:trHeight w:val="161"/>
        </w:trPr>
        <w:tc>
          <w:tcPr>
            <w:tcW w:w="4200" w:type="dxa"/>
            <w:vAlign w:val="bottom"/>
            <w:shd w:val="clear" w:color="auto" w:fill="DBDBDB"/>
          </w:tcPr>
          <w:p>
            <w:pPr>
              <w:ind w:left="20"/>
              <w:spacing w:after="0"/>
              <w:rPr>
                <w:sz w:val="20"/>
                <w:szCs w:val="20"/>
                <w:color w:val="auto"/>
              </w:rPr>
            </w:pPr>
            <w:r>
              <w:rPr>
                <w:rFonts w:ascii="Arial" w:cs="Arial" w:eastAsia="Arial" w:hAnsi="Arial"/>
                <w:sz w:val="12"/>
                <w:szCs w:val="12"/>
                <w:color w:val="auto"/>
              </w:rPr>
              <w:t>Long-term indebtedness, including current portion and interest (a)(b)</w:t>
            </w:r>
          </w:p>
        </w:tc>
        <w:tc>
          <w:tcPr>
            <w:tcW w:w="300" w:type="dxa"/>
            <w:vAlign w:val="bottom"/>
            <w:shd w:val="clear" w:color="auto" w:fill="DBDBDB"/>
          </w:tcPr>
          <w:p>
            <w:pPr>
              <w:jc w:val="right"/>
              <w:ind w:right="159"/>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2,990,570</w:t>
            </w: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103,722</w:t>
            </w:r>
          </w:p>
        </w:tc>
        <w:tc>
          <w:tcPr>
            <w:tcW w:w="80" w:type="dxa"/>
            <w:vAlign w:val="bottom"/>
            <w:shd w:val="clear" w:color="auto" w:fill="DBDBDB"/>
          </w:tcPr>
          <w:p>
            <w:pPr>
              <w:spacing w:after="0"/>
              <w:rPr>
                <w:sz w:val="14"/>
                <w:szCs w:val="14"/>
                <w:color w:val="auto"/>
              </w:rPr>
            </w:pPr>
          </w:p>
        </w:tc>
        <w:tc>
          <w:tcPr>
            <w:tcW w:w="460" w:type="dxa"/>
            <w:vAlign w:val="bottom"/>
            <w:shd w:val="clear" w:color="auto" w:fill="DBDBDB"/>
          </w:tcPr>
          <w:p>
            <w:pPr>
              <w:jc w:val="right"/>
              <w:ind w:right="31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199,168</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jc w:val="right"/>
              <w:ind w:right="279"/>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2,124,818</w:t>
            </w:r>
          </w:p>
        </w:tc>
        <w:tc>
          <w:tcPr>
            <w:tcW w:w="300" w:type="dxa"/>
            <w:vAlign w:val="bottom"/>
            <w:gridSpan w:val="2"/>
            <w:shd w:val="clear" w:color="auto" w:fill="DBDBDB"/>
          </w:tcPr>
          <w:p>
            <w:pPr>
              <w:jc w:val="right"/>
              <w:ind w:right="40"/>
              <w:spacing w:after="0"/>
              <w:rPr>
                <w:sz w:val="20"/>
                <w:szCs w:val="20"/>
                <w:color w:val="auto"/>
              </w:rPr>
            </w:pPr>
            <w:r>
              <w:rPr>
                <w:rFonts w:ascii="Arial" w:cs="Arial" w:eastAsia="Arial" w:hAnsi="Arial"/>
                <w:sz w:val="12"/>
                <w:szCs w:val="12"/>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562,862</w:t>
            </w:r>
          </w:p>
        </w:tc>
      </w:tr>
      <w:tr>
        <w:trPr>
          <w:trHeight w:val="159"/>
        </w:trPr>
        <w:tc>
          <w:tcPr>
            <w:tcW w:w="4200" w:type="dxa"/>
            <w:vAlign w:val="bottom"/>
          </w:tcPr>
          <w:p>
            <w:pPr>
              <w:ind w:left="20"/>
              <w:spacing w:after="0"/>
              <w:rPr>
                <w:sz w:val="20"/>
                <w:szCs w:val="20"/>
                <w:color w:val="auto"/>
              </w:rPr>
            </w:pPr>
            <w:r>
              <w:rPr>
                <w:rFonts w:ascii="Arial" w:cs="Arial" w:eastAsia="Arial" w:hAnsi="Arial"/>
                <w:sz w:val="12"/>
                <w:szCs w:val="12"/>
                <w:color w:val="auto"/>
              </w:rPr>
              <w:t>Payroll tax withholding (c)</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10,350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5,175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5,175</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gridSpan w:val="2"/>
          </w:tcPr>
          <w:p>
            <w:pPr>
              <w:jc w:val="right"/>
              <w:ind w:right="180"/>
              <w:spacing w:after="0"/>
              <w:rPr>
                <w:sz w:val="20"/>
                <w:szCs w:val="20"/>
                <w:color w:val="auto"/>
              </w:rPr>
            </w:pPr>
            <w:r>
              <w:rPr>
                <w:rFonts w:ascii="Arial" w:cs="Arial" w:eastAsia="Arial" w:hAnsi="Arial"/>
                <w:sz w:val="12"/>
                <w:szCs w:val="12"/>
                <w:color w:val="auto"/>
                <w:w w:val="82"/>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4200" w:type="dxa"/>
            <w:vAlign w:val="bottom"/>
            <w:shd w:val="clear" w:color="auto" w:fill="DBDBDB"/>
          </w:tcPr>
          <w:p>
            <w:pPr>
              <w:ind w:left="20"/>
              <w:spacing w:after="0"/>
              <w:rPr>
                <w:sz w:val="20"/>
                <w:szCs w:val="20"/>
                <w:color w:val="auto"/>
              </w:rPr>
            </w:pPr>
            <w:r>
              <w:rPr>
                <w:rFonts w:ascii="Arial" w:cs="Arial" w:eastAsia="Arial" w:hAnsi="Arial"/>
                <w:sz w:val="12"/>
                <w:szCs w:val="12"/>
                <w:color w:val="auto"/>
              </w:rPr>
              <w:t>Operating lease liabilities</w:t>
            </w:r>
          </w:p>
        </w:tc>
        <w:tc>
          <w:tcPr>
            <w:tcW w:w="300" w:type="dxa"/>
            <w:vAlign w:val="bottom"/>
            <w:tcBorders>
              <w:bottom w:val="single" w:sz="8" w:color="auto"/>
            </w:tcBorders>
            <w:shd w:val="clear" w:color="auto" w:fill="DBDBDB"/>
          </w:tcPr>
          <w:p>
            <w:pPr>
              <w:spacing w:after="0"/>
              <w:rPr>
                <w:sz w:val="14"/>
                <w:szCs w:val="14"/>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278,964</w:t>
            </w:r>
          </w:p>
        </w:tc>
        <w:tc>
          <w:tcPr>
            <w:tcW w:w="80" w:type="dxa"/>
            <w:vAlign w:val="bottom"/>
            <w:shd w:val="clear" w:color="auto" w:fill="DBDBDB"/>
          </w:tcPr>
          <w:p>
            <w:pPr>
              <w:spacing w:after="0"/>
              <w:rPr>
                <w:sz w:val="14"/>
                <w:szCs w:val="14"/>
                <w:color w:val="auto"/>
              </w:rPr>
            </w:pPr>
          </w:p>
        </w:tc>
        <w:tc>
          <w:tcPr>
            <w:tcW w:w="140" w:type="dxa"/>
            <w:vAlign w:val="bottom"/>
            <w:tcBorders>
              <w:bottom w:val="single" w:sz="8" w:color="auto"/>
            </w:tcBorders>
            <w:shd w:val="clear" w:color="auto" w:fill="DBDBDB"/>
          </w:tcPr>
          <w:p>
            <w:pPr>
              <w:spacing w:after="0"/>
              <w:rPr>
                <w:sz w:val="14"/>
                <w:szCs w:val="14"/>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60,099</w:t>
            </w:r>
          </w:p>
        </w:tc>
        <w:tc>
          <w:tcPr>
            <w:tcW w:w="80" w:type="dxa"/>
            <w:vAlign w:val="bottom"/>
            <w:shd w:val="clear" w:color="auto" w:fill="DBDBDB"/>
          </w:tcPr>
          <w:p>
            <w:pPr>
              <w:spacing w:after="0"/>
              <w:rPr>
                <w:sz w:val="14"/>
                <w:szCs w:val="14"/>
                <w:color w:val="auto"/>
              </w:rPr>
            </w:pPr>
          </w:p>
        </w:tc>
        <w:tc>
          <w:tcPr>
            <w:tcW w:w="460" w:type="dxa"/>
            <w:vAlign w:val="bottom"/>
            <w:tcBorders>
              <w:bottom w:val="single" w:sz="8" w:color="auto"/>
            </w:tcBorders>
            <w:shd w:val="clear" w:color="auto" w:fill="DBDBDB"/>
          </w:tcPr>
          <w:p>
            <w:pPr>
              <w:spacing w:after="0"/>
              <w:rPr>
                <w:sz w:val="14"/>
                <w:szCs w:val="14"/>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94,082</w:t>
            </w:r>
          </w:p>
        </w:tc>
        <w:tc>
          <w:tcPr>
            <w:tcW w:w="80" w:type="dxa"/>
            <w:vAlign w:val="bottom"/>
            <w:shd w:val="clear" w:color="auto" w:fill="DBDBDB"/>
          </w:tcPr>
          <w:p>
            <w:pPr>
              <w:spacing w:after="0"/>
              <w:rPr>
                <w:sz w:val="14"/>
                <w:szCs w:val="14"/>
                <w:color w:val="auto"/>
              </w:rPr>
            </w:pPr>
          </w:p>
        </w:tc>
        <w:tc>
          <w:tcPr>
            <w:tcW w:w="420" w:type="dxa"/>
            <w:vAlign w:val="bottom"/>
            <w:tcBorders>
              <w:bottom w:val="single" w:sz="8" w:color="auto"/>
            </w:tcBorders>
            <w:shd w:val="clear" w:color="auto" w:fill="DBDBDB"/>
          </w:tcPr>
          <w:p>
            <w:pPr>
              <w:spacing w:after="0"/>
              <w:rPr>
                <w:sz w:val="14"/>
                <w:szCs w:val="14"/>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59,920</w:t>
            </w:r>
          </w:p>
        </w:tc>
        <w:tc>
          <w:tcPr>
            <w:tcW w:w="180" w:type="dxa"/>
            <w:vAlign w:val="bottom"/>
            <w:shd w:val="clear" w:color="auto" w:fill="DBDBDB"/>
          </w:tcPr>
          <w:p>
            <w:pPr>
              <w:spacing w:after="0"/>
              <w:rPr>
                <w:sz w:val="14"/>
                <w:szCs w:val="14"/>
                <w:color w:val="auto"/>
              </w:rPr>
            </w:pPr>
          </w:p>
        </w:tc>
        <w:tc>
          <w:tcPr>
            <w:tcW w:w="120" w:type="dxa"/>
            <w:vAlign w:val="bottom"/>
            <w:tcBorders>
              <w:bottom w:val="single" w:sz="8" w:color="auto"/>
            </w:tcBorders>
            <w:shd w:val="clear" w:color="auto" w:fill="DBDBDB"/>
          </w:tcPr>
          <w:p>
            <w:pPr>
              <w:spacing w:after="0"/>
              <w:rPr>
                <w:sz w:val="14"/>
                <w:szCs w:val="14"/>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64,863</w:t>
            </w:r>
          </w:p>
        </w:tc>
      </w:tr>
      <w:tr>
        <w:trPr>
          <w:trHeight w:val="154"/>
        </w:trPr>
        <w:tc>
          <w:tcPr>
            <w:tcW w:w="4200" w:type="dxa"/>
            <w:vAlign w:val="bottom"/>
          </w:tcPr>
          <w:p>
            <w:pPr>
              <w:ind w:left="20"/>
              <w:spacing w:after="0"/>
              <w:rPr>
                <w:sz w:val="20"/>
                <w:szCs w:val="20"/>
                <w:color w:val="auto"/>
              </w:rPr>
            </w:pPr>
            <w:r>
              <w:rPr>
                <w:rFonts w:ascii="Arial" w:cs="Arial" w:eastAsia="Arial" w:hAnsi="Arial"/>
                <w:sz w:val="12"/>
                <w:szCs w:val="12"/>
                <w:color w:val="auto"/>
              </w:rPr>
              <w:t>Total</w:t>
            </w:r>
          </w:p>
        </w:tc>
        <w:tc>
          <w:tcPr>
            <w:tcW w:w="300" w:type="dxa"/>
            <w:vAlign w:val="bottom"/>
          </w:tcPr>
          <w:p>
            <w:pPr>
              <w:jc w:val="right"/>
              <w:ind w:right="159"/>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3,279,884</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168,996</w:t>
            </w:r>
          </w:p>
        </w:tc>
        <w:tc>
          <w:tcPr>
            <w:tcW w:w="80" w:type="dxa"/>
            <w:vAlign w:val="bottom"/>
          </w:tcPr>
          <w:p>
            <w:pPr>
              <w:spacing w:after="0"/>
              <w:rPr>
                <w:sz w:val="13"/>
                <w:szCs w:val="13"/>
                <w:color w:val="auto"/>
              </w:rPr>
            </w:pPr>
          </w:p>
        </w:tc>
        <w:tc>
          <w:tcPr>
            <w:tcW w:w="460" w:type="dxa"/>
            <w:vAlign w:val="bottom"/>
          </w:tcPr>
          <w:p>
            <w:pPr>
              <w:jc w:val="right"/>
              <w:ind w:right="31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298,425</w:t>
            </w:r>
          </w:p>
        </w:tc>
        <w:tc>
          <w:tcPr>
            <w:tcW w:w="80" w:type="dxa"/>
            <w:vAlign w:val="bottom"/>
          </w:tcPr>
          <w:p>
            <w:pPr>
              <w:spacing w:after="0"/>
              <w:rPr>
                <w:sz w:val="13"/>
                <w:szCs w:val="13"/>
                <w:color w:val="auto"/>
              </w:rPr>
            </w:pPr>
          </w:p>
        </w:tc>
        <w:tc>
          <w:tcPr>
            <w:tcW w:w="420" w:type="dxa"/>
            <w:vAlign w:val="bottom"/>
          </w:tcPr>
          <w:p>
            <w:pPr>
              <w:jc w:val="right"/>
              <w:ind w:right="279"/>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2,184,738</w:t>
            </w:r>
          </w:p>
        </w:tc>
        <w:tc>
          <w:tcPr>
            <w:tcW w:w="3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627,725</w:t>
            </w:r>
          </w:p>
        </w:tc>
      </w:tr>
      <w:tr>
        <w:trPr>
          <w:trHeight w:val="20"/>
        </w:trPr>
        <w:tc>
          <w:tcPr>
            <w:tcW w:w="4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460" w:hanging="446"/>
        <w:spacing w:after="0"/>
        <w:tabs>
          <w:tab w:leader="none" w:pos="4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Long-term indebtedness includes borrowings and interest under the 2020 ABL Facility, the 2025 Senior Secured Notes, the 2028 Senior Secured Notes, and finance leases.</w:t>
      </w:r>
    </w:p>
    <w:p>
      <w:pPr>
        <w:spacing w:after="0" w:line="14" w:lineRule="exact"/>
        <w:rPr>
          <w:rFonts w:ascii="Arial" w:cs="Arial" w:eastAsia="Arial" w:hAnsi="Arial"/>
          <w:sz w:val="11"/>
          <w:szCs w:val="11"/>
          <w:color w:val="auto"/>
        </w:rPr>
      </w:pPr>
    </w:p>
    <w:p>
      <w:pPr>
        <w:ind w:left="460" w:hanging="446"/>
        <w:spacing w:after="0" w:line="218" w:lineRule="auto"/>
        <w:tabs>
          <w:tab w:leader="none" w:pos="4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Includes the obligations under our interest rate swap agreement that effectively convert $400 million in aggregate notional amount of variable-rate debt under the Company’s ABL Facility into fixed-rate debt. The future obligations under the interest rate swaps was calculated using the 1-month LIBOR rate as of June 30, 2021.</w:t>
      </w:r>
    </w:p>
    <w:p>
      <w:pPr>
        <w:spacing w:after="0" w:line="12" w:lineRule="exact"/>
        <w:rPr>
          <w:rFonts w:ascii="Arial" w:cs="Arial" w:eastAsia="Arial" w:hAnsi="Arial"/>
          <w:sz w:val="11"/>
          <w:szCs w:val="11"/>
          <w:color w:val="auto"/>
        </w:rPr>
      </w:pPr>
    </w:p>
    <w:p>
      <w:pPr>
        <w:ind w:left="460" w:hanging="446"/>
        <w:spacing w:after="0"/>
        <w:tabs>
          <w:tab w:leader="none" w:pos="4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Amounts relate to the opportunistic election to delay payment of employer payroll taxes on an interest-free basis in accordance with the Coronavirus Aid, Relief, and Economic Security Act of 2020 (the ‘‘CARES Act’’).</w:t>
      </w:r>
    </w:p>
    <w:p>
      <w:pPr>
        <w:spacing w:after="0" w:line="63"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At June 30, 2021, in addition to the above contractual obligations, the Company has estimated $14.8 million of potential long-term tax liabilities, including interest and penalties related to uncertain tax positions. Because of the high degree of uncertainty regarding the future cash flows associated with these potential long-term tax liabilities, the Company is unable to estimate the years in which settlement will occur with the respective taxing authorities.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1D2758"/>
        </w:rPr>
        <w:t>Off-Balance Sheet Arrangements</w:t>
      </w:r>
    </w:p>
    <w:p>
      <w:pPr>
        <w:spacing w:after="0" w:line="85"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1D2758"/>
        </w:rPr>
        <w:t>Supplemental Pro Forma Information</w:t>
      </w:r>
    </w:p>
    <w:p>
      <w:pPr>
        <w:spacing w:after="0" w:line="85"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following pro forma financial information has been prepared for WillScot Mobile Mini for the three and six months ended June 30, 2020. These pro forma condensed combined statements of operations present the historical consolidated statements of operations of WillScot Mobile Mini, giving effect to the following items as if they had occurred on January 1, 2019:</w:t>
      </w:r>
    </w:p>
    <w:p>
      <w:pPr>
        <w:spacing w:after="0" w:line="66" w:lineRule="exact"/>
        <w:rPr>
          <w:sz w:val="20"/>
          <w:szCs w:val="20"/>
          <w:color w:val="auto"/>
        </w:rPr>
      </w:pPr>
    </w:p>
    <w:p>
      <w:pPr>
        <w:ind w:left="600" w:hanging="357"/>
        <w:spacing w:after="0"/>
        <w:tabs>
          <w:tab w:leader="none" w:pos="6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Merger with Mobile Mini;</w:t>
      </w:r>
    </w:p>
    <w:p>
      <w:pPr>
        <w:spacing w:after="0" w:line="83" w:lineRule="exact"/>
        <w:rPr>
          <w:rFonts w:ascii="Arial" w:cs="Arial" w:eastAsia="Arial" w:hAnsi="Arial"/>
          <w:sz w:val="12"/>
          <w:szCs w:val="12"/>
          <w:color w:val="auto"/>
        </w:rPr>
      </w:pPr>
    </w:p>
    <w:p>
      <w:pPr>
        <w:ind w:left="600" w:hanging="357"/>
        <w:spacing w:after="0"/>
        <w:tabs>
          <w:tab w:leader="none" w:pos="6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borrowings under the Company’s 2025 Secured Notes and the 2020 ABL Facility;</w:t>
      </w:r>
    </w:p>
    <w:p>
      <w:pPr>
        <w:spacing w:after="0" w:line="83" w:lineRule="exact"/>
        <w:rPr>
          <w:rFonts w:ascii="Arial" w:cs="Arial" w:eastAsia="Arial" w:hAnsi="Arial"/>
          <w:sz w:val="12"/>
          <w:szCs w:val="12"/>
          <w:color w:val="auto"/>
        </w:rPr>
      </w:pPr>
    </w:p>
    <w:p>
      <w:pPr>
        <w:ind w:left="600" w:hanging="357"/>
        <w:spacing w:after="0"/>
        <w:tabs>
          <w:tab w:leader="none" w:pos="6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extinguishment of the Mobile Mini line of credit and senior notes assumed in the Merger and subsequently repaid;</w:t>
      </w:r>
    </w:p>
    <w:p>
      <w:pPr>
        <w:spacing w:after="0" w:line="83" w:lineRule="exact"/>
        <w:rPr>
          <w:rFonts w:ascii="Arial" w:cs="Arial" w:eastAsia="Arial" w:hAnsi="Arial"/>
          <w:sz w:val="12"/>
          <w:szCs w:val="12"/>
          <w:color w:val="auto"/>
        </w:rPr>
      </w:pPr>
    </w:p>
    <w:p>
      <w:pPr>
        <w:ind w:left="600" w:hanging="357"/>
        <w:spacing w:after="0"/>
        <w:tabs>
          <w:tab w:leader="none" w:pos="6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repayment of the 2017 ABL Facility and the 2022 Senior Notes repaid contemporaneously with the Merger;</w:t>
      </w:r>
    </w:p>
    <w:p>
      <w:pPr>
        <w:spacing w:after="0" w:line="83" w:lineRule="exact"/>
        <w:rPr>
          <w:rFonts w:ascii="Arial" w:cs="Arial" w:eastAsia="Arial" w:hAnsi="Arial"/>
          <w:sz w:val="12"/>
          <w:szCs w:val="12"/>
          <w:color w:val="auto"/>
        </w:rPr>
      </w:pPr>
    </w:p>
    <w:p>
      <w:pPr>
        <w:ind w:left="600" w:hanging="357"/>
        <w:spacing w:after="0"/>
        <w:tabs>
          <w:tab w:leader="none" w:pos="6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transaction costs incurred in connection with the Merger; and</w:t>
      </w:r>
    </w:p>
    <w:p>
      <w:pPr>
        <w:spacing w:after="0" w:line="83" w:lineRule="exact"/>
        <w:rPr>
          <w:rFonts w:ascii="Arial" w:cs="Arial" w:eastAsia="Arial" w:hAnsi="Arial"/>
          <w:sz w:val="12"/>
          <w:szCs w:val="12"/>
          <w:color w:val="auto"/>
        </w:rPr>
      </w:pPr>
    </w:p>
    <w:p>
      <w:pPr>
        <w:ind w:left="600" w:hanging="357"/>
        <w:spacing w:after="0"/>
        <w:tabs>
          <w:tab w:leader="none" w:pos="6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elimination of non-controlling interest in connection with the Sapphire Exchange as contemplated by the Merger.</w:t>
      </w:r>
    </w:p>
    <w:p>
      <w:pPr>
        <w:spacing w:after="0" w:line="84" w:lineRule="exact"/>
        <w:rPr>
          <w:sz w:val="20"/>
          <w:szCs w:val="20"/>
          <w:color w:val="auto"/>
        </w:rPr>
      </w:pPr>
    </w:p>
    <w:p>
      <w:pPr>
        <w:jc w:val="both"/>
        <w:ind w:firstLine="484"/>
        <w:spacing w:after="0" w:line="248" w:lineRule="auto"/>
        <w:rPr>
          <w:sz w:val="20"/>
          <w:szCs w:val="20"/>
          <w:color w:val="auto"/>
        </w:rPr>
      </w:pPr>
      <w:r>
        <w:rPr>
          <w:rFonts w:ascii="Arial" w:cs="Arial" w:eastAsia="Arial" w:hAnsi="Arial"/>
          <w:sz w:val="12"/>
          <w:szCs w:val="12"/>
          <w:color w:val="auto"/>
        </w:rPr>
        <w:t>The adjustments presented on the pro forma financial statements have been identified and presented to provide relevant information necessary for an accurate understanding of the combined company following the transactions and events described above. The pro forma financial information set forth below is based upon available information and assumptions that we believe are reasonable and is for illustrative purposes only. The financial results may have been different if the transactions described above had actually been completed sooner. You should not rely on the pro forma financial information as being indicative of the historical results that would have been achieved if these transactions and events had been completed as of January 1, 2019. The pro forma combined financial information below should be read in conjunction with the condensed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545465</wp:posOffset>
            </wp:positionV>
            <wp:extent cx="719264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bookmarkStart w:id="58" w:name="page59"/>
    <w:bookmarkEnd w:id="58"/>
    <w:p>
      <w:pPr>
        <w:jc w:val="both"/>
        <w:spacing w:after="0" w:line="249" w:lineRule="auto"/>
        <w:rPr>
          <w:sz w:val="20"/>
          <w:szCs w:val="20"/>
          <w:color w:val="auto"/>
        </w:rPr>
      </w:pPr>
      <w:r>
        <w:rPr>
          <w:rFonts w:ascii="Arial" w:cs="Arial" w:eastAsia="Arial" w:hAnsi="Arial"/>
          <w:sz w:val="12"/>
          <w:szCs w:val="12"/>
          <w:color w:val="auto"/>
        </w:rPr>
        <w:t>consolidated financial statements and related notes of the Company included elsewhere in this Form 10-Q. All pro forma adjustments and their underlying assumptions are described more fully in the notes below.</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Accounting Policies</w:t>
      </w:r>
    </w:p>
    <w:p>
      <w:pPr>
        <w:spacing w:after="0" w:line="98"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During the preparation of these pro forma condensed combined financial statements, we assessed whether there were any material differences between the Company’s accounting policies and Mobile Mini’s accounting policies. The assessment performed did not identify any material differences and, as such, these pro forma condensed combined financial statements do not adjust for or assume any differences in accounting policies between WillScot and Mobile Mini.</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1D2758"/>
        </w:rPr>
        <w:t>Pro forma Presentation</w:t>
      </w:r>
    </w:p>
    <w:p>
      <w:pPr>
        <w:spacing w:after="0" w:line="98"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The following pro forma condensed combined financial information and associated notes are based on the historical financial statements of WillScot and Mobile Mini as described below. In preparing the pro forma condensed combined statements of operations for the three and six months ended June 30, 2020, certain historical financial information for Mobile Mini was reclassified to align to the reporting classifications of WillScot.</w:t>
      </w:r>
    </w:p>
    <w:p>
      <w:pPr>
        <w:spacing w:after="0" w:line="29"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pro forma condensed combined statement of operations for the three and six months ended June 30, 2020 are based on, derived from, and should be read in conjunction with, WillScot’s historical financial statements.. The aforementioned pro forma financial statements are also based on, derived from, and should be read in conjunction with Mobile Mini’s historical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707390</wp:posOffset>
            </wp:positionV>
            <wp:extent cx="719264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486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2460" w:type="dxa"/>
            <w:vAlign w:val="bottom"/>
            <w:gridSpan w:val="3"/>
            <w:shd w:val="clear" w:color="auto" w:fill="1D2758"/>
          </w:tcPr>
          <w:p>
            <w:pPr>
              <w:jc w:val="right"/>
              <w:spacing w:after="0"/>
              <w:rPr>
                <w:sz w:val="20"/>
                <w:szCs w:val="20"/>
                <w:color w:val="auto"/>
              </w:rPr>
            </w:pPr>
            <w:r>
              <w:rPr>
                <w:rFonts w:ascii="Arial" w:cs="Arial" w:eastAsia="Arial" w:hAnsi="Arial"/>
                <w:sz w:val="12"/>
                <w:szCs w:val="12"/>
                <w:b w:val="1"/>
                <w:bCs w:val="1"/>
                <w:color w:val="FFFFFF"/>
              </w:rPr>
              <w:t>Three Months Ended June 30, 2020</w:t>
            </w:r>
          </w:p>
        </w:tc>
        <w:tc>
          <w:tcPr>
            <w:tcW w:w="4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380" w:type="dxa"/>
            <w:vAlign w:val="bottom"/>
            <w:shd w:val="clear" w:color="auto" w:fill="1D2758"/>
          </w:tcPr>
          <w:p>
            <w:pPr>
              <w:spacing w:after="0"/>
              <w:rPr>
                <w:sz w:val="14"/>
                <w:szCs w:val="14"/>
                <w:color w:val="auto"/>
              </w:rPr>
            </w:pPr>
          </w:p>
        </w:tc>
        <w:tc>
          <w:tcPr>
            <w:tcW w:w="34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860" w:type="dxa"/>
            <w:vAlign w:val="bottom"/>
            <w:vMerge w:val="restart"/>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40" w:type="dxa"/>
            <w:vAlign w:val="bottom"/>
            <w:shd w:val="clear" w:color="auto" w:fill="1D2758"/>
          </w:tcPr>
          <w:p>
            <w:pPr>
              <w:spacing w:after="0"/>
              <w:rPr>
                <w:sz w:val="10"/>
                <w:szCs w:val="10"/>
                <w:color w:val="auto"/>
              </w:rPr>
            </w:pPr>
          </w:p>
        </w:tc>
        <w:tc>
          <w:tcPr>
            <w:tcW w:w="1300" w:type="dxa"/>
            <w:vAlign w:val="bottom"/>
            <w:shd w:val="clear" w:color="auto" w:fill="1D2758"/>
          </w:tcPr>
          <w:p>
            <w:pPr>
              <w:spacing w:after="0"/>
              <w:rPr>
                <w:sz w:val="10"/>
                <w:szCs w:val="10"/>
                <w:color w:val="auto"/>
              </w:rPr>
            </w:pPr>
          </w:p>
        </w:tc>
        <w:tc>
          <w:tcPr>
            <w:tcW w:w="80" w:type="dxa"/>
            <w:vAlign w:val="bottom"/>
            <w:shd w:val="clear" w:color="auto" w:fill="1D2758"/>
          </w:tcPr>
          <w:p>
            <w:pPr>
              <w:spacing w:after="0"/>
              <w:rPr>
                <w:sz w:val="10"/>
                <w:szCs w:val="10"/>
                <w:color w:val="auto"/>
              </w:rPr>
            </w:pPr>
          </w:p>
        </w:tc>
        <w:tc>
          <w:tcPr>
            <w:tcW w:w="100" w:type="dxa"/>
            <w:vAlign w:val="bottom"/>
            <w:shd w:val="clear" w:color="auto" w:fill="1D2758"/>
          </w:tcPr>
          <w:p>
            <w:pPr>
              <w:spacing w:after="0"/>
              <w:rPr>
                <w:sz w:val="10"/>
                <w:szCs w:val="10"/>
                <w:color w:val="auto"/>
              </w:rPr>
            </w:pPr>
          </w:p>
        </w:tc>
        <w:tc>
          <w:tcPr>
            <w:tcW w:w="1360" w:type="dxa"/>
            <w:vAlign w:val="bottom"/>
            <w:shd w:val="clear" w:color="auto" w:fill="1D2758"/>
          </w:tcPr>
          <w:p>
            <w:pPr>
              <w:spacing w:after="0"/>
              <w:rPr>
                <w:sz w:val="10"/>
                <w:szCs w:val="10"/>
                <w:color w:val="auto"/>
              </w:rPr>
            </w:pPr>
          </w:p>
        </w:tc>
        <w:tc>
          <w:tcPr>
            <w:tcW w:w="80" w:type="dxa"/>
            <w:vAlign w:val="bottom"/>
            <w:shd w:val="clear" w:color="auto" w:fill="1D2758"/>
          </w:tcPr>
          <w:p>
            <w:pPr>
              <w:spacing w:after="0"/>
              <w:rPr>
                <w:sz w:val="10"/>
                <w:szCs w:val="10"/>
                <w:color w:val="auto"/>
              </w:rPr>
            </w:pPr>
          </w:p>
        </w:tc>
        <w:tc>
          <w:tcPr>
            <w:tcW w:w="1020" w:type="dxa"/>
            <w:vAlign w:val="bottom"/>
            <w:shd w:val="clear" w:color="auto" w:fill="1D2758"/>
          </w:tcPr>
          <w:p>
            <w:pPr>
              <w:spacing w:after="0"/>
              <w:rPr>
                <w:sz w:val="10"/>
                <w:szCs w:val="10"/>
                <w:color w:val="auto"/>
              </w:rPr>
            </w:pPr>
          </w:p>
        </w:tc>
        <w:tc>
          <w:tcPr>
            <w:tcW w:w="460" w:type="dxa"/>
            <w:vAlign w:val="bottom"/>
            <w:shd w:val="clear" w:color="auto" w:fill="1D2758"/>
          </w:tcPr>
          <w:p>
            <w:pPr>
              <w:spacing w:after="0"/>
              <w:rPr>
                <w:sz w:val="10"/>
                <w:szCs w:val="10"/>
                <w:color w:val="auto"/>
              </w:rPr>
            </w:pPr>
          </w:p>
        </w:tc>
        <w:tc>
          <w:tcPr>
            <w:tcW w:w="80" w:type="dxa"/>
            <w:vAlign w:val="bottom"/>
            <w:shd w:val="clear" w:color="auto" w:fill="1D2758"/>
          </w:tcPr>
          <w:p>
            <w:pPr>
              <w:spacing w:after="0"/>
              <w:rPr>
                <w:sz w:val="10"/>
                <w:szCs w:val="10"/>
                <w:color w:val="auto"/>
              </w:rPr>
            </w:pPr>
          </w:p>
        </w:tc>
        <w:tc>
          <w:tcPr>
            <w:tcW w:w="80" w:type="dxa"/>
            <w:vAlign w:val="bottom"/>
            <w:shd w:val="clear" w:color="auto" w:fill="1D2758"/>
          </w:tcPr>
          <w:p>
            <w:pPr>
              <w:spacing w:after="0"/>
              <w:rPr>
                <w:sz w:val="10"/>
                <w:szCs w:val="10"/>
                <w:color w:val="auto"/>
              </w:rPr>
            </w:pPr>
          </w:p>
        </w:tc>
        <w:tc>
          <w:tcPr>
            <w:tcW w:w="1380" w:type="dxa"/>
            <w:vAlign w:val="bottom"/>
            <w:shd w:val="clear" w:color="auto" w:fill="1D2758"/>
          </w:tcPr>
          <w:p>
            <w:pPr>
              <w:jc w:val="right"/>
              <w:ind w:right="19"/>
              <w:spacing w:after="0" w:line="121" w:lineRule="exact"/>
              <w:rPr>
                <w:sz w:val="20"/>
                <w:szCs w:val="20"/>
                <w:color w:val="auto"/>
              </w:rPr>
            </w:pPr>
            <w:r>
              <w:rPr>
                <w:rFonts w:ascii="Arial" w:cs="Arial" w:eastAsia="Arial" w:hAnsi="Arial"/>
                <w:sz w:val="12"/>
                <w:szCs w:val="12"/>
                <w:b w:val="1"/>
                <w:bCs w:val="1"/>
                <w:color w:val="FFFFFF"/>
                <w:w w:val="99"/>
              </w:rPr>
              <w:t>Pro Forma Condensed</w:t>
            </w:r>
          </w:p>
        </w:tc>
        <w:tc>
          <w:tcPr>
            <w:tcW w:w="340" w:type="dxa"/>
            <w:vAlign w:val="bottom"/>
            <w:shd w:val="clear" w:color="auto" w:fill="1D2758"/>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860" w:type="dxa"/>
            <w:vAlign w:val="bottom"/>
            <w:vMerge w:val="continue"/>
            <w:shd w:val="clear" w:color="auto" w:fill="1D2758"/>
          </w:tcPr>
          <w:p>
            <w:pPr>
              <w:spacing w:after="0"/>
              <w:rPr>
                <w:sz w:val="7"/>
                <w:szCs w:val="7"/>
                <w:color w:val="auto"/>
              </w:rPr>
            </w:pPr>
          </w:p>
        </w:tc>
        <w:tc>
          <w:tcPr>
            <w:tcW w:w="140" w:type="dxa"/>
            <w:vAlign w:val="bottom"/>
            <w:shd w:val="clear" w:color="auto" w:fill="1D2758"/>
          </w:tcPr>
          <w:p>
            <w:pPr>
              <w:spacing w:after="0"/>
              <w:rPr>
                <w:sz w:val="7"/>
                <w:szCs w:val="7"/>
                <w:color w:val="auto"/>
              </w:rPr>
            </w:pPr>
          </w:p>
        </w:tc>
        <w:tc>
          <w:tcPr>
            <w:tcW w:w="1380" w:type="dxa"/>
            <w:vAlign w:val="bottom"/>
            <w:gridSpan w:val="2"/>
            <w:vMerge w:val="restart"/>
            <w:shd w:val="clear" w:color="auto" w:fill="1D2758"/>
          </w:tcPr>
          <w:p>
            <w:pPr>
              <w:ind w:left="40"/>
              <w:spacing w:after="0"/>
              <w:rPr>
                <w:sz w:val="20"/>
                <w:szCs w:val="20"/>
                <w:color w:val="auto"/>
              </w:rPr>
            </w:pPr>
            <w:r>
              <w:rPr>
                <w:rFonts w:ascii="Arial" w:cs="Arial" w:eastAsia="Arial" w:hAnsi="Arial"/>
                <w:sz w:val="12"/>
                <w:szCs w:val="12"/>
                <w:b w:val="1"/>
                <w:bCs w:val="1"/>
                <w:color w:val="FFFFFF"/>
              </w:rPr>
              <w:t>Historical WillScot</w:t>
            </w:r>
          </w:p>
        </w:tc>
        <w:tc>
          <w:tcPr>
            <w:tcW w:w="100" w:type="dxa"/>
            <w:vAlign w:val="bottom"/>
            <w:shd w:val="clear" w:color="auto" w:fill="1D2758"/>
          </w:tcPr>
          <w:p>
            <w:pPr>
              <w:spacing w:after="0"/>
              <w:rPr>
                <w:sz w:val="7"/>
                <w:szCs w:val="7"/>
                <w:color w:val="auto"/>
              </w:rPr>
            </w:pPr>
          </w:p>
        </w:tc>
        <w:tc>
          <w:tcPr>
            <w:tcW w:w="1440" w:type="dxa"/>
            <w:vAlign w:val="bottom"/>
            <w:gridSpan w:val="2"/>
            <w:vMerge w:val="restart"/>
            <w:shd w:val="clear" w:color="auto" w:fill="1D2758"/>
          </w:tcPr>
          <w:p>
            <w:pPr>
              <w:ind w:left="20"/>
              <w:spacing w:after="0"/>
              <w:rPr>
                <w:sz w:val="20"/>
                <w:szCs w:val="20"/>
                <w:color w:val="auto"/>
              </w:rPr>
            </w:pPr>
            <w:r>
              <w:rPr>
                <w:rFonts w:ascii="Arial" w:cs="Arial" w:eastAsia="Arial" w:hAnsi="Arial"/>
                <w:sz w:val="12"/>
                <w:szCs w:val="12"/>
                <w:b w:val="1"/>
                <w:bCs w:val="1"/>
                <w:color w:val="FFFFFF"/>
              </w:rPr>
              <w:t>Historical Mobile Mini</w:t>
            </w:r>
          </w:p>
        </w:tc>
        <w:tc>
          <w:tcPr>
            <w:tcW w:w="1560" w:type="dxa"/>
            <w:vAlign w:val="bottom"/>
            <w:gridSpan w:val="3"/>
            <w:vMerge w:val="restart"/>
            <w:shd w:val="clear" w:color="auto" w:fill="1D2758"/>
          </w:tcPr>
          <w:p>
            <w:pPr>
              <w:ind w:left="60"/>
              <w:spacing w:after="0"/>
              <w:rPr>
                <w:sz w:val="20"/>
                <w:szCs w:val="20"/>
                <w:color w:val="auto"/>
              </w:rPr>
            </w:pPr>
            <w:r>
              <w:rPr>
                <w:rFonts w:ascii="Arial" w:cs="Arial" w:eastAsia="Arial" w:hAnsi="Arial"/>
                <w:sz w:val="12"/>
                <w:szCs w:val="12"/>
                <w:b w:val="1"/>
                <w:bCs w:val="1"/>
                <w:color w:val="FFFFFF"/>
              </w:rPr>
              <w:t>Pro Forma Adjustments</w:t>
            </w:r>
          </w:p>
        </w:tc>
        <w:tc>
          <w:tcPr>
            <w:tcW w:w="80" w:type="dxa"/>
            <w:vAlign w:val="bottom"/>
            <w:shd w:val="clear" w:color="auto" w:fill="1D2758"/>
          </w:tcPr>
          <w:p>
            <w:pPr>
              <w:spacing w:after="0"/>
              <w:rPr>
                <w:sz w:val="7"/>
                <w:szCs w:val="7"/>
                <w:color w:val="auto"/>
              </w:rPr>
            </w:pPr>
          </w:p>
        </w:tc>
        <w:tc>
          <w:tcPr>
            <w:tcW w:w="1380" w:type="dxa"/>
            <w:vAlign w:val="bottom"/>
            <w:vMerge w:val="restart"/>
            <w:shd w:val="clear" w:color="auto" w:fill="1D2758"/>
          </w:tcPr>
          <w:p>
            <w:pPr>
              <w:jc w:val="right"/>
              <w:ind w:right="379"/>
              <w:spacing w:after="0"/>
              <w:rPr>
                <w:sz w:val="20"/>
                <w:szCs w:val="20"/>
                <w:color w:val="auto"/>
              </w:rPr>
            </w:pPr>
            <w:r>
              <w:rPr>
                <w:rFonts w:ascii="Arial" w:cs="Arial" w:eastAsia="Arial" w:hAnsi="Arial"/>
                <w:sz w:val="12"/>
                <w:szCs w:val="12"/>
                <w:b w:val="1"/>
                <w:bCs w:val="1"/>
                <w:color w:val="FFFFFF"/>
              </w:rPr>
              <w:t>Combined</w:t>
            </w:r>
          </w:p>
        </w:tc>
        <w:tc>
          <w:tcPr>
            <w:tcW w:w="34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860" w:type="dxa"/>
            <w:vAlign w:val="bottom"/>
            <w:shd w:val="clear" w:color="auto" w:fill="1D2758"/>
          </w:tcPr>
          <w:p>
            <w:pPr>
              <w:spacing w:after="0"/>
              <w:rPr>
                <w:sz w:val="6"/>
                <w:szCs w:val="6"/>
                <w:color w:val="auto"/>
              </w:rPr>
            </w:pPr>
          </w:p>
        </w:tc>
        <w:tc>
          <w:tcPr>
            <w:tcW w:w="140" w:type="dxa"/>
            <w:vAlign w:val="bottom"/>
            <w:shd w:val="clear" w:color="auto" w:fill="1D2758"/>
          </w:tcPr>
          <w:p>
            <w:pPr>
              <w:spacing w:after="0"/>
              <w:rPr>
                <w:sz w:val="6"/>
                <w:szCs w:val="6"/>
                <w:color w:val="auto"/>
              </w:rPr>
            </w:pPr>
          </w:p>
        </w:tc>
        <w:tc>
          <w:tcPr>
            <w:tcW w:w="1380" w:type="dxa"/>
            <w:vAlign w:val="bottom"/>
            <w:gridSpan w:val="2"/>
            <w:vMerge w:val="continue"/>
            <w:shd w:val="clear" w:color="auto" w:fill="1D2758"/>
          </w:tcPr>
          <w:p>
            <w:pPr>
              <w:spacing w:after="0"/>
              <w:rPr>
                <w:sz w:val="6"/>
                <w:szCs w:val="6"/>
                <w:color w:val="auto"/>
              </w:rPr>
            </w:pPr>
          </w:p>
        </w:tc>
        <w:tc>
          <w:tcPr>
            <w:tcW w:w="100" w:type="dxa"/>
            <w:vAlign w:val="bottom"/>
            <w:shd w:val="clear" w:color="auto" w:fill="1D2758"/>
          </w:tcPr>
          <w:p>
            <w:pPr>
              <w:spacing w:after="0"/>
              <w:rPr>
                <w:sz w:val="6"/>
                <w:szCs w:val="6"/>
                <w:color w:val="auto"/>
              </w:rPr>
            </w:pPr>
          </w:p>
        </w:tc>
        <w:tc>
          <w:tcPr>
            <w:tcW w:w="1440" w:type="dxa"/>
            <w:vAlign w:val="bottom"/>
            <w:gridSpan w:val="2"/>
            <w:vMerge w:val="continue"/>
            <w:shd w:val="clear" w:color="auto" w:fill="1D2758"/>
          </w:tcPr>
          <w:p>
            <w:pPr>
              <w:spacing w:after="0"/>
              <w:rPr>
                <w:sz w:val="6"/>
                <w:szCs w:val="6"/>
                <w:color w:val="auto"/>
              </w:rPr>
            </w:pPr>
          </w:p>
        </w:tc>
        <w:tc>
          <w:tcPr>
            <w:tcW w:w="1560" w:type="dxa"/>
            <w:vAlign w:val="bottom"/>
            <w:gridSpan w:val="3"/>
            <w:vMerge w:val="continue"/>
            <w:shd w:val="clear" w:color="auto" w:fill="1D2758"/>
          </w:tcPr>
          <w:p>
            <w:pPr>
              <w:spacing w:after="0"/>
              <w:rPr>
                <w:sz w:val="6"/>
                <w:szCs w:val="6"/>
                <w:color w:val="auto"/>
              </w:rPr>
            </w:pPr>
          </w:p>
        </w:tc>
        <w:tc>
          <w:tcPr>
            <w:tcW w:w="80" w:type="dxa"/>
            <w:vAlign w:val="bottom"/>
            <w:shd w:val="clear" w:color="auto" w:fill="1D2758"/>
          </w:tcPr>
          <w:p>
            <w:pPr>
              <w:spacing w:after="0"/>
              <w:rPr>
                <w:sz w:val="6"/>
                <w:szCs w:val="6"/>
                <w:color w:val="auto"/>
              </w:rPr>
            </w:pPr>
          </w:p>
        </w:tc>
        <w:tc>
          <w:tcPr>
            <w:tcW w:w="1380" w:type="dxa"/>
            <w:vAlign w:val="bottom"/>
            <w:vMerge w:val="continue"/>
            <w:shd w:val="clear" w:color="auto" w:fill="1D2758"/>
          </w:tcPr>
          <w:p>
            <w:pPr>
              <w:spacing w:after="0"/>
              <w:rPr>
                <w:sz w:val="6"/>
                <w:szCs w:val="6"/>
                <w:color w:val="auto"/>
              </w:rPr>
            </w:pPr>
          </w:p>
        </w:tc>
        <w:tc>
          <w:tcPr>
            <w:tcW w:w="340" w:type="dxa"/>
            <w:vAlign w:val="bottom"/>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486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Revenues:</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4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180"/>
              <w:spacing w:after="0"/>
              <w:rPr>
                <w:sz w:val="20"/>
                <w:szCs w:val="20"/>
                <w:color w:val="auto"/>
              </w:rPr>
            </w:pPr>
            <w:r>
              <w:rPr>
                <w:rFonts w:ascii="Arial" w:cs="Arial" w:eastAsia="Arial" w:hAnsi="Arial"/>
                <w:sz w:val="12"/>
                <w:szCs w:val="12"/>
                <w:color w:val="auto"/>
              </w:rPr>
              <w:t>Leasing and services revenue:</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60" w:type="dxa"/>
            <w:vAlign w:val="bottom"/>
            <w:shd w:val="clear" w:color="auto" w:fill="DBDBDB"/>
          </w:tcPr>
          <w:p>
            <w:pPr>
              <w:ind w:left="340"/>
              <w:spacing w:after="0"/>
              <w:rPr>
                <w:sz w:val="20"/>
                <w:szCs w:val="20"/>
                <w:color w:val="auto"/>
              </w:rPr>
            </w:pPr>
            <w:r>
              <w:rPr>
                <w:rFonts w:ascii="Arial" w:cs="Arial" w:eastAsia="Arial" w:hAnsi="Arial"/>
                <w:sz w:val="12"/>
                <w:szCs w:val="12"/>
                <w:color w:val="auto"/>
              </w:rPr>
              <w:t>Leasing</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190,143</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100,146</w:t>
            </w:r>
          </w:p>
        </w:tc>
        <w:tc>
          <w:tcPr>
            <w:tcW w:w="80" w:type="dxa"/>
            <w:vAlign w:val="bottom"/>
            <w:shd w:val="clear" w:color="auto" w:fill="DBDBDB"/>
          </w:tcPr>
          <w:p>
            <w:pPr>
              <w:spacing w:after="0"/>
              <w:rPr>
                <w:sz w:val="14"/>
                <w:szCs w:val="14"/>
                <w:color w:val="auto"/>
              </w:rPr>
            </w:pPr>
          </w:p>
        </w:tc>
        <w:tc>
          <w:tcPr>
            <w:tcW w:w="1020" w:type="dxa"/>
            <w:vAlign w:val="bottom"/>
            <w:shd w:val="clear" w:color="auto" w:fill="DBDBDB"/>
          </w:tcPr>
          <w:p>
            <w:pPr>
              <w:jc w:val="right"/>
              <w:ind w:right="879"/>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290,289</w:t>
            </w: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340"/>
              <w:spacing w:after="0"/>
              <w:rPr>
                <w:sz w:val="20"/>
                <w:szCs w:val="20"/>
                <w:color w:val="auto"/>
              </w:rPr>
            </w:pPr>
            <w:r>
              <w:rPr>
                <w:rFonts w:ascii="Arial" w:cs="Arial" w:eastAsia="Arial" w:hAnsi="Arial"/>
                <w:sz w:val="12"/>
                <w:szCs w:val="12"/>
                <w:color w:val="auto"/>
              </w:rPr>
              <w:t>Delivery and installation</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51,640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25,966</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77,606</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Sales revenue:</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4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340"/>
              <w:spacing w:after="0"/>
              <w:rPr>
                <w:sz w:val="20"/>
                <w:szCs w:val="20"/>
                <w:color w:val="auto"/>
              </w:rPr>
            </w:pPr>
            <w:r>
              <w:rPr>
                <w:rFonts w:ascii="Arial" w:cs="Arial" w:eastAsia="Arial" w:hAnsi="Arial"/>
                <w:sz w:val="12"/>
                <w:szCs w:val="12"/>
                <w:color w:val="auto"/>
              </w:rPr>
              <w:t>New units</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9,763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3,593</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13,356</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60" w:type="dxa"/>
            <w:vAlign w:val="bottom"/>
            <w:shd w:val="clear" w:color="auto" w:fill="DBDBDB"/>
          </w:tcPr>
          <w:p>
            <w:pPr>
              <w:ind w:left="340"/>
              <w:spacing w:after="0"/>
              <w:rPr>
                <w:sz w:val="20"/>
                <w:szCs w:val="20"/>
                <w:color w:val="auto"/>
              </w:rPr>
            </w:pPr>
            <w:r>
              <w:rPr>
                <w:rFonts w:ascii="Arial" w:cs="Arial" w:eastAsia="Arial" w:hAnsi="Arial"/>
                <w:sz w:val="12"/>
                <w:szCs w:val="12"/>
                <w:color w:val="auto"/>
              </w:rPr>
              <w:t>Rental units</w:t>
            </w:r>
          </w:p>
        </w:tc>
        <w:tc>
          <w:tcPr>
            <w:tcW w:w="14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5,316</w:t>
            </w:r>
          </w:p>
        </w:tc>
        <w:tc>
          <w:tcPr>
            <w:tcW w:w="80" w:type="dxa"/>
            <w:vAlign w:val="bottom"/>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3,958</w:t>
            </w:r>
          </w:p>
        </w:tc>
        <w:tc>
          <w:tcPr>
            <w:tcW w:w="80" w:type="dxa"/>
            <w:vAlign w:val="bottom"/>
            <w:shd w:val="clear" w:color="auto" w:fill="DBDBDB"/>
          </w:tcPr>
          <w:p>
            <w:pPr>
              <w:spacing w:after="0"/>
              <w:rPr>
                <w:sz w:val="14"/>
                <w:szCs w:val="14"/>
                <w:color w:val="auto"/>
              </w:rPr>
            </w:pPr>
          </w:p>
        </w:tc>
        <w:tc>
          <w:tcPr>
            <w:tcW w:w="1020" w:type="dxa"/>
            <w:vAlign w:val="bottom"/>
            <w:tcBorders>
              <w:bottom w:val="single" w:sz="8" w:color="auto"/>
            </w:tcBorders>
            <w:shd w:val="clear" w:color="auto" w:fill="DBDBDB"/>
          </w:tcPr>
          <w:p>
            <w:pPr>
              <w:spacing w:after="0"/>
              <w:rPr>
                <w:sz w:val="14"/>
                <w:szCs w:val="14"/>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80" w:type="dxa"/>
            <w:vAlign w:val="bottom"/>
            <w:tcBorders>
              <w:bottom w:val="single" w:sz="8" w:color="auto"/>
            </w:tcBorders>
            <w:shd w:val="clear" w:color="auto" w:fill="DBDBDB"/>
          </w:tcPr>
          <w:p>
            <w:pPr>
              <w:spacing w:after="0"/>
              <w:rPr>
                <w:sz w:val="14"/>
                <w:szCs w:val="14"/>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9,274</w:t>
            </w: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860" w:type="dxa"/>
            <w:vAlign w:val="bottom"/>
          </w:tcPr>
          <w:p>
            <w:pPr>
              <w:ind w:left="500"/>
              <w:spacing w:after="0"/>
              <w:rPr>
                <w:sz w:val="20"/>
                <w:szCs w:val="20"/>
                <w:color w:val="auto"/>
              </w:rPr>
            </w:pPr>
            <w:r>
              <w:rPr>
                <w:rFonts w:ascii="Arial" w:cs="Arial" w:eastAsia="Arial" w:hAnsi="Arial"/>
                <w:sz w:val="12"/>
                <w:szCs w:val="12"/>
                <w:color w:val="auto"/>
              </w:rPr>
              <w:t>Total revenues</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256,862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133,663</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390,525</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60" w:type="dxa"/>
            <w:vAlign w:val="bottom"/>
            <w:shd w:val="clear" w:color="auto" w:fill="DBDBDB"/>
          </w:tcPr>
          <w:p>
            <w:pPr>
              <w:ind w:left="20"/>
              <w:spacing w:after="0"/>
              <w:rPr>
                <w:sz w:val="20"/>
                <w:szCs w:val="20"/>
                <w:color w:val="auto"/>
              </w:rPr>
            </w:pPr>
            <w:r>
              <w:rPr>
                <w:rFonts w:ascii="Arial" w:cs="Arial" w:eastAsia="Arial" w:hAnsi="Arial"/>
                <w:sz w:val="12"/>
                <w:szCs w:val="12"/>
                <w:color w:val="auto"/>
              </w:rPr>
              <w:t>Costs:</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4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180"/>
              <w:spacing w:after="0"/>
              <w:rPr>
                <w:sz w:val="20"/>
                <w:szCs w:val="20"/>
                <w:color w:val="auto"/>
              </w:rPr>
            </w:pPr>
            <w:r>
              <w:rPr>
                <w:rFonts w:ascii="Arial" w:cs="Arial" w:eastAsia="Arial" w:hAnsi="Arial"/>
                <w:sz w:val="12"/>
                <w:szCs w:val="12"/>
                <w:color w:val="auto"/>
              </w:rPr>
              <w:t>Costs of leasing and services:</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60" w:type="dxa"/>
            <w:vAlign w:val="bottom"/>
            <w:shd w:val="clear" w:color="auto" w:fill="DBDBDB"/>
          </w:tcPr>
          <w:p>
            <w:pPr>
              <w:ind w:left="340"/>
              <w:spacing w:after="0"/>
              <w:rPr>
                <w:sz w:val="20"/>
                <w:szCs w:val="20"/>
                <w:color w:val="auto"/>
              </w:rPr>
            </w:pPr>
            <w:r>
              <w:rPr>
                <w:rFonts w:ascii="Arial" w:cs="Arial" w:eastAsia="Arial" w:hAnsi="Arial"/>
                <w:sz w:val="12"/>
                <w:szCs w:val="12"/>
                <w:color w:val="auto"/>
              </w:rPr>
              <w:t>Leasing</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47,747</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12,706</w:t>
            </w:r>
          </w:p>
        </w:tc>
        <w:tc>
          <w:tcPr>
            <w:tcW w:w="8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54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60,453</w:t>
            </w: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340"/>
              <w:spacing w:after="0"/>
              <w:rPr>
                <w:sz w:val="20"/>
                <w:szCs w:val="20"/>
                <w:color w:val="auto"/>
              </w:rPr>
            </w:pPr>
            <w:r>
              <w:rPr>
                <w:rFonts w:ascii="Arial" w:cs="Arial" w:eastAsia="Arial" w:hAnsi="Arial"/>
                <w:sz w:val="12"/>
                <w:szCs w:val="12"/>
                <w:color w:val="auto"/>
              </w:rPr>
              <w:t>Delivery and installation</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43,523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17,953</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61,476</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Costs of sales:</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4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340"/>
              <w:spacing w:after="0"/>
              <w:rPr>
                <w:sz w:val="20"/>
                <w:szCs w:val="20"/>
                <w:color w:val="auto"/>
              </w:rPr>
            </w:pPr>
            <w:r>
              <w:rPr>
                <w:rFonts w:ascii="Arial" w:cs="Arial" w:eastAsia="Arial" w:hAnsi="Arial"/>
                <w:sz w:val="12"/>
                <w:szCs w:val="12"/>
                <w:color w:val="auto"/>
              </w:rPr>
              <w:t>New units</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6,331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2,393</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8,724</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60" w:type="dxa"/>
            <w:vAlign w:val="bottom"/>
            <w:shd w:val="clear" w:color="auto" w:fill="DBDBDB"/>
          </w:tcPr>
          <w:p>
            <w:pPr>
              <w:ind w:left="340"/>
              <w:spacing w:after="0"/>
              <w:rPr>
                <w:sz w:val="20"/>
                <w:szCs w:val="20"/>
                <w:color w:val="auto"/>
              </w:rPr>
            </w:pPr>
            <w:r>
              <w:rPr>
                <w:rFonts w:ascii="Arial" w:cs="Arial" w:eastAsia="Arial" w:hAnsi="Arial"/>
                <w:sz w:val="12"/>
                <w:szCs w:val="12"/>
                <w:color w:val="auto"/>
              </w:rPr>
              <w:t>Rental units</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3,803</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2,488</w:t>
            </w:r>
          </w:p>
        </w:tc>
        <w:tc>
          <w:tcPr>
            <w:tcW w:w="8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54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6,291</w:t>
            </w: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Borders>
              <w:bottom w:val="single" w:sz="8" w:color="DBDBDB"/>
            </w:tcBorders>
          </w:tcPr>
          <w:p>
            <w:pPr>
              <w:ind w:left="180"/>
              <w:spacing w:after="0"/>
              <w:rPr>
                <w:sz w:val="20"/>
                <w:szCs w:val="20"/>
                <w:color w:val="auto"/>
              </w:rPr>
            </w:pPr>
            <w:r>
              <w:rPr>
                <w:rFonts w:ascii="Arial" w:cs="Arial" w:eastAsia="Arial" w:hAnsi="Arial"/>
                <w:sz w:val="12"/>
                <w:szCs w:val="12"/>
                <w:color w:val="auto"/>
              </w:rPr>
              <w:t>Depreciation of rental equipment</w:t>
            </w: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45,494</w:t>
            </w:r>
          </w:p>
        </w:tc>
        <w:tc>
          <w:tcPr>
            <w:tcW w:w="80" w:type="dxa"/>
            <w:vAlign w:val="bottom"/>
            <w:tcBorders>
              <w:bottom w:val="single" w:sz="8" w:color="DBDBDB"/>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7,605</w:t>
            </w:r>
          </w:p>
        </w:tc>
        <w:tc>
          <w:tcPr>
            <w:tcW w:w="80" w:type="dxa"/>
            <w:vAlign w:val="bottom"/>
            <w:tcBorders>
              <w:bottom w:val="single" w:sz="8" w:color="DBDBDB"/>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1,167</w:t>
            </w:r>
          </w:p>
        </w:tc>
        <w:tc>
          <w:tcPr>
            <w:tcW w:w="80" w:type="dxa"/>
            <w:vAlign w:val="bottom"/>
            <w:tcBorders>
              <w:bottom w:val="single" w:sz="8" w:color="DBDBD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54,266</w:t>
            </w:r>
          </w:p>
        </w:tc>
        <w:tc>
          <w:tcPr>
            <w:tcW w:w="340" w:type="dxa"/>
            <w:vAlign w:val="bottom"/>
            <w:tcBorders>
              <w:bottom w:val="single" w:sz="8" w:color="DBDBDB"/>
            </w:tcBorders>
          </w:tcPr>
          <w:p>
            <w:pPr>
              <w:jc w:val="right"/>
              <w:spacing w:after="0"/>
              <w:rPr>
                <w:sz w:val="20"/>
                <w:szCs w:val="20"/>
                <w:color w:val="auto"/>
              </w:rPr>
            </w:pPr>
            <w:r>
              <w:rPr>
                <w:rFonts w:ascii="Arial" w:cs="Arial" w:eastAsia="Arial" w:hAnsi="Arial"/>
                <w:sz w:val="12"/>
                <w:szCs w:val="12"/>
                <w:color w:val="auto"/>
              </w:rPr>
              <w:t>(b)</w:t>
            </w:r>
          </w:p>
        </w:tc>
        <w:tc>
          <w:tcPr>
            <w:tcW w:w="0" w:type="dxa"/>
            <w:vAlign w:val="bottom"/>
          </w:tcPr>
          <w:p>
            <w:pPr>
              <w:spacing w:after="0"/>
              <w:rPr>
                <w:sz w:val="1"/>
                <w:szCs w:val="1"/>
                <w:color w:val="auto"/>
              </w:rPr>
            </w:pPr>
          </w:p>
        </w:tc>
      </w:tr>
      <w:tr>
        <w:trPr>
          <w:trHeight w:val="154"/>
        </w:trPr>
        <w:tc>
          <w:tcPr>
            <w:tcW w:w="4860" w:type="dxa"/>
            <w:vAlign w:val="bottom"/>
            <w:shd w:val="clear" w:color="auto" w:fill="DBDBDB"/>
          </w:tcPr>
          <w:p>
            <w:pPr>
              <w:ind w:left="340"/>
              <w:spacing w:after="0"/>
              <w:rPr>
                <w:sz w:val="20"/>
                <w:szCs w:val="20"/>
                <w:color w:val="auto"/>
              </w:rPr>
            </w:pPr>
            <w:r>
              <w:rPr>
                <w:rFonts w:ascii="Arial" w:cs="Arial" w:eastAsia="Arial" w:hAnsi="Arial"/>
                <w:sz w:val="12"/>
                <w:szCs w:val="12"/>
                <w:color w:val="auto"/>
              </w:rPr>
              <w:t>Gross profit</w:t>
            </w:r>
          </w:p>
        </w:tc>
        <w:tc>
          <w:tcPr>
            <w:tcW w:w="140" w:type="dxa"/>
            <w:vAlign w:val="bottom"/>
            <w:shd w:val="clear" w:color="auto" w:fill="DBDBDB"/>
          </w:tcPr>
          <w:p>
            <w:pPr>
              <w:spacing w:after="0"/>
              <w:rPr>
                <w:sz w:val="13"/>
                <w:szCs w:val="13"/>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109,964</w:t>
            </w: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90,518</w:t>
            </w: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(1,167)</w:t>
            </w: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199,315</w:t>
            </w:r>
          </w:p>
        </w:tc>
        <w:tc>
          <w:tcPr>
            <w:tcW w:w="3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20"/>
              <w:spacing w:after="0"/>
              <w:rPr>
                <w:sz w:val="20"/>
                <w:szCs w:val="20"/>
                <w:color w:val="auto"/>
              </w:rPr>
            </w:pPr>
            <w:r>
              <w:rPr>
                <w:rFonts w:ascii="Arial" w:cs="Arial" w:eastAsia="Arial" w:hAnsi="Arial"/>
                <w:sz w:val="12"/>
                <w:szCs w:val="12"/>
                <w:color w:val="auto"/>
              </w:rPr>
              <w:t>Expenses:</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Selling, general and administrative</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65,272</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49,684</w:t>
            </w:r>
          </w:p>
        </w:tc>
        <w:tc>
          <w:tcPr>
            <w:tcW w:w="8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(3,198)</w:t>
            </w: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111,757</w:t>
            </w:r>
          </w:p>
        </w:tc>
        <w:tc>
          <w:tcPr>
            <w:tcW w:w="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159"/>
        </w:trPr>
        <w:tc>
          <w:tcPr>
            <w:tcW w:w="4860" w:type="dxa"/>
            <w:vAlign w:val="bottom"/>
          </w:tcPr>
          <w:p>
            <w:pPr>
              <w:ind w:left="180"/>
              <w:spacing w:after="0"/>
              <w:rPr>
                <w:sz w:val="20"/>
                <w:szCs w:val="20"/>
                <w:color w:val="auto"/>
              </w:rPr>
            </w:pPr>
            <w:r>
              <w:rPr>
                <w:rFonts w:ascii="Arial" w:cs="Arial" w:eastAsia="Arial" w:hAnsi="Arial"/>
                <w:sz w:val="12"/>
                <w:szCs w:val="12"/>
                <w:color w:val="auto"/>
              </w:rPr>
              <w:t>Other depreciation and amortization</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2,883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9,959</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5,668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18,510</w:t>
            </w:r>
          </w:p>
        </w:tc>
        <w:tc>
          <w:tcPr>
            <w:tcW w:w="340" w:type="dxa"/>
            <w:vAlign w:val="bottom"/>
          </w:tcPr>
          <w:p>
            <w:pPr>
              <w:jc w:val="right"/>
              <w:spacing w:after="0"/>
              <w:rPr>
                <w:sz w:val="20"/>
                <w:szCs w:val="20"/>
                <w:color w:val="auto"/>
              </w:rPr>
            </w:pPr>
            <w:r>
              <w:rPr>
                <w:rFonts w:ascii="Arial" w:cs="Arial" w:eastAsia="Arial" w:hAnsi="Arial"/>
                <w:sz w:val="12"/>
                <w:szCs w:val="12"/>
                <w:color w:val="auto"/>
              </w:rPr>
              <w:t>(c)</w:t>
            </w:r>
          </w:p>
        </w:tc>
        <w:tc>
          <w:tcPr>
            <w:tcW w:w="0" w:type="dxa"/>
            <w:vAlign w:val="bottom"/>
          </w:tcPr>
          <w:p>
            <w:pPr>
              <w:spacing w:after="0"/>
              <w:rPr>
                <w:sz w:val="1"/>
                <w:szCs w:val="1"/>
                <w:color w:val="auto"/>
              </w:rPr>
            </w:pPr>
          </w:p>
        </w:tc>
      </w:tr>
      <w:tr>
        <w:trPr>
          <w:trHeight w:val="164"/>
        </w:trPr>
        <w:tc>
          <w:tcPr>
            <w:tcW w:w="48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Lease impairment expense and other related charges</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1,394</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4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spacing w:after="0"/>
              <w:rPr>
                <w:sz w:val="14"/>
                <w:szCs w:val="14"/>
                <w:color w:val="auto"/>
              </w:rPr>
            </w:pPr>
          </w:p>
        </w:tc>
        <w:tc>
          <w:tcPr>
            <w:tcW w:w="54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1,394</w:t>
            </w: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180"/>
              <w:spacing w:after="0"/>
              <w:rPr>
                <w:sz w:val="20"/>
                <w:szCs w:val="20"/>
                <w:color w:val="auto"/>
              </w:rPr>
            </w:pPr>
            <w:r>
              <w:rPr>
                <w:rFonts w:ascii="Arial" w:cs="Arial" w:eastAsia="Arial" w:hAnsi="Arial"/>
                <w:sz w:val="12"/>
                <w:szCs w:val="12"/>
                <w:color w:val="auto"/>
              </w:rPr>
              <w:t>Restructuring costs</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749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749</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Currency (gains) losses, net</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(380)</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36</w:t>
            </w:r>
          </w:p>
        </w:tc>
        <w:tc>
          <w:tcPr>
            <w:tcW w:w="8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54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(344)</w:t>
            </w: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180"/>
              <w:spacing w:after="0"/>
              <w:rPr>
                <w:sz w:val="20"/>
                <w:szCs w:val="20"/>
                <w:color w:val="auto"/>
              </w:rPr>
            </w:pPr>
            <w:r>
              <w:rPr>
                <w:rFonts w:ascii="Arial" w:cs="Arial" w:eastAsia="Arial" w:hAnsi="Arial"/>
                <w:sz w:val="12"/>
                <w:szCs w:val="12"/>
                <w:color w:val="auto"/>
              </w:rPr>
              <w:t>Other (income) expense, net</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(1,021)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158</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(863)</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60" w:type="dxa"/>
            <w:vAlign w:val="bottom"/>
            <w:tcBorders>
              <w:top w:val="single" w:sz="8" w:color="DBDBDB"/>
            </w:tcBorders>
            <w:shd w:val="clear" w:color="auto" w:fill="DBDBDB"/>
          </w:tcPr>
          <w:p>
            <w:pPr>
              <w:ind w:left="340"/>
              <w:spacing w:after="0"/>
              <w:rPr>
                <w:sz w:val="20"/>
                <w:szCs w:val="20"/>
                <w:color w:val="auto"/>
              </w:rPr>
            </w:pPr>
            <w:r>
              <w:rPr>
                <w:rFonts w:ascii="Arial" w:cs="Arial" w:eastAsia="Arial" w:hAnsi="Arial"/>
                <w:sz w:val="12"/>
                <w:szCs w:val="12"/>
                <w:color w:val="auto"/>
              </w:rPr>
              <w:t>Operating income</w:t>
            </w:r>
          </w:p>
        </w:tc>
        <w:tc>
          <w:tcPr>
            <w:tcW w:w="140" w:type="dxa"/>
            <w:vAlign w:val="bottom"/>
            <w:tcBorders>
              <w:top w:val="single" w:sz="8" w:color="auto"/>
            </w:tcBorders>
            <w:shd w:val="clear" w:color="auto" w:fill="DBDBDB"/>
          </w:tcPr>
          <w:p>
            <w:pPr>
              <w:spacing w:after="0"/>
              <w:rPr>
                <w:sz w:val="13"/>
                <w:szCs w:val="13"/>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41,067</w:t>
            </w:r>
          </w:p>
        </w:tc>
        <w:tc>
          <w:tcPr>
            <w:tcW w:w="80" w:type="dxa"/>
            <w:vAlign w:val="bottom"/>
            <w:tcBorders>
              <w:top w:val="single" w:sz="8" w:color="DBDBDB"/>
            </w:tcBorders>
            <w:shd w:val="clear" w:color="auto" w:fill="DBDBDB"/>
          </w:tcPr>
          <w:p>
            <w:pPr>
              <w:spacing w:after="0"/>
              <w:rPr>
                <w:sz w:val="13"/>
                <w:szCs w:val="13"/>
                <w:color w:val="auto"/>
              </w:rPr>
            </w:pPr>
          </w:p>
        </w:tc>
        <w:tc>
          <w:tcPr>
            <w:tcW w:w="100" w:type="dxa"/>
            <w:vAlign w:val="bottom"/>
            <w:tcBorders>
              <w:top w:val="single" w:sz="8" w:color="auto"/>
            </w:tcBorders>
            <w:shd w:val="clear" w:color="auto" w:fill="DBDBDB"/>
          </w:tcPr>
          <w:p>
            <w:pPr>
              <w:spacing w:after="0"/>
              <w:rPr>
                <w:sz w:val="13"/>
                <w:szCs w:val="13"/>
                <w:color w:val="auto"/>
              </w:rPr>
            </w:pP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30,681</w:t>
            </w:r>
          </w:p>
        </w:tc>
        <w:tc>
          <w:tcPr>
            <w:tcW w:w="80" w:type="dxa"/>
            <w:vAlign w:val="bottom"/>
            <w:tcBorders>
              <w:top w:val="single" w:sz="8" w:color="DBDBDB"/>
            </w:tcBorders>
            <w:shd w:val="clear" w:color="auto" w:fill="DBDBDB"/>
          </w:tcPr>
          <w:p>
            <w:pPr>
              <w:spacing w:after="0"/>
              <w:rPr>
                <w:sz w:val="13"/>
                <w:szCs w:val="13"/>
                <w:color w:val="auto"/>
              </w:rPr>
            </w:pPr>
          </w:p>
        </w:tc>
        <w:tc>
          <w:tcPr>
            <w:tcW w:w="1020" w:type="dxa"/>
            <w:vAlign w:val="bottom"/>
            <w:tcBorders>
              <w:top w:val="single" w:sz="8" w:color="auto"/>
            </w:tcBorders>
            <w:shd w:val="clear" w:color="auto" w:fill="DBDBDB"/>
          </w:tcPr>
          <w:p>
            <w:pPr>
              <w:spacing w:after="0"/>
              <w:rPr>
                <w:sz w:val="13"/>
                <w:szCs w:val="13"/>
                <w:color w:val="auto"/>
              </w:rPr>
            </w:pPr>
          </w:p>
        </w:tc>
        <w:tc>
          <w:tcPr>
            <w:tcW w:w="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(3,637)</w:t>
            </w:r>
          </w:p>
        </w:tc>
        <w:tc>
          <w:tcPr>
            <w:tcW w:w="80" w:type="dxa"/>
            <w:vAlign w:val="bottom"/>
            <w:tcBorders>
              <w:top w:val="single" w:sz="8" w:color="DBDBDB"/>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68,111</w:t>
            </w:r>
          </w:p>
        </w:tc>
        <w:tc>
          <w:tcPr>
            <w:tcW w:w="340" w:type="dxa"/>
            <w:vAlign w:val="bottom"/>
            <w:tcBorders>
              <w:top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180"/>
              <w:spacing w:after="0"/>
              <w:rPr>
                <w:sz w:val="20"/>
                <w:szCs w:val="20"/>
                <w:color w:val="auto"/>
              </w:rPr>
            </w:pPr>
            <w:r>
              <w:rPr>
                <w:rFonts w:ascii="Arial" w:cs="Arial" w:eastAsia="Arial" w:hAnsi="Arial"/>
                <w:sz w:val="12"/>
                <w:szCs w:val="12"/>
                <w:color w:val="auto"/>
              </w:rPr>
              <w:t>Interest expense</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28,519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7,714</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(3,661)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32,572</w:t>
            </w:r>
          </w:p>
        </w:tc>
        <w:tc>
          <w:tcPr>
            <w:tcW w:w="340" w:type="dxa"/>
            <w:vAlign w:val="bottom"/>
          </w:tcPr>
          <w:p>
            <w:pPr>
              <w:jc w:val="right"/>
              <w:spacing w:after="0"/>
              <w:rPr>
                <w:sz w:val="20"/>
                <w:szCs w:val="20"/>
                <w:color w:val="auto"/>
              </w:rPr>
            </w:pPr>
            <w:r>
              <w:rPr>
                <w:rFonts w:ascii="Arial" w:cs="Arial" w:eastAsia="Arial" w:hAnsi="Arial"/>
                <w:sz w:val="12"/>
                <w:szCs w:val="12"/>
                <w:color w:val="auto"/>
              </w:rPr>
              <w:t>(d)</w:t>
            </w:r>
          </w:p>
        </w:tc>
        <w:tc>
          <w:tcPr>
            <w:tcW w:w="0" w:type="dxa"/>
            <w:vAlign w:val="bottom"/>
          </w:tcPr>
          <w:p>
            <w:pPr>
              <w:spacing w:after="0"/>
              <w:rPr>
                <w:sz w:val="1"/>
                <w:szCs w:val="1"/>
                <w:color w:val="auto"/>
              </w:rPr>
            </w:pPr>
          </w:p>
        </w:tc>
      </w:tr>
      <w:tr>
        <w:trPr>
          <w:trHeight w:val="161"/>
        </w:trPr>
        <w:tc>
          <w:tcPr>
            <w:tcW w:w="48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Fair value loss on common stock warrant liabilities</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26,963</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4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spacing w:after="0"/>
              <w:rPr>
                <w:sz w:val="14"/>
                <w:szCs w:val="14"/>
                <w:color w:val="auto"/>
              </w:rPr>
            </w:pPr>
          </w:p>
        </w:tc>
        <w:tc>
          <w:tcPr>
            <w:tcW w:w="54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26,963</w:t>
            </w: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860" w:type="dxa"/>
            <w:vAlign w:val="bottom"/>
          </w:tcPr>
          <w:p>
            <w:pPr>
              <w:ind w:left="340"/>
              <w:spacing w:after="0"/>
              <w:rPr>
                <w:sz w:val="20"/>
                <w:szCs w:val="20"/>
                <w:color w:val="auto"/>
              </w:rPr>
            </w:pPr>
            <w:r>
              <w:rPr>
                <w:rFonts w:ascii="Arial" w:cs="Arial" w:eastAsia="Arial" w:hAnsi="Arial"/>
                <w:sz w:val="12"/>
                <w:szCs w:val="12"/>
                <w:color w:val="auto"/>
              </w:rPr>
              <w:t>(Loss) income before income tax</w:t>
            </w: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(14,415)</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22,967</w:t>
            </w: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8,576</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Income tax (benefit) expense</w:t>
            </w:r>
          </w:p>
        </w:tc>
        <w:tc>
          <w:tcPr>
            <w:tcW w:w="14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(285)</w:t>
            </w:r>
          </w:p>
        </w:tc>
        <w:tc>
          <w:tcPr>
            <w:tcW w:w="80" w:type="dxa"/>
            <w:vAlign w:val="bottom"/>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5,724</w:t>
            </w:r>
          </w:p>
        </w:tc>
        <w:tc>
          <w:tcPr>
            <w:tcW w:w="80" w:type="dxa"/>
            <w:vAlign w:val="bottom"/>
            <w:shd w:val="clear" w:color="auto" w:fill="DBDBDB"/>
          </w:tcPr>
          <w:p>
            <w:pPr>
              <w:spacing w:after="0"/>
              <w:rPr>
                <w:sz w:val="14"/>
                <w:szCs w:val="14"/>
                <w:color w:val="auto"/>
              </w:rPr>
            </w:pPr>
          </w:p>
        </w:tc>
        <w:tc>
          <w:tcPr>
            <w:tcW w:w="1020" w:type="dxa"/>
            <w:vAlign w:val="bottom"/>
            <w:tcBorders>
              <w:bottom w:val="single" w:sz="8" w:color="auto"/>
            </w:tcBorders>
            <w:shd w:val="clear" w:color="auto" w:fill="DBDBDB"/>
          </w:tcPr>
          <w:p>
            <w:pPr>
              <w:spacing w:after="0"/>
              <w:rPr>
                <w:sz w:val="14"/>
                <w:szCs w:val="14"/>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4,298</w:t>
            </w:r>
          </w:p>
        </w:tc>
        <w:tc>
          <w:tcPr>
            <w:tcW w:w="80" w:type="dxa"/>
            <w:vAlign w:val="bottom"/>
            <w:shd w:val="clear" w:color="auto" w:fill="DBDBDB"/>
          </w:tcPr>
          <w:p>
            <w:pPr>
              <w:spacing w:after="0"/>
              <w:rPr>
                <w:sz w:val="14"/>
                <w:szCs w:val="14"/>
                <w:color w:val="auto"/>
              </w:rPr>
            </w:pPr>
          </w:p>
        </w:tc>
        <w:tc>
          <w:tcPr>
            <w:tcW w:w="80" w:type="dxa"/>
            <w:vAlign w:val="bottom"/>
            <w:tcBorders>
              <w:bottom w:val="single" w:sz="8" w:color="auto"/>
            </w:tcBorders>
            <w:shd w:val="clear" w:color="auto" w:fill="DBDBDB"/>
          </w:tcPr>
          <w:p>
            <w:pPr>
              <w:spacing w:after="0"/>
              <w:rPr>
                <w:sz w:val="14"/>
                <w:szCs w:val="14"/>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9,737</w:t>
            </w:r>
          </w:p>
        </w:tc>
        <w:tc>
          <w:tcPr>
            <w:tcW w:w="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(e)</w:t>
            </w:r>
          </w:p>
        </w:tc>
        <w:tc>
          <w:tcPr>
            <w:tcW w:w="0" w:type="dxa"/>
            <w:vAlign w:val="bottom"/>
          </w:tcPr>
          <w:p>
            <w:pPr>
              <w:spacing w:after="0"/>
              <w:rPr>
                <w:sz w:val="1"/>
                <w:szCs w:val="1"/>
                <w:color w:val="auto"/>
              </w:rPr>
            </w:pPr>
          </w:p>
        </w:tc>
      </w:tr>
      <w:tr>
        <w:trPr>
          <w:trHeight w:val="151"/>
        </w:trPr>
        <w:tc>
          <w:tcPr>
            <w:tcW w:w="4860" w:type="dxa"/>
            <w:vAlign w:val="bottom"/>
          </w:tcPr>
          <w:p>
            <w:pPr>
              <w:ind w:left="340"/>
              <w:spacing w:after="0"/>
              <w:rPr>
                <w:sz w:val="20"/>
                <w:szCs w:val="20"/>
                <w:color w:val="auto"/>
              </w:rPr>
            </w:pPr>
            <w:r>
              <w:rPr>
                <w:rFonts w:ascii="Arial" w:cs="Arial" w:eastAsia="Arial" w:hAnsi="Arial"/>
                <w:sz w:val="12"/>
                <w:szCs w:val="12"/>
                <w:color w:val="auto"/>
              </w:rPr>
              <w:t>Net (loss) income</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(14,130)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17,243</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(4,274)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(1,161)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60" w:type="dxa"/>
            <w:vAlign w:val="bottom"/>
            <w:shd w:val="clear" w:color="auto" w:fill="DBDBDB"/>
          </w:tcPr>
          <w:p>
            <w:pPr>
              <w:ind w:left="20"/>
              <w:spacing w:after="0"/>
              <w:rPr>
                <w:sz w:val="20"/>
                <w:szCs w:val="20"/>
                <w:color w:val="auto"/>
              </w:rPr>
            </w:pPr>
            <w:r>
              <w:rPr>
                <w:rFonts w:ascii="Arial" w:cs="Arial" w:eastAsia="Arial" w:hAnsi="Arial"/>
                <w:sz w:val="12"/>
                <w:szCs w:val="12"/>
                <w:color w:val="auto"/>
              </w:rPr>
              <w:t>Net income attributable to non-controlling interest, net of tax</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1,343</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4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spacing w:after="0"/>
              <w:rPr>
                <w:sz w:val="14"/>
                <w:szCs w:val="14"/>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(1,343)</w:t>
            </w: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(f)</w:t>
            </w:r>
          </w:p>
        </w:tc>
        <w:tc>
          <w:tcPr>
            <w:tcW w:w="0" w:type="dxa"/>
            <w:vAlign w:val="bottom"/>
          </w:tcPr>
          <w:p>
            <w:pPr>
              <w:spacing w:after="0"/>
              <w:rPr>
                <w:sz w:val="1"/>
                <w:szCs w:val="1"/>
                <w:color w:val="auto"/>
              </w:rPr>
            </w:pPr>
          </w:p>
        </w:tc>
      </w:tr>
      <w:tr>
        <w:trPr>
          <w:trHeight w:val="154"/>
        </w:trPr>
        <w:tc>
          <w:tcPr>
            <w:tcW w:w="4860" w:type="dxa"/>
            <w:vAlign w:val="bottom"/>
          </w:tcPr>
          <w:p>
            <w:pPr>
              <w:ind w:left="20"/>
              <w:spacing w:after="0"/>
              <w:rPr>
                <w:sz w:val="20"/>
                <w:szCs w:val="20"/>
                <w:color w:val="auto"/>
              </w:rPr>
            </w:pPr>
            <w:r>
              <w:rPr>
                <w:rFonts w:ascii="Arial" w:cs="Arial" w:eastAsia="Arial" w:hAnsi="Arial"/>
                <w:sz w:val="12"/>
                <w:szCs w:val="12"/>
                <w:color w:val="auto"/>
              </w:rPr>
              <w:t>Net (loss) income attributable to WillScot Mobile Mini</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(15,473)</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17,243</w:t>
            </w:r>
          </w:p>
        </w:tc>
        <w:tc>
          <w:tcPr>
            <w:tcW w:w="8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(2,931)</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(1,161)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5"/>
        </w:trPr>
        <w:tc>
          <w:tcPr>
            <w:tcW w:w="4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886"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486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2400" w:type="dxa"/>
            <w:vAlign w:val="bottom"/>
            <w:gridSpan w:val="3"/>
            <w:shd w:val="clear" w:color="auto" w:fill="1D2758"/>
          </w:tcPr>
          <w:p>
            <w:pPr>
              <w:jc w:val="right"/>
              <w:spacing w:after="0"/>
              <w:rPr>
                <w:sz w:val="20"/>
                <w:szCs w:val="20"/>
                <w:color w:val="auto"/>
              </w:rPr>
            </w:pPr>
            <w:r>
              <w:rPr>
                <w:rFonts w:ascii="Arial" w:cs="Arial" w:eastAsia="Arial" w:hAnsi="Arial"/>
                <w:sz w:val="12"/>
                <w:szCs w:val="12"/>
                <w:b w:val="1"/>
                <w:bCs w:val="1"/>
                <w:color w:val="FFFFFF"/>
              </w:rPr>
              <w:t>Six Months Ended June 30, 2020</w:t>
            </w:r>
          </w:p>
        </w:tc>
        <w:tc>
          <w:tcPr>
            <w:tcW w:w="52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380" w:type="dxa"/>
            <w:vAlign w:val="bottom"/>
            <w:shd w:val="clear" w:color="auto" w:fill="1D2758"/>
          </w:tcPr>
          <w:p>
            <w:pPr>
              <w:spacing w:after="0"/>
              <w:rPr>
                <w:sz w:val="14"/>
                <w:szCs w:val="14"/>
                <w:color w:val="auto"/>
              </w:rPr>
            </w:pPr>
          </w:p>
        </w:tc>
        <w:tc>
          <w:tcPr>
            <w:tcW w:w="34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860" w:type="dxa"/>
            <w:vAlign w:val="bottom"/>
            <w:vMerge w:val="restart"/>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140" w:type="dxa"/>
            <w:vAlign w:val="bottom"/>
            <w:shd w:val="clear" w:color="auto" w:fill="1D2758"/>
          </w:tcPr>
          <w:p>
            <w:pPr>
              <w:spacing w:after="0"/>
              <w:rPr>
                <w:sz w:val="10"/>
                <w:szCs w:val="10"/>
                <w:color w:val="auto"/>
              </w:rPr>
            </w:pPr>
          </w:p>
        </w:tc>
        <w:tc>
          <w:tcPr>
            <w:tcW w:w="1300" w:type="dxa"/>
            <w:vAlign w:val="bottom"/>
            <w:shd w:val="clear" w:color="auto" w:fill="1D2758"/>
          </w:tcPr>
          <w:p>
            <w:pPr>
              <w:spacing w:after="0"/>
              <w:rPr>
                <w:sz w:val="10"/>
                <w:szCs w:val="10"/>
                <w:color w:val="auto"/>
              </w:rPr>
            </w:pPr>
          </w:p>
        </w:tc>
        <w:tc>
          <w:tcPr>
            <w:tcW w:w="80" w:type="dxa"/>
            <w:vAlign w:val="bottom"/>
            <w:shd w:val="clear" w:color="auto" w:fill="1D2758"/>
          </w:tcPr>
          <w:p>
            <w:pPr>
              <w:spacing w:after="0"/>
              <w:rPr>
                <w:sz w:val="10"/>
                <w:szCs w:val="10"/>
                <w:color w:val="auto"/>
              </w:rPr>
            </w:pPr>
          </w:p>
        </w:tc>
        <w:tc>
          <w:tcPr>
            <w:tcW w:w="100" w:type="dxa"/>
            <w:vAlign w:val="bottom"/>
            <w:shd w:val="clear" w:color="auto" w:fill="1D2758"/>
          </w:tcPr>
          <w:p>
            <w:pPr>
              <w:spacing w:after="0"/>
              <w:rPr>
                <w:sz w:val="10"/>
                <w:szCs w:val="10"/>
                <w:color w:val="auto"/>
              </w:rPr>
            </w:pPr>
          </w:p>
        </w:tc>
        <w:tc>
          <w:tcPr>
            <w:tcW w:w="1440" w:type="dxa"/>
            <w:vAlign w:val="bottom"/>
            <w:gridSpan w:val="2"/>
            <w:shd w:val="clear" w:color="auto" w:fill="1D2758"/>
          </w:tcPr>
          <w:p>
            <w:pPr>
              <w:jc w:val="center"/>
              <w:ind w:right="160"/>
              <w:spacing w:after="0" w:line="121" w:lineRule="exact"/>
              <w:rPr>
                <w:sz w:val="20"/>
                <w:szCs w:val="20"/>
                <w:color w:val="auto"/>
              </w:rPr>
            </w:pPr>
            <w:r>
              <w:rPr>
                <w:rFonts w:ascii="Arial" w:cs="Arial" w:eastAsia="Arial" w:hAnsi="Arial"/>
                <w:sz w:val="12"/>
                <w:szCs w:val="12"/>
                <w:b w:val="1"/>
                <w:bCs w:val="1"/>
                <w:color w:val="FFFFFF"/>
              </w:rPr>
              <w:t>Historical Mobile Mini</w:t>
            </w:r>
          </w:p>
        </w:tc>
        <w:tc>
          <w:tcPr>
            <w:tcW w:w="960" w:type="dxa"/>
            <w:vAlign w:val="bottom"/>
            <w:shd w:val="clear" w:color="auto" w:fill="1D2758"/>
          </w:tcPr>
          <w:p>
            <w:pPr>
              <w:spacing w:after="0"/>
              <w:rPr>
                <w:sz w:val="10"/>
                <w:szCs w:val="10"/>
                <w:color w:val="auto"/>
              </w:rPr>
            </w:pPr>
          </w:p>
        </w:tc>
        <w:tc>
          <w:tcPr>
            <w:tcW w:w="520" w:type="dxa"/>
            <w:vAlign w:val="bottom"/>
            <w:shd w:val="clear" w:color="auto" w:fill="1D2758"/>
          </w:tcPr>
          <w:p>
            <w:pPr>
              <w:spacing w:after="0"/>
              <w:rPr>
                <w:sz w:val="10"/>
                <w:szCs w:val="10"/>
                <w:color w:val="auto"/>
              </w:rPr>
            </w:pPr>
          </w:p>
        </w:tc>
        <w:tc>
          <w:tcPr>
            <w:tcW w:w="80" w:type="dxa"/>
            <w:vAlign w:val="bottom"/>
            <w:shd w:val="clear" w:color="auto" w:fill="1D2758"/>
          </w:tcPr>
          <w:p>
            <w:pPr>
              <w:spacing w:after="0"/>
              <w:rPr>
                <w:sz w:val="10"/>
                <w:szCs w:val="10"/>
                <w:color w:val="auto"/>
              </w:rPr>
            </w:pPr>
          </w:p>
        </w:tc>
        <w:tc>
          <w:tcPr>
            <w:tcW w:w="80" w:type="dxa"/>
            <w:vAlign w:val="bottom"/>
            <w:shd w:val="clear" w:color="auto" w:fill="1D2758"/>
          </w:tcPr>
          <w:p>
            <w:pPr>
              <w:spacing w:after="0"/>
              <w:rPr>
                <w:sz w:val="10"/>
                <w:szCs w:val="10"/>
                <w:color w:val="auto"/>
              </w:rPr>
            </w:pPr>
          </w:p>
        </w:tc>
        <w:tc>
          <w:tcPr>
            <w:tcW w:w="1380" w:type="dxa"/>
            <w:vAlign w:val="bottom"/>
            <w:shd w:val="clear" w:color="auto" w:fill="1D2758"/>
          </w:tcPr>
          <w:p>
            <w:pPr>
              <w:jc w:val="right"/>
              <w:ind w:right="19"/>
              <w:spacing w:after="0" w:line="121" w:lineRule="exact"/>
              <w:rPr>
                <w:sz w:val="20"/>
                <w:szCs w:val="20"/>
                <w:color w:val="auto"/>
              </w:rPr>
            </w:pPr>
            <w:r>
              <w:rPr>
                <w:rFonts w:ascii="Arial" w:cs="Arial" w:eastAsia="Arial" w:hAnsi="Arial"/>
                <w:sz w:val="12"/>
                <w:szCs w:val="12"/>
                <w:b w:val="1"/>
                <w:bCs w:val="1"/>
                <w:color w:val="FFFFFF"/>
                <w:w w:val="99"/>
              </w:rPr>
              <w:t>Pro Forma Condensed</w:t>
            </w:r>
          </w:p>
        </w:tc>
        <w:tc>
          <w:tcPr>
            <w:tcW w:w="340" w:type="dxa"/>
            <w:vAlign w:val="bottom"/>
            <w:shd w:val="clear" w:color="auto" w:fill="1D2758"/>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860" w:type="dxa"/>
            <w:vAlign w:val="bottom"/>
            <w:vMerge w:val="continue"/>
            <w:shd w:val="clear" w:color="auto" w:fill="1D2758"/>
          </w:tcPr>
          <w:p>
            <w:pPr>
              <w:spacing w:after="0"/>
              <w:rPr>
                <w:sz w:val="7"/>
                <w:szCs w:val="7"/>
                <w:color w:val="auto"/>
              </w:rPr>
            </w:pPr>
          </w:p>
        </w:tc>
        <w:tc>
          <w:tcPr>
            <w:tcW w:w="140" w:type="dxa"/>
            <w:vAlign w:val="bottom"/>
            <w:shd w:val="clear" w:color="auto" w:fill="1D2758"/>
          </w:tcPr>
          <w:p>
            <w:pPr>
              <w:spacing w:after="0"/>
              <w:rPr>
                <w:sz w:val="7"/>
                <w:szCs w:val="7"/>
                <w:color w:val="auto"/>
              </w:rPr>
            </w:pPr>
          </w:p>
        </w:tc>
        <w:tc>
          <w:tcPr>
            <w:tcW w:w="1380" w:type="dxa"/>
            <w:vAlign w:val="bottom"/>
            <w:gridSpan w:val="2"/>
            <w:vMerge w:val="restart"/>
            <w:shd w:val="clear" w:color="auto" w:fill="1D2758"/>
          </w:tcPr>
          <w:p>
            <w:pPr>
              <w:ind w:left="40"/>
              <w:spacing w:after="0"/>
              <w:rPr>
                <w:sz w:val="20"/>
                <w:szCs w:val="20"/>
                <w:color w:val="auto"/>
              </w:rPr>
            </w:pPr>
            <w:r>
              <w:rPr>
                <w:rFonts w:ascii="Arial" w:cs="Arial" w:eastAsia="Arial" w:hAnsi="Arial"/>
                <w:sz w:val="12"/>
                <w:szCs w:val="12"/>
                <w:b w:val="1"/>
                <w:bCs w:val="1"/>
                <w:color w:val="FFFFFF"/>
              </w:rPr>
              <w:t>Historical WillScot</w:t>
            </w:r>
          </w:p>
        </w:tc>
        <w:tc>
          <w:tcPr>
            <w:tcW w:w="100" w:type="dxa"/>
            <w:vAlign w:val="bottom"/>
            <w:shd w:val="clear" w:color="auto" w:fill="1D2758"/>
          </w:tcPr>
          <w:p>
            <w:pPr>
              <w:spacing w:after="0"/>
              <w:rPr>
                <w:sz w:val="7"/>
                <w:szCs w:val="7"/>
                <w:color w:val="auto"/>
              </w:rPr>
            </w:pPr>
          </w:p>
        </w:tc>
        <w:tc>
          <w:tcPr>
            <w:tcW w:w="1440" w:type="dxa"/>
            <w:vAlign w:val="bottom"/>
            <w:gridSpan w:val="2"/>
            <w:vMerge w:val="restart"/>
            <w:shd w:val="clear" w:color="auto" w:fill="1D2758"/>
          </w:tcPr>
          <w:p>
            <w:pPr>
              <w:jc w:val="center"/>
              <w:ind w:right="160"/>
              <w:spacing w:after="0"/>
              <w:rPr>
                <w:sz w:val="20"/>
                <w:szCs w:val="20"/>
                <w:color w:val="auto"/>
              </w:rPr>
            </w:pPr>
            <w:r>
              <w:rPr>
                <w:rFonts w:ascii="Arial" w:cs="Arial" w:eastAsia="Arial" w:hAnsi="Arial"/>
                <w:sz w:val="12"/>
                <w:szCs w:val="12"/>
                <w:b w:val="1"/>
                <w:bCs w:val="1"/>
                <w:color w:val="FFFFFF"/>
              </w:rPr>
              <w:t>(as reclassified)</w:t>
            </w:r>
          </w:p>
        </w:tc>
        <w:tc>
          <w:tcPr>
            <w:tcW w:w="1560" w:type="dxa"/>
            <w:vAlign w:val="bottom"/>
            <w:gridSpan w:val="3"/>
            <w:vMerge w:val="restart"/>
            <w:shd w:val="clear" w:color="auto" w:fill="1D2758"/>
          </w:tcPr>
          <w:p>
            <w:pPr>
              <w:ind w:left="60"/>
              <w:spacing w:after="0"/>
              <w:rPr>
                <w:sz w:val="20"/>
                <w:szCs w:val="20"/>
                <w:color w:val="auto"/>
              </w:rPr>
            </w:pPr>
            <w:r>
              <w:rPr>
                <w:rFonts w:ascii="Arial" w:cs="Arial" w:eastAsia="Arial" w:hAnsi="Arial"/>
                <w:sz w:val="12"/>
                <w:szCs w:val="12"/>
                <w:b w:val="1"/>
                <w:bCs w:val="1"/>
                <w:color w:val="FFFFFF"/>
              </w:rPr>
              <w:t>Pro Forma Adjustments</w:t>
            </w:r>
          </w:p>
        </w:tc>
        <w:tc>
          <w:tcPr>
            <w:tcW w:w="80" w:type="dxa"/>
            <w:vAlign w:val="bottom"/>
            <w:shd w:val="clear" w:color="auto" w:fill="1D2758"/>
          </w:tcPr>
          <w:p>
            <w:pPr>
              <w:spacing w:after="0"/>
              <w:rPr>
                <w:sz w:val="7"/>
                <w:szCs w:val="7"/>
                <w:color w:val="auto"/>
              </w:rPr>
            </w:pPr>
          </w:p>
        </w:tc>
        <w:tc>
          <w:tcPr>
            <w:tcW w:w="1380" w:type="dxa"/>
            <w:vAlign w:val="bottom"/>
            <w:vMerge w:val="restart"/>
            <w:shd w:val="clear" w:color="auto" w:fill="1D2758"/>
          </w:tcPr>
          <w:p>
            <w:pPr>
              <w:jc w:val="right"/>
              <w:ind w:right="379"/>
              <w:spacing w:after="0"/>
              <w:rPr>
                <w:sz w:val="20"/>
                <w:szCs w:val="20"/>
                <w:color w:val="auto"/>
              </w:rPr>
            </w:pPr>
            <w:r>
              <w:rPr>
                <w:rFonts w:ascii="Arial" w:cs="Arial" w:eastAsia="Arial" w:hAnsi="Arial"/>
                <w:sz w:val="12"/>
                <w:szCs w:val="12"/>
                <w:b w:val="1"/>
                <w:bCs w:val="1"/>
                <w:color w:val="FFFFFF"/>
              </w:rPr>
              <w:t>Combined</w:t>
            </w:r>
          </w:p>
        </w:tc>
        <w:tc>
          <w:tcPr>
            <w:tcW w:w="34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860" w:type="dxa"/>
            <w:vAlign w:val="bottom"/>
            <w:shd w:val="clear" w:color="auto" w:fill="1D2758"/>
          </w:tcPr>
          <w:p>
            <w:pPr>
              <w:spacing w:after="0"/>
              <w:rPr>
                <w:sz w:val="6"/>
                <w:szCs w:val="6"/>
                <w:color w:val="auto"/>
              </w:rPr>
            </w:pPr>
          </w:p>
        </w:tc>
        <w:tc>
          <w:tcPr>
            <w:tcW w:w="140" w:type="dxa"/>
            <w:vAlign w:val="bottom"/>
            <w:shd w:val="clear" w:color="auto" w:fill="1D2758"/>
          </w:tcPr>
          <w:p>
            <w:pPr>
              <w:spacing w:after="0"/>
              <w:rPr>
                <w:sz w:val="6"/>
                <w:szCs w:val="6"/>
                <w:color w:val="auto"/>
              </w:rPr>
            </w:pPr>
          </w:p>
        </w:tc>
        <w:tc>
          <w:tcPr>
            <w:tcW w:w="1380" w:type="dxa"/>
            <w:vAlign w:val="bottom"/>
            <w:gridSpan w:val="2"/>
            <w:vMerge w:val="continue"/>
            <w:shd w:val="clear" w:color="auto" w:fill="1D2758"/>
          </w:tcPr>
          <w:p>
            <w:pPr>
              <w:spacing w:after="0"/>
              <w:rPr>
                <w:sz w:val="6"/>
                <w:szCs w:val="6"/>
                <w:color w:val="auto"/>
              </w:rPr>
            </w:pPr>
          </w:p>
        </w:tc>
        <w:tc>
          <w:tcPr>
            <w:tcW w:w="100" w:type="dxa"/>
            <w:vAlign w:val="bottom"/>
            <w:shd w:val="clear" w:color="auto" w:fill="1D2758"/>
          </w:tcPr>
          <w:p>
            <w:pPr>
              <w:spacing w:after="0"/>
              <w:rPr>
                <w:sz w:val="6"/>
                <w:szCs w:val="6"/>
                <w:color w:val="auto"/>
              </w:rPr>
            </w:pPr>
          </w:p>
        </w:tc>
        <w:tc>
          <w:tcPr>
            <w:tcW w:w="1440" w:type="dxa"/>
            <w:vAlign w:val="bottom"/>
            <w:gridSpan w:val="2"/>
            <w:vMerge w:val="continue"/>
            <w:shd w:val="clear" w:color="auto" w:fill="1D2758"/>
          </w:tcPr>
          <w:p>
            <w:pPr>
              <w:spacing w:after="0"/>
              <w:rPr>
                <w:sz w:val="6"/>
                <w:szCs w:val="6"/>
                <w:color w:val="auto"/>
              </w:rPr>
            </w:pPr>
          </w:p>
        </w:tc>
        <w:tc>
          <w:tcPr>
            <w:tcW w:w="1560" w:type="dxa"/>
            <w:vAlign w:val="bottom"/>
            <w:gridSpan w:val="3"/>
            <w:vMerge w:val="continue"/>
            <w:shd w:val="clear" w:color="auto" w:fill="1D2758"/>
          </w:tcPr>
          <w:p>
            <w:pPr>
              <w:spacing w:after="0"/>
              <w:rPr>
                <w:sz w:val="6"/>
                <w:szCs w:val="6"/>
                <w:color w:val="auto"/>
              </w:rPr>
            </w:pPr>
          </w:p>
        </w:tc>
        <w:tc>
          <w:tcPr>
            <w:tcW w:w="80" w:type="dxa"/>
            <w:vAlign w:val="bottom"/>
            <w:shd w:val="clear" w:color="auto" w:fill="1D2758"/>
          </w:tcPr>
          <w:p>
            <w:pPr>
              <w:spacing w:after="0"/>
              <w:rPr>
                <w:sz w:val="6"/>
                <w:szCs w:val="6"/>
                <w:color w:val="auto"/>
              </w:rPr>
            </w:pPr>
          </w:p>
        </w:tc>
        <w:tc>
          <w:tcPr>
            <w:tcW w:w="1380" w:type="dxa"/>
            <w:vAlign w:val="bottom"/>
            <w:vMerge w:val="continue"/>
            <w:shd w:val="clear" w:color="auto" w:fill="1D2758"/>
          </w:tcPr>
          <w:p>
            <w:pPr>
              <w:spacing w:after="0"/>
              <w:rPr>
                <w:sz w:val="6"/>
                <w:szCs w:val="6"/>
                <w:color w:val="auto"/>
              </w:rPr>
            </w:pPr>
          </w:p>
        </w:tc>
        <w:tc>
          <w:tcPr>
            <w:tcW w:w="340" w:type="dxa"/>
            <w:vAlign w:val="bottom"/>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4860" w:type="dxa"/>
            <w:vAlign w:val="bottom"/>
            <w:shd w:val="clear" w:color="auto" w:fill="DBDBDB"/>
          </w:tcPr>
          <w:p>
            <w:pPr>
              <w:ind w:left="20"/>
              <w:spacing w:after="0"/>
              <w:rPr>
                <w:sz w:val="20"/>
                <w:szCs w:val="20"/>
                <w:color w:val="auto"/>
              </w:rPr>
            </w:pPr>
            <w:r>
              <w:rPr>
                <w:rFonts w:ascii="Arial" w:cs="Arial" w:eastAsia="Arial" w:hAnsi="Arial"/>
                <w:sz w:val="12"/>
                <w:szCs w:val="12"/>
                <w:color w:val="auto"/>
              </w:rPr>
              <w:t>Revenues:</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180"/>
              <w:spacing w:after="0"/>
              <w:rPr>
                <w:sz w:val="20"/>
                <w:szCs w:val="20"/>
                <w:color w:val="auto"/>
              </w:rPr>
            </w:pPr>
            <w:r>
              <w:rPr>
                <w:rFonts w:ascii="Arial" w:cs="Arial" w:eastAsia="Arial" w:hAnsi="Arial"/>
                <w:sz w:val="12"/>
                <w:szCs w:val="12"/>
                <w:color w:val="auto"/>
              </w:rPr>
              <w:t>Leasing and services revenue:</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60" w:type="dxa"/>
            <w:vAlign w:val="bottom"/>
            <w:shd w:val="clear" w:color="auto" w:fill="DBDBDB"/>
          </w:tcPr>
          <w:p>
            <w:pPr>
              <w:ind w:left="340"/>
              <w:spacing w:after="0"/>
              <w:rPr>
                <w:sz w:val="20"/>
                <w:szCs w:val="20"/>
                <w:color w:val="auto"/>
              </w:rPr>
            </w:pPr>
            <w:r>
              <w:rPr>
                <w:rFonts w:ascii="Arial" w:cs="Arial" w:eastAsia="Arial" w:hAnsi="Arial"/>
                <w:sz w:val="12"/>
                <w:szCs w:val="12"/>
                <w:color w:val="auto"/>
              </w:rPr>
              <w:t>Leasing</w:t>
            </w:r>
          </w:p>
        </w:tc>
        <w:tc>
          <w:tcPr>
            <w:tcW w:w="14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378,495</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208,374</w:t>
            </w:r>
          </w:p>
        </w:tc>
        <w:tc>
          <w:tcPr>
            <w:tcW w:w="80" w:type="dxa"/>
            <w:vAlign w:val="bottom"/>
            <w:shd w:val="clear" w:color="auto" w:fill="DBDBDB"/>
          </w:tcPr>
          <w:p>
            <w:pPr>
              <w:spacing w:after="0"/>
              <w:rPr>
                <w:sz w:val="14"/>
                <w:szCs w:val="14"/>
                <w:color w:val="auto"/>
              </w:rPr>
            </w:pPr>
          </w:p>
        </w:tc>
        <w:tc>
          <w:tcPr>
            <w:tcW w:w="960" w:type="dxa"/>
            <w:vAlign w:val="bottom"/>
            <w:shd w:val="clear" w:color="auto" w:fill="DBDBDB"/>
          </w:tcPr>
          <w:p>
            <w:pPr>
              <w:jc w:val="right"/>
              <w:ind w:right="819"/>
              <w:spacing w:after="0"/>
              <w:rPr>
                <w:sz w:val="20"/>
                <w:szCs w:val="20"/>
                <w:color w:val="auto"/>
              </w:rPr>
            </w:pPr>
            <w:r>
              <w:rPr>
                <w:rFonts w:ascii="Arial" w:cs="Arial" w:eastAsia="Arial" w:hAnsi="Arial"/>
                <w:sz w:val="12"/>
                <w:szCs w:val="12"/>
                <w:color w:val="auto"/>
                <w:w w:val="89"/>
              </w:rPr>
              <w:t>$</w:t>
            </w:r>
          </w:p>
        </w:tc>
        <w:tc>
          <w:tcPr>
            <w:tcW w:w="60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586,869</w:t>
            </w: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340"/>
              <w:spacing w:after="0"/>
              <w:rPr>
                <w:sz w:val="20"/>
                <w:szCs w:val="20"/>
                <w:color w:val="auto"/>
              </w:rPr>
            </w:pPr>
            <w:r>
              <w:rPr>
                <w:rFonts w:ascii="Arial" w:cs="Arial" w:eastAsia="Arial" w:hAnsi="Arial"/>
                <w:sz w:val="12"/>
                <w:szCs w:val="12"/>
                <w:color w:val="auto"/>
              </w:rPr>
              <w:t>Delivery and installation</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102,710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59,999</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162,709</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Sales revenue:</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340"/>
              <w:spacing w:after="0"/>
              <w:rPr>
                <w:sz w:val="20"/>
                <w:szCs w:val="20"/>
                <w:color w:val="auto"/>
              </w:rPr>
            </w:pPr>
            <w:r>
              <w:rPr>
                <w:rFonts w:ascii="Arial" w:cs="Arial" w:eastAsia="Arial" w:hAnsi="Arial"/>
                <w:sz w:val="12"/>
                <w:szCs w:val="12"/>
                <w:color w:val="auto"/>
              </w:rPr>
              <w:t>New units</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19,376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8,402</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27,778</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60" w:type="dxa"/>
            <w:vAlign w:val="bottom"/>
            <w:shd w:val="clear" w:color="auto" w:fill="DBDBDB"/>
          </w:tcPr>
          <w:p>
            <w:pPr>
              <w:ind w:left="340"/>
              <w:spacing w:after="0"/>
              <w:rPr>
                <w:sz w:val="20"/>
                <w:szCs w:val="20"/>
                <w:color w:val="auto"/>
              </w:rPr>
            </w:pPr>
            <w:r>
              <w:rPr>
                <w:rFonts w:ascii="Arial" w:cs="Arial" w:eastAsia="Arial" w:hAnsi="Arial"/>
                <w:sz w:val="12"/>
                <w:szCs w:val="12"/>
                <w:color w:val="auto"/>
              </w:rPr>
              <w:t>Rental units</w:t>
            </w:r>
          </w:p>
        </w:tc>
        <w:tc>
          <w:tcPr>
            <w:tcW w:w="14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12,102</w:t>
            </w:r>
          </w:p>
        </w:tc>
        <w:tc>
          <w:tcPr>
            <w:tcW w:w="80" w:type="dxa"/>
            <w:vAlign w:val="bottom"/>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7,465</w:t>
            </w:r>
          </w:p>
        </w:tc>
        <w:tc>
          <w:tcPr>
            <w:tcW w:w="80" w:type="dxa"/>
            <w:vAlign w:val="bottom"/>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spacing w:after="0"/>
              <w:rPr>
                <w:sz w:val="14"/>
                <w:szCs w:val="14"/>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80" w:type="dxa"/>
            <w:vAlign w:val="bottom"/>
            <w:tcBorders>
              <w:bottom w:val="single" w:sz="8" w:color="auto"/>
            </w:tcBorders>
            <w:shd w:val="clear" w:color="auto" w:fill="DBDBDB"/>
          </w:tcPr>
          <w:p>
            <w:pPr>
              <w:spacing w:after="0"/>
              <w:rPr>
                <w:sz w:val="14"/>
                <w:szCs w:val="14"/>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19,567</w:t>
            </w: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860" w:type="dxa"/>
            <w:vAlign w:val="bottom"/>
          </w:tcPr>
          <w:p>
            <w:pPr>
              <w:ind w:left="500"/>
              <w:spacing w:after="0"/>
              <w:rPr>
                <w:sz w:val="20"/>
                <w:szCs w:val="20"/>
                <w:color w:val="auto"/>
              </w:rPr>
            </w:pPr>
            <w:r>
              <w:rPr>
                <w:rFonts w:ascii="Arial" w:cs="Arial" w:eastAsia="Arial" w:hAnsi="Arial"/>
                <w:sz w:val="12"/>
                <w:szCs w:val="12"/>
                <w:color w:val="auto"/>
              </w:rPr>
              <w:t>Total revenues</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512,683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284,240</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796,923</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60" w:type="dxa"/>
            <w:vAlign w:val="bottom"/>
            <w:shd w:val="clear" w:color="auto" w:fill="DBDBDB"/>
          </w:tcPr>
          <w:p>
            <w:pPr>
              <w:ind w:left="20"/>
              <w:spacing w:after="0"/>
              <w:rPr>
                <w:sz w:val="20"/>
                <w:szCs w:val="20"/>
                <w:color w:val="auto"/>
              </w:rPr>
            </w:pPr>
            <w:r>
              <w:rPr>
                <w:rFonts w:ascii="Arial" w:cs="Arial" w:eastAsia="Arial" w:hAnsi="Arial"/>
                <w:sz w:val="12"/>
                <w:szCs w:val="12"/>
                <w:color w:val="auto"/>
              </w:rPr>
              <w:t>Costs:</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180"/>
              <w:spacing w:after="0"/>
              <w:rPr>
                <w:sz w:val="20"/>
                <w:szCs w:val="20"/>
                <w:color w:val="auto"/>
              </w:rPr>
            </w:pPr>
            <w:r>
              <w:rPr>
                <w:rFonts w:ascii="Arial" w:cs="Arial" w:eastAsia="Arial" w:hAnsi="Arial"/>
                <w:sz w:val="12"/>
                <w:szCs w:val="12"/>
                <w:color w:val="auto"/>
              </w:rPr>
              <w:t>Costs of leasing and services:</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60" w:type="dxa"/>
            <w:vAlign w:val="bottom"/>
            <w:shd w:val="clear" w:color="auto" w:fill="DBDBDB"/>
          </w:tcPr>
          <w:p>
            <w:pPr>
              <w:ind w:left="340"/>
              <w:spacing w:after="0"/>
              <w:rPr>
                <w:sz w:val="20"/>
                <w:szCs w:val="20"/>
                <w:color w:val="auto"/>
              </w:rPr>
            </w:pPr>
            <w:r>
              <w:rPr>
                <w:rFonts w:ascii="Arial" w:cs="Arial" w:eastAsia="Arial" w:hAnsi="Arial"/>
                <w:sz w:val="12"/>
                <w:szCs w:val="12"/>
                <w:color w:val="auto"/>
              </w:rPr>
              <w:t>Leasing</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97,556</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28,584</w:t>
            </w:r>
          </w:p>
        </w:tc>
        <w:tc>
          <w:tcPr>
            <w:tcW w:w="8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60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126,140</w:t>
            </w: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340"/>
              <w:spacing w:after="0"/>
              <w:rPr>
                <w:sz w:val="20"/>
                <w:szCs w:val="20"/>
                <w:color w:val="auto"/>
              </w:rPr>
            </w:pPr>
            <w:r>
              <w:rPr>
                <w:rFonts w:ascii="Arial" w:cs="Arial" w:eastAsia="Arial" w:hAnsi="Arial"/>
                <w:sz w:val="12"/>
                <w:szCs w:val="12"/>
                <w:color w:val="auto"/>
              </w:rPr>
              <w:t>Delivery and installation</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87,388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42,476</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129,864</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8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Costs of sales:</w:t>
            </w:r>
          </w:p>
        </w:tc>
        <w:tc>
          <w:tcPr>
            <w:tcW w:w="14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340"/>
              <w:spacing w:after="0"/>
              <w:rPr>
                <w:sz w:val="20"/>
                <w:szCs w:val="20"/>
                <w:color w:val="auto"/>
              </w:rPr>
            </w:pPr>
            <w:r>
              <w:rPr>
                <w:rFonts w:ascii="Arial" w:cs="Arial" w:eastAsia="Arial" w:hAnsi="Arial"/>
                <w:sz w:val="12"/>
                <w:szCs w:val="12"/>
                <w:color w:val="auto"/>
              </w:rPr>
              <w:t>New units</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12,534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5,457</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17,991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60" w:type="dxa"/>
            <w:vAlign w:val="bottom"/>
            <w:shd w:val="clear" w:color="auto" w:fill="DBDBDB"/>
          </w:tcPr>
          <w:p>
            <w:pPr>
              <w:ind w:left="340"/>
              <w:spacing w:after="0"/>
              <w:rPr>
                <w:sz w:val="20"/>
                <w:szCs w:val="20"/>
                <w:color w:val="auto"/>
              </w:rPr>
            </w:pPr>
            <w:r>
              <w:rPr>
                <w:rFonts w:ascii="Arial" w:cs="Arial" w:eastAsia="Arial" w:hAnsi="Arial"/>
                <w:sz w:val="12"/>
                <w:szCs w:val="12"/>
                <w:color w:val="auto"/>
              </w:rPr>
              <w:t>Rental units</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7,609</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4,625</w:t>
            </w:r>
          </w:p>
        </w:tc>
        <w:tc>
          <w:tcPr>
            <w:tcW w:w="8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60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12,234</w:t>
            </w: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Borders>
              <w:bottom w:val="single" w:sz="8" w:color="DBDBDB"/>
            </w:tcBorders>
          </w:tcPr>
          <w:p>
            <w:pPr>
              <w:ind w:left="180"/>
              <w:spacing w:after="0"/>
              <w:rPr>
                <w:sz w:val="20"/>
                <w:szCs w:val="20"/>
                <w:color w:val="auto"/>
              </w:rPr>
            </w:pPr>
            <w:r>
              <w:rPr>
                <w:rFonts w:ascii="Arial" w:cs="Arial" w:eastAsia="Arial" w:hAnsi="Arial"/>
                <w:sz w:val="12"/>
                <w:szCs w:val="12"/>
                <w:color w:val="auto"/>
              </w:rPr>
              <w:t>Depreciation of rental equipment</w:t>
            </w: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91,442</w:t>
            </w:r>
          </w:p>
        </w:tc>
        <w:tc>
          <w:tcPr>
            <w:tcW w:w="80" w:type="dxa"/>
            <w:vAlign w:val="bottom"/>
            <w:tcBorders>
              <w:bottom w:val="single" w:sz="8" w:color="DBDBDB"/>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15,360</w:t>
            </w:r>
          </w:p>
        </w:tc>
        <w:tc>
          <w:tcPr>
            <w:tcW w:w="80" w:type="dxa"/>
            <w:vAlign w:val="bottom"/>
            <w:tcBorders>
              <w:bottom w:val="single" w:sz="8" w:color="DBDBDB"/>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2,334</w:t>
            </w:r>
          </w:p>
        </w:tc>
        <w:tc>
          <w:tcPr>
            <w:tcW w:w="80" w:type="dxa"/>
            <w:vAlign w:val="bottom"/>
            <w:tcBorders>
              <w:bottom w:val="single" w:sz="8" w:color="DBDBD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109,136</w:t>
            </w:r>
          </w:p>
        </w:tc>
        <w:tc>
          <w:tcPr>
            <w:tcW w:w="340" w:type="dxa"/>
            <w:vAlign w:val="bottom"/>
            <w:tcBorders>
              <w:bottom w:val="single" w:sz="8" w:color="DBDBDB"/>
            </w:tcBorders>
          </w:tcPr>
          <w:p>
            <w:pPr>
              <w:jc w:val="right"/>
              <w:spacing w:after="0"/>
              <w:rPr>
                <w:sz w:val="20"/>
                <w:szCs w:val="20"/>
                <w:color w:val="auto"/>
              </w:rPr>
            </w:pPr>
            <w:r>
              <w:rPr>
                <w:rFonts w:ascii="Arial" w:cs="Arial" w:eastAsia="Arial" w:hAnsi="Arial"/>
                <w:sz w:val="12"/>
                <w:szCs w:val="12"/>
                <w:color w:val="auto"/>
              </w:rPr>
              <w:t>(b)</w:t>
            </w:r>
          </w:p>
        </w:tc>
        <w:tc>
          <w:tcPr>
            <w:tcW w:w="0" w:type="dxa"/>
            <w:vAlign w:val="bottom"/>
          </w:tcPr>
          <w:p>
            <w:pPr>
              <w:spacing w:after="0"/>
              <w:rPr>
                <w:sz w:val="1"/>
                <w:szCs w:val="1"/>
                <w:color w:val="auto"/>
              </w:rPr>
            </w:pPr>
          </w:p>
        </w:tc>
      </w:tr>
      <w:tr>
        <w:trPr>
          <w:trHeight w:val="154"/>
        </w:trPr>
        <w:tc>
          <w:tcPr>
            <w:tcW w:w="4860" w:type="dxa"/>
            <w:vAlign w:val="bottom"/>
            <w:shd w:val="clear" w:color="auto" w:fill="DBDBDB"/>
          </w:tcPr>
          <w:p>
            <w:pPr>
              <w:ind w:left="340"/>
              <w:spacing w:after="0"/>
              <w:rPr>
                <w:sz w:val="20"/>
                <w:szCs w:val="20"/>
                <w:color w:val="auto"/>
              </w:rPr>
            </w:pPr>
            <w:r>
              <w:rPr>
                <w:rFonts w:ascii="Arial" w:cs="Arial" w:eastAsia="Arial" w:hAnsi="Arial"/>
                <w:sz w:val="12"/>
                <w:szCs w:val="12"/>
                <w:color w:val="auto"/>
              </w:rPr>
              <w:t>Gross profit</w:t>
            </w:r>
          </w:p>
        </w:tc>
        <w:tc>
          <w:tcPr>
            <w:tcW w:w="140" w:type="dxa"/>
            <w:vAlign w:val="bottom"/>
            <w:shd w:val="clear" w:color="auto" w:fill="DBDBDB"/>
          </w:tcPr>
          <w:p>
            <w:pPr>
              <w:spacing w:after="0"/>
              <w:rPr>
                <w:sz w:val="13"/>
                <w:szCs w:val="13"/>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216,154</w:t>
            </w: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187,738</w:t>
            </w:r>
          </w:p>
        </w:tc>
        <w:tc>
          <w:tcPr>
            <w:tcW w:w="8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(2,334)</w:t>
            </w: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401,558</w:t>
            </w:r>
          </w:p>
        </w:tc>
        <w:tc>
          <w:tcPr>
            <w:tcW w:w="3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20"/>
              <w:spacing w:after="0"/>
              <w:rPr>
                <w:sz w:val="20"/>
                <w:szCs w:val="20"/>
                <w:color w:val="auto"/>
              </w:rPr>
            </w:pPr>
            <w:r>
              <w:rPr>
                <w:rFonts w:ascii="Arial" w:cs="Arial" w:eastAsia="Arial" w:hAnsi="Arial"/>
                <w:sz w:val="12"/>
                <w:szCs w:val="12"/>
                <w:color w:val="auto"/>
              </w:rPr>
              <w:t>Expenses:</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Selling, general and administrative</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140,240</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112,969</w:t>
            </w:r>
          </w:p>
        </w:tc>
        <w:tc>
          <w:tcPr>
            <w:tcW w:w="8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(27,849)</w:t>
            </w: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225,360</w:t>
            </w:r>
          </w:p>
        </w:tc>
        <w:tc>
          <w:tcPr>
            <w:tcW w:w="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159"/>
        </w:trPr>
        <w:tc>
          <w:tcPr>
            <w:tcW w:w="4860" w:type="dxa"/>
            <w:vAlign w:val="bottom"/>
          </w:tcPr>
          <w:p>
            <w:pPr>
              <w:ind w:left="180"/>
              <w:spacing w:after="0"/>
              <w:rPr>
                <w:sz w:val="20"/>
                <w:szCs w:val="20"/>
                <w:color w:val="auto"/>
              </w:rPr>
            </w:pPr>
            <w:r>
              <w:rPr>
                <w:rFonts w:ascii="Arial" w:cs="Arial" w:eastAsia="Arial" w:hAnsi="Arial"/>
                <w:sz w:val="12"/>
                <w:szCs w:val="12"/>
                <w:color w:val="auto"/>
              </w:rPr>
              <w:t>Other depreciation and amortization</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5,957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19,695</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11,338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36,990</w:t>
            </w:r>
          </w:p>
        </w:tc>
        <w:tc>
          <w:tcPr>
            <w:tcW w:w="340" w:type="dxa"/>
            <w:vAlign w:val="bottom"/>
          </w:tcPr>
          <w:p>
            <w:pPr>
              <w:jc w:val="right"/>
              <w:spacing w:after="0"/>
              <w:rPr>
                <w:sz w:val="20"/>
                <w:szCs w:val="20"/>
                <w:color w:val="auto"/>
              </w:rPr>
            </w:pPr>
            <w:r>
              <w:rPr>
                <w:rFonts w:ascii="Arial" w:cs="Arial" w:eastAsia="Arial" w:hAnsi="Arial"/>
                <w:sz w:val="12"/>
                <w:szCs w:val="12"/>
                <w:color w:val="auto"/>
              </w:rPr>
              <w:t>(c)</w:t>
            </w:r>
          </w:p>
        </w:tc>
        <w:tc>
          <w:tcPr>
            <w:tcW w:w="0" w:type="dxa"/>
            <w:vAlign w:val="bottom"/>
          </w:tcPr>
          <w:p>
            <w:pPr>
              <w:spacing w:after="0"/>
              <w:rPr>
                <w:sz w:val="1"/>
                <w:szCs w:val="1"/>
                <w:color w:val="auto"/>
              </w:rPr>
            </w:pPr>
          </w:p>
        </w:tc>
      </w:tr>
      <w:tr>
        <w:trPr>
          <w:trHeight w:val="164"/>
        </w:trPr>
        <w:tc>
          <w:tcPr>
            <w:tcW w:w="48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Lease impairment expense and other related charges</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3,055</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4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DBDBDB"/>
          </w:tcPr>
          <w:p>
            <w:pPr>
              <w:spacing w:after="0"/>
              <w:rPr>
                <w:sz w:val="14"/>
                <w:szCs w:val="14"/>
                <w:color w:val="auto"/>
              </w:rPr>
            </w:pPr>
          </w:p>
        </w:tc>
        <w:tc>
          <w:tcPr>
            <w:tcW w:w="60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3,055</w:t>
            </w: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180"/>
              <w:spacing w:after="0"/>
              <w:rPr>
                <w:sz w:val="20"/>
                <w:szCs w:val="20"/>
                <w:color w:val="auto"/>
              </w:rPr>
            </w:pPr>
            <w:r>
              <w:rPr>
                <w:rFonts w:ascii="Arial" w:cs="Arial" w:eastAsia="Arial" w:hAnsi="Arial"/>
                <w:sz w:val="12"/>
                <w:szCs w:val="12"/>
                <w:color w:val="auto"/>
              </w:rPr>
              <w:t>Restructuring costs</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689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689</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Currency losses, net</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519</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39</w:t>
            </w:r>
          </w:p>
        </w:tc>
        <w:tc>
          <w:tcPr>
            <w:tcW w:w="8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60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558</w:t>
            </w: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180"/>
              <w:spacing w:after="0"/>
              <w:rPr>
                <w:sz w:val="20"/>
                <w:szCs w:val="20"/>
                <w:color w:val="auto"/>
              </w:rPr>
            </w:pPr>
            <w:r>
              <w:rPr>
                <w:rFonts w:ascii="Arial" w:cs="Arial" w:eastAsia="Arial" w:hAnsi="Arial"/>
                <w:sz w:val="12"/>
                <w:szCs w:val="12"/>
                <w:color w:val="auto"/>
              </w:rPr>
              <w:t>Other (income) expense, net</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186</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(559)</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60" w:type="dxa"/>
            <w:vAlign w:val="bottom"/>
            <w:tcBorders>
              <w:top w:val="single" w:sz="8" w:color="DBDBDB"/>
            </w:tcBorders>
            <w:shd w:val="clear" w:color="auto" w:fill="DBDBDB"/>
          </w:tcPr>
          <w:p>
            <w:pPr>
              <w:ind w:left="340"/>
              <w:spacing w:after="0"/>
              <w:rPr>
                <w:sz w:val="20"/>
                <w:szCs w:val="20"/>
                <w:color w:val="auto"/>
              </w:rPr>
            </w:pPr>
            <w:r>
              <w:rPr>
                <w:rFonts w:ascii="Arial" w:cs="Arial" w:eastAsia="Arial" w:hAnsi="Arial"/>
                <w:sz w:val="12"/>
                <w:szCs w:val="12"/>
                <w:color w:val="auto"/>
              </w:rPr>
              <w:t>Operating income</w:t>
            </w:r>
          </w:p>
        </w:tc>
        <w:tc>
          <w:tcPr>
            <w:tcW w:w="140" w:type="dxa"/>
            <w:vAlign w:val="bottom"/>
            <w:tcBorders>
              <w:top w:val="single" w:sz="8" w:color="auto"/>
            </w:tcBorders>
            <w:shd w:val="clear" w:color="auto" w:fill="DBDBDB"/>
          </w:tcPr>
          <w:p>
            <w:pPr>
              <w:spacing w:after="0"/>
              <w:rPr>
                <w:sz w:val="13"/>
                <w:szCs w:val="13"/>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66,439</w:t>
            </w:r>
          </w:p>
        </w:tc>
        <w:tc>
          <w:tcPr>
            <w:tcW w:w="80" w:type="dxa"/>
            <w:vAlign w:val="bottom"/>
            <w:tcBorders>
              <w:top w:val="single" w:sz="8" w:color="DBDBDB"/>
            </w:tcBorders>
            <w:shd w:val="clear" w:color="auto" w:fill="DBDBDB"/>
          </w:tcPr>
          <w:p>
            <w:pPr>
              <w:spacing w:after="0"/>
              <w:rPr>
                <w:sz w:val="13"/>
                <w:szCs w:val="13"/>
                <w:color w:val="auto"/>
              </w:rPr>
            </w:pPr>
          </w:p>
        </w:tc>
        <w:tc>
          <w:tcPr>
            <w:tcW w:w="100" w:type="dxa"/>
            <w:vAlign w:val="bottom"/>
            <w:tcBorders>
              <w:top w:val="single" w:sz="8" w:color="auto"/>
            </w:tcBorders>
            <w:shd w:val="clear" w:color="auto" w:fill="DBDBDB"/>
          </w:tcPr>
          <w:p>
            <w:pPr>
              <w:spacing w:after="0"/>
              <w:rPr>
                <w:sz w:val="13"/>
                <w:szCs w:val="13"/>
                <w:color w:val="auto"/>
              </w:rPr>
            </w:pP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54,849</w:t>
            </w:r>
          </w:p>
        </w:tc>
        <w:tc>
          <w:tcPr>
            <w:tcW w:w="80" w:type="dxa"/>
            <w:vAlign w:val="bottom"/>
            <w:tcBorders>
              <w:top w:val="single" w:sz="8" w:color="DBDBDB"/>
            </w:tcBorders>
            <w:shd w:val="clear" w:color="auto" w:fill="DBDBDB"/>
          </w:tcPr>
          <w:p>
            <w:pPr>
              <w:spacing w:after="0"/>
              <w:rPr>
                <w:sz w:val="13"/>
                <w:szCs w:val="13"/>
                <w:color w:val="auto"/>
              </w:rPr>
            </w:pPr>
          </w:p>
        </w:tc>
        <w:tc>
          <w:tcPr>
            <w:tcW w:w="960" w:type="dxa"/>
            <w:vAlign w:val="bottom"/>
            <w:tcBorders>
              <w:top w:val="single" w:sz="8" w:color="auto"/>
            </w:tcBorders>
            <w:shd w:val="clear" w:color="auto" w:fill="DBDBDB"/>
          </w:tcPr>
          <w:p>
            <w:pPr>
              <w:spacing w:after="0"/>
              <w:rPr>
                <w:sz w:val="13"/>
                <w:szCs w:val="13"/>
                <w:color w:val="auto"/>
              </w:rPr>
            </w:pPr>
          </w:p>
        </w:tc>
        <w:tc>
          <w:tcPr>
            <w:tcW w:w="5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14,177</w:t>
            </w:r>
          </w:p>
        </w:tc>
        <w:tc>
          <w:tcPr>
            <w:tcW w:w="80" w:type="dxa"/>
            <w:vAlign w:val="bottom"/>
            <w:tcBorders>
              <w:top w:val="single" w:sz="8" w:color="DBDBDB"/>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135,465</w:t>
            </w:r>
          </w:p>
        </w:tc>
        <w:tc>
          <w:tcPr>
            <w:tcW w:w="340" w:type="dxa"/>
            <w:vAlign w:val="bottom"/>
            <w:tcBorders>
              <w:top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860" w:type="dxa"/>
            <w:vAlign w:val="bottom"/>
          </w:tcPr>
          <w:p>
            <w:pPr>
              <w:ind w:left="180"/>
              <w:spacing w:after="0"/>
              <w:rPr>
                <w:sz w:val="20"/>
                <w:szCs w:val="20"/>
                <w:color w:val="auto"/>
              </w:rPr>
            </w:pPr>
            <w:r>
              <w:rPr>
                <w:rFonts w:ascii="Arial" w:cs="Arial" w:eastAsia="Arial" w:hAnsi="Arial"/>
                <w:sz w:val="12"/>
                <w:szCs w:val="12"/>
                <w:color w:val="auto"/>
              </w:rPr>
              <w:t>Interest expense</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56,776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16,974</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(9,809)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63,941</w:t>
            </w:r>
          </w:p>
        </w:tc>
        <w:tc>
          <w:tcPr>
            <w:tcW w:w="340" w:type="dxa"/>
            <w:vAlign w:val="bottom"/>
          </w:tcPr>
          <w:p>
            <w:pPr>
              <w:jc w:val="right"/>
              <w:spacing w:after="0"/>
              <w:rPr>
                <w:sz w:val="20"/>
                <w:szCs w:val="20"/>
                <w:color w:val="auto"/>
              </w:rPr>
            </w:pPr>
            <w:r>
              <w:rPr>
                <w:rFonts w:ascii="Arial" w:cs="Arial" w:eastAsia="Arial" w:hAnsi="Arial"/>
                <w:sz w:val="12"/>
                <w:szCs w:val="12"/>
                <w:color w:val="auto"/>
              </w:rPr>
              <w:t>(d)</w:t>
            </w:r>
          </w:p>
        </w:tc>
        <w:tc>
          <w:tcPr>
            <w:tcW w:w="0" w:type="dxa"/>
            <w:vAlign w:val="bottom"/>
          </w:tcPr>
          <w:p>
            <w:pPr>
              <w:spacing w:after="0"/>
              <w:rPr>
                <w:sz w:val="1"/>
                <w:szCs w:val="1"/>
                <w:color w:val="auto"/>
              </w:rPr>
            </w:pPr>
          </w:p>
        </w:tc>
      </w:tr>
      <w:tr>
        <w:trPr>
          <w:trHeight w:val="161"/>
        </w:trPr>
        <w:tc>
          <w:tcPr>
            <w:tcW w:w="48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Fair value gain on common stock warrant liabilities</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(68,366)</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4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DBDBDB"/>
          </w:tcPr>
          <w:p>
            <w:pPr>
              <w:spacing w:after="0"/>
              <w:rPr>
                <w:sz w:val="14"/>
                <w:szCs w:val="14"/>
                <w:color w:val="auto"/>
              </w:rPr>
            </w:pPr>
          </w:p>
        </w:tc>
        <w:tc>
          <w:tcPr>
            <w:tcW w:w="60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(68,366)</w:t>
            </w:r>
          </w:p>
        </w:tc>
        <w:tc>
          <w:tcPr>
            <w:tcW w:w="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860" w:type="dxa"/>
            <w:vAlign w:val="bottom"/>
          </w:tcPr>
          <w:p>
            <w:pPr>
              <w:ind w:left="340"/>
              <w:spacing w:after="0"/>
              <w:rPr>
                <w:sz w:val="20"/>
                <w:szCs w:val="20"/>
                <w:color w:val="auto"/>
              </w:rPr>
            </w:pPr>
            <w:r>
              <w:rPr>
                <w:rFonts w:ascii="Arial" w:cs="Arial" w:eastAsia="Arial" w:hAnsi="Arial"/>
                <w:sz w:val="12"/>
                <w:szCs w:val="12"/>
                <w:color w:val="auto"/>
              </w:rPr>
              <w:t>Income before income tax</w:t>
            </w: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78,029</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37,875</w:t>
            </w: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23,986</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139,890</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60" w:type="dxa"/>
            <w:vAlign w:val="bottom"/>
            <w:shd w:val="clear" w:color="auto" w:fill="DBDBDB"/>
          </w:tcPr>
          <w:p>
            <w:pPr>
              <w:ind w:left="180"/>
              <w:spacing w:after="0"/>
              <w:rPr>
                <w:sz w:val="20"/>
                <w:szCs w:val="20"/>
                <w:color w:val="auto"/>
              </w:rPr>
            </w:pPr>
            <w:r>
              <w:rPr>
                <w:rFonts w:ascii="Arial" w:cs="Arial" w:eastAsia="Arial" w:hAnsi="Arial"/>
                <w:sz w:val="12"/>
                <w:szCs w:val="12"/>
                <w:color w:val="auto"/>
              </w:rPr>
              <w:t>Income tax expense</w:t>
            </w:r>
          </w:p>
        </w:tc>
        <w:tc>
          <w:tcPr>
            <w:tcW w:w="14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505</w:t>
            </w:r>
          </w:p>
        </w:tc>
        <w:tc>
          <w:tcPr>
            <w:tcW w:w="80" w:type="dxa"/>
            <w:vAlign w:val="bottom"/>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12,330</w:t>
            </w:r>
          </w:p>
        </w:tc>
        <w:tc>
          <w:tcPr>
            <w:tcW w:w="80" w:type="dxa"/>
            <w:vAlign w:val="bottom"/>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spacing w:after="0"/>
              <w:rPr>
                <w:sz w:val="14"/>
                <w:szCs w:val="14"/>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10,409</w:t>
            </w:r>
          </w:p>
        </w:tc>
        <w:tc>
          <w:tcPr>
            <w:tcW w:w="80" w:type="dxa"/>
            <w:vAlign w:val="bottom"/>
            <w:shd w:val="clear" w:color="auto" w:fill="DBDBDB"/>
          </w:tcPr>
          <w:p>
            <w:pPr>
              <w:spacing w:after="0"/>
              <w:rPr>
                <w:sz w:val="14"/>
                <w:szCs w:val="14"/>
                <w:color w:val="auto"/>
              </w:rPr>
            </w:pPr>
          </w:p>
        </w:tc>
        <w:tc>
          <w:tcPr>
            <w:tcW w:w="80" w:type="dxa"/>
            <w:vAlign w:val="bottom"/>
            <w:tcBorders>
              <w:bottom w:val="single" w:sz="8" w:color="auto"/>
            </w:tcBorders>
            <w:shd w:val="clear" w:color="auto" w:fill="DBDBDB"/>
          </w:tcPr>
          <w:p>
            <w:pPr>
              <w:spacing w:after="0"/>
              <w:rPr>
                <w:sz w:val="14"/>
                <w:szCs w:val="14"/>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23,244</w:t>
            </w:r>
          </w:p>
        </w:tc>
        <w:tc>
          <w:tcPr>
            <w:tcW w:w="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(e)</w:t>
            </w:r>
          </w:p>
        </w:tc>
        <w:tc>
          <w:tcPr>
            <w:tcW w:w="0" w:type="dxa"/>
            <w:vAlign w:val="bottom"/>
          </w:tcPr>
          <w:p>
            <w:pPr>
              <w:spacing w:after="0"/>
              <w:rPr>
                <w:sz w:val="1"/>
                <w:szCs w:val="1"/>
                <w:color w:val="auto"/>
              </w:rPr>
            </w:pPr>
          </w:p>
        </w:tc>
      </w:tr>
      <w:tr>
        <w:trPr>
          <w:trHeight w:val="151"/>
        </w:trPr>
        <w:tc>
          <w:tcPr>
            <w:tcW w:w="4860" w:type="dxa"/>
            <w:vAlign w:val="bottom"/>
          </w:tcPr>
          <w:p>
            <w:pPr>
              <w:ind w:left="340"/>
              <w:spacing w:after="0"/>
              <w:rPr>
                <w:sz w:val="20"/>
                <w:szCs w:val="20"/>
                <w:color w:val="auto"/>
              </w:rPr>
            </w:pPr>
            <w:r>
              <w:rPr>
                <w:rFonts w:ascii="Arial" w:cs="Arial" w:eastAsia="Arial" w:hAnsi="Arial"/>
                <w:sz w:val="12"/>
                <w:szCs w:val="12"/>
                <w:color w:val="auto"/>
              </w:rPr>
              <w:t>Net income</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77,524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25,545</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13,577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116,646</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60" w:type="dxa"/>
            <w:vAlign w:val="bottom"/>
            <w:shd w:val="clear" w:color="auto" w:fill="DBDBDB"/>
          </w:tcPr>
          <w:p>
            <w:pPr>
              <w:ind w:left="20"/>
              <w:spacing w:after="0"/>
              <w:rPr>
                <w:sz w:val="20"/>
                <w:szCs w:val="20"/>
                <w:color w:val="auto"/>
              </w:rPr>
            </w:pPr>
            <w:r>
              <w:rPr>
                <w:rFonts w:ascii="Arial" w:cs="Arial" w:eastAsia="Arial" w:hAnsi="Arial"/>
                <w:sz w:val="12"/>
                <w:szCs w:val="12"/>
                <w:color w:val="auto"/>
              </w:rPr>
              <w:t>Net income attributable to non-controlling interest, net of tax</w:t>
            </w:r>
          </w:p>
        </w:tc>
        <w:tc>
          <w:tcPr>
            <w:tcW w:w="14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1,213</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40" w:type="dxa"/>
            <w:vAlign w:val="bottom"/>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DBDBDB"/>
          </w:tcPr>
          <w:p>
            <w:pPr>
              <w:spacing w:after="0"/>
              <w:rPr>
                <w:sz w:val="14"/>
                <w:szCs w:val="14"/>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(1,213)</w:t>
            </w: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(f)</w:t>
            </w:r>
          </w:p>
        </w:tc>
        <w:tc>
          <w:tcPr>
            <w:tcW w:w="0" w:type="dxa"/>
            <w:vAlign w:val="bottom"/>
          </w:tcPr>
          <w:p>
            <w:pPr>
              <w:spacing w:after="0"/>
              <w:rPr>
                <w:sz w:val="1"/>
                <w:szCs w:val="1"/>
                <w:color w:val="auto"/>
              </w:rPr>
            </w:pPr>
          </w:p>
        </w:tc>
      </w:tr>
      <w:tr>
        <w:trPr>
          <w:trHeight w:val="154"/>
        </w:trPr>
        <w:tc>
          <w:tcPr>
            <w:tcW w:w="4860" w:type="dxa"/>
            <w:vAlign w:val="bottom"/>
          </w:tcPr>
          <w:p>
            <w:pPr>
              <w:ind w:left="20"/>
              <w:spacing w:after="0"/>
              <w:rPr>
                <w:sz w:val="20"/>
                <w:szCs w:val="20"/>
                <w:color w:val="auto"/>
              </w:rPr>
            </w:pPr>
            <w:r>
              <w:rPr>
                <w:rFonts w:ascii="Arial" w:cs="Arial" w:eastAsia="Arial" w:hAnsi="Arial"/>
                <w:sz w:val="12"/>
                <w:szCs w:val="12"/>
                <w:color w:val="auto"/>
              </w:rPr>
              <w:t>Net income attributable to WillScot Mobile Mini</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76,311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25,545</w:t>
            </w:r>
          </w:p>
        </w:tc>
        <w:tc>
          <w:tcPr>
            <w:tcW w:w="8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14,790</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116,646</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7"/>
        </w:trPr>
        <w:tc>
          <w:tcPr>
            <w:tcW w:w="4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886" w:right="31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color w:val="auto"/>
        </w:rPr>
        <w:t>Notes to Pro Forma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81915</wp:posOffset>
            </wp:positionV>
            <wp:extent cx="7167245" cy="895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7245" cy="89535"/>
                    </a:xfrm>
                    <a:prstGeom prst="rect">
                      <a:avLst/>
                    </a:prstGeom>
                    <a:noFill/>
                  </pic:spPr>
                </pic:pic>
              </a:graphicData>
            </a:graphic>
          </wp:anchor>
        </w:drawing>
      </w:r>
    </w:p>
    <w:p>
      <w:pPr>
        <w:spacing w:after="0" w:line="123" w:lineRule="exact"/>
        <w:rPr>
          <w:sz w:val="20"/>
          <w:szCs w:val="20"/>
          <w:color w:val="auto"/>
        </w:rPr>
      </w:pPr>
    </w:p>
    <w:p>
      <w:pPr>
        <w:ind w:left="460" w:hanging="446"/>
        <w:spacing w:after="0"/>
        <w:tabs>
          <w:tab w:leader="none" w:pos="4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Represents the elimination of non-recurring transaction costs incurred as a result of the Mobile Mini Merger.</w:t>
      </w:r>
    </w:p>
    <w:p>
      <w:pPr>
        <w:spacing w:after="0" w:line="14" w:lineRule="exact"/>
        <w:rPr>
          <w:rFonts w:ascii="Arial" w:cs="Arial" w:eastAsia="Arial" w:hAnsi="Arial"/>
          <w:sz w:val="11"/>
          <w:szCs w:val="11"/>
          <w:color w:val="auto"/>
        </w:rPr>
      </w:pPr>
    </w:p>
    <w:p>
      <w:pPr>
        <w:ind w:left="460" w:hanging="446"/>
        <w:spacing w:after="0"/>
        <w:tabs>
          <w:tab w:leader="none" w:pos="4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Represents the adjustment for depreciation of rental fleet relating to the estimated increase in fair value purchase accounting adjustments as a result of the Merger.</w:t>
      </w:r>
    </w:p>
    <w:p>
      <w:pPr>
        <w:spacing w:after="0" w:line="14" w:lineRule="exact"/>
        <w:rPr>
          <w:rFonts w:ascii="Arial" w:cs="Arial" w:eastAsia="Arial" w:hAnsi="Arial"/>
          <w:sz w:val="11"/>
          <w:szCs w:val="11"/>
          <w:color w:val="auto"/>
        </w:rPr>
      </w:pPr>
    </w:p>
    <w:p>
      <w:pPr>
        <w:ind w:left="460" w:hanging="446"/>
        <w:spacing w:after="0"/>
        <w:tabs>
          <w:tab w:leader="none" w:pos="4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Represents the differential in other depreciation and amortization expense related to the fair value purchase accounting adjustments as a result of the Merger.</w:t>
      </w:r>
    </w:p>
    <w:p>
      <w:pPr>
        <w:spacing w:after="0" w:line="14" w:lineRule="exact"/>
        <w:rPr>
          <w:rFonts w:ascii="Arial" w:cs="Arial" w:eastAsia="Arial" w:hAnsi="Arial"/>
          <w:sz w:val="11"/>
          <w:szCs w:val="11"/>
          <w:color w:val="auto"/>
        </w:rPr>
      </w:pPr>
    </w:p>
    <w:p>
      <w:pPr>
        <w:ind w:left="460" w:hanging="446"/>
        <w:spacing w:after="0" w:line="218" w:lineRule="auto"/>
        <w:tabs>
          <w:tab w:leader="none" w:pos="4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Reflects the adjustment for interest expense related to our debt structure after the Merger as though the following had occurred on January 1, 2019 (i) borrowings under the 2020 ABL Facility, (ii) borrowings under the 2025 Secured Notes, (iii) repayment of the 2017 ABL Facility, (iv) repayment of the 2022 Secured Notes and repayment of the Mobile Mini debt assumed at the Merger.</w:t>
      </w:r>
    </w:p>
    <w:p>
      <w:pPr>
        <w:spacing w:after="0" w:line="12" w:lineRule="exact"/>
        <w:rPr>
          <w:rFonts w:ascii="Arial" w:cs="Arial" w:eastAsia="Arial" w:hAnsi="Arial"/>
          <w:sz w:val="11"/>
          <w:szCs w:val="11"/>
          <w:color w:val="auto"/>
        </w:rPr>
      </w:pPr>
    </w:p>
    <w:p>
      <w:pPr>
        <w:jc w:val="both"/>
        <w:ind w:left="460" w:hanging="446"/>
        <w:spacing w:after="0" w:line="209" w:lineRule="auto"/>
        <w:tabs>
          <w:tab w:leader="none" w:pos="4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Reflects the adjustment to recognize the income tax impacts of the unaudited pro forma adjustments for which a tax expense is recognized using a U.S. federal and state statutory tax rate of 25.5%. This rate may vary from the effective tax rates of the historical and combined businesses. In addition, the three and six months ended June 30, 2020 included an adjustment of $2.7 million to eliminate the reversal of valuation allowance as a result of reassessment of the realizability of deferred tax assets as a result of the Merger.</w:t>
      </w:r>
    </w:p>
    <w:p>
      <w:pPr>
        <w:spacing w:after="0" w:line="12" w:lineRule="exact"/>
        <w:rPr>
          <w:rFonts w:ascii="Arial" w:cs="Arial" w:eastAsia="Arial" w:hAnsi="Arial"/>
          <w:sz w:val="11"/>
          <w:szCs w:val="11"/>
          <w:color w:val="auto"/>
        </w:rPr>
      </w:pPr>
    </w:p>
    <w:p>
      <w:pPr>
        <w:ind w:left="460" w:hanging="446"/>
        <w:spacing w:after="0"/>
        <w:tabs>
          <w:tab w:leader="none" w:pos="4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Reflects the adjustment for the extinguishment of non-controlling interest as a result of the Sapphire Exchange on June 30, 2020.</w:t>
      </w:r>
    </w:p>
    <w:p>
      <w:pPr>
        <w:spacing w:after="0" w:line="153" w:lineRule="exact"/>
        <w:rPr>
          <w:rFonts w:ascii="Arial" w:cs="Arial" w:eastAsia="Arial" w:hAnsi="Arial"/>
          <w:sz w:val="11"/>
          <w:szCs w:val="11"/>
          <w:color w:val="auto"/>
        </w:rPr>
      </w:pPr>
    </w:p>
    <w:p>
      <w:pPr>
        <w:ind w:left="480"/>
        <w:spacing w:after="0"/>
        <w:rPr>
          <w:rFonts w:ascii="Arial" w:cs="Arial" w:eastAsia="Arial" w:hAnsi="Arial"/>
          <w:sz w:val="11"/>
          <w:szCs w:val="11"/>
          <w:color w:val="auto"/>
        </w:rPr>
      </w:pPr>
      <w:r>
        <w:rPr>
          <w:rFonts w:ascii="Arial" w:cs="Arial" w:eastAsia="Arial" w:hAnsi="Arial"/>
          <w:sz w:val="12"/>
          <w:szCs w:val="12"/>
          <w:color w:val="auto"/>
        </w:rPr>
        <w:t>The pro forma adjustment to interest expense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-734695</wp:posOffset>
            </wp:positionV>
            <wp:extent cx="7167245" cy="895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7245" cy="895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-491490</wp:posOffset>
            </wp:positionV>
            <wp:extent cx="7167245" cy="2178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7245" cy="217805"/>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2580" w:type="dxa"/>
            <w:vAlign w:val="bottom"/>
            <w:shd w:val="clear" w:color="auto" w:fill="1D2758"/>
          </w:tcPr>
          <w:p>
            <w:pPr>
              <w:jc w:val="right"/>
              <w:ind w:right="99"/>
              <w:spacing w:after="0"/>
              <w:rPr>
                <w:sz w:val="20"/>
                <w:szCs w:val="20"/>
                <w:color w:val="auto"/>
              </w:rPr>
            </w:pPr>
            <w:r>
              <w:rPr>
                <w:rFonts w:ascii="Arial" w:cs="Arial" w:eastAsia="Arial" w:hAnsi="Arial"/>
                <w:sz w:val="12"/>
                <w:szCs w:val="12"/>
                <w:b w:val="1"/>
                <w:bCs w:val="1"/>
                <w:color w:val="FFFFFF"/>
              </w:rPr>
              <w:t>Three Months Ended June 30,</w:t>
            </w:r>
          </w:p>
        </w:tc>
        <w:tc>
          <w:tcPr>
            <w:tcW w:w="54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440" w:type="dxa"/>
            <w:vAlign w:val="bottom"/>
            <w:shd w:val="clear" w:color="auto" w:fill="1D2758"/>
          </w:tcPr>
          <w:p>
            <w:pPr>
              <w:spacing w:after="0"/>
              <w:rPr>
                <w:sz w:val="14"/>
                <w:szCs w:val="14"/>
                <w:color w:val="auto"/>
              </w:rPr>
            </w:pPr>
          </w:p>
        </w:tc>
        <w:tc>
          <w:tcPr>
            <w:tcW w:w="2680" w:type="dxa"/>
            <w:vAlign w:val="bottom"/>
            <w:shd w:val="clear" w:color="auto" w:fill="1D2758"/>
          </w:tcPr>
          <w:p>
            <w:pPr>
              <w:jc w:val="right"/>
              <w:ind w:right="719"/>
              <w:spacing w:after="0"/>
              <w:rPr>
                <w:sz w:val="20"/>
                <w:szCs w:val="20"/>
                <w:color w:val="auto"/>
              </w:rPr>
            </w:pPr>
            <w:r>
              <w:rPr>
                <w:rFonts w:ascii="Arial" w:cs="Arial" w:eastAsia="Arial" w:hAnsi="Arial"/>
                <w:sz w:val="12"/>
                <w:szCs w:val="12"/>
                <w:b w:val="1"/>
                <w:bCs w:val="1"/>
                <w:color w:val="FFFFFF"/>
              </w:rPr>
              <w:t>Six Months Ended June 30,</w:t>
            </w:r>
          </w:p>
        </w:tc>
      </w:tr>
      <w:tr>
        <w:trPr>
          <w:trHeight w:val="161"/>
        </w:trPr>
        <w:tc>
          <w:tcPr>
            <w:tcW w:w="486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80" w:type="dxa"/>
            <w:vAlign w:val="bottom"/>
            <w:shd w:val="clear" w:color="auto" w:fill="1D2758"/>
          </w:tcPr>
          <w:p>
            <w:pPr>
              <w:spacing w:after="0"/>
              <w:rPr>
                <w:sz w:val="14"/>
                <w:szCs w:val="14"/>
                <w:color w:val="auto"/>
              </w:rPr>
            </w:pPr>
          </w:p>
        </w:tc>
        <w:tc>
          <w:tcPr>
            <w:tcW w:w="2580" w:type="dxa"/>
            <w:vAlign w:val="bottom"/>
            <w:shd w:val="clear" w:color="auto" w:fill="1D2758"/>
          </w:tcPr>
          <w:p>
            <w:pPr>
              <w:spacing w:after="0"/>
              <w:rPr>
                <w:sz w:val="14"/>
                <w:szCs w:val="14"/>
                <w:color w:val="auto"/>
              </w:rPr>
            </w:pPr>
          </w:p>
        </w:tc>
        <w:tc>
          <w:tcPr>
            <w:tcW w:w="1080" w:type="dxa"/>
            <w:vAlign w:val="bottom"/>
            <w:gridSpan w:val="3"/>
            <w:shd w:val="clear" w:color="auto" w:fill="1D2758"/>
          </w:tcPr>
          <w:p>
            <w:pPr>
              <w:jc w:val="right"/>
              <w:ind w:right="299"/>
              <w:spacing w:after="0"/>
              <w:rPr>
                <w:sz w:val="20"/>
                <w:szCs w:val="20"/>
                <w:color w:val="auto"/>
              </w:rPr>
            </w:pPr>
            <w:r>
              <w:rPr>
                <w:rFonts w:ascii="Arial" w:cs="Arial" w:eastAsia="Arial" w:hAnsi="Arial"/>
                <w:sz w:val="12"/>
                <w:szCs w:val="12"/>
                <w:b w:val="1"/>
                <w:bCs w:val="1"/>
                <w:color w:val="FFFFFF"/>
              </w:rPr>
              <w:t>2020</w:t>
            </w:r>
          </w:p>
        </w:tc>
        <w:tc>
          <w:tcPr>
            <w:tcW w:w="2680" w:type="dxa"/>
            <w:vAlign w:val="bottom"/>
            <w:shd w:val="clear" w:color="auto" w:fill="1D2758"/>
          </w:tcPr>
          <w:p>
            <w:pPr>
              <w:spacing w:after="0"/>
              <w:rPr>
                <w:sz w:val="14"/>
                <w:szCs w:val="14"/>
                <w:color w:val="auto"/>
              </w:rPr>
            </w:pPr>
          </w:p>
        </w:tc>
      </w:tr>
      <w:tr>
        <w:trPr>
          <w:trHeight w:val="161"/>
        </w:trPr>
        <w:tc>
          <w:tcPr>
            <w:tcW w:w="4860" w:type="dxa"/>
            <w:vAlign w:val="bottom"/>
            <w:shd w:val="clear" w:color="auto" w:fill="E7E7E8"/>
          </w:tcPr>
          <w:p>
            <w:pPr>
              <w:ind w:left="20"/>
              <w:spacing w:after="0"/>
              <w:rPr>
                <w:sz w:val="20"/>
                <w:szCs w:val="20"/>
                <w:color w:val="auto"/>
              </w:rPr>
            </w:pPr>
            <w:r>
              <w:rPr>
                <w:rFonts w:ascii="Arial" w:cs="Arial" w:eastAsia="Arial" w:hAnsi="Arial"/>
                <w:sz w:val="12"/>
                <w:szCs w:val="12"/>
                <w:color w:val="auto"/>
              </w:rPr>
              <w:t>ABL Facility interest</w:t>
            </w:r>
          </w:p>
        </w:tc>
        <w:tc>
          <w:tcPr>
            <w:tcW w:w="2660" w:type="dxa"/>
            <w:vAlign w:val="bottom"/>
            <w:gridSpan w:val="2"/>
            <w:shd w:val="clear" w:color="auto" w:fill="DBDBDB"/>
          </w:tcPr>
          <w:p>
            <w:pPr>
              <w:jc w:val="right"/>
              <w:ind w:right="2439"/>
              <w:spacing w:after="0"/>
              <w:rPr>
                <w:sz w:val="20"/>
                <w:szCs w:val="20"/>
                <w:color w:val="auto"/>
              </w:rPr>
            </w:pPr>
            <w:r>
              <w:rPr>
                <w:rFonts w:ascii="Arial" w:cs="Arial" w:eastAsia="Arial" w:hAnsi="Arial"/>
                <w:sz w:val="12"/>
                <w:szCs w:val="12"/>
                <w:color w:val="auto"/>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42</w:t>
            </w:r>
          </w:p>
        </w:tc>
        <w:tc>
          <w:tcPr>
            <w:tcW w:w="100" w:type="dxa"/>
            <w:vAlign w:val="bottom"/>
            <w:shd w:val="clear" w:color="auto" w:fill="DBDBDB"/>
          </w:tcPr>
          <w:p>
            <w:pPr>
              <w:spacing w:after="0"/>
              <w:rPr>
                <w:sz w:val="14"/>
                <w:szCs w:val="14"/>
                <w:color w:val="auto"/>
              </w:rPr>
            </w:pPr>
          </w:p>
        </w:tc>
        <w:tc>
          <w:tcPr>
            <w:tcW w:w="440" w:type="dxa"/>
            <w:vAlign w:val="bottom"/>
            <w:shd w:val="clear" w:color="auto" w:fill="DBDBDB"/>
          </w:tcPr>
          <w:p>
            <w:pPr>
              <w:jc w:val="right"/>
              <w:ind w:right="299"/>
              <w:spacing w:after="0"/>
              <w:rPr>
                <w:sz w:val="20"/>
                <w:szCs w:val="20"/>
                <w:color w:val="auto"/>
              </w:rPr>
            </w:pPr>
            <w:r>
              <w:rPr>
                <w:rFonts w:ascii="Arial" w:cs="Arial" w:eastAsia="Arial" w:hAnsi="Arial"/>
                <w:sz w:val="12"/>
                <w:szCs w:val="12"/>
                <w:color w:val="auto"/>
                <w:w w:val="89"/>
              </w:rPr>
              <w:t>$</w:t>
            </w:r>
          </w:p>
        </w:tc>
        <w:tc>
          <w:tcPr>
            <w:tcW w:w="2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(2,562)</w:t>
            </w:r>
          </w:p>
        </w:tc>
      </w:tr>
      <w:tr>
        <w:trPr>
          <w:trHeight w:val="159"/>
        </w:trPr>
        <w:tc>
          <w:tcPr>
            <w:tcW w:w="4860" w:type="dxa"/>
            <w:vAlign w:val="bottom"/>
          </w:tcPr>
          <w:p>
            <w:pPr>
              <w:ind w:left="20"/>
              <w:spacing w:after="0"/>
              <w:rPr>
                <w:sz w:val="20"/>
                <w:szCs w:val="20"/>
                <w:color w:val="auto"/>
              </w:rPr>
            </w:pPr>
            <w:r>
              <w:rPr>
                <w:rFonts w:ascii="Arial" w:cs="Arial" w:eastAsia="Arial" w:hAnsi="Arial"/>
                <w:sz w:val="12"/>
                <w:szCs w:val="12"/>
                <w:color w:val="auto"/>
              </w:rPr>
              <w:t>2022 Secured Notes interest</w:t>
            </w:r>
          </w:p>
        </w:tc>
        <w:tc>
          <w:tcPr>
            <w:tcW w:w="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(5,316)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80" w:type="dxa"/>
            <w:vAlign w:val="bottom"/>
          </w:tcPr>
          <w:p>
            <w:pPr>
              <w:jc w:val="right"/>
              <w:spacing w:after="0"/>
              <w:rPr>
                <w:sz w:val="20"/>
                <w:szCs w:val="20"/>
                <w:color w:val="auto"/>
              </w:rPr>
            </w:pPr>
            <w:r>
              <w:rPr>
                <w:rFonts w:ascii="Arial" w:cs="Arial" w:eastAsia="Arial" w:hAnsi="Arial"/>
                <w:sz w:val="12"/>
                <w:szCs w:val="12"/>
                <w:color w:val="auto"/>
              </w:rPr>
              <w:t>(10,631)</w:t>
            </w:r>
          </w:p>
        </w:tc>
      </w:tr>
      <w:tr>
        <w:trPr>
          <w:trHeight w:val="164"/>
        </w:trPr>
        <w:tc>
          <w:tcPr>
            <w:tcW w:w="4860" w:type="dxa"/>
            <w:vAlign w:val="bottom"/>
            <w:shd w:val="clear" w:color="auto" w:fill="E7E7E8"/>
          </w:tcPr>
          <w:p>
            <w:pPr>
              <w:ind w:left="20"/>
              <w:spacing w:after="0"/>
              <w:rPr>
                <w:sz w:val="20"/>
                <w:szCs w:val="20"/>
                <w:color w:val="auto"/>
              </w:rPr>
            </w:pPr>
            <w:r>
              <w:rPr>
                <w:rFonts w:ascii="Arial" w:cs="Arial" w:eastAsia="Arial" w:hAnsi="Arial"/>
                <w:sz w:val="12"/>
                <w:szCs w:val="12"/>
                <w:color w:val="auto"/>
              </w:rPr>
              <w:t>2025 Secured Notes interest</w:t>
            </w:r>
          </w:p>
        </w:tc>
        <w:tc>
          <w:tcPr>
            <w:tcW w:w="80" w:type="dxa"/>
            <w:vAlign w:val="bottom"/>
            <w:shd w:val="clear" w:color="auto" w:fill="DBDBDB"/>
          </w:tcPr>
          <w:p>
            <w:pPr>
              <w:spacing w:after="0"/>
              <w:rPr>
                <w:sz w:val="14"/>
                <w:szCs w:val="14"/>
                <w:color w:val="auto"/>
              </w:rPr>
            </w:pPr>
          </w:p>
        </w:tc>
        <w:tc>
          <w:tcPr>
            <w:tcW w:w="2580" w:type="dxa"/>
            <w:vAlign w:val="bottom"/>
            <w:shd w:val="clear" w:color="auto" w:fill="DBDBDB"/>
          </w:tcPr>
          <w:p>
            <w:pPr>
              <w:spacing w:after="0"/>
              <w:rPr>
                <w:sz w:val="14"/>
                <w:szCs w:val="14"/>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8,294</w:t>
            </w:r>
          </w:p>
        </w:tc>
        <w:tc>
          <w:tcPr>
            <w:tcW w:w="10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2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18,247</w:t>
            </w:r>
          </w:p>
        </w:tc>
      </w:tr>
      <w:tr>
        <w:trPr>
          <w:trHeight w:val="159"/>
        </w:trPr>
        <w:tc>
          <w:tcPr>
            <w:tcW w:w="4860" w:type="dxa"/>
            <w:vAlign w:val="bottom"/>
          </w:tcPr>
          <w:p>
            <w:pPr>
              <w:ind w:left="20"/>
              <w:spacing w:after="0"/>
              <w:rPr>
                <w:sz w:val="20"/>
                <w:szCs w:val="20"/>
                <w:color w:val="auto"/>
              </w:rPr>
            </w:pPr>
            <w:r>
              <w:rPr>
                <w:rFonts w:ascii="Arial" w:cs="Arial" w:eastAsia="Arial" w:hAnsi="Arial"/>
                <w:sz w:val="12"/>
                <w:szCs w:val="12"/>
                <w:color w:val="auto"/>
              </w:rPr>
              <w:t>Mobile Mini debt interest</w:t>
            </w:r>
          </w:p>
        </w:tc>
        <w:tc>
          <w:tcPr>
            <w:tcW w:w="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(7,210)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80" w:type="dxa"/>
            <w:vAlign w:val="bottom"/>
          </w:tcPr>
          <w:p>
            <w:pPr>
              <w:jc w:val="right"/>
              <w:spacing w:after="0"/>
              <w:rPr>
                <w:sz w:val="20"/>
                <w:szCs w:val="20"/>
                <w:color w:val="auto"/>
              </w:rPr>
            </w:pPr>
            <w:r>
              <w:rPr>
                <w:rFonts w:ascii="Arial" w:cs="Arial" w:eastAsia="Arial" w:hAnsi="Arial"/>
                <w:sz w:val="12"/>
                <w:szCs w:val="12"/>
                <w:color w:val="auto"/>
              </w:rPr>
              <w:t>(15,921)</w:t>
            </w:r>
          </w:p>
        </w:tc>
      </w:tr>
      <w:tr>
        <w:trPr>
          <w:trHeight w:val="161"/>
        </w:trPr>
        <w:tc>
          <w:tcPr>
            <w:tcW w:w="4860" w:type="dxa"/>
            <w:vAlign w:val="bottom"/>
            <w:shd w:val="clear" w:color="auto" w:fill="E7E7E8"/>
          </w:tcPr>
          <w:p>
            <w:pPr>
              <w:ind w:left="20"/>
              <w:spacing w:after="0"/>
              <w:rPr>
                <w:sz w:val="20"/>
                <w:szCs w:val="20"/>
                <w:color w:val="auto"/>
              </w:rPr>
            </w:pPr>
            <w:r>
              <w:rPr>
                <w:rFonts w:ascii="Arial" w:cs="Arial" w:eastAsia="Arial" w:hAnsi="Arial"/>
                <w:sz w:val="12"/>
                <w:szCs w:val="12"/>
                <w:color w:val="auto"/>
              </w:rPr>
              <w:t>Deferred financing fee amortization</w:t>
            </w:r>
          </w:p>
        </w:tc>
        <w:tc>
          <w:tcPr>
            <w:tcW w:w="80" w:type="dxa"/>
            <w:vAlign w:val="bottom"/>
            <w:shd w:val="clear" w:color="auto" w:fill="DBDBDB"/>
          </w:tcPr>
          <w:p>
            <w:pPr>
              <w:spacing w:after="0"/>
              <w:rPr>
                <w:sz w:val="14"/>
                <w:szCs w:val="14"/>
                <w:color w:val="auto"/>
              </w:rPr>
            </w:pPr>
          </w:p>
        </w:tc>
        <w:tc>
          <w:tcPr>
            <w:tcW w:w="2580" w:type="dxa"/>
            <w:vAlign w:val="bottom"/>
            <w:tcBorders>
              <w:bottom w:val="single" w:sz="8" w:color="auto"/>
            </w:tcBorders>
            <w:shd w:val="clear" w:color="auto" w:fill="DBDBDB"/>
          </w:tcPr>
          <w:p>
            <w:pPr>
              <w:spacing w:after="0"/>
              <w:rPr>
                <w:sz w:val="14"/>
                <w:szCs w:val="14"/>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529</w:t>
            </w:r>
          </w:p>
        </w:tc>
        <w:tc>
          <w:tcPr>
            <w:tcW w:w="100" w:type="dxa"/>
            <w:vAlign w:val="bottom"/>
            <w:shd w:val="clear" w:color="auto" w:fill="DBDBDB"/>
          </w:tcPr>
          <w:p>
            <w:pPr>
              <w:spacing w:after="0"/>
              <w:rPr>
                <w:sz w:val="14"/>
                <w:szCs w:val="14"/>
                <w:color w:val="auto"/>
              </w:rPr>
            </w:pPr>
          </w:p>
        </w:tc>
        <w:tc>
          <w:tcPr>
            <w:tcW w:w="440" w:type="dxa"/>
            <w:vAlign w:val="bottom"/>
            <w:tcBorders>
              <w:bottom w:val="single" w:sz="8" w:color="auto"/>
            </w:tcBorders>
            <w:shd w:val="clear" w:color="auto" w:fill="DBDBDB"/>
          </w:tcPr>
          <w:p>
            <w:pPr>
              <w:spacing w:after="0"/>
              <w:rPr>
                <w:sz w:val="14"/>
                <w:szCs w:val="14"/>
                <w:color w:val="auto"/>
              </w:rPr>
            </w:pPr>
          </w:p>
        </w:tc>
        <w:tc>
          <w:tcPr>
            <w:tcW w:w="2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1,058</w:t>
            </w:r>
          </w:p>
        </w:tc>
      </w:tr>
      <w:tr>
        <w:trPr>
          <w:trHeight w:val="154"/>
        </w:trPr>
        <w:tc>
          <w:tcPr>
            <w:tcW w:w="4860" w:type="dxa"/>
            <w:vAlign w:val="bottom"/>
          </w:tcPr>
          <w:p>
            <w:pPr>
              <w:ind w:left="20"/>
              <w:spacing w:after="0"/>
              <w:rPr>
                <w:sz w:val="20"/>
                <w:szCs w:val="20"/>
                <w:color w:val="auto"/>
              </w:rPr>
            </w:pPr>
            <w:r>
              <w:rPr>
                <w:rFonts w:ascii="Arial" w:cs="Arial" w:eastAsia="Arial" w:hAnsi="Arial"/>
                <w:sz w:val="12"/>
                <w:szCs w:val="12"/>
                <w:color w:val="auto"/>
              </w:rPr>
              <w:t>Net pro forma adjustment</w:t>
            </w:r>
          </w:p>
        </w:tc>
        <w:tc>
          <w:tcPr>
            <w:tcW w:w="2660" w:type="dxa"/>
            <w:vAlign w:val="bottom"/>
            <w:gridSpan w:val="2"/>
          </w:tcPr>
          <w:p>
            <w:pPr>
              <w:jc w:val="right"/>
              <w:ind w:right="2439"/>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(3,661)</w:t>
            </w:r>
          </w:p>
        </w:tc>
        <w:tc>
          <w:tcPr>
            <w:tcW w:w="100" w:type="dxa"/>
            <w:vAlign w:val="bottom"/>
          </w:tcPr>
          <w:p>
            <w:pPr>
              <w:spacing w:after="0"/>
              <w:rPr>
                <w:sz w:val="13"/>
                <w:szCs w:val="13"/>
                <w:color w:val="auto"/>
              </w:rPr>
            </w:pPr>
          </w:p>
        </w:tc>
        <w:tc>
          <w:tcPr>
            <w:tcW w:w="440" w:type="dxa"/>
            <w:vAlign w:val="bottom"/>
          </w:tcPr>
          <w:p>
            <w:pPr>
              <w:jc w:val="right"/>
              <w:ind w:right="299"/>
              <w:spacing w:after="0"/>
              <w:rPr>
                <w:sz w:val="20"/>
                <w:szCs w:val="20"/>
                <w:color w:val="auto"/>
              </w:rPr>
            </w:pPr>
            <w:r>
              <w:rPr>
                <w:rFonts w:ascii="Arial" w:cs="Arial" w:eastAsia="Arial" w:hAnsi="Arial"/>
                <w:sz w:val="12"/>
                <w:szCs w:val="12"/>
                <w:color w:val="auto"/>
                <w:w w:val="89"/>
              </w:rPr>
              <w:t>$</w:t>
            </w:r>
          </w:p>
        </w:tc>
        <w:tc>
          <w:tcPr>
            <w:tcW w:w="2680" w:type="dxa"/>
            <w:vAlign w:val="bottom"/>
          </w:tcPr>
          <w:p>
            <w:pPr>
              <w:jc w:val="right"/>
              <w:spacing w:after="0"/>
              <w:rPr>
                <w:sz w:val="20"/>
                <w:szCs w:val="20"/>
                <w:color w:val="auto"/>
              </w:rPr>
            </w:pPr>
            <w:r>
              <w:rPr>
                <w:rFonts w:ascii="Arial" w:cs="Arial" w:eastAsia="Arial" w:hAnsi="Arial"/>
                <w:sz w:val="12"/>
                <w:szCs w:val="12"/>
                <w:color w:val="auto"/>
              </w:rPr>
              <w:t>(9,809)</w:t>
            </w: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1D2758"/>
        </w:rPr>
        <w:t>Reconciliation of Pro Forma Adjusted EBITDA</w:t>
      </w:r>
    </w:p>
    <w:p>
      <w:pPr>
        <w:spacing w:after="0" w:line="8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unaudited table provides a reconciliation of Net income to pro forma unaudited adjusted EBITDA: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2540" w:type="dxa"/>
            <w:vAlign w:val="bottom"/>
            <w:shd w:val="clear" w:color="auto" w:fill="1D2758"/>
          </w:tcPr>
          <w:p>
            <w:pPr>
              <w:jc w:val="right"/>
              <w:ind w:right="59"/>
              <w:spacing w:after="0"/>
              <w:rPr>
                <w:sz w:val="20"/>
                <w:szCs w:val="20"/>
                <w:color w:val="auto"/>
              </w:rPr>
            </w:pPr>
            <w:r>
              <w:rPr>
                <w:rFonts w:ascii="Arial" w:cs="Arial" w:eastAsia="Arial" w:hAnsi="Arial"/>
                <w:sz w:val="12"/>
                <w:szCs w:val="12"/>
                <w:b w:val="1"/>
                <w:bCs w:val="1"/>
                <w:color w:val="FFFFFF"/>
              </w:rPr>
              <w:t>Three Months Ended June 30,</w:t>
            </w:r>
          </w:p>
        </w:tc>
        <w:tc>
          <w:tcPr>
            <w:tcW w:w="58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440" w:type="dxa"/>
            <w:vAlign w:val="bottom"/>
            <w:shd w:val="clear" w:color="auto" w:fill="1D2758"/>
          </w:tcPr>
          <w:p>
            <w:pPr>
              <w:spacing w:after="0"/>
              <w:rPr>
                <w:sz w:val="14"/>
                <w:szCs w:val="14"/>
                <w:color w:val="auto"/>
              </w:rPr>
            </w:pPr>
          </w:p>
        </w:tc>
        <w:tc>
          <w:tcPr>
            <w:tcW w:w="2680" w:type="dxa"/>
            <w:vAlign w:val="bottom"/>
            <w:shd w:val="clear" w:color="auto" w:fill="1D2758"/>
          </w:tcPr>
          <w:p>
            <w:pPr>
              <w:jc w:val="right"/>
              <w:ind w:right="719"/>
              <w:spacing w:after="0"/>
              <w:rPr>
                <w:sz w:val="20"/>
                <w:szCs w:val="20"/>
                <w:color w:val="auto"/>
              </w:rPr>
            </w:pPr>
            <w:r>
              <w:rPr>
                <w:rFonts w:ascii="Arial" w:cs="Arial" w:eastAsia="Arial" w:hAnsi="Arial"/>
                <w:sz w:val="12"/>
                <w:szCs w:val="12"/>
                <w:b w:val="1"/>
                <w:bCs w:val="1"/>
                <w:color w:val="FFFFFF"/>
              </w:rPr>
              <w:t>Six Months Ended June 30,</w:t>
            </w:r>
          </w:p>
        </w:tc>
      </w:tr>
      <w:tr>
        <w:trPr>
          <w:trHeight w:val="161"/>
        </w:trPr>
        <w:tc>
          <w:tcPr>
            <w:tcW w:w="482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rPr>
              <w:t>(in thousands)</w:t>
            </w:r>
          </w:p>
        </w:tc>
        <w:tc>
          <w:tcPr>
            <w:tcW w:w="80" w:type="dxa"/>
            <w:vAlign w:val="bottom"/>
            <w:shd w:val="clear" w:color="auto" w:fill="1D2758"/>
          </w:tcPr>
          <w:p>
            <w:pPr>
              <w:spacing w:after="0"/>
              <w:rPr>
                <w:sz w:val="14"/>
                <w:szCs w:val="14"/>
                <w:color w:val="auto"/>
              </w:rPr>
            </w:pPr>
          </w:p>
        </w:tc>
        <w:tc>
          <w:tcPr>
            <w:tcW w:w="2540" w:type="dxa"/>
            <w:vAlign w:val="bottom"/>
            <w:shd w:val="clear" w:color="auto" w:fill="1D2758"/>
          </w:tcPr>
          <w:p>
            <w:pPr>
              <w:spacing w:after="0"/>
              <w:rPr>
                <w:sz w:val="14"/>
                <w:szCs w:val="14"/>
                <w:color w:val="auto"/>
              </w:rPr>
            </w:pPr>
          </w:p>
        </w:tc>
        <w:tc>
          <w:tcPr>
            <w:tcW w:w="1120" w:type="dxa"/>
            <w:vAlign w:val="bottom"/>
            <w:gridSpan w:val="3"/>
            <w:shd w:val="clear" w:color="auto" w:fill="1D2758"/>
          </w:tcPr>
          <w:p>
            <w:pPr>
              <w:jc w:val="right"/>
              <w:ind w:right="299"/>
              <w:spacing w:after="0"/>
              <w:rPr>
                <w:sz w:val="20"/>
                <w:szCs w:val="20"/>
                <w:color w:val="auto"/>
              </w:rPr>
            </w:pPr>
            <w:r>
              <w:rPr>
                <w:rFonts w:ascii="Arial" w:cs="Arial" w:eastAsia="Arial" w:hAnsi="Arial"/>
                <w:sz w:val="12"/>
                <w:szCs w:val="12"/>
                <w:b w:val="1"/>
                <w:bCs w:val="1"/>
                <w:color w:val="FFFFFF"/>
              </w:rPr>
              <w:t>2020</w:t>
            </w:r>
          </w:p>
        </w:tc>
        <w:tc>
          <w:tcPr>
            <w:tcW w:w="2680" w:type="dxa"/>
            <w:vAlign w:val="bottom"/>
            <w:shd w:val="clear" w:color="auto" w:fill="1D2758"/>
          </w:tcPr>
          <w:p>
            <w:pPr>
              <w:spacing w:after="0"/>
              <w:rPr>
                <w:sz w:val="14"/>
                <w:szCs w:val="14"/>
                <w:color w:val="auto"/>
              </w:rPr>
            </w:pPr>
          </w:p>
        </w:tc>
      </w:tr>
      <w:tr>
        <w:trPr>
          <w:trHeight w:val="161"/>
        </w:trPr>
        <w:tc>
          <w:tcPr>
            <w:tcW w:w="4820" w:type="dxa"/>
            <w:vAlign w:val="bottom"/>
            <w:shd w:val="clear" w:color="auto" w:fill="DBDBDB"/>
          </w:tcPr>
          <w:p>
            <w:pPr>
              <w:ind w:left="20"/>
              <w:spacing w:after="0"/>
              <w:rPr>
                <w:sz w:val="20"/>
                <w:szCs w:val="20"/>
                <w:color w:val="auto"/>
              </w:rPr>
            </w:pPr>
            <w:r>
              <w:rPr>
                <w:rFonts w:ascii="Arial" w:cs="Arial" w:eastAsia="Arial" w:hAnsi="Arial"/>
                <w:sz w:val="12"/>
                <w:szCs w:val="12"/>
                <w:color w:val="auto"/>
              </w:rPr>
              <w:t>Net (loss) income</w:t>
            </w:r>
          </w:p>
        </w:tc>
        <w:tc>
          <w:tcPr>
            <w:tcW w:w="2620" w:type="dxa"/>
            <w:vAlign w:val="bottom"/>
            <w:gridSpan w:val="2"/>
            <w:shd w:val="clear" w:color="auto" w:fill="DBDBDB"/>
          </w:tcPr>
          <w:p>
            <w:pPr>
              <w:jc w:val="right"/>
              <w:ind w:right="2399"/>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(1,161)</w:t>
            </w:r>
          </w:p>
        </w:tc>
        <w:tc>
          <w:tcPr>
            <w:tcW w:w="100" w:type="dxa"/>
            <w:vAlign w:val="bottom"/>
            <w:shd w:val="clear" w:color="auto" w:fill="DBDBDB"/>
          </w:tcPr>
          <w:p>
            <w:pPr>
              <w:spacing w:after="0"/>
              <w:rPr>
                <w:sz w:val="14"/>
                <w:szCs w:val="14"/>
                <w:color w:val="auto"/>
              </w:rPr>
            </w:pPr>
          </w:p>
        </w:tc>
        <w:tc>
          <w:tcPr>
            <w:tcW w:w="440" w:type="dxa"/>
            <w:vAlign w:val="bottom"/>
            <w:shd w:val="clear" w:color="auto" w:fill="DBDBDB"/>
          </w:tcPr>
          <w:p>
            <w:pPr>
              <w:jc w:val="right"/>
              <w:ind w:right="299"/>
              <w:spacing w:after="0"/>
              <w:rPr>
                <w:sz w:val="20"/>
                <w:szCs w:val="20"/>
                <w:color w:val="auto"/>
              </w:rPr>
            </w:pPr>
            <w:r>
              <w:rPr>
                <w:rFonts w:ascii="Arial" w:cs="Arial" w:eastAsia="Arial" w:hAnsi="Arial"/>
                <w:sz w:val="12"/>
                <w:szCs w:val="12"/>
                <w:color w:val="auto"/>
                <w:w w:val="89"/>
              </w:rPr>
              <w:t>$</w:t>
            </w:r>
          </w:p>
        </w:tc>
        <w:tc>
          <w:tcPr>
            <w:tcW w:w="2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116,646</w:t>
            </w:r>
          </w:p>
        </w:tc>
      </w:tr>
      <w:tr>
        <w:trPr>
          <w:trHeight w:val="159"/>
        </w:trPr>
        <w:tc>
          <w:tcPr>
            <w:tcW w:w="4820" w:type="dxa"/>
            <w:vAlign w:val="bottom"/>
          </w:tcPr>
          <w:p>
            <w:pPr>
              <w:ind w:left="180"/>
              <w:spacing w:after="0"/>
              <w:rPr>
                <w:sz w:val="20"/>
                <w:szCs w:val="20"/>
                <w:color w:val="auto"/>
              </w:rPr>
            </w:pPr>
            <w:r>
              <w:rPr>
                <w:rFonts w:ascii="Arial" w:cs="Arial" w:eastAsia="Arial" w:hAnsi="Arial"/>
                <w:sz w:val="12"/>
                <w:szCs w:val="12"/>
                <w:color w:val="auto"/>
              </w:rPr>
              <w:t>Income tax expense</w:t>
            </w:r>
          </w:p>
        </w:tc>
        <w:tc>
          <w:tcPr>
            <w:tcW w:w="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9,737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80" w:type="dxa"/>
            <w:vAlign w:val="bottom"/>
          </w:tcPr>
          <w:p>
            <w:pPr>
              <w:jc w:val="right"/>
              <w:spacing w:after="0"/>
              <w:rPr>
                <w:sz w:val="20"/>
                <w:szCs w:val="20"/>
                <w:color w:val="auto"/>
              </w:rPr>
            </w:pPr>
            <w:r>
              <w:rPr>
                <w:rFonts w:ascii="Arial" w:cs="Arial" w:eastAsia="Arial" w:hAnsi="Arial"/>
                <w:sz w:val="12"/>
                <w:szCs w:val="12"/>
                <w:color w:val="auto"/>
              </w:rPr>
              <w:t>23,244</w:t>
            </w:r>
          </w:p>
        </w:tc>
      </w:tr>
      <w:tr>
        <w:trPr>
          <w:trHeight w:val="164"/>
        </w:trPr>
        <w:tc>
          <w:tcPr>
            <w:tcW w:w="4820" w:type="dxa"/>
            <w:vAlign w:val="bottom"/>
            <w:shd w:val="clear" w:color="auto" w:fill="DBDBDB"/>
          </w:tcPr>
          <w:p>
            <w:pPr>
              <w:ind w:left="180"/>
              <w:spacing w:after="0"/>
              <w:rPr>
                <w:sz w:val="20"/>
                <w:szCs w:val="20"/>
                <w:color w:val="auto"/>
              </w:rPr>
            </w:pPr>
            <w:r>
              <w:rPr>
                <w:rFonts w:ascii="Arial" w:cs="Arial" w:eastAsia="Arial" w:hAnsi="Arial"/>
                <w:sz w:val="12"/>
                <w:szCs w:val="12"/>
                <w:color w:val="auto"/>
              </w:rPr>
              <w:t>Interest expense</w:t>
            </w:r>
          </w:p>
        </w:tc>
        <w:tc>
          <w:tcPr>
            <w:tcW w:w="80" w:type="dxa"/>
            <w:vAlign w:val="bottom"/>
            <w:shd w:val="clear" w:color="auto" w:fill="DBDBDB"/>
          </w:tcPr>
          <w:p>
            <w:pPr>
              <w:spacing w:after="0"/>
              <w:rPr>
                <w:sz w:val="14"/>
                <w:szCs w:val="14"/>
                <w:color w:val="auto"/>
              </w:rPr>
            </w:pPr>
          </w:p>
        </w:tc>
        <w:tc>
          <w:tcPr>
            <w:tcW w:w="25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32,572</w:t>
            </w:r>
          </w:p>
        </w:tc>
        <w:tc>
          <w:tcPr>
            <w:tcW w:w="10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2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63,941</w:t>
            </w:r>
          </w:p>
        </w:tc>
      </w:tr>
      <w:tr>
        <w:trPr>
          <w:trHeight w:val="159"/>
        </w:trPr>
        <w:tc>
          <w:tcPr>
            <w:tcW w:w="4820" w:type="dxa"/>
            <w:vAlign w:val="bottom"/>
          </w:tcPr>
          <w:p>
            <w:pPr>
              <w:ind w:left="180"/>
              <w:spacing w:after="0"/>
              <w:rPr>
                <w:sz w:val="20"/>
                <w:szCs w:val="20"/>
                <w:color w:val="auto"/>
              </w:rPr>
            </w:pPr>
            <w:r>
              <w:rPr>
                <w:rFonts w:ascii="Arial" w:cs="Arial" w:eastAsia="Arial" w:hAnsi="Arial"/>
                <w:sz w:val="12"/>
                <w:szCs w:val="12"/>
                <w:color w:val="auto"/>
              </w:rPr>
              <w:t>Depreciation and amortization</w:t>
            </w:r>
          </w:p>
        </w:tc>
        <w:tc>
          <w:tcPr>
            <w:tcW w:w="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72,777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80" w:type="dxa"/>
            <w:vAlign w:val="bottom"/>
          </w:tcPr>
          <w:p>
            <w:pPr>
              <w:jc w:val="right"/>
              <w:spacing w:after="0"/>
              <w:rPr>
                <w:sz w:val="20"/>
                <w:szCs w:val="20"/>
                <w:color w:val="auto"/>
              </w:rPr>
            </w:pPr>
            <w:r>
              <w:rPr>
                <w:rFonts w:ascii="Arial" w:cs="Arial" w:eastAsia="Arial" w:hAnsi="Arial"/>
                <w:sz w:val="12"/>
                <w:szCs w:val="12"/>
                <w:color w:val="auto"/>
              </w:rPr>
              <w:t>146,126</w:t>
            </w:r>
          </w:p>
        </w:tc>
      </w:tr>
      <w:tr>
        <w:trPr>
          <w:trHeight w:val="164"/>
        </w:trPr>
        <w:tc>
          <w:tcPr>
            <w:tcW w:w="4820" w:type="dxa"/>
            <w:vAlign w:val="bottom"/>
            <w:shd w:val="clear" w:color="auto" w:fill="DBDBDB"/>
          </w:tcPr>
          <w:p>
            <w:pPr>
              <w:ind w:left="180"/>
              <w:spacing w:after="0"/>
              <w:rPr>
                <w:sz w:val="20"/>
                <w:szCs w:val="20"/>
                <w:color w:val="auto"/>
              </w:rPr>
            </w:pPr>
            <w:r>
              <w:rPr>
                <w:rFonts w:ascii="Arial" w:cs="Arial" w:eastAsia="Arial" w:hAnsi="Arial"/>
                <w:sz w:val="12"/>
                <w:szCs w:val="12"/>
                <w:color w:val="auto"/>
              </w:rPr>
              <w:t>Fair value loss (gain) on common stock warrant liabilities</w:t>
            </w:r>
          </w:p>
        </w:tc>
        <w:tc>
          <w:tcPr>
            <w:tcW w:w="80" w:type="dxa"/>
            <w:vAlign w:val="bottom"/>
            <w:shd w:val="clear" w:color="auto" w:fill="DBDBDB"/>
          </w:tcPr>
          <w:p>
            <w:pPr>
              <w:spacing w:after="0"/>
              <w:rPr>
                <w:sz w:val="14"/>
                <w:szCs w:val="14"/>
                <w:color w:val="auto"/>
              </w:rPr>
            </w:pPr>
          </w:p>
        </w:tc>
        <w:tc>
          <w:tcPr>
            <w:tcW w:w="25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26,963</w:t>
            </w:r>
          </w:p>
        </w:tc>
        <w:tc>
          <w:tcPr>
            <w:tcW w:w="10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2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(68,366)</w:t>
            </w:r>
          </w:p>
        </w:tc>
      </w:tr>
      <w:tr>
        <w:trPr>
          <w:trHeight w:val="159"/>
        </w:trPr>
        <w:tc>
          <w:tcPr>
            <w:tcW w:w="4820" w:type="dxa"/>
            <w:vAlign w:val="bottom"/>
          </w:tcPr>
          <w:p>
            <w:pPr>
              <w:ind w:left="180"/>
              <w:spacing w:after="0"/>
              <w:rPr>
                <w:sz w:val="20"/>
                <w:szCs w:val="20"/>
                <w:color w:val="auto"/>
              </w:rPr>
            </w:pPr>
            <w:r>
              <w:rPr>
                <w:rFonts w:ascii="Arial" w:cs="Arial" w:eastAsia="Arial" w:hAnsi="Arial"/>
                <w:sz w:val="12"/>
                <w:szCs w:val="12"/>
                <w:color w:val="auto"/>
              </w:rPr>
              <w:t>Currency (gains) losses, net</w:t>
            </w:r>
          </w:p>
        </w:tc>
        <w:tc>
          <w:tcPr>
            <w:tcW w:w="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(344)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80" w:type="dxa"/>
            <w:vAlign w:val="bottom"/>
          </w:tcPr>
          <w:p>
            <w:pPr>
              <w:jc w:val="right"/>
              <w:spacing w:after="0"/>
              <w:rPr>
                <w:sz w:val="20"/>
                <w:szCs w:val="20"/>
                <w:color w:val="auto"/>
              </w:rPr>
            </w:pPr>
            <w:r>
              <w:rPr>
                <w:rFonts w:ascii="Arial" w:cs="Arial" w:eastAsia="Arial" w:hAnsi="Arial"/>
                <w:sz w:val="12"/>
                <w:szCs w:val="12"/>
                <w:color w:val="auto"/>
              </w:rPr>
              <w:t>558</w:t>
            </w:r>
          </w:p>
        </w:tc>
      </w:tr>
      <w:tr>
        <w:trPr>
          <w:trHeight w:val="164"/>
        </w:trPr>
        <w:tc>
          <w:tcPr>
            <w:tcW w:w="4820" w:type="dxa"/>
            <w:vAlign w:val="bottom"/>
            <w:shd w:val="clear" w:color="auto" w:fill="DBDBDB"/>
          </w:tcPr>
          <w:p>
            <w:pPr>
              <w:ind w:left="180"/>
              <w:spacing w:after="0"/>
              <w:rPr>
                <w:sz w:val="20"/>
                <w:szCs w:val="20"/>
                <w:color w:val="auto"/>
              </w:rPr>
            </w:pPr>
            <w:r>
              <w:rPr>
                <w:rFonts w:ascii="Arial" w:cs="Arial" w:eastAsia="Arial" w:hAnsi="Arial"/>
                <w:sz w:val="12"/>
                <w:szCs w:val="12"/>
                <w:color w:val="auto"/>
              </w:rPr>
              <w:t>Restructuring costs, lease impairment expense, other related charges</w:t>
            </w:r>
          </w:p>
        </w:tc>
        <w:tc>
          <w:tcPr>
            <w:tcW w:w="80" w:type="dxa"/>
            <w:vAlign w:val="bottom"/>
            <w:shd w:val="clear" w:color="auto" w:fill="DBDBDB"/>
          </w:tcPr>
          <w:p>
            <w:pPr>
              <w:spacing w:after="0"/>
              <w:rPr>
                <w:sz w:val="14"/>
                <w:szCs w:val="14"/>
                <w:color w:val="auto"/>
              </w:rPr>
            </w:pPr>
          </w:p>
        </w:tc>
        <w:tc>
          <w:tcPr>
            <w:tcW w:w="25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2,143</w:t>
            </w:r>
          </w:p>
        </w:tc>
        <w:tc>
          <w:tcPr>
            <w:tcW w:w="10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2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3,744</w:t>
            </w:r>
          </w:p>
        </w:tc>
      </w:tr>
      <w:tr>
        <w:trPr>
          <w:trHeight w:val="159"/>
        </w:trPr>
        <w:tc>
          <w:tcPr>
            <w:tcW w:w="4820" w:type="dxa"/>
            <w:vAlign w:val="bottom"/>
          </w:tcPr>
          <w:p>
            <w:pPr>
              <w:ind w:left="180"/>
              <w:spacing w:after="0"/>
              <w:rPr>
                <w:sz w:val="20"/>
                <w:szCs w:val="20"/>
                <w:color w:val="auto"/>
              </w:rPr>
            </w:pPr>
            <w:r>
              <w:rPr>
                <w:rFonts w:ascii="Arial" w:cs="Arial" w:eastAsia="Arial" w:hAnsi="Arial"/>
                <w:sz w:val="12"/>
                <w:szCs w:val="12"/>
                <w:color w:val="auto"/>
              </w:rPr>
              <w:t>Integration costs</w:t>
            </w:r>
          </w:p>
        </w:tc>
        <w:tc>
          <w:tcPr>
            <w:tcW w:w="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2,154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80" w:type="dxa"/>
            <w:vAlign w:val="bottom"/>
          </w:tcPr>
          <w:p>
            <w:pPr>
              <w:jc w:val="right"/>
              <w:spacing w:after="0"/>
              <w:rPr>
                <w:sz w:val="20"/>
                <w:szCs w:val="20"/>
                <w:color w:val="auto"/>
              </w:rPr>
            </w:pPr>
            <w:r>
              <w:rPr>
                <w:rFonts w:ascii="Arial" w:cs="Arial" w:eastAsia="Arial" w:hAnsi="Arial"/>
                <w:sz w:val="12"/>
                <w:szCs w:val="12"/>
                <w:color w:val="auto"/>
              </w:rPr>
              <w:t>3,839</w:t>
            </w:r>
          </w:p>
        </w:tc>
      </w:tr>
      <w:tr>
        <w:trPr>
          <w:trHeight w:val="164"/>
        </w:trPr>
        <w:tc>
          <w:tcPr>
            <w:tcW w:w="482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Stock compensation expense</w:t>
            </w:r>
          </w:p>
        </w:tc>
        <w:tc>
          <w:tcPr>
            <w:tcW w:w="80" w:type="dxa"/>
            <w:vAlign w:val="bottom"/>
            <w:shd w:val="clear" w:color="auto" w:fill="DBDBDB"/>
          </w:tcPr>
          <w:p>
            <w:pPr>
              <w:spacing w:after="0"/>
              <w:rPr>
                <w:sz w:val="14"/>
                <w:szCs w:val="14"/>
                <w:color w:val="auto"/>
              </w:rPr>
            </w:pPr>
          </w:p>
        </w:tc>
        <w:tc>
          <w:tcPr>
            <w:tcW w:w="25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4,946</w:t>
            </w:r>
          </w:p>
        </w:tc>
        <w:tc>
          <w:tcPr>
            <w:tcW w:w="10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2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9,415</w:t>
            </w:r>
          </w:p>
        </w:tc>
      </w:tr>
      <w:tr>
        <w:trPr>
          <w:trHeight w:val="159"/>
        </w:trPr>
        <w:tc>
          <w:tcPr>
            <w:tcW w:w="4820" w:type="dxa"/>
            <w:vAlign w:val="bottom"/>
            <w:tcBorders>
              <w:bottom w:val="single" w:sz="8" w:color="DBDBDB"/>
            </w:tcBorders>
          </w:tcPr>
          <w:p>
            <w:pPr>
              <w:ind w:left="180"/>
              <w:spacing w:after="0"/>
              <w:rPr>
                <w:sz w:val="20"/>
                <w:szCs w:val="20"/>
                <w:color w:val="auto"/>
              </w:rPr>
            </w:pPr>
            <w:r>
              <w:rPr>
                <w:rFonts w:ascii="Arial" w:cs="Arial" w:eastAsia="Arial" w:hAnsi="Arial"/>
                <w:sz w:val="12"/>
                <w:szCs w:val="12"/>
                <w:color w:val="auto"/>
              </w:rPr>
              <w:t>Other</w:t>
            </w:r>
          </w:p>
        </w:tc>
        <w:tc>
          <w:tcPr>
            <w:tcW w:w="80" w:type="dxa"/>
            <w:vAlign w:val="bottom"/>
            <w:tcBorders>
              <w:bottom w:val="single" w:sz="8" w:color="DBDBDB"/>
            </w:tcBorders>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4,015</w:t>
            </w:r>
          </w:p>
        </w:tc>
        <w:tc>
          <w:tcPr>
            <w:tcW w:w="100" w:type="dxa"/>
            <w:vAlign w:val="bottom"/>
            <w:tcBorders>
              <w:bottom w:val="single" w:sz="8" w:color="DBDBDB"/>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4,075</w:t>
            </w:r>
          </w:p>
        </w:tc>
      </w:tr>
      <w:tr>
        <w:trPr>
          <w:trHeight w:val="174"/>
        </w:trPr>
        <w:tc>
          <w:tcPr>
            <w:tcW w:w="4820" w:type="dxa"/>
            <w:vAlign w:val="bottom"/>
            <w:shd w:val="clear" w:color="auto" w:fill="DBDBDB"/>
          </w:tcPr>
          <w:p>
            <w:pPr>
              <w:ind w:left="20"/>
              <w:spacing w:after="0"/>
              <w:rPr>
                <w:sz w:val="20"/>
                <w:szCs w:val="20"/>
                <w:color w:val="auto"/>
              </w:rPr>
            </w:pPr>
            <w:r>
              <w:rPr>
                <w:rFonts w:ascii="Arial" w:cs="Arial" w:eastAsia="Arial" w:hAnsi="Arial"/>
                <w:sz w:val="12"/>
                <w:szCs w:val="12"/>
                <w:color w:val="auto"/>
              </w:rPr>
              <w:t>Adjusted EBITDA</w:t>
            </w:r>
          </w:p>
        </w:tc>
        <w:tc>
          <w:tcPr>
            <w:tcW w:w="2620" w:type="dxa"/>
            <w:vAlign w:val="bottom"/>
            <w:gridSpan w:val="2"/>
            <w:shd w:val="clear" w:color="auto" w:fill="DBDBDB"/>
          </w:tcPr>
          <w:p>
            <w:pPr>
              <w:jc w:val="right"/>
              <w:ind w:right="2399"/>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153,802</w:t>
            </w:r>
          </w:p>
        </w:tc>
        <w:tc>
          <w:tcPr>
            <w:tcW w:w="100" w:type="dxa"/>
            <w:vAlign w:val="bottom"/>
            <w:shd w:val="clear" w:color="auto" w:fill="DBDBDB"/>
          </w:tcPr>
          <w:p>
            <w:pPr>
              <w:spacing w:after="0"/>
              <w:rPr>
                <w:sz w:val="15"/>
                <w:szCs w:val="15"/>
                <w:color w:val="auto"/>
              </w:rPr>
            </w:pPr>
          </w:p>
        </w:tc>
        <w:tc>
          <w:tcPr>
            <w:tcW w:w="440" w:type="dxa"/>
            <w:vAlign w:val="bottom"/>
            <w:shd w:val="clear" w:color="auto" w:fill="DBDBDB"/>
          </w:tcPr>
          <w:p>
            <w:pPr>
              <w:jc w:val="right"/>
              <w:ind w:right="299"/>
              <w:spacing w:after="0"/>
              <w:rPr>
                <w:sz w:val="20"/>
                <w:szCs w:val="20"/>
                <w:color w:val="auto"/>
              </w:rPr>
            </w:pPr>
            <w:r>
              <w:rPr>
                <w:rFonts w:ascii="Arial" w:cs="Arial" w:eastAsia="Arial" w:hAnsi="Arial"/>
                <w:sz w:val="12"/>
                <w:szCs w:val="12"/>
                <w:color w:val="auto"/>
                <w:w w:val="89"/>
              </w:rPr>
              <w:t>$</w:t>
            </w:r>
          </w:p>
        </w:tc>
        <w:tc>
          <w:tcPr>
            <w:tcW w:w="2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303,222</w:t>
            </w:r>
          </w:p>
        </w:tc>
      </w:tr>
      <w:tr>
        <w:trPr>
          <w:trHeight w:val="20"/>
        </w:trPr>
        <w:tc>
          <w:tcPr>
            <w:tcW w:w="48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1D2758"/>
        </w:rPr>
        <w:t>Critical Accounting Policies and Estimates</w:t>
      </w:r>
    </w:p>
    <w:p>
      <w:pPr>
        <w:spacing w:after="0" w:line="85"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w:t>
      </w:r>
    </w:p>
    <w:p>
      <w:pPr>
        <w:spacing w:after="0" w:line="33"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The US Securities and Exchange Commission (the “SEC”) suggests companies provide additional disclosure on those accounting policies considered most critical. The SEC considers an accounting policy to be critical if it is important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515620</wp:posOffset>
            </wp:positionV>
            <wp:extent cx="719264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62" w:name="page63"/>
    <w:bookmarkEnd w:id="62"/>
    <w:p>
      <w:pPr>
        <w:jc w:val="both"/>
        <w:spacing w:after="0" w:line="258" w:lineRule="auto"/>
        <w:rPr>
          <w:sz w:val="20"/>
          <w:szCs w:val="20"/>
          <w:color w:val="auto"/>
        </w:rPr>
      </w:pPr>
      <w:r>
        <w:rPr>
          <w:rFonts w:ascii="Arial" w:cs="Arial" w:eastAsia="Arial" w:hAnsi="Arial"/>
          <w:sz w:val="12"/>
          <w:szCs w:val="12"/>
          <w:color w:val="auto"/>
        </w:rPr>
        <w:t>financial condition and results of operations and requires significant judgments and estimates on the part of management in its application. For a complete discussion of our significant critical accounting policies, see the “Critical Accounting Policies and Estimates” section in Part II, Item 7 of our Annual Report on Form 10-K/A for the year ended December 31, 2020 (the "2020 Annual Report on Form 10-K/A").</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There were no significant changes to our critical accounting policies during the six months ended June 30, 2021.</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1D2758"/>
        </w:rPr>
        <w:t>Recently Issued Accounting Standards</w:t>
      </w:r>
    </w:p>
    <w:p>
      <w:pPr>
        <w:spacing w:after="0" w:line="4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Refer to Part I, Item 1, Note 1 of the notes to our financial statements included in this Quarterly Report on Form 10-Q for our assessment of recently issued and adopted accounting standards.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1D2758"/>
        </w:rPr>
        <w:t>Cautionary Note Regarding Forward-Looking Statements</w:t>
      </w:r>
    </w:p>
    <w:p>
      <w:pPr>
        <w:spacing w:after="0" w:line="45"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w:t>
      </w:r>
    </w:p>
    <w:p>
      <w:pPr>
        <w:spacing w:after="0" w:line="29"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WillScot Mobile Mini believes that these forward-looking statements are based on reasonable assumptions, it can give no assurance that any such forward-looking statement will materialize.</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Important factors that may affect actual results or outcomes include, among others:</w:t>
      </w:r>
    </w:p>
    <w:p>
      <w:pPr>
        <w:spacing w:after="0" w:line="44" w:lineRule="exact"/>
        <w:rPr>
          <w:sz w:val="20"/>
          <w:szCs w:val="20"/>
          <w:color w:val="auto"/>
        </w:rPr>
      </w:pPr>
    </w:p>
    <w:p>
      <w:pPr>
        <w:ind w:left="480" w:hanging="237"/>
        <w:spacing w:after="0" w:line="258" w:lineRule="auto"/>
        <w:tabs>
          <w:tab w:leader="none" w:pos="472"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ability to successfully acquire and integrate new operations, including Mobile Mini and our conversion to its enterprise resource planning system, and to realize anticipated synergies from the Merger with Mobile Mini;</w:t>
      </w:r>
    </w:p>
    <w:p>
      <w:pPr>
        <w:spacing w:after="0" w:line="26"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operational, economic, political and regulatory risks;</w:t>
      </w:r>
    </w:p>
    <w:p>
      <w:pPr>
        <w:spacing w:after="0" w:line="43" w:lineRule="exact"/>
        <w:rPr>
          <w:rFonts w:ascii="Arial" w:cs="Arial" w:eastAsia="Arial" w:hAnsi="Arial"/>
          <w:sz w:val="12"/>
          <w:szCs w:val="12"/>
          <w:color w:val="auto"/>
        </w:rPr>
      </w:pPr>
    </w:p>
    <w:p>
      <w:pPr>
        <w:ind w:left="480" w:hanging="237"/>
        <w:spacing w:after="0" w:line="258" w:lineRule="auto"/>
        <w:tabs>
          <w:tab w:leader="none" w:pos="472"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effect of global or local economic conditions in the industries and markets in which the Company operates and any changes therein, including financial market conditions and levels of end market demand;</w:t>
      </w:r>
    </w:p>
    <w:p>
      <w:pPr>
        <w:spacing w:after="0" w:line="26"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impact of the global pandemic related to COVID-19, including the financial condition of the Company’s customers and suppliers and employee health and safety;</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risks associated with cybersecurity and IT systems disruptions, including our ability to manage the business in the event a disaster shuts down our management information systems;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effective management of our rental equipment;</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trade policies and changes in trade policies, including the imposition of tariffs, their enforcement and downstream consequences;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ability to effectively compete in the modular space, portable storage and tank and pump industries;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ability to effectively manage our credit risk, collect on our accounts receivable, and recover our rental equipment;</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ability to effectively launch operations into new geographic markets and/or add other business unit operations in existing markets;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effect of changes in state building codes on our ability to remarket our buildings;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foreign currency exchange rate exposure;</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fluctuations in interest rates and commodity prices;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significant increases in raw material and labor costs;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fluctuations in fuel costs or oil prices, a reduction in fuel supplies, or a sustained decline in oil prices;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reliance on third party manufacturers and suppliers;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risks associated with labor relations, labor costs and labor disruptions;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failure to retain key personnel;</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impairment of our goodwill, intangible assets and indefinite-life intangible assets;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ability to use our net operating loss carryforwards and other tax attributes;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ability to recognize deferred tax assets such as those related to our tax loss carryforwards and, as a result, utilize future tax savings;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unanticipated changes in our tax obligations, the adoption of a new tax legislation, or exposure to additional income tax liabilities;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various laws and regulations, including those governing government contracts, corruption and the environment;</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the competitive environment of our customer base as a result of the global, national or local economic climate in which they operate and/or economic or financial disruptions to their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526415</wp:posOffset>
            </wp:positionV>
            <wp:extent cx="719264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63" w:name="page64"/>
    <w:bookmarkEnd w:id="63"/>
    <w:p>
      <w:pPr>
        <w:ind w:left="480" w:hanging="237"/>
        <w:spacing w:after="0"/>
        <w:tabs>
          <w:tab w:leader="none" w:pos="4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risks associated with operational measures designed to increase revenue while continuing to control operating costs;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adequately protect our intellectual property and other proprietary rights that are material to our business;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natural disasters and other business disruptions such as pandemics, fires, floods, hurricanes, earthquakes and terrorism;</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property, casualty or other losses not covered by our insurance;</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redeploy our units effectively should a significant number of our leased units be returned during a short period of time;</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close our unit sales transactions;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fluctuations in the fair value of common stock warrant liabilities;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maintain an effective system of internal controls and accurately report our financial results and remediate material weaknesses;</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public company requirements that may strain our resources and divert management's attention;</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manage growth and execute our business plan;</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the supply and price of new and used products we lease;</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unanticipated threats including market entry by a new competitor;</w:t>
      </w:r>
    </w:p>
    <w:p>
      <w:pPr>
        <w:spacing w:after="0" w:line="43" w:lineRule="exact"/>
        <w:rPr>
          <w:rFonts w:ascii="Arial" w:cs="Arial" w:eastAsia="Arial" w:hAnsi="Arial"/>
          <w:sz w:val="12"/>
          <w:szCs w:val="12"/>
          <w:color w:val="auto"/>
        </w:rPr>
      </w:pPr>
    </w:p>
    <w:p>
      <w:pPr>
        <w:ind w:left="480" w:hanging="237"/>
        <w:spacing w:after="0"/>
        <w:tabs>
          <w:tab w:leader="none" w:pos="4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rising costs adversely affecting our profitability; and</w:t>
      </w:r>
    </w:p>
    <w:p>
      <w:pPr>
        <w:spacing w:after="0" w:line="43" w:lineRule="exact"/>
        <w:rPr>
          <w:rFonts w:ascii="Arial" w:cs="Arial" w:eastAsia="Arial" w:hAnsi="Arial"/>
          <w:sz w:val="12"/>
          <w:szCs w:val="12"/>
          <w:color w:val="auto"/>
        </w:rPr>
      </w:pPr>
    </w:p>
    <w:p>
      <w:pPr>
        <w:ind w:left="480" w:hanging="237"/>
        <w:spacing w:after="0" w:line="258" w:lineRule="auto"/>
        <w:tabs>
          <w:tab w:leader="none" w:pos="472" w:val="left"/>
        </w:tabs>
        <w:numPr>
          <w:ilvl w:val="0"/>
          <w:numId w:val="19"/>
        </w:numPr>
        <w:rPr>
          <w:rFonts w:ascii="Arial" w:cs="Arial" w:eastAsia="Arial" w:hAnsi="Arial"/>
          <w:sz w:val="12"/>
          <w:szCs w:val="12"/>
          <w:color w:val="auto"/>
        </w:rPr>
      </w:pPr>
      <w:r>
        <w:rPr>
          <w:rFonts w:ascii="Arial" w:cs="Arial" w:eastAsia="Arial" w:hAnsi="Arial"/>
          <w:sz w:val="12"/>
          <w:szCs w:val="12"/>
          <w:color w:val="auto"/>
        </w:rPr>
        <w:t>such other risks and uncertainties described in the periodic reports we file with the SEC from time to time (including our 2020 Annual Report on Form 10-K/A), which are available through the SEC’s EDGAR system at www.sec.gov and on our website.</w:t>
      </w:r>
    </w:p>
    <w:p>
      <w:pPr>
        <w:spacing w:after="0" w:line="26"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Any forward-looking statement speaks only at the date which it is made, and WillScot Mobile Mini undertakes no obligation, and disclaims any obligation, to update or revise any forward-looking statements, whether as a result of new information, future events or otherwise, except as required by law.</w:t>
      </w:r>
    </w:p>
    <w:p>
      <w:pPr>
        <w:spacing w:after="0" w:line="145" w:lineRule="exact"/>
        <w:rPr>
          <w:sz w:val="20"/>
          <w:szCs w:val="20"/>
          <w:color w:val="auto"/>
        </w:rPr>
      </w:pPr>
    </w:p>
    <w:p>
      <w:pPr>
        <w:spacing w:after="0"/>
        <w:tabs>
          <w:tab w:leader="none" w:pos="1340" w:val="left"/>
        </w:tabs>
        <w:rPr>
          <w:sz w:val="20"/>
          <w:szCs w:val="20"/>
          <w:color w:val="auto"/>
        </w:rPr>
      </w:pPr>
      <w:r>
        <w:rPr>
          <w:rFonts w:ascii="Arial" w:cs="Arial" w:eastAsia="Arial" w:hAnsi="Arial"/>
          <w:sz w:val="30"/>
          <w:szCs w:val="30"/>
          <w:b w:val="1"/>
          <w:bCs w:val="1"/>
          <w:color w:val="auto"/>
        </w:rPr>
        <w:t>ITEM 3.</w:t>
      </w:r>
      <w:r>
        <w:rPr>
          <w:sz w:val="20"/>
          <w:szCs w:val="20"/>
          <w:color w:val="auto"/>
        </w:rPr>
        <w:tab/>
      </w:r>
      <w:r>
        <w:rPr>
          <w:rFonts w:ascii="Arial" w:cs="Arial" w:eastAsia="Arial" w:hAnsi="Arial"/>
          <w:sz w:val="29"/>
          <w:szCs w:val="29"/>
          <w:b w:val="1"/>
          <w:bCs w:val="1"/>
          <w:color w:val="auto"/>
        </w:rPr>
        <w:t>Quantitative and Qualitative Disclosures about Market Risk</w:t>
      </w:r>
    </w:p>
    <w:p>
      <w:pPr>
        <w:spacing w:after="0" w:line="111"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Rate Risk</w:t>
      </w:r>
    </w:p>
    <w:p>
      <w:pPr>
        <w:spacing w:after="0" w:line="111"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We are primarily exposed to interest rate risk through our ABL Facility, which bears interest at variable rates based on LIBOR. We had $1.5 billion in outstanding principal under the ABL Facility at June 30, 2021.</w:t>
      </w:r>
    </w:p>
    <w:p>
      <w:pPr>
        <w:spacing w:after="0" w:line="26"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In order to manage this risk, on November 6, 2018, WSII entered into an interest rate swap agreement that effectively converts $400 million in aggregate notional amount of variable-rate debt under our ABL Facility into fixed-rate debt. The swap agreement provides for WillScot Mobile Mini to pay a fixed rate of 3.06% per annum on the outstanding debt in exchange for receiving a variable interest rate based on 1-month LIBOR. The effect is a synthetically fixed rate of 4.91% on the $400 million notional amount, when including the current applicable margin.</w:t>
      </w:r>
    </w:p>
    <w:p>
      <w:pPr>
        <w:spacing w:after="0" w:line="29"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An increase in interest rates by 100 basis points on our ABL Facility, inclusive of the impact of our interest rate swaps, would increase our quarter to date interest expense by approximately $2.8 million based on current outstanding borrowings.</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Foreign Currency Risk</w:t>
      </w:r>
    </w:p>
    <w:p>
      <w:pPr>
        <w:spacing w:after="0" w:line="111"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We currently generate the majority of our consolidated net revenues in the US, and the reporting currency for our consolidated financial statements is the US dollar. However, we are exposed to currency risk principally through our operations in Canada and the United Kingdom.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174" w:lineRule="exact"/>
        <w:rPr>
          <w:sz w:val="20"/>
          <w:szCs w:val="20"/>
          <w:color w:val="auto"/>
        </w:rPr>
      </w:pPr>
    </w:p>
    <w:p>
      <w:pPr>
        <w:jc w:val="both"/>
        <w:ind w:firstLine="484"/>
        <w:spacing w:after="0" w:line="251" w:lineRule="auto"/>
        <w:rPr>
          <w:sz w:val="20"/>
          <w:szCs w:val="20"/>
          <w:color w:val="auto"/>
        </w:rPr>
      </w:pPr>
      <w:r>
        <w:rPr>
          <w:rFonts w:ascii="Arial" w:cs="Arial" w:eastAsia="Arial" w:hAnsi="Arial"/>
          <w:sz w:val="12"/>
          <w:szCs w:val="12"/>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condensed consolidated statements of operations. To date, we have not entered into any hedging arrangements with respect to 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608330</wp:posOffset>
            </wp:positionV>
            <wp:extent cx="719264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64" w:name="page65"/>
    <w:bookmarkEnd w:id="64"/>
    <w:p>
      <w:pPr>
        <w:spacing w:after="0"/>
        <w:tabs>
          <w:tab w:leader="none" w:pos="1340" w:val="left"/>
        </w:tabs>
        <w:rPr>
          <w:sz w:val="20"/>
          <w:szCs w:val="20"/>
          <w:color w:val="auto"/>
        </w:rPr>
      </w:pPr>
      <w:r>
        <w:rPr>
          <w:rFonts w:ascii="Arial" w:cs="Arial" w:eastAsia="Arial" w:hAnsi="Arial"/>
          <w:sz w:val="30"/>
          <w:szCs w:val="30"/>
          <w:b w:val="1"/>
          <w:bCs w:val="1"/>
          <w:color w:val="auto"/>
        </w:rPr>
        <w:t>ITEM 4.</w:t>
      </w:r>
      <w:r>
        <w:rPr>
          <w:sz w:val="20"/>
          <w:szCs w:val="20"/>
          <w:color w:val="auto"/>
        </w:rPr>
        <w:tab/>
      </w:r>
      <w:r>
        <w:rPr>
          <w:rFonts w:ascii="Arial" w:cs="Arial" w:eastAsia="Arial" w:hAnsi="Arial"/>
          <w:sz w:val="29"/>
          <w:szCs w:val="29"/>
          <w:b w:val="1"/>
          <w:bCs w:val="1"/>
          <w:color w:val="auto"/>
        </w:rPr>
        <w:t>Controls and Procedures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11"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June 30, 2021. Based upon that evaluation, our Chief Executive Officer and Chief Financial Officer concluded that our disclosure controls and procedures were effective as of June 30, 2021 and that the previously reported material weakness has been remediated.</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Description of Material Weakness as of December 31, 2020</w:t>
      </w:r>
    </w:p>
    <w:p>
      <w:pPr>
        <w:spacing w:after="0" w:line="56"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As disclosed in further detail in Part II, Item 9A, Controls and Procedures of the 2020 Annual Report on Form 10-K/A, following the April 12, 2021 SEC Staff Statement on Accounting and Reporting Considerations for Warrants Issued by Special Purpose Acquisition Companies ("SPACs") (the "SEC Staff Statement"), we and our independent registered public accounting firm determined that a material weakness in our internal control over financial reporting, specifically, ineffective controls over the accounting for warrants existed. These control deficiencies resulted in adjustments and disclosures contained in the 2020 Annual Report on Form 10-K/A.</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Remediation</w:t>
      </w:r>
    </w:p>
    <w:p>
      <w:pPr>
        <w:spacing w:after="0" w:line="56" w:lineRule="exact"/>
        <w:rPr>
          <w:sz w:val="20"/>
          <w:szCs w:val="20"/>
          <w:color w:val="auto"/>
        </w:rPr>
      </w:pPr>
    </w:p>
    <w:p>
      <w:pPr>
        <w:jc w:val="both"/>
        <w:ind w:firstLine="484"/>
        <w:spacing w:after="0" w:line="248" w:lineRule="auto"/>
        <w:rPr>
          <w:sz w:val="20"/>
          <w:szCs w:val="20"/>
          <w:color w:val="auto"/>
        </w:rPr>
      </w:pPr>
      <w:r>
        <w:rPr>
          <w:rFonts w:ascii="Arial" w:cs="Arial" w:eastAsia="Arial" w:hAnsi="Arial"/>
          <w:sz w:val="12"/>
          <w:szCs w:val="12"/>
          <w:color w:val="auto"/>
        </w:rPr>
        <w:t>As a result of the SEC Staff Statement and subsequent identification of the material weakness noted above, we implemented a remediation plan that addressed the material weakness in internal control over financial reporting, which related to the accounting for our warrants in connection with which we restated our previously issued consolidated financial statements for the years ended December 31, 2020, 2019 and 2018 in our 2020 Annual Report on Form 10-K/A. The Company has designed and implemented a new control to reassess the classification of liability- or equity-classified warrants, which is executed at least quarterly by individuals with sufficient experience and training. The Company’s remediation plan was implemented as of April 30, 2021. We have evaluated the design and operating effectiveness of the control implemented and concluded that the control is adequately designed and has operated effectively for a sufficient period of time to conclude that the material weakness has been remediated.</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Controls</w:t>
      </w:r>
    </w:p>
    <w:p>
      <w:pPr>
        <w:spacing w:after="0" w:line="111"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During the second quarter of 2021, our legacy WillScot business began using the enterprise resource planning system (“ERP”) utilized by the legacy Mobile Mini business. We believe that consolidation of our operations into a single ERP will improve the overall system of internal controls over financial reporting, enable us to standardize processes across our business and facilitate the realization of cost savings. We completed the system conversion in the second quarter of 2021, and as a result, modified certain internal controls over financial reporting.</w:t>
      </w:r>
    </w:p>
    <w:p>
      <w:pPr>
        <w:spacing w:after="0" w:line="70"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2"/>
          <w:szCs w:val="12"/>
          <w:color w:val="auto"/>
        </w:rPr>
        <w:t>Other than the items discussed above, there were no changes in our internal control over financial reporting that occurred during our quarter ended June 30, 2021 that materially affected or are reasonably likely to materially affect, our internal control over financial reporting.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1D2758"/>
        </w:rPr>
        <w:t>PART II</w:t>
      </w:r>
    </w:p>
    <w:p>
      <w:pPr>
        <w:spacing w:after="0" w:line="79" w:lineRule="exact"/>
        <w:rPr>
          <w:sz w:val="20"/>
          <w:szCs w:val="20"/>
          <w:color w:val="auto"/>
        </w:rPr>
      </w:pPr>
    </w:p>
    <w:p>
      <w:pPr>
        <w:spacing w:after="0"/>
        <w:tabs>
          <w:tab w:leader="none" w:pos="1340" w:val="left"/>
        </w:tabs>
        <w:rPr>
          <w:sz w:val="20"/>
          <w:szCs w:val="20"/>
          <w:color w:val="auto"/>
        </w:rPr>
      </w:pPr>
      <w:r>
        <w:rPr>
          <w:rFonts w:ascii="Arial" w:cs="Arial" w:eastAsia="Arial" w:hAnsi="Arial"/>
          <w:sz w:val="30"/>
          <w:szCs w:val="30"/>
          <w:b w:val="1"/>
          <w:bCs w:val="1"/>
          <w:color w:val="auto"/>
        </w:rPr>
        <w:t>ITEM 1.</w:t>
      </w:r>
      <w:r>
        <w:rPr>
          <w:sz w:val="20"/>
          <w:szCs w:val="20"/>
          <w:color w:val="auto"/>
        </w:rPr>
        <w:tab/>
      </w:r>
      <w:r>
        <w:rPr>
          <w:rFonts w:ascii="Arial" w:cs="Arial" w:eastAsia="Arial" w:hAnsi="Arial"/>
          <w:sz w:val="29"/>
          <w:szCs w:val="29"/>
          <w:b w:val="1"/>
          <w:bCs w:val="1"/>
          <w:color w:val="auto"/>
        </w:rPr>
        <w:t>Legal Proceedings</w:t>
      </w:r>
    </w:p>
    <w:p>
      <w:pPr>
        <w:spacing w:after="0" w:line="71" w:lineRule="exact"/>
        <w:rPr>
          <w:sz w:val="20"/>
          <w:szCs w:val="20"/>
          <w:color w:val="auto"/>
        </w:rPr>
      </w:pPr>
    </w:p>
    <w:p>
      <w:pPr>
        <w:jc w:val="both"/>
        <w:ind w:firstLine="484"/>
        <w:spacing w:after="0" w:line="249" w:lineRule="auto"/>
        <w:rPr>
          <w:sz w:val="20"/>
          <w:szCs w:val="20"/>
          <w:color w:val="auto"/>
        </w:rPr>
      </w:pPr>
      <w:r>
        <w:rPr>
          <w:rFonts w:ascii="Arial" w:cs="Arial" w:eastAsia="Arial" w:hAnsi="Arial"/>
          <w:sz w:val="12"/>
          <w:szCs w:val="12"/>
          <w:color w:val="auto"/>
        </w:rPr>
        <w:t>The Company is involved in various lawsuits, claims and legal proceedings that arise in the ordinary course of business. The Company assesses these matters on a case-by-case basis as they arise and establishes reserves as required. As of June 30, 2021,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w:t>
      </w:r>
    </w:p>
    <w:p>
      <w:pPr>
        <w:spacing w:after="0" w:line="151" w:lineRule="exact"/>
        <w:rPr>
          <w:sz w:val="20"/>
          <w:szCs w:val="20"/>
          <w:color w:val="auto"/>
        </w:rPr>
      </w:pPr>
    </w:p>
    <w:p>
      <w:pPr>
        <w:spacing w:after="0"/>
        <w:tabs>
          <w:tab w:leader="none" w:pos="1560" w:val="left"/>
        </w:tabs>
        <w:rPr>
          <w:sz w:val="20"/>
          <w:szCs w:val="20"/>
          <w:color w:val="auto"/>
        </w:rPr>
      </w:pPr>
      <w:r>
        <w:rPr>
          <w:rFonts w:ascii="Arial" w:cs="Arial" w:eastAsia="Arial" w:hAnsi="Arial"/>
          <w:sz w:val="30"/>
          <w:szCs w:val="30"/>
          <w:b w:val="1"/>
          <w:bCs w:val="1"/>
          <w:color w:val="auto"/>
        </w:rPr>
        <w:t>ITEM 1A.</w:t>
      </w:r>
      <w:r>
        <w:rPr>
          <w:sz w:val="20"/>
          <w:szCs w:val="20"/>
          <w:color w:val="auto"/>
        </w:rPr>
        <w:tab/>
      </w:r>
      <w:r>
        <w:rPr>
          <w:rFonts w:ascii="Arial" w:cs="Arial" w:eastAsia="Arial" w:hAnsi="Arial"/>
          <w:sz w:val="29"/>
          <w:szCs w:val="29"/>
          <w:b w:val="1"/>
          <w:bCs w:val="1"/>
          <w:color w:val="auto"/>
        </w:rPr>
        <w:t>Risk Factors</w:t>
      </w:r>
    </w:p>
    <w:p>
      <w:pPr>
        <w:spacing w:after="0" w:line="71" w:lineRule="exact"/>
        <w:rPr>
          <w:sz w:val="20"/>
          <w:szCs w:val="20"/>
          <w:color w:val="auto"/>
        </w:rPr>
      </w:pPr>
    </w:p>
    <w:p>
      <w:pPr>
        <w:jc w:val="both"/>
        <w:ind w:firstLine="484"/>
        <w:spacing w:after="0" w:line="252" w:lineRule="auto"/>
        <w:rPr>
          <w:sz w:val="20"/>
          <w:szCs w:val="20"/>
          <w:color w:val="auto"/>
        </w:rPr>
      </w:pPr>
      <w:r>
        <w:rPr>
          <w:rFonts w:ascii="Arial" w:cs="Arial" w:eastAsia="Arial" w:hAnsi="Arial"/>
          <w:sz w:val="12"/>
          <w:szCs w:val="12"/>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2020 Annual Report on Form 10-K/A, which have not materially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709295</wp:posOffset>
            </wp:positionV>
            <wp:extent cx="719264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066"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392"/>
        </w:trPr>
        <w:tc>
          <w:tcPr>
            <w:tcW w:w="1200" w:type="dxa"/>
            <w:vAlign w:val="bottom"/>
          </w:tcPr>
          <w:p>
            <w:pPr>
              <w:spacing w:after="0"/>
              <w:rPr>
                <w:sz w:val="20"/>
                <w:szCs w:val="20"/>
                <w:color w:val="auto"/>
              </w:rPr>
            </w:pPr>
            <w:r>
              <w:rPr>
                <w:rFonts w:ascii="Arial" w:cs="Arial" w:eastAsia="Arial" w:hAnsi="Arial"/>
                <w:sz w:val="30"/>
                <w:szCs w:val="30"/>
                <w:b w:val="1"/>
                <w:bCs w:val="1"/>
                <w:color w:val="auto"/>
              </w:rPr>
              <w:t>ITEM 2.</w:t>
            </w:r>
          </w:p>
        </w:tc>
        <w:tc>
          <w:tcPr>
            <w:tcW w:w="5740" w:type="dxa"/>
            <w:vAlign w:val="bottom"/>
            <w:gridSpan w:val="5"/>
          </w:tcPr>
          <w:p>
            <w:pPr>
              <w:jc w:val="right"/>
              <w:spacing w:after="0"/>
              <w:rPr>
                <w:sz w:val="20"/>
                <w:szCs w:val="20"/>
                <w:color w:val="auto"/>
              </w:rPr>
            </w:pPr>
            <w:r>
              <w:rPr>
                <w:rFonts w:ascii="Arial" w:cs="Arial" w:eastAsia="Arial" w:hAnsi="Arial"/>
                <w:sz w:val="30"/>
                <w:szCs w:val="30"/>
                <w:b w:val="1"/>
                <w:bCs w:val="1"/>
                <w:color w:val="auto"/>
              </w:rPr>
              <w:t>Unregistered Sales of Equity Securities</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940" w:type="dxa"/>
            <w:vAlign w:val="bottom"/>
            <w:gridSpan w:val="6"/>
          </w:tcPr>
          <w:p>
            <w:pPr>
              <w:jc w:val="right"/>
              <w:ind w:right="1079"/>
              <w:spacing w:after="0"/>
              <w:rPr>
                <w:sz w:val="20"/>
                <w:szCs w:val="20"/>
                <w:color w:val="auto"/>
              </w:rPr>
            </w:pPr>
            <w:r>
              <w:rPr>
                <w:rFonts w:ascii="Arial" w:cs="Arial" w:eastAsia="Arial" w:hAnsi="Arial"/>
                <w:sz w:val="12"/>
                <w:szCs w:val="12"/>
                <w:color w:val="auto"/>
              </w:rPr>
              <w:t>The following table summarizes our purchase of Common Stock during the second quarter of 2021:</w:t>
            </w: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200" w:type="dxa"/>
            <w:vAlign w:val="bottom"/>
            <w:shd w:val="clear" w:color="auto" w:fill="1D2758"/>
          </w:tcPr>
          <w:p>
            <w:pPr>
              <w:spacing w:after="0"/>
              <w:rPr>
                <w:sz w:val="10"/>
                <w:szCs w:val="10"/>
                <w:color w:val="auto"/>
              </w:rPr>
            </w:pPr>
          </w:p>
        </w:tc>
        <w:tc>
          <w:tcPr>
            <w:tcW w:w="480" w:type="dxa"/>
            <w:vAlign w:val="bottom"/>
            <w:shd w:val="clear" w:color="auto" w:fill="1D2758"/>
          </w:tcPr>
          <w:p>
            <w:pPr>
              <w:spacing w:after="0"/>
              <w:rPr>
                <w:sz w:val="10"/>
                <w:szCs w:val="10"/>
                <w:color w:val="auto"/>
              </w:rPr>
            </w:pPr>
          </w:p>
        </w:tc>
        <w:tc>
          <w:tcPr>
            <w:tcW w:w="2140" w:type="dxa"/>
            <w:vAlign w:val="bottom"/>
            <w:shd w:val="clear" w:color="auto" w:fill="1D2758"/>
          </w:tcPr>
          <w:p>
            <w:pPr>
              <w:spacing w:after="0"/>
              <w:rPr>
                <w:sz w:val="10"/>
                <w:szCs w:val="10"/>
                <w:color w:val="auto"/>
              </w:rPr>
            </w:pPr>
          </w:p>
        </w:tc>
        <w:tc>
          <w:tcPr>
            <w:tcW w:w="1500" w:type="dxa"/>
            <w:vAlign w:val="bottom"/>
            <w:vMerge w:val="restart"/>
            <w:shd w:val="clear" w:color="auto" w:fill="1D2758"/>
          </w:tcPr>
          <w:p>
            <w:pPr>
              <w:jc w:val="center"/>
              <w:spacing w:after="0"/>
              <w:rPr>
                <w:sz w:val="20"/>
                <w:szCs w:val="20"/>
                <w:color w:val="auto"/>
              </w:rPr>
            </w:pPr>
            <w:r>
              <w:rPr>
                <w:rFonts w:ascii="Arial" w:cs="Arial" w:eastAsia="Arial" w:hAnsi="Arial"/>
                <w:sz w:val="12"/>
                <w:szCs w:val="12"/>
                <w:b w:val="1"/>
                <w:bCs w:val="1"/>
                <w:color w:val="FFFFFF"/>
                <w:w w:val="98"/>
              </w:rPr>
              <w:t>Total Number of Shares</w:t>
            </w:r>
          </w:p>
        </w:tc>
        <w:tc>
          <w:tcPr>
            <w:tcW w:w="200" w:type="dxa"/>
            <w:vAlign w:val="bottom"/>
            <w:shd w:val="clear" w:color="auto" w:fill="1D2758"/>
          </w:tcPr>
          <w:p>
            <w:pPr>
              <w:spacing w:after="0"/>
              <w:rPr>
                <w:sz w:val="10"/>
                <w:szCs w:val="10"/>
                <w:color w:val="auto"/>
              </w:rPr>
            </w:pPr>
          </w:p>
        </w:tc>
        <w:tc>
          <w:tcPr>
            <w:tcW w:w="1420" w:type="dxa"/>
            <w:vAlign w:val="bottom"/>
            <w:shd w:val="clear" w:color="auto" w:fill="1D2758"/>
          </w:tcPr>
          <w:p>
            <w:pPr>
              <w:spacing w:after="0"/>
              <w:rPr>
                <w:sz w:val="10"/>
                <w:szCs w:val="10"/>
                <w:color w:val="auto"/>
              </w:rPr>
            </w:pPr>
          </w:p>
        </w:tc>
        <w:tc>
          <w:tcPr>
            <w:tcW w:w="2120" w:type="dxa"/>
            <w:vAlign w:val="bottom"/>
            <w:shd w:val="clear" w:color="auto" w:fill="1D2758"/>
          </w:tcPr>
          <w:p>
            <w:pPr>
              <w:jc w:val="center"/>
              <w:spacing w:after="0" w:line="121" w:lineRule="exact"/>
              <w:rPr>
                <w:sz w:val="20"/>
                <w:szCs w:val="20"/>
                <w:color w:val="auto"/>
              </w:rPr>
            </w:pPr>
            <w:r>
              <w:rPr>
                <w:rFonts w:ascii="Arial" w:cs="Arial" w:eastAsia="Arial" w:hAnsi="Arial"/>
                <w:sz w:val="12"/>
                <w:szCs w:val="12"/>
                <w:b w:val="1"/>
                <w:bCs w:val="1"/>
                <w:color w:val="FFFFFF"/>
                <w:w w:val="99"/>
              </w:rPr>
              <w:t>Total Number of Shares and</w:t>
            </w:r>
          </w:p>
        </w:tc>
        <w:tc>
          <w:tcPr>
            <w:tcW w:w="200" w:type="dxa"/>
            <w:vAlign w:val="bottom"/>
            <w:shd w:val="clear" w:color="auto" w:fill="1D2758"/>
          </w:tcPr>
          <w:p>
            <w:pPr>
              <w:spacing w:after="0"/>
              <w:rPr>
                <w:sz w:val="10"/>
                <w:szCs w:val="10"/>
                <w:color w:val="auto"/>
              </w:rPr>
            </w:pPr>
          </w:p>
        </w:tc>
        <w:tc>
          <w:tcPr>
            <w:tcW w:w="2020" w:type="dxa"/>
            <w:vAlign w:val="bottom"/>
            <w:shd w:val="clear" w:color="auto" w:fill="1D2758"/>
          </w:tcPr>
          <w:p>
            <w:pPr>
              <w:jc w:val="center"/>
              <w:ind w:right="39"/>
              <w:spacing w:after="0" w:line="121" w:lineRule="exact"/>
              <w:rPr>
                <w:sz w:val="20"/>
                <w:szCs w:val="20"/>
                <w:color w:val="auto"/>
              </w:rPr>
            </w:pPr>
            <w:r>
              <w:rPr>
                <w:rFonts w:ascii="Arial" w:cs="Arial" w:eastAsia="Arial" w:hAnsi="Arial"/>
                <w:sz w:val="12"/>
                <w:szCs w:val="12"/>
                <w:b w:val="1"/>
                <w:bCs w:val="1"/>
                <w:color w:val="FFFFFF"/>
              </w:rPr>
              <w:t>Maximum Dollar Value of Shares</w:t>
            </w:r>
          </w:p>
        </w:tc>
        <w:tc>
          <w:tcPr>
            <w:tcW w:w="0" w:type="dxa"/>
            <w:vAlign w:val="bottom"/>
          </w:tcPr>
          <w:p>
            <w:pPr>
              <w:spacing w:after="0"/>
              <w:rPr>
                <w:sz w:val="1"/>
                <w:szCs w:val="1"/>
                <w:color w:val="auto"/>
              </w:rPr>
            </w:pPr>
          </w:p>
        </w:tc>
      </w:tr>
      <w:tr>
        <w:trPr>
          <w:trHeight w:val="121"/>
        </w:trPr>
        <w:tc>
          <w:tcPr>
            <w:tcW w:w="1200" w:type="dxa"/>
            <w:vAlign w:val="bottom"/>
            <w:shd w:val="clear" w:color="auto" w:fill="1D2758"/>
          </w:tcPr>
          <w:p>
            <w:pPr>
              <w:spacing w:after="0"/>
              <w:rPr>
                <w:sz w:val="10"/>
                <w:szCs w:val="10"/>
                <w:color w:val="auto"/>
              </w:rPr>
            </w:pPr>
          </w:p>
        </w:tc>
        <w:tc>
          <w:tcPr>
            <w:tcW w:w="480" w:type="dxa"/>
            <w:vAlign w:val="bottom"/>
            <w:shd w:val="clear" w:color="auto" w:fill="1D2758"/>
          </w:tcPr>
          <w:p>
            <w:pPr>
              <w:spacing w:after="0"/>
              <w:rPr>
                <w:sz w:val="10"/>
                <w:szCs w:val="10"/>
                <w:color w:val="auto"/>
              </w:rPr>
            </w:pPr>
          </w:p>
        </w:tc>
        <w:tc>
          <w:tcPr>
            <w:tcW w:w="2140" w:type="dxa"/>
            <w:vAlign w:val="bottom"/>
            <w:shd w:val="clear" w:color="auto" w:fill="1D2758"/>
          </w:tcPr>
          <w:p>
            <w:pPr>
              <w:spacing w:after="0"/>
              <w:rPr>
                <w:sz w:val="10"/>
                <w:szCs w:val="10"/>
                <w:color w:val="auto"/>
              </w:rPr>
            </w:pPr>
          </w:p>
        </w:tc>
        <w:tc>
          <w:tcPr>
            <w:tcW w:w="1500" w:type="dxa"/>
            <w:vAlign w:val="bottom"/>
            <w:vMerge w:val="continue"/>
            <w:shd w:val="clear" w:color="auto" w:fill="1D2758"/>
          </w:tcPr>
          <w:p>
            <w:pPr>
              <w:spacing w:after="0"/>
              <w:rPr>
                <w:sz w:val="10"/>
                <w:szCs w:val="10"/>
                <w:color w:val="auto"/>
              </w:rPr>
            </w:pPr>
          </w:p>
        </w:tc>
        <w:tc>
          <w:tcPr>
            <w:tcW w:w="200" w:type="dxa"/>
            <w:vAlign w:val="bottom"/>
            <w:shd w:val="clear" w:color="auto" w:fill="1D2758"/>
          </w:tcPr>
          <w:p>
            <w:pPr>
              <w:spacing w:after="0"/>
              <w:rPr>
                <w:sz w:val="10"/>
                <w:szCs w:val="10"/>
                <w:color w:val="auto"/>
              </w:rPr>
            </w:pPr>
          </w:p>
        </w:tc>
        <w:tc>
          <w:tcPr>
            <w:tcW w:w="1420" w:type="dxa"/>
            <w:vAlign w:val="bottom"/>
            <w:vMerge w:val="restart"/>
            <w:shd w:val="clear" w:color="auto" w:fill="1D2758"/>
          </w:tcPr>
          <w:p>
            <w:pPr>
              <w:jc w:val="right"/>
              <w:ind w:right="219"/>
              <w:spacing w:after="0"/>
              <w:rPr>
                <w:sz w:val="20"/>
                <w:szCs w:val="20"/>
                <w:color w:val="auto"/>
              </w:rPr>
            </w:pPr>
            <w:r>
              <w:rPr>
                <w:rFonts w:ascii="Arial" w:cs="Arial" w:eastAsia="Arial" w:hAnsi="Arial"/>
                <w:sz w:val="12"/>
                <w:szCs w:val="12"/>
                <w:b w:val="1"/>
                <w:bCs w:val="1"/>
                <w:color w:val="FFFFFF"/>
              </w:rPr>
              <w:t>Average Price Paid</w:t>
            </w:r>
          </w:p>
        </w:tc>
        <w:tc>
          <w:tcPr>
            <w:tcW w:w="2120" w:type="dxa"/>
            <w:vAlign w:val="bottom"/>
            <w:shd w:val="clear" w:color="auto" w:fill="1D2758"/>
          </w:tcPr>
          <w:p>
            <w:pPr>
              <w:jc w:val="center"/>
              <w:spacing w:after="0" w:line="121" w:lineRule="exact"/>
              <w:rPr>
                <w:sz w:val="20"/>
                <w:szCs w:val="20"/>
                <w:color w:val="auto"/>
              </w:rPr>
            </w:pPr>
            <w:r>
              <w:rPr>
                <w:rFonts w:ascii="Arial" w:cs="Arial" w:eastAsia="Arial" w:hAnsi="Arial"/>
                <w:sz w:val="12"/>
                <w:szCs w:val="12"/>
                <w:b w:val="1"/>
                <w:bCs w:val="1"/>
                <w:color w:val="FFFFFF"/>
              </w:rPr>
              <w:t>Equivalents Purchased as part of</w:t>
            </w:r>
          </w:p>
        </w:tc>
        <w:tc>
          <w:tcPr>
            <w:tcW w:w="200" w:type="dxa"/>
            <w:vAlign w:val="bottom"/>
            <w:shd w:val="clear" w:color="auto" w:fill="1D2758"/>
          </w:tcPr>
          <w:p>
            <w:pPr>
              <w:spacing w:after="0"/>
              <w:rPr>
                <w:sz w:val="10"/>
                <w:szCs w:val="10"/>
                <w:color w:val="auto"/>
              </w:rPr>
            </w:pPr>
          </w:p>
        </w:tc>
        <w:tc>
          <w:tcPr>
            <w:tcW w:w="2020" w:type="dxa"/>
            <w:vAlign w:val="bottom"/>
            <w:shd w:val="clear" w:color="auto" w:fill="1D2758"/>
          </w:tcPr>
          <w:p>
            <w:pPr>
              <w:jc w:val="center"/>
              <w:ind w:right="59"/>
              <w:spacing w:after="0" w:line="121" w:lineRule="exact"/>
              <w:rPr>
                <w:sz w:val="20"/>
                <w:szCs w:val="20"/>
                <w:color w:val="auto"/>
              </w:rPr>
            </w:pPr>
            <w:r>
              <w:rPr>
                <w:rFonts w:ascii="Arial" w:cs="Arial" w:eastAsia="Arial" w:hAnsi="Arial"/>
                <w:sz w:val="12"/>
                <w:szCs w:val="12"/>
                <w:b w:val="1"/>
                <w:bCs w:val="1"/>
                <w:color w:val="FFFFFF"/>
              </w:rPr>
              <w:t>and Equivalents that May Yet Be</w:t>
            </w:r>
          </w:p>
        </w:tc>
        <w:tc>
          <w:tcPr>
            <w:tcW w:w="0" w:type="dxa"/>
            <w:vAlign w:val="bottom"/>
          </w:tcPr>
          <w:p>
            <w:pPr>
              <w:spacing w:after="0"/>
              <w:rPr>
                <w:sz w:val="1"/>
                <w:szCs w:val="1"/>
                <w:color w:val="auto"/>
              </w:rPr>
            </w:pPr>
          </w:p>
        </w:tc>
      </w:tr>
      <w:tr>
        <w:trPr>
          <w:trHeight w:val="121"/>
        </w:trPr>
        <w:tc>
          <w:tcPr>
            <w:tcW w:w="1200" w:type="dxa"/>
            <w:vAlign w:val="bottom"/>
            <w:shd w:val="clear" w:color="auto" w:fill="1D2758"/>
          </w:tcPr>
          <w:p>
            <w:pPr>
              <w:spacing w:after="0"/>
              <w:rPr>
                <w:sz w:val="10"/>
                <w:szCs w:val="10"/>
                <w:color w:val="auto"/>
              </w:rPr>
            </w:pPr>
          </w:p>
        </w:tc>
        <w:tc>
          <w:tcPr>
            <w:tcW w:w="480" w:type="dxa"/>
            <w:vAlign w:val="bottom"/>
            <w:shd w:val="clear" w:color="auto" w:fill="1D2758"/>
          </w:tcPr>
          <w:p>
            <w:pPr>
              <w:spacing w:after="0"/>
              <w:rPr>
                <w:sz w:val="10"/>
                <w:szCs w:val="10"/>
                <w:color w:val="auto"/>
              </w:rPr>
            </w:pPr>
          </w:p>
        </w:tc>
        <w:tc>
          <w:tcPr>
            <w:tcW w:w="2140" w:type="dxa"/>
            <w:vAlign w:val="bottom"/>
            <w:vMerge w:val="restart"/>
            <w:shd w:val="clear" w:color="auto" w:fill="1D2758"/>
          </w:tcPr>
          <w:p>
            <w:pPr>
              <w:ind w:left="40"/>
              <w:spacing w:after="0"/>
              <w:rPr>
                <w:sz w:val="20"/>
                <w:szCs w:val="20"/>
                <w:color w:val="auto"/>
              </w:rPr>
            </w:pPr>
            <w:r>
              <w:rPr>
                <w:rFonts w:ascii="Arial" w:cs="Arial" w:eastAsia="Arial" w:hAnsi="Arial"/>
                <w:sz w:val="12"/>
                <w:szCs w:val="12"/>
                <w:b w:val="1"/>
                <w:bCs w:val="1"/>
                <w:color w:val="FFFFFF"/>
              </w:rPr>
              <w:t>Period</w:t>
            </w:r>
          </w:p>
        </w:tc>
        <w:tc>
          <w:tcPr>
            <w:tcW w:w="1500" w:type="dxa"/>
            <w:vAlign w:val="bottom"/>
            <w:shd w:val="clear" w:color="auto" w:fill="1D2758"/>
          </w:tcPr>
          <w:p>
            <w:pPr>
              <w:jc w:val="center"/>
              <w:spacing w:after="0" w:line="121" w:lineRule="exact"/>
              <w:rPr>
                <w:sz w:val="20"/>
                <w:szCs w:val="20"/>
                <w:color w:val="auto"/>
              </w:rPr>
            </w:pPr>
            <w:r>
              <w:rPr>
                <w:rFonts w:ascii="Arial" w:cs="Arial" w:eastAsia="Arial" w:hAnsi="Arial"/>
                <w:sz w:val="12"/>
                <w:szCs w:val="12"/>
                <w:b w:val="1"/>
                <w:bCs w:val="1"/>
                <w:color w:val="FFFFFF"/>
              </w:rPr>
              <w:t>and Equivalents</w:t>
            </w:r>
          </w:p>
        </w:tc>
        <w:tc>
          <w:tcPr>
            <w:tcW w:w="200" w:type="dxa"/>
            <w:vAlign w:val="bottom"/>
            <w:shd w:val="clear" w:color="auto" w:fill="1D2758"/>
          </w:tcPr>
          <w:p>
            <w:pPr>
              <w:spacing w:after="0"/>
              <w:rPr>
                <w:sz w:val="10"/>
                <w:szCs w:val="10"/>
                <w:color w:val="auto"/>
              </w:rPr>
            </w:pPr>
          </w:p>
        </w:tc>
        <w:tc>
          <w:tcPr>
            <w:tcW w:w="1420" w:type="dxa"/>
            <w:vAlign w:val="bottom"/>
            <w:vMerge w:val="continue"/>
            <w:shd w:val="clear" w:color="auto" w:fill="1D2758"/>
          </w:tcPr>
          <w:p>
            <w:pPr>
              <w:spacing w:after="0"/>
              <w:rPr>
                <w:sz w:val="10"/>
                <w:szCs w:val="10"/>
                <w:color w:val="auto"/>
              </w:rPr>
            </w:pPr>
          </w:p>
        </w:tc>
        <w:tc>
          <w:tcPr>
            <w:tcW w:w="2120" w:type="dxa"/>
            <w:vAlign w:val="bottom"/>
            <w:shd w:val="clear" w:color="auto" w:fill="1D2758"/>
          </w:tcPr>
          <w:p>
            <w:pPr>
              <w:jc w:val="center"/>
              <w:spacing w:after="0" w:line="121" w:lineRule="exact"/>
              <w:rPr>
                <w:sz w:val="20"/>
                <w:szCs w:val="20"/>
                <w:color w:val="auto"/>
              </w:rPr>
            </w:pPr>
            <w:r>
              <w:rPr>
                <w:rFonts w:ascii="Arial" w:cs="Arial" w:eastAsia="Arial" w:hAnsi="Arial"/>
                <w:sz w:val="12"/>
                <w:szCs w:val="12"/>
                <w:b w:val="1"/>
                <w:bCs w:val="1"/>
                <w:color w:val="FFFFFF"/>
              </w:rPr>
              <w:t>Publicly Announced Plan (in</w:t>
            </w:r>
          </w:p>
        </w:tc>
        <w:tc>
          <w:tcPr>
            <w:tcW w:w="200" w:type="dxa"/>
            <w:vAlign w:val="bottom"/>
            <w:shd w:val="clear" w:color="auto" w:fill="1D2758"/>
          </w:tcPr>
          <w:p>
            <w:pPr>
              <w:spacing w:after="0"/>
              <w:rPr>
                <w:sz w:val="10"/>
                <w:szCs w:val="10"/>
                <w:color w:val="auto"/>
              </w:rPr>
            </w:pPr>
          </w:p>
        </w:tc>
        <w:tc>
          <w:tcPr>
            <w:tcW w:w="2020" w:type="dxa"/>
            <w:vAlign w:val="bottom"/>
            <w:shd w:val="clear" w:color="auto" w:fill="1D2758"/>
          </w:tcPr>
          <w:p>
            <w:pPr>
              <w:jc w:val="center"/>
              <w:ind w:right="39"/>
              <w:spacing w:after="0" w:line="121" w:lineRule="exact"/>
              <w:rPr>
                <w:sz w:val="20"/>
                <w:szCs w:val="20"/>
                <w:color w:val="auto"/>
              </w:rPr>
            </w:pPr>
            <w:r>
              <w:rPr>
                <w:rFonts w:ascii="Arial" w:cs="Arial" w:eastAsia="Arial" w:hAnsi="Arial"/>
                <w:sz w:val="12"/>
                <w:szCs w:val="12"/>
                <w:b w:val="1"/>
                <w:bCs w:val="1"/>
                <w:color w:val="FFFFFF"/>
              </w:rPr>
              <w:t>Purchased Under the Plans (in</w:t>
            </w:r>
          </w:p>
        </w:tc>
        <w:tc>
          <w:tcPr>
            <w:tcW w:w="0" w:type="dxa"/>
            <w:vAlign w:val="bottom"/>
          </w:tcPr>
          <w:p>
            <w:pPr>
              <w:spacing w:after="0"/>
              <w:rPr>
                <w:sz w:val="1"/>
                <w:szCs w:val="1"/>
                <w:color w:val="auto"/>
              </w:rPr>
            </w:pPr>
          </w:p>
        </w:tc>
      </w:tr>
      <w:tr>
        <w:trPr>
          <w:trHeight w:val="86"/>
        </w:trPr>
        <w:tc>
          <w:tcPr>
            <w:tcW w:w="1200" w:type="dxa"/>
            <w:vAlign w:val="bottom"/>
            <w:shd w:val="clear" w:color="auto" w:fill="1D2758"/>
          </w:tcPr>
          <w:p>
            <w:pPr>
              <w:spacing w:after="0"/>
              <w:rPr>
                <w:sz w:val="7"/>
                <w:szCs w:val="7"/>
                <w:color w:val="auto"/>
              </w:rPr>
            </w:pPr>
          </w:p>
        </w:tc>
        <w:tc>
          <w:tcPr>
            <w:tcW w:w="480" w:type="dxa"/>
            <w:vAlign w:val="bottom"/>
            <w:shd w:val="clear" w:color="auto" w:fill="1D2758"/>
          </w:tcPr>
          <w:p>
            <w:pPr>
              <w:spacing w:after="0"/>
              <w:rPr>
                <w:sz w:val="7"/>
                <w:szCs w:val="7"/>
                <w:color w:val="auto"/>
              </w:rPr>
            </w:pPr>
          </w:p>
        </w:tc>
        <w:tc>
          <w:tcPr>
            <w:tcW w:w="2140" w:type="dxa"/>
            <w:vAlign w:val="bottom"/>
            <w:vMerge w:val="continue"/>
            <w:shd w:val="clear" w:color="auto" w:fill="1D2758"/>
          </w:tcPr>
          <w:p>
            <w:pPr>
              <w:spacing w:after="0"/>
              <w:rPr>
                <w:sz w:val="7"/>
                <w:szCs w:val="7"/>
                <w:color w:val="auto"/>
              </w:rPr>
            </w:pPr>
          </w:p>
        </w:tc>
        <w:tc>
          <w:tcPr>
            <w:tcW w:w="1500" w:type="dxa"/>
            <w:vAlign w:val="bottom"/>
            <w:vMerge w:val="restart"/>
            <w:shd w:val="clear" w:color="auto" w:fill="1D2758"/>
          </w:tcPr>
          <w:p>
            <w:pPr>
              <w:jc w:val="center"/>
              <w:spacing w:after="0"/>
              <w:rPr>
                <w:sz w:val="20"/>
                <w:szCs w:val="20"/>
                <w:color w:val="auto"/>
              </w:rPr>
            </w:pPr>
            <w:r>
              <w:rPr>
                <w:rFonts w:ascii="Arial" w:cs="Arial" w:eastAsia="Arial" w:hAnsi="Arial"/>
                <w:sz w:val="12"/>
                <w:szCs w:val="12"/>
                <w:b w:val="1"/>
                <w:bCs w:val="1"/>
                <w:color w:val="FFFFFF"/>
              </w:rPr>
              <w:t>Purchased (in millions)</w:t>
            </w:r>
          </w:p>
        </w:tc>
        <w:tc>
          <w:tcPr>
            <w:tcW w:w="200" w:type="dxa"/>
            <w:vAlign w:val="bottom"/>
            <w:shd w:val="clear" w:color="auto" w:fill="1D2758"/>
          </w:tcPr>
          <w:p>
            <w:pPr>
              <w:spacing w:after="0"/>
              <w:rPr>
                <w:sz w:val="7"/>
                <w:szCs w:val="7"/>
                <w:color w:val="auto"/>
              </w:rPr>
            </w:pPr>
          </w:p>
        </w:tc>
        <w:tc>
          <w:tcPr>
            <w:tcW w:w="1420" w:type="dxa"/>
            <w:vAlign w:val="bottom"/>
            <w:vMerge w:val="restart"/>
            <w:shd w:val="clear" w:color="auto" w:fill="1D2758"/>
          </w:tcPr>
          <w:p>
            <w:pPr>
              <w:jc w:val="right"/>
              <w:ind w:right="479"/>
              <w:spacing w:after="0"/>
              <w:rPr>
                <w:sz w:val="20"/>
                <w:szCs w:val="20"/>
                <w:color w:val="auto"/>
              </w:rPr>
            </w:pPr>
            <w:r>
              <w:rPr>
                <w:rFonts w:ascii="Arial" w:cs="Arial" w:eastAsia="Arial" w:hAnsi="Arial"/>
                <w:sz w:val="12"/>
                <w:szCs w:val="12"/>
                <w:b w:val="1"/>
                <w:bCs w:val="1"/>
                <w:color w:val="FFFFFF"/>
              </w:rPr>
              <w:t>per Share</w:t>
            </w:r>
          </w:p>
        </w:tc>
        <w:tc>
          <w:tcPr>
            <w:tcW w:w="2120" w:type="dxa"/>
            <w:vAlign w:val="bottom"/>
            <w:vMerge w:val="restart"/>
            <w:shd w:val="clear" w:color="auto" w:fill="1D2758"/>
          </w:tcPr>
          <w:p>
            <w:pPr>
              <w:jc w:val="center"/>
              <w:spacing w:after="0"/>
              <w:rPr>
                <w:sz w:val="20"/>
                <w:szCs w:val="20"/>
                <w:color w:val="auto"/>
              </w:rPr>
            </w:pPr>
            <w:r>
              <w:rPr>
                <w:rFonts w:ascii="Arial" w:cs="Arial" w:eastAsia="Arial" w:hAnsi="Arial"/>
                <w:sz w:val="12"/>
                <w:szCs w:val="12"/>
                <w:b w:val="1"/>
                <w:bCs w:val="1"/>
                <w:color w:val="FFFFFF"/>
              </w:rPr>
              <w:t>millions)</w:t>
            </w:r>
          </w:p>
        </w:tc>
        <w:tc>
          <w:tcPr>
            <w:tcW w:w="200" w:type="dxa"/>
            <w:vAlign w:val="bottom"/>
            <w:shd w:val="clear" w:color="auto" w:fill="1D2758"/>
          </w:tcPr>
          <w:p>
            <w:pPr>
              <w:spacing w:after="0"/>
              <w:rPr>
                <w:sz w:val="7"/>
                <w:szCs w:val="7"/>
                <w:color w:val="auto"/>
              </w:rPr>
            </w:pPr>
          </w:p>
        </w:tc>
        <w:tc>
          <w:tcPr>
            <w:tcW w:w="2020" w:type="dxa"/>
            <w:vAlign w:val="bottom"/>
            <w:vMerge w:val="restart"/>
            <w:shd w:val="clear" w:color="auto" w:fill="1D2758"/>
          </w:tcPr>
          <w:p>
            <w:pPr>
              <w:jc w:val="center"/>
              <w:ind w:right="59"/>
              <w:spacing w:after="0"/>
              <w:rPr>
                <w:sz w:val="20"/>
                <w:szCs w:val="20"/>
                <w:color w:val="auto"/>
              </w:rPr>
            </w:pPr>
            <w:r>
              <w:rPr>
                <w:rFonts w:ascii="Arial" w:cs="Arial" w:eastAsia="Arial" w:hAnsi="Arial"/>
                <w:sz w:val="12"/>
                <w:szCs w:val="12"/>
                <w:b w:val="1"/>
                <w:bCs w:val="1"/>
                <w:color w:val="FFFFFF"/>
              </w:rPr>
              <w:t>millions)</w:t>
            </w:r>
          </w:p>
        </w:tc>
        <w:tc>
          <w:tcPr>
            <w:tcW w:w="0" w:type="dxa"/>
            <w:vAlign w:val="bottom"/>
          </w:tcPr>
          <w:p>
            <w:pPr>
              <w:spacing w:after="0"/>
              <w:rPr>
                <w:sz w:val="1"/>
                <w:szCs w:val="1"/>
                <w:color w:val="auto"/>
              </w:rPr>
            </w:pPr>
          </w:p>
        </w:tc>
      </w:tr>
      <w:tr>
        <w:trPr>
          <w:trHeight w:val="75"/>
        </w:trPr>
        <w:tc>
          <w:tcPr>
            <w:tcW w:w="1200" w:type="dxa"/>
            <w:vAlign w:val="bottom"/>
            <w:shd w:val="clear" w:color="auto" w:fill="1D2758"/>
          </w:tcPr>
          <w:p>
            <w:pPr>
              <w:spacing w:after="0"/>
              <w:rPr>
                <w:sz w:val="6"/>
                <w:szCs w:val="6"/>
                <w:color w:val="auto"/>
              </w:rPr>
            </w:pPr>
          </w:p>
        </w:tc>
        <w:tc>
          <w:tcPr>
            <w:tcW w:w="480" w:type="dxa"/>
            <w:vAlign w:val="bottom"/>
            <w:shd w:val="clear" w:color="auto" w:fill="1D2758"/>
          </w:tcPr>
          <w:p>
            <w:pPr>
              <w:spacing w:after="0"/>
              <w:rPr>
                <w:sz w:val="6"/>
                <w:szCs w:val="6"/>
                <w:color w:val="auto"/>
              </w:rPr>
            </w:pPr>
          </w:p>
        </w:tc>
        <w:tc>
          <w:tcPr>
            <w:tcW w:w="2140" w:type="dxa"/>
            <w:vAlign w:val="bottom"/>
            <w:shd w:val="clear" w:color="auto" w:fill="1D2758"/>
          </w:tcPr>
          <w:p>
            <w:pPr>
              <w:spacing w:after="0"/>
              <w:rPr>
                <w:sz w:val="6"/>
                <w:szCs w:val="6"/>
                <w:color w:val="auto"/>
              </w:rPr>
            </w:pPr>
          </w:p>
        </w:tc>
        <w:tc>
          <w:tcPr>
            <w:tcW w:w="1500" w:type="dxa"/>
            <w:vAlign w:val="bottom"/>
            <w:vMerge w:val="continue"/>
            <w:shd w:val="clear" w:color="auto" w:fill="1D2758"/>
          </w:tcPr>
          <w:p>
            <w:pPr>
              <w:spacing w:after="0"/>
              <w:rPr>
                <w:sz w:val="6"/>
                <w:szCs w:val="6"/>
                <w:color w:val="auto"/>
              </w:rPr>
            </w:pPr>
          </w:p>
        </w:tc>
        <w:tc>
          <w:tcPr>
            <w:tcW w:w="200" w:type="dxa"/>
            <w:vAlign w:val="bottom"/>
            <w:shd w:val="clear" w:color="auto" w:fill="1D2758"/>
          </w:tcPr>
          <w:p>
            <w:pPr>
              <w:spacing w:after="0"/>
              <w:rPr>
                <w:sz w:val="6"/>
                <w:szCs w:val="6"/>
                <w:color w:val="auto"/>
              </w:rPr>
            </w:pPr>
          </w:p>
        </w:tc>
        <w:tc>
          <w:tcPr>
            <w:tcW w:w="1420" w:type="dxa"/>
            <w:vAlign w:val="bottom"/>
            <w:vMerge w:val="continue"/>
            <w:shd w:val="clear" w:color="auto" w:fill="1D2758"/>
          </w:tcPr>
          <w:p>
            <w:pPr>
              <w:spacing w:after="0"/>
              <w:rPr>
                <w:sz w:val="6"/>
                <w:szCs w:val="6"/>
                <w:color w:val="auto"/>
              </w:rPr>
            </w:pPr>
          </w:p>
        </w:tc>
        <w:tc>
          <w:tcPr>
            <w:tcW w:w="2120" w:type="dxa"/>
            <w:vAlign w:val="bottom"/>
            <w:vMerge w:val="continue"/>
            <w:shd w:val="clear" w:color="auto" w:fill="1D2758"/>
          </w:tcPr>
          <w:p>
            <w:pPr>
              <w:spacing w:after="0"/>
              <w:rPr>
                <w:sz w:val="6"/>
                <w:szCs w:val="6"/>
                <w:color w:val="auto"/>
              </w:rPr>
            </w:pPr>
          </w:p>
        </w:tc>
        <w:tc>
          <w:tcPr>
            <w:tcW w:w="200" w:type="dxa"/>
            <w:vAlign w:val="bottom"/>
            <w:shd w:val="clear" w:color="auto" w:fill="1D2758"/>
          </w:tcPr>
          <w:p>
            <w:pPr>
              <w:spacing w:after="0"/>
              <w:rPr>
                <w:sz w:val="6"/>
                <w:szCs w:val="6"/>
                <w:color w:val="auto"/>
              </w:rPr>
            </w:pPr>
          </w:p>
        </w:tc>
        <w:tc>
          <w:tcPr>
            <w:tcW w:w="2020" w:type="dxa"/>
            <w:vAlign w:val="bottom"/>
            <w:vMerge w:val="continue"/>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680" w:type="dxa"/>
            <w:vAlign w:val="bottom"/>
            <w:gridSpan w:val="2"/>
            <w:shd w:val="clear" w:color="auto" w:fill="DBDBDB"/>
          </w:tcPr>
          <w:p>
            <w:pPr>
              <w:ind w:left="20"/>
              <w:spacing w:after="0"/>
              <w:rPr>
                <w:sz w:val="20"/>
                <w:szCs w:val="20"/>
                <w:color w:val="auto"/>
              </w:rPr>
            </w:pPr>
            <w:r>
              <w:rPr>
                <w:rFonts w:ascii="Arial" w:cs="Arial" w:eastAsia="Arial" w:hAnsi="Arial"/>
                <w:sz w:val="12"/>
                <w:szCs w:val="12"/>
                <w:color w:val="auto"/>
              </w:rPr>
              <w:t>April 1, 2021 to April 30, 2021</w:t>
            </w:r>
          </w:p>
        </w:tc>
        <w:tc>
          <w:tcPr>
            <w:tcW w:w="214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42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w:t>
            </w:r>
          </w:p>
        </w:tc>
        <w:tc>
          <w:tcPr>
            <w:tcW w:w="2120" w:type="dxa"/>
            <w:vAlign w:val="bottom"/>
            <w:shd w:val="clear" w:color="auto" w:fill="DBDBDB"/>
          </w:tcPr>
          <w:p>
            <w:pPr>
              <w:ind w:left="1960"/>
              <w:spacing w:after="0"/>
              <w:rPr>
                <w:sz w:val="20"/>
                <w:szCs w:val="20"/>
                <w:color w:val="auto"/>
              </w:rPr>
            </w:pPr>
            <w:r>
              <w:rPr>
                <w:rFonts w:ascii="Arial" w:cs="Arial" w:eastAsia="Arial" w:hAnsi="Arial"/>
                <w:sz w:val="12"/>
                <w:szCs w:val="12"/>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383.9</w:t>
            </w:r>
          </w:p>
        </w:tc>
        <w:tc>
          <w:tcPr>
            <w:tcW w:w="0" w:type="dxa"/>
            <w:vAlign w:val="bottom"/>
          </w:tcPr>
          <w:p>
            <w:pPr>
              <w:spacing w:after="0"/>
              <w:rPr>
                <w:sz w:val="1"/>
                <w:szCs w:val="1"/>
                <w:color w:val="auto"/>
              </w:rPr>
            </w:pPr>
          </w:p>
        </w:tc>
      </w:tr>
      <w:tr>
        <w:trPr>
          <w:trHeight w:val="159"/>
        </w:trPr>
        <w:tc>
          <w:tcPr>
            <w:tcW w:w="1680" w:type="dxa"/>
            <w:vAlign w:val="bottom"/>
            <w:gridSpan w:val="2"/>
          </w:tcPr>
          <w:p>
            <w:pPr>
              <w:ind w:left="20"/>
              <w:spacing w:after="0"/>
              <w:rPr>
                <w:sz w:val="20"/>
                <w:szCs w:val="20"/>
                <w:color w:val="auto"/>
              </w:rPr>
            </w:pPr>
            <w:r>
              <w:rPr>
                <w:rFonts w:ascii="Arial" w:cs="Arial" w:eastAsia="Arial" w:hAnsi="Arial"/>
                <w:sz w:val="12"/>
                <w:szCs w:val="12"/>
                <w:color w:val="auto"/>
              </w:rPr>
              <w:t>May 1, 2021 to May 31, 2021</w:t>
            </w:r>
          </w:p>
        </w:tc>
        <w:tc>
          <w:tcPr>
            <w:tcW w:w="2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0.7</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79"/>
              <w:spacing w:after="0"/>
              <w:rPr>
                <w:sz w:val="20"/>
                <w:szCs w:val="20"/>
                <w:color w:val="auto"/>
              </w:rPr>
            </w:pPr>
            <w:r>
              <w:rPr>
                <w:rFonts w:ascii="Arial" w:cs="Arial" w:eastAsia="Arial" w:hAnsi="Arial"/>
                <w:sz w:val="12"/>
                <w:szCs w:val="12"/>
                <w:color w:val="auto"/>
              </w:rPr>
              <w:t>28.00</w:t>
            </w:r>
          </w:p>
        </w:tc>
        <w:tc>
          <w:tcPr>
            <w:tcW w:w="2120" w:type="dxa"/>
            <w:vAlign w:val="bottom"/>
          </w:tcPr>
          <w:p>
            <w:pPr>
              <w:ind w:left="1940"/>
              <w:spacing w:after="0"/>
              <w:rPr>
                <w:sz w:val="20"/>
                <w:szCs w:val="20"/>
                <w:color w:val="auto"/>
              </w:rPr>
            </w:pPr>
            <w:r>
              <w:rPr>
                <w:rFonts w:ascii="Arial" w:cs="Arial" w:eastAsia="Arial" w:hAnsi="Arial"/>
                <w:sz w:val="12"/>
                <w:szCs w:val="12"/>
                <w:color w:val="auto"/>
                <w:w w:val="95"/>
              </w:rPr>
              <w:t>0.7</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20" w:type="dxa"/>
            <w:vAlign w:val="bottom"/>
          </w:tcPr>
          <w:p>
            <w:pPr>
              <w:jc w:val="right"/>
              <w:spacing w:after="0"/>
              <w:rPr>
                <w:sz w:val="20"/>
                <w:szCs w:val="20"/>
                <w:color w:val="auto"/>
              </w:rPr>
            </w:pPr>
            <w:r>
              <w:rPr>
                <w:rFonts w:ascii="Arial" w:cs="Arial" w:eastAsia="Arial" w:hAnsi="Arial"/>
                <w:sz w:val="12"/>
                <w:szCs w:val="12"/>
                <w:color w:val="auto"/>
              </w:rPr>
              <w:t>363.0</w:t>
            </w:r>
          </w:p>
        </w:tc>
        <w:tc>
          <w:tcPr>
            <w:tcW w:w="0" w:type="dxa"/>
            <w:vAlign w:val="bottom"/>
          </w:tcPr>
          <w:p>
            <w:pPr>
              <w:spacing w:after="0"/>
              <w:rPr>
                <w:sz w:val="1"/>
                <w:szCs w:val="1"/>
                <w:color w:val="auto"/>
              </w:rPr>
            </w:pPr>
          </w:p>
        </w:tc>
      </w:tr>
      <w:tr>
        <w:trPr>
          <w:trHeight w:val="161"/>
        </w:trPr>
        <w:tc>
          <w:tcPr>
            <w:tcW w:w="1680" w:type="dxa"/>
            <w:vAlign w:val="bottom"/>
            <w:gridSpan w:val="2"/>
            <w:shd w:val="clear" w:color="auto" w:fill="DBDBDB"/>
          </w:tcPr>
          <w:p>
            <w:pPr>
              <w:ind w:left="20"/>
              <w:spacing w:after="0"/>
              <w:rPr>
                <w:sz w:val="20"/>
                <w:szCs w:val="20"/>
                <w:color w:val="auto"/>
              </w:rPr>
            </w:pPr>
            <w:r>
              <w:rPr>
                <w:rFonts w:ascii="Arial" w:cs="Arial" w:eastAsia="Arial" w:hAnsi="Arial"/>
                <w:sz w:val="12"/>
                <w:szCs w:val="12"/>
                <w:color w:val="auto"/>
              </w:rPr>
              <w:t>June 1, 2021 to June 30, 2021</w:t>
            </w:r>
          </w:p>
        </w:tc>
        <w:tc>
          <w:tcPr>
            <w:tcW w:w="2140" w:type="dxa"/>
            <w:vAlign w:val="bottom"/>
            <w:shd w:val="clear" w:color="auto" w:fill="DBDBDB"/>
          </w:tcPr>
          <w:p>
            <w:pPr>
              <w:spacing w:after="0"/>
              <w:rPr>
                <w:sz w:val="14"/>
                <w:szCs w:val="14"/>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4.1</w:t>
            </w:r>
          </w:p>
        </w:tc>
        <w:tc>
          <w:tcPr>
            <w:tcW w:w="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420" w:type="dxa"/>
            <w:vAlign w:val="bottom"/>
            <w:shd w:val="clear" w:color="auto" w:fill="DBDBDB"/>
          </w:tcPr>
          <w:p>
            <w:pPr>
              <w:jc w:val="right"/>
              <w:ind w:right="79"/>
              <w:spacing w:after="0"/>
              <w:rPr>
                <w:sz w:val="20"/>
                <w:szCs w:val="20"/>
                <w:color w:val="auto"/>
              </w:rPr>
            </w:pPr>
            <w:r>
              <w:rPr>
                <w:rFonts w:ascii="Arial" w:cs="Arial" w:eastAsia="Arial" w:hAnsi="Arial"/>
                <w:sz w:val="12"/>
                <w:szCs w:val="12"/>
                <w:color w:val="auto"/>
              </w:rPr>
              <w:t>27.87</w:t>
            </w:r>
          </w:p>
        </w:tc>
        <w:tc>
          <w:tcPr>
            <w:tcW w:w="2120" w:type="dxa"/>
            <w:vAlign w:val="bottom"/>
            <w:tcBorders>
              <w:bottom w:val="single" w:sz="8" w:color="auto"/>
            </w:tcBorders>
            <w:shd w:val="clear" w:color="auto" w:fill="DBDBDB"/>
          </w:tcPr>
          <w:p>
            <w:pPr>
              <w:ind w:left="1940"/>
              <w:spacing w:after="0"/>
              <w:rPr>
                <w:sz w:val="20"/>
                <w:szCs w:val="20"/>
                <w:color w:val="auto"/>
              </w:rPr>
            </w:pPr>
            <w:r>
              <w:rPr>
                <w:rFonts w:ascii="Arial" w:cs="Arial" w:eastAsia="Arial" w:hAnsi="Arial"/>
                <w:sz w:val="12"/>
                <w:szCs w:val="12"/>
                <w:color w:val="auto"/>
                <w:w w:val="95"/>
              </w:rPr>
              <w:t>4.1</w:t>
            </w:r>
          </w:p>
        </w:tc>
        <w:tc>
          <w:tcPr>
            <w:tcW w:w="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249.2</w:t>
            </w:r>
          </w:p>
        </w:tc>
        <w:tc>
          <w:tcPr>
            <w:tcW w:w="0" w:type="dxa"/>
            <w:vAlign w:val="bottom"/>
          </w:tcPr>
          <w:p>
            <w:pPr>
              <w:spacing w:after="0"/>
              <w:rPr>
                <w:sz w:val="1"/>
                <w:szCs w:val="1"/>
                <w:color w:val="auto"/>
              </w:rPr>
            </w:pPr>
          </w:p>
        </w:tc>
      </w:tr>
      <w:tr>
        <w:trPr>
          <w:trHeight w:val="154"/>
        </w:trPr>
        <w:tc>
          <w:tcPr>
            <w:tcW w:w="1200" w:type="dxa"/>
            <w:vAlign w:val="bottom"/>
          </w:tcPr>
          <w:p>
            <w:pPr>
              <w:ind w:left="180"/>
              <w:spacing w:after="0"/>
              <w:rPr>
                <w:sz w:val="20"/>
                <w:szCs w:val="20"/>
                <w:color w:val="auto"/>
              </w:rPr>
            </w:pPr>
            <w:r>
              <w:rPr>
                <w:rFonts w:ascii="Arial" w:cs="Arial" w:eastAsia="Arial" w:hAnsi="Arial"/>
                <w:sz w:val="12"/>
                <w:szCs w:val="12"/>
                <w:color w:val="auto"/>
              </w:rPr>
              <w:t>Total</w:t>
            </w:r>
          </w:p>
        </w:tc>
        <w:tc>
          <w:tcPr>
            <w:tcW w:w="4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79"/>
              <w:spacing w:after="0"/>
              <w:rPr>
                <w:sz w:val="20"/>
                <w:szCs w:val="20"/>
                <w:color w:val="auto"/>
              </w:rPr>
            </w:pPr>
            <w:r>
              <w:rPr>
                <w:rFonts w:ascii="Arial" w:cs="Arial" w:eastAsia="Arial" w:hAnsi="Arial"/>
                <w:sz w:val="12"/>
                <w:szCs w:val="12"/>
                <w:color w:val="auto"/>
              </w:rPr>
              <w:t>27.89</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w:t>
            </w:r>
          </w:p>
        </w:tc>
        <w:tc>
          <w:tcPr>
            <w:tcW w:w="2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jc w:val="both"/>
        <w:ind w:firstLine="484"/>
        <w:spacing w:after="0" w:line="248" w:lineRule="auto"/>
        <w:rPr>
          <w:sz w:val="20"/>
          <w:szCs w:val="20"/>
          <w:color w:val="auto"/>
        </w:rPr>
      </w:pPr>
      <w:r>
        <w:rPr>
          <w:rFonts w:ascii="Arial" w:cs="Arial" w:eastAsia="Arial" w:hAnsi="Arial"/>
          <w:sz w:val="12"/>
          <w:szCs w:val="12"/>
          <w:color w:val="auto"/>
        </w:rPr>
        <w:t>On August 7, 2020, the Company's Board of Directors approved a stock repurchase program that authorizes the Company to repurchase up to $250 million of its outstanding shares of Common Stock and equivalents. On April 29, 2021, the Company's Board of Directors approved an increase to the authorized amount under the stock repurchase program that authorizes the Company to repurchase up to $500 million of its outstanding shares of Common Stock and equivalents. The stock repurchase program does not obligate the Company to purchase any particular number of shares, and the timing and exact amount of any repurchases will depend on various factors, including market pricing and conditions, business, legal, accounting, and other considerations. As of June 30, 2021, $249.2 million remained of the $500 million share repurchase authorization.</w:t>
      </w:r>
    </w:p>
    <w:p>
      <w:pPr>
        <w:spacing w:after="0" w:line="152" w:lineRule="exact"/>
        <w:rPr>
          <w:sz w:val="20"/>
          <w:szCs w:val="20"/>
          <w:color w:val="auto"/>
        </w:rPr>
      </w:pPr>
    </w:p>
    <w:p>
      <w:pPr>
        <w:spacing w:after="0"/>
        <w:tabs>
          <w:tab w:leader="none" w:pos="1340" w:val="left"/>
        </w:tabs>
        <w:rPr>
          <w:sz w:val="20"/>
          <w:szCs w:val="20"/>
          <w:color w:val="auto"/>
        </w:rPr>
      </w:pPr>
      <w:r>
        <w:rPr>
          <w:rFonts w:ascii="Arial" w:cs="Arial" w:eastAsia="Arial" w:hAnsi="Arial"/>
          <w:sz w:val="30"/>
          <w:szCs w:val="30"/>
          <w:b w:val="1"/>
          <w:bCs w:val="1"/>
          <w:color w:val="auto"/>
        </w:rPr>
        <w:t>ITEM 3.</w:t>
      </w:r>
      <w:r>
        <w:rPr>
          <w:sz w:val="20"/>
          <w:szCs w:val="20"/>
          <w:color w:val="auto"/>
        </w:rPr>
        <w:tab/>
      </w:r>
      <w:r>
        <w:rPr>
          <w:rFonts w:ascii="Arial" w:cs="Arial" w:eastAsia="Arial" w:hAnsi="Arial"/>
          <w:sz w:val="29"/>
          <w:szCs w:val="29"/>
          <w:b w:val="1"/>
          <w:bCs w:val="1"/>
          <w:color w:val="auto"/>
        </w:rPr>
        <w:t>Defaults Upon Senior Securities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None.</w:t>
      </w:r>
    </w:p>
    <w:p>
      <w:pPr>
        <w:spacing w:after="0" w:line="162" w:lineRule="exact"/>
        <w:rPr>
          <w:sz w:val="20"/>
          <w:szCs w:val="20"/>
          <w:color w:val="auto"/>
        </w:rPr>
      </w:pPr>
    </w:p>
    <w:p>
      <w:pPr>
        <w:spacing w:after="0"/>
        <w:tabs>
          <w:tab w:leader="none" w:pos="1340" w:val="left"/>
        </w:tabs>
        <w:rPr>
          <w:sz w:val="20"/>
          <w:szCs w:val="20"/>
          <w:color w:val="auto"/>
        </w:rPr>
      </w:pPr>
      <w:r>
        <w:rPr>
          <w:rFonts w:ascii="Arial" w:cs="Arial" w:eastAsia="Arial" w:hAnsi="Arial"/>
          <w:sz w:val="30"/>
          <w:szCs w:val="30"/>
          <w:b w:val="1"/>
          <w:bCs w:val="1"/>
          <w:color w:val="auto"/>
        </w:rPr>
        <w:t>ITEM 4.</w:t>
      </w:r>
      <w:r>
        <w:rPr>
          <w:sz w:val="20"/>
          <w:szCs w:val="20"/>
          <w:color w:val="auto"/>
        </w:rPr>
        <w:tab/>
      </w:r>
      <w:r>
        <w:rPr>
          <w:rFonts w:ascii="Arial" w:cs="Arial" w:eastAsia="Arial" w:hAnsi="Arial"/>
          <w:sz w:val="29"/>
          <w:szCs w:val="29"/>
          <w:b w:val="1"/>
          <w:bCs w:val="1"/>
          <w:color w:val="auto"/>
        </w:rPr>
        <w:t>Mine Safety Disclosures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Not applicable.</w:t>
      </w:r>
    </w:p>
    <w:p>
      <w:pPr>
        <w:spacing w:after="0" w:line="162" w:lineRule="exact"/>
        <w:rPr>
          <w:sz w:val="20"/>
          <w:szCs w:val="20"/>
          <w:color w:val="auto"/>
        </w:rPr>
      </w:pPr>
    </w:p>
    <w:p>
      <w:pPr>
        <w:spacing w:after="0"/>
        <w:tabs>
          <w:tab w:leader="none" w:pos="1340" w:val="left"/>
        </w:tabs>
        <w:rPr>
          <w:sz w:val="20"/>
          <w:szCs w:val="20"/>
          <w:color w:val="auto"/>
        </w:rPr>
      </w:pPr>
      <w:r>
        <w:rPr>
          <w:rFonts w:ascii="Arial" w:cs="Arial" w:eastAsia="Arial" w:hAnsi="Arial"/>
          <w:sz w:val="30"/>
          <w:szCs w:val="30"/>
          <w:b w:val="1"/>
          <w:bCs w:val="1"/>
          <w:color w:val="auto"/>
        </w:rPr>
        <w:t>ITEM 5.</w:t>
      </w:r>
      <w:r>
        <w:rPr>
          <w:sz w:val="20"/>
          <w:szCs w:val="20"/>
          <w:color w:val="auto"/>
        </w:rPr>
        <w:tab/>
      </w:r>
      <w:r>
        <w:rPr>
          <w:rFonts w:ascii="Arial" w:cs="Arial" w:eastAsia="Arial" w:hAnsi="Arial"/>
          <w:sz w:val="29"/>
          <w:szCs w:val="29"/>
          <w:b w:val="1"/>
          <w:bCs w:val="1"/>
          <w:color w:val="auto"/>
        </w:rPr>
        <w:t>Other Information</w:t>
      </w:r>
    </w:p>
    <w:p>
      <w:pPr>
        <w:spacing w:after="0" w:line="71" w:lineRule="exact"/>
        <w:rPr>
          <w:sz w:val="20"/>
          <w:szCs w:val="20"/>
          <w:color w:val="auto"/>
        </w:rPr>
      </w:pPr>
    </w:p>
    <w:p>
      <w:pPr>
        <w:ind w:left="480"/>
        <w:spacing w:after="0"/>
        <w:rPr>
          <w:sz w:val="20"/>
          <w:szCs w:val="20"/>
          <w:color w:val="auto"/>
        </w:rPr>
      </w:pPr>
      <w:r>
        <w:rPr>
          <w:rFonts w:ascii="Arial" w:cs="Arial" w:eastAsia="Arial" w:hAnsi="Arial"/>
          <w:sz w:val="12"/>
          <w:szCs w:val="1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667385</wp:posOffset>
            </wp:positionV>
            <wp:extent cx="719264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384"/>
        </w:trPr>
        <w:tc>
          <w:tcPr>
            <w:tcW w:w="1180" w:type="dxa"/>
            <w:vAlign w:val="bottom"/>
            <w:gridSpan w:val="5"/>
          </w:tcPr>
          <w:p>
            <w:pPr>
              <w:spacing w:after="0"/>
              <w:rPr>
                <w:sz w:val="20"/>
                <w:szCs w:val="20"/>
                <w:color w:val="auto"/>
              </w:rPr>
            </w:pPr>
            <w:r>
              <w:rPr>
                <w:rFonts w:ascii="Arial" w:cs="Arial" w:eastAsia="Arial" w:hAnsi="Arial"/>
                <w:sz w:val="30"/>
                <w:szCs w:val="30"/>
                <w:b w:val="1"/>
                <w:bCs w:val="1"/>
                <w:color w:val="auto"/>
              </w:rPr>
              <w:t>ITEM 6.</w:t>
            </w:r>
          </w:p>
        </w:tc>
        <w:tc>
          <w:tcPr>
            <w:tcW w:w="10060" w:type="dxa"/>
            <w:vAlign w:val="bottom"/>
          </w:tcPr>
          <w:p>
            <w:pPr>
              <w:ind w:left="180"/>
              <w:spacing w:after="0"/>
              <w:rPr>
                <w:sz w:val="20"/>
                <w:szCs w:val="20"/>
                <w:color w:val="auto"/>
              </w:rPr>
            </w:pPr>
            <w:r>
              <w:rPr>
                <w:rFonts w:ascii="Arial" w:cs="Arial" w:eastAsia="Arial" w:hAnsi="Arial"/>
                <w:sz w:val="30"/>
                <w:szCs w:val="30"/>
                <w:b w:val="1"/>
                <w:bCs w:val="1"/>
                <w:color w:val="auto"/>
              </w:rPr>
              <w:t>Exhibits</w:t>
            </w:r>
          </w:p>
        </w:tc>
        <w:tc>
          <w:tcPr>
            <w:tcW w:w="0" w:type="dxa"/>
            <w:vAlign w:val="bottom"/>
          </w:tcPr>
          <w:p>
            <w:pPr>
              <w:spacing w:after="0"/>
              <w:rPr>
                <w:sz w:val="1"/>
                <w:szCs w:val="1"/>
                <w:color w:val="auto"/>
              </w:rPr>
            </w:pPr>
          </w:p>
        </w:tc>
      </w:tr>
      <w:tr>
        <w:trPr>
          <w:trHeight w:val="161"/>
        </w:trPr>
        <w:tc>
          <w:tcPr>
            <w:tcW w:w="20" w:type="dxa"/>
            <w:vAlign w:val="bottom"/>
            <w:shd w:val="clear" w:color="auto" w:fill="1D2758"/>
          </w:tcPr>
          <w:p>
            <w:pPr>
              <w:spacing w:after="0"/>
              <w:rPr>
                <w:sz w:val="14"/>
                <w:szCs w:val="14"/>
                <w:color w:val="auto"/>
              </w:rPr>
            </w:pPr>
          </w:p>
        </w:tc>
        <w:tc>
          <w:tcPr>
            <w:tcW w:w="880" w:type="dxa"/>
            <w:vAlign w:val="bottom"/>
            <w:gridSpan w:val="3"/>
            <w:shd w:val="clear" w:color="auto" w:fill="1D2758"/>
          </w:tcPr>
          <w:p>
            <w:pPr>
              <w:ind w:left="140"/>
              <w:spacing w:after="0"/>
              <w:rPr>
                <w:sz w:val="20"/>
                <w:szCs w:val="20"/>
                <w:color w:val="auto"/>
              </w:rPr>
            </w:pPr>
            <w:r>
              <w:rPr>
                <w:rFonts w:ascii="Arial" w:cs="Arial" w:eastAsia="Arial" w:hAnsi="Arial"/>
                <w:sz w:val="12"/>
                <w:szCs w:val="12"/>
                <w:b w:val="1"/>
                <w:bCs w:val="1"/>
                <w:color w:val="FFFFFF"/>
              </w:rPr>
              <w:t>Exhibit No.</w:t>
            </w:r>
          </w:p>
        </w:tc>
        <w:tc>
          <w:tcPr>
            <w:tcW w:w="280" w:type="dxa"/>
            <w:vAlign w:val="bottom"/>
            <w:shd w:val="clear" w:color="auto" w:fill="1D2758"/>
          </w:tcPr>
          <w:p>
            <w:pPr>
              <w:spacing w:after="0"/>
              <w:rPr>
                <w:sz w:val="14"/>
                <w:szCs w:val="14"/>
                <w:color w:val="auto"/>
              </w:rPr>
            </w:pPr>
          </w:p>
        </w:tc>
        <w:tc>
          <w:tcPr>
            <w:tcW w:w="10060" w:type="dxa"/>
            <w:vAlign w:val="bottom"/>
            <w:shd w:val="clear" w:color="auto" w:fill="1D2758"/>
          </w:tcPr>
          <w:p>
            <w:pPr>
              <w:ind w:left="4540"/>
              <w:spacing w:after="0"/>
              <w:rPr>
                <w:sz w:val="20"/>
                <w:szCs w:val="20"/>
                <w:color w:val="auto"/>
              </w:rPr>
            </w:pPr>
            <w:r>
              <w:rPr>
                <w:rFonts w:ascii="Arial" w:cs="Arial" w:eastAsia="Arial" w:hAnsi="Arial"/>
                <w:sz w:val="12"/>
                <w:szCs w:val="12"/>
                <w:b w:val="1"/>
                <w:bCs w:val="1"/>
                <w:color w:val="FFFFFF"/>
              </w:rPr>
              <w:t>Exhibit Description</w:t>
            </w:r>
          </w:p>
        </w:tc>
        <w:tc>
          <w:tcPr>
            <w:tcW w:w="0" w:type="dxa"/>
            <w:vAlign w:val="bottom"/>
          </w:tcPr>
          <w:p>
            <w:pPr>
              <w:spacing w:after="0"/>
              <w:rPr>
                <w:sz w:val="1"/>
                <w:szCs w:val="1"/>
                <w:color w:val="auto"/>
              </w:rPr>
            </w:pPr>
          </w:p>
        </w:tc>
      </w:tr>
      <w:tr>
        <w:trPr>
          <w:trHeight w:val="131"/>
        </w:trPr>
        <w:tc>
          <w:tcPr>
            <w:tcW w:w="900" w:type="dxa"/>
            <w:vAlign w:val="bottom"/>
            <w:gridSpan w:val="4"/>
          </w:tcPr>
          <w:p>
            <w:pPr>
              <w:ind w:left="20"/>
              <w:spacing w:after="0" w:line="132" w:lineRule="exact"/>
              <w:rPr>
                <w:rFonts w:ascii="Arial" w:cs="Arial" w:eastAsia="Arial" w:hAnsi="Arial"/>
                <w:sz w:val="12"/>
                <w:szCs w:val="12"/>
                <w:color w:val="0000FF"/>
              </w:rPr>
            </w:pPr>
            <w:hyperlink r:id="rId106">
              <w:r>
                <w:rPr>
                  <w:rFonts w:ascii="Arial" w:cs="Arial" w:eastAsia="Arial" w:hAnsi="Arial"/>
                  <w:sz w:val="12"/>
                  <w:szCs w:val="12"/>
                  <w:color w:val="0000FF"/>
                </w:rPr>
                <w:t>3.</w:t>
              </w:r>
              <w:r>
                <w:rPr>
                  <w:rFonts w:ascii="Arial" w:cs="Arial" w:eastAsia="Arial" w:hAnsi="Arial"/>
                  <w:sz w:val="12"/>
                  <w:szCs w:val="12"/>
                  <w:u w:val="single" w:color="auto"/>
                  <w:color w:val="0000FF"/>
                </w:rPr>
                <w:t>1(a)</w:t>
              </w:r>
            </w:hyperlink>
          </w:p>
        </w:tc>
        <w:tc>
          <w:tcPr>
            <w:tcW w:w="280" w:type="dxa"/>
            <w:vAlign w:val="bottom"/>
          </w:tcPr>
          <w:p>
            <w:pPr>
              <w:spacing w:after="0"/>
              <w:rPr>
                <w:sz w:val="11"/>
                <w:szCs w:val="11"/>
                <w:color w:val="auto"/>
              </w:rPr>
            </w:pPr>
          </w:p>
        </w:tc>
        <w:tc>
          <w:tcPr>
            <w:tcW w:w="10060" w:type="dxa"/>
            <w:vAlign w:val="bottom"/>
          </w:tcPr>
          <w:p>
            <w:pPr>
              <w:ind w:left="120"/>
              <w:spacing w:after="0" w:line="132" w:lineRule="exact"/>
              <w:rPr>
                <w:sz w:val="20"/>
                <w:szCs w:val="20"/>
                <w:color w:val="auto"/>
              </w:rPr>
            </w:pPr>
            <w:r>
              <w:rPr>
                <w:rFonts w:ascii="Arial" w:cs="Arial" w:eastAsia="Arial" w:hAnsi="Arial"/>
                <w:sz w:val="12"/>
                <w:szCs w:val="12"/>
                <w:color w:val="auto"/>
              </w:rPr>
              <w:t>Certificate of Amendment to Amended and Restated Certificate of Incorporation of WillScot Mobile Mini Holdings Corp. (incorporated by reference to Exhibit 3.1 of the Company's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60" w:type="dxa"/>
            <w:vAlign w:val="bottom"/>
          </w:tcPr>
          <w:p>
            <w:pPr>
              <w:ind w:left="120"/>
              <w:spacing w:after="0"/>
              <w:rPr>
                <w:sz w:val="20"/>
                <w:szCs w:val="20"/>
                <w:color w:val="auto"/>
              </w:rPr>
            </w:pPr>
            <w:r>
              <w:rPr>
                <w:rFonts w:ascii="Arial" w:cs="Arial" w:eastAsia="Arial" w:hAnsi="Arial"/>
                <w:sz w:val="12"/>
                <w:szCs w:val="12"/>
                <w:color w:val="auto"/>
              </w:rPr>
              <w:t>Current Report on Form 8-K, filed June 16, 2021).</w:t>
            </w:r>
          </w:p>
        </w:tc>
        <w:tc>
          <w:tcPr>
            <w:tcW w:w="0" w:type="dxa"/>
            <w:vAlign w:val="bottom"/>
          </w:tcPr>
          <w:p>
            <w:pPr>
              <w:spacing w:after="0"/>
              <w:rPr>
                <w:sz w:val="1"/>
                <w:szCs w:val="1"/>
                <w:color w:val="auto"/>
              </w:rPr>
            </w:pPr>
          </w:p>
        </w:tc>
      </w:tr>
      <w:tr>
        <w:trPr>
          <w:trHeight w:val="146"/>
        </w:trPr>
        <w:tc>
          <w:tcPr>
            <w:tcW w:w="900" w:type="dxa"/>
            <w:vAlign w:val="bottom"/>
            <w:gridSpan w:val="4"/>
          </w:tcPr>
          <w:p>
            <w:pPr>
              <w:ind w:left="20"/>
              <w:spacing w:after="0"/>
              <w:rPr>
                <w:rFonts w:ascii="Arial" w:cs="Arial" w:eastAsia="Arial" w:hAnsi="Arial"/>
                <w:sz w:val="12"/>
                <w:szCs w:val="12"/>
                <w:color w:val="0000FF"/>
              </w:rPr>
            </w:pPr>
            <w:hyperlink r:id="rId107">
              <w:r>
                <w:rPr>
                  <w:rFonts w:ascii="Arial" w:cs="Arial" w:eastAsia="Arial" w:hAnsi="Arial"/>
                  <w:sz w:val="12"/>
                  <w:szCs w:val="12"/>
                  <w:color w:val="0000FF"/>
                </w:rPr>
                <w:t>3.</w:t>
              </w:r>
              <w:r>
                <w:rPr>
                  <w:rFonts w:ascii="Arial" w:cs="Arial" w:eastAsia="Arial" w:hAnsi="Arial"/>
                  <w:sz w:val="12"/>
                  <w:szCs w:val="12"/>
                  <w:u w:val="single" w:color="auto"/>
                  <w:color w:val="0000FF"/>
                </w:rPr>
                <w:t>1(b)</w:t>
              </w:r>
            </w:hyperlink>
          </w:p>
        </w:tc>
        <w:tc>
          <w:tcPr>
            <w:tcW w:w="280" w:type="dxa"/>
            <w:vAlign w:val="bottom"/>
          </w:tcPr>
          <w:p>
            <w:pPr>
              <w:spacing w:after="0"/>
              <w:rPr>
                <w:sz w:val="12"/>
                <w:szCs w:val="12"/>
                <w:color w:val="auto"/>
              </w:rPr>
            </w:pPr>
          </w:p>
        </w:tc>
        <w:tc>
          <w:tcPr>
            <w:tcW w:w="10060" w:type="dxa"/>
            <w:vAlign w:val="bottom"/>
          </w:tcPr>
          <w:p>
            <w:pPr>
              <w:ind w:left="120"/>
              <w:spacing w:after="0"/>
              <w:rPr>
                <w:sz w:val="20"/>
                <w:szCs w:val="20"/>
                <w:color w:val="auto"/>
              </w:rPr>
            </w:pPr>
            <w:r>
              <w:rPr>
                <w:rFonts w:ascii="Arial" w:cs="Arial" w:eastAsia="Arial" w:hAnsi="Arial"/>
                <w:sz w:val="12"/>
                <w:szCs w:val="12"/>
                <w:color w:val="auto"/>
              </w:rPr>
              <w:t>Amended and Restated Certificate of Incorporation of WillScot Mobile Mini Holdings Corp. (incorporated by reference to Exhibit 3.1(b) of the Company's Current Report on Form 8-K,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60" w:type="dxa"/>
            <w:vAlign w:val="bottom"/>
            <w:vMerge w:val="restart"/>
          </w:tcPr>
          <w:p>
            <w:pPr>
              <w:ind w:left="120"/>
              <w:spacing w:after="0"/>
              <w:rPr>
                <w:sz w:val="20"/>
                <w:szCs w:val="20"/>
                <w:color w:val="auto"/>
              </w:rPr>
            </w:pPr>
            <w:r>
              <w:rPr>
                <w:rFonts w:ascii="Arial" w:cs="Arial" w:eastAsia="Arial" w:hAnsi="Arial"/>
                <w:sz w:val="12"/>
                <w:szCs w:val="12"/>
                <w:color w:val="auto"/>
              </w:rPr>
              <w:t>filed July 1, 2020).</w:t>
            </w:r>
          </w:p>
        </w:tc>
        <w:tc>
          <w:tcPr>
            <w:tcW w:w="0" w:type="dxa"/>
            <w:vAlign w:val="bottom"/>
          </w:tcPr>
          <w:p>
            <w:pPr>
              <w:spacing w:after="0" w:line="20" w:lineRule="exact"/>
              <w:rPr>
                <w:sz w:val="1"/>
                <w:szCs w:val="1"/>
                <w:color w:val="auto"/>
              </w:rPr>
            </w:pPr>
          </w:p>
        </w:tc>
      </w:tr>
      <w:tr>
        <w:trPr>
          <w:trHeight w:val="127"/>
        </w:trPr>
        <w:tc>
          <w:tcPr>
            <w:tcW w:w="340" w:type="dxa"/>
            <w:vAlign w:val="bottom"/>
            <w:gridSpan w:val="3"/>
            <w:vMerge w:val="restart"/>
          </w:tcPr>
          <w:p>
            <w:pPr>
              <w:ind w:left="20"/>
              <w:spacing w:after="0"/>
              <w:rPr>
                <w:rFonts w:ascii="Arial" w:cs="Arial" w:eastAsia="Arial" w:hAnsi="Arial"/>
                <w:sz w:val="12"/>
                <w:szCs w:val="12"/>
                <w:color w:val="0000FF"/>
              </w:rPr>
            </w:pPr>
            <w:hyperlink r:id="rId108">
              <w:r>
                <w:rPr>
                  <w:rFonts w:ascii="Arial" w:cs="Arial" w:eastAsia="Arial" w:hAnsi="Arial"/>
                  <w:sz w:val="12"/>
                  <w:szCs w:val="12"/>
                  <w:color w:val="0000FF"/>
                </w:rPr>
                <w:t>3.</w:t>
              </w:r>
              <w:r>
                <w:rPr>
                  <w:rFonts w:ascii="Arial" w:cs="Arial" w:eastAsia="Arial" w:hAnsi="Arial"/>
                  <w:sz w:val="12"/>
                  <w:szCs w:val="12"/>
                  <w:u w:val="single" w:color="auto"/>
                  <w:color w:val="0000FF"/>
                </w:rPr>
                <w:t>2</w:t>
              </w:r>
            </w:hyperlink>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60" w:type="dxa"/>
            <w:vAlign w:val="bottom"/>
            <w:vMerge w:val="restart"/>
          </w:tcPr>
          <w:p>
            <w:pPr>
              <w:ind w:left="120"/>
              <w:spacing w:after="0"/>
              <w:rPr>
                <w:sz w:val="20"/>
                <w:szCs w:val="20"/>
                <w:color w:val="auto"/>
              </w:rPr>
            </w:pPr>
            <w:r>
              <w:rPr>
                <w:rFonts w:ascii="Arial" w:cs="Arial" w:eastAsia="Arial" w:hAnsi="Arial"/>
                <w:sz w:val="12"/>
                <w:szCs w:val="12"/>
                <w:color w:val="auto"/>
              </w:rPr>
              <w:t>Third Amended and Restated Bylaws (incorporated by reference to Exhibit 3.2 to the Company’s Current Report on Form 8-K, filed on June 16, 2021).</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40" w:type="dxa"/>
            <w:vAlign w:val="bottom"/>
            <w:gridSpan w:val="3"/>
          </w:tcPr>
          <w:p>
            <w:pPr>
              <w:ind w:left="20"/>
              <w:spacing w:after="0"/>
              <w:rPr>
                <w:rFonts w:ascii="Arial" w:cs="Arial" w:eastAsia="Arial" w:hAnsi="Arial"/>
                <w:sz w:val="12"/>
                <w:szCs w:val="12"/>
                <w:color w:val="auto"/>
              </w:rPr>
            </w:pPr>
            <w:hyperlink w:anchor="page69">
              <w:r>
                <w:rPr>
                  <w:rFonts w:ascii="Arial" w:cs="Arial" w:eastAsia="Arial" w:hAnsi="Arial"/>
                  <w:sz w:val="12"/>
                  <w:szCs w:val="12"/>
                  <w:color w:val="auto"/>
                </w:rPr>
                <w:t>31.1</w:t>
              </w:r>
            </w:hyperlink>
          </w:p>
        </w:tc>
        <w:tc>
          <w:tcPr>
            <w:tcW w:w="56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2"/>
                <w:szCs w:val="12"/>
                <w:color w:val="auto"/>
              </w:rPr>
              <w:t>*</w:t>
            </w:r>
          </w:p>
        </w:tc>
        <w:tc>
          <w:tcPr>
            <w:tcW w:w="10060" w:type="dxa"/>
            <w:vAlign w:val="bottom"/>
          </w:tcPr>
          <w:p>
            <w:pPr>
              <w:ind w:left="120"/>
              <w:spacing w:after="0"/>
              <w:rPr>
                <w:rFonts w:ascii="Arial" w:cs="Arial" w:eastAsia="Arial" w:hAnsi="Arial"/>
                <w:sz w:val="12"/>
                <w:szCs w:val="12"/>
                <w:color w:val="auto"/>
              </w:rPr>
            </w:pPr>
            <w:hyperlink w:anchor="page69">
              <w:r>
                <w:rPr>
                  <w:rFonts w:ascii="Arial" w:cs="Arial" w:eastAsia="Arial" w:hAnsi="Arial"/>
                  <w:sz w:val="12"/>
                  <w:szCs w:val="12"/>
                  <w:color w:val="auto"/>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161"/>
        </w:trPr>
        <w:tc>
          <w:tcPr>
            <w:tcW w:w="340" w:type="dxa"/>
            <w:vAlign w:val="bottom"/>
            <w:gridSpan w:val="3"/>
          </w:tcPr>
          <w:p>
            <w:pPr>
              <w:ind w:left="20"/>
              <w:spacing w:after="0"/>
              <w:rPr>
                <w:rFonts w:ascii="Arial" w:cs="Arial" w:eastAsia="Arial" w:hAnsi="Arial"/>
                <w:sz w:val="12"/>
                <w:szCs w:val="12"/>
                <w:color w:val="auto"/>
              </w:rPr>
            </w:pPr>
            <w:hyperlink w:anchor="page70">
              <w:r>
                <w:rPr>
                  <w:rFonts w:ascii="Arial" w:cs="Arial" w:eastAsia="Arial" w:hAnsi="Arial"/>
                  <w:sz w:val="12"/>
                  <w:szCs w:val="12"/>
                  <w:color w:val="auto"/>
                </w:rPr>
                <w:t>31.2</w:t>
              </w:r>
            </w:hyperlink>
          </w:p>
        </w:tc>
        <w:tc>
          <w:tcPr>
            <w:tcW w:w="56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2"/>
                <w:szCs w:val="12"/>
                <w:color w:val="auto"/>
              </w:rPr>
              <w:t>*</w:t>
            </w:r>
          </w:p>
        </w:tc>
        <w:tc>
          <w:tcPr>
            <w:tcW w:w="10060" w:type="dxa"/>
            <w:vAlign w:val="bottom"/>
          </w:tcPr>
          <w:p>
            <w:pPr>
              <w:ind w:left="120"/>
              <w:spacing w:after="0"/>
              <w:rPr>
                <w:rFonts w:ascii="Arial" w:cs="Arial" w:eastAsia="Arial" w:hAnsi="Arial"/>
                <w:sz w:val="12"/>
                <w:szCs w:val="12"/>
                <w:color w:val="auto"/>
              </w:rPr>
            </w:pPr>
            <w:hyperlink w:anchor="page70">
              <w:r>
                <w:rPr>
                  <w:rFonts w:ascii="Arial" w:cs="Arial" w:eastAsia="Arial" w:hAnsi="Arial"/>
                  <w:sz w:val="12"/>
                  <w:szCs w:val="12"/>
                  <w:color w:val="auto"/>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161"/>
        </w:trPr>
        <w:tc>
          <w:tcPr>
            <w:tcW w:w="340" w:type="dxa"/>
            <w:vAlign w:val="bottom"/>
            <w:gridSpan w:val="3"/>
          </w:tcPr>
          <w:p>
            <w:pPr>
              <w:ind w:left="20"/>
              <w:spacing w:after="0"/>
              <w:rPr>
                <w:rFonts w:ascii="Arial" w:cs="Arial" w:eastAsia="Arial" w:hAnsi="Arial"/>
                <w:sz w:val="12"/>
                <w:szCs w:val="12"/>
                <w:color w:val="auto"/>
              </w:rPr>
            </w:pPr>
            <w:hyperlink w:anchor="page71">
              <w:r>
                <w:rPr>
                  <w:rFonts w:ascii="Arial" w:cs="Arial" w:eastAsia="Arial" w:hAnsi="Arial"/>
                  <w:sz w:val="12"/>
                  <w:szCs w:val="12"/>
                  <w:color w:val="auto"/>
                </w:rPr>
                <w:t>32.1</w:t>
              </w:r>
            </w:hyperlink>
          </w:p>
        </w:tc>
        <w:tc>
          <w:tcPr>
            <w:tcW w:w="56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2"/>
                <w:szCs w:val="12"/>
                <w:color w:val="auto"/>
              </w:rPr>
              <w:t>**</w:t>
            </w:r>
          </w:p>
        </w:tc>
        <w:tc>
          <w:tcPr>
            <w:tcW w:w="10060" w:type="dxa"/>
            <w:vAlign w:val="bottom"/>
          </w:tcPr>
          <w:p>
            <w:pPr>
              <w:ind w:left="120"/>
              <w:spacing w:after="0"/>
              <w:rPr>
                <w:rFonts w:ascii="Arial" w:cs="Arial" w:eastAsia="Arial" w:hAnsi="Arial"/>
                <w:sz w:val="12"/>
                <w:szCs w:val="12"/>
                <w:color w:val="auto"/>
              </w:rPr>
            </w:pPr>
            <w:hyperlink w:anchor="page71">
              <w:r>
                <w:rPr>
                  <w:rFonts w:ascii="Arial" w:cs="Arial" w:eastAsia="Arial" w:hAnsi="Arial"/>
                  <w:sz w:val="12"/>
                  <w:szCs w:val="12"/>
                  <w:color w:val="auto"/>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161"/>
        </w:trPr>
        <w:tc>
          <w:tcPr>
            <w:tcW w:w="340" w:type="dxa"/>
            <w:vAlign w:val="bottom"/>
            <w:gridSpan w:val="3"/>
          </w:tcPr>
          <w:p>
            <w:pPr>
              <w:ind w:left="20"/>
              <w:spacing w:after="0"/>
              <w:rPr>
                <w:rFonts w:ascii="Arial" w:cs="Arial" w:eastAsia="Arial" w:hAnsi="Arial"/>
                <w:sz w:val="12"/>
                <w:szCs w:val="12"/>
                <w:color w:val="auto"/>
              </w:rPr>
            </w:pPr>
            <w:hyperlink w:anchor="page72">
              <w:r>
                <w:rPr>
                  <w:rFonts w:ascii="Arial" w:cs="Arial" w:eastAsia="Arial" w:hAnsi="Arial"/>
                  <w:sz w:val="12"/>
                  <w:szCs w:val="12"/>
                  <w:color w:val="auto"/>
                </w:rPr>
                <w:t>32.2</w:t>
              </w:r>
            </w:hyperlink>
          </w:p>
        </w:tc>
        <w:tc>
          <w:tcPr>
            <w:tcW w:w="56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2"/>
                <w:szCs w:val="12"/>
                <w:color w:val="auto"/>
              </w:rPr>
              <w:t>**</w:t>
            </w:r>
          </w:p>
        </w:tc>
        <w:tc>
          <w:tcPr>
            <w:tcW w:w="10060" w:type="dxa"/>
            <w:vAlign w:val="bottom"/>
          </w:tcPr>
          <w:p>
            <w:pPr>
              <w:ind w:left="120"/>
              <w:spacing w:after="0"/>
              <w:rPr>
                <w:rFonts w:ascii="Arial" w:cs="Arial" w:eastAsia="Arial" w:hAnsi="Arial"/>
                <w:sz w:val="12"/>
                <w:szCs w:val="12"/>
                <w:color w:val="auto"/>
              </w:rPr>
            </w:pPr>
            <w:hyperlink w:anchor="page72">
              <w:r>
                <w:rPr>
                  <w:rFonts w:ascii="Arial" w:cs="Arial" w:eastAsia="Arial" w:hAnsi="Arial"/>
                  <w:sz w:val="12"/>
                  <w:szCs w:val="12"/>
                  <w:color w:val="auto"/>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161"/>
        </w:trPr>
        <w:tc>
          <w:tcPr>
            <w:tcW w:w="900" w:type="dxa"/>
            <w:vAlign w:val="bottom"/>
            <w:gridSpan w:val="4"/>
          </w:tcPr>
          <w:p>
            <w:pPr>
              <w:ind w:left="20"/>
              <w:spacing w:after="0"/>
              <w:rPr>
                <w:sz w:val="20"/>
                <w:szCs w:val="20"/>
                <w:color w:val="auto"/>
              </w:rPr>
            </w:pPr>
            <w:r>
              <w:rPr>
                <w:rFonts w:ascii="Arial" w:cs="Arial" w:eastAsia="Arial" w:hAnsi="Arial"/>
                <w:sz w:val="12"/>
                <w:szCs w:val="12"/>
                <w:color w:val="auto"/>
              </w:rPr>
              <w:t>101.INS</w:t>
            </w:r>
          </w:p>
        </w:tc>
        <w:tc>
          <w:tcPr>
            <w:tcW w:w="280" w:type="dxa"/>
            <w:vAlign w:val="bottom"/>
          </w:tcPr>
          <w:p>
            <w:pPr>
              <w:spacing w:after="0"/>
              <w:rPr>
                <w:sz w:val="14"/>
                <w:szCs w:val="14"/>
                <w:color w:val="auto"/>
              </w:rPr>
            </w:pPr>
          </w:p>
        </w:tc>
        <w:tc>
          <w:tcPr>
            <w:tcW w:w="10060" w:type="dxa"/>
            <w:vAlign w:val="bottom"/>
          </w:tcPr>
          <w:p>
            <w:pPr>
              <w:ind w:left="120"/>
              <w:spacing w:after="0"/>
              <w:rPr>
                <w:sz w:val="20"/>
                <w:szCs w:val="20"/>
                <w:color w:val="auto"/>
              </w:rPr>
            </w:pPr>
            <w:r>
              <w:rPr>
                <w:rFonts w:ascii="Arial" w:cs="Arial" w:eastAsia="Arial" w:hAnsi="Arial"/>
                <w:sz w:val="12"/>
                <w:szCs w:val="12"/>
                <w:color w:val="auto"/>
              </w:rPr>
              <w:t>XBRL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161"/>
        </w:trPr>
        <w:tc>
          <w:tcPr>
            <w:tcW w:w="900" w:type="dxa"/>
            <w:vAlign w:val="bottom"/>
            <w:gridSpan w:val="4"/>
          </w:tcPr>
          <w:p>
            <w:pPr>
              <w:ind w:left="20"/>
              <w:spacing w:after="0"/>
              <w:rPr>
                <w:sz w:val="20"/>
                <w:szCs w:val="20"/>
                <w:color w:val="auto"/>
              </w:rPr>
            </w:pPr>
            <w:r>
              <w:rPr>
                <w:rFonts w:ascii="Arial" w:cs="Arial" w:eastAsia="Arial" w:hAnsi="Arial"/>
                <w:sz w:val="12"/>
                <w:szCs w:val="12"/>
                <w:color w:val="auto"/>
              </w:rPr>
              <w:t>101.SCH</w:t>
            </w:r>
          </w:p>
        </w:tc>
        <w:tc>
          <w:tcPr>
            <w:tcW w:w="280" w:type="dxa"/>
            <w:vAlign w:val="bottom"/>
          </w:tcPr>
          <w:p>
            <w:pPr>
              <w:spacing w:after="0"/>
              <w:rPr>
                <w:sz w:val="14"/>
                <w:szCs w:val="14"/>
                <w:color w:val="auto"/>
              </w:rPr>
            </w:pPr>
          </w:p>
        </w:tc>
        <w:tc>
          <w:tcPr>
            <w:tcW w:w="10060" w:type="dxa"/>
            <w:vAlign w:val="bottom"/>
          </w:tcPr>
          <w:p>
            <w:pPr>
              <w:ind w:left="120"/>
              <w:spacing w:after="0"/>
              <w:rPr>
                <w:sz w:val="20"/>
                <w:szCs w:val="20"/>
                <w:color w:val="auto"/>
              </w:rPr>
            </w:pPr>
            <w:r>
              <w:rPr>
                <w:rFonts w:ascii="Arial" w:cs="Arial" w:eastAsia="Arial" w:hAnsi="Arial"/>
                <w:sz w:val="12"/>
                <w:szCs w:val="12"/>
                <w:color w:val="auto"/>
              </w:rPr>
              <w:t>XBRL Taxonomy Extension Schema Document</w:t>
            </w:r>
          </w:p>
        </w:tc>
        <w:tc>
          <w:tcPr>
            <w:tcW w:w="0" w:type="dxa"/>
            <w:vAlign w:val="bottom"/>
          </w:tcPr>
          <w:p>
            <w:pPr>
              <w:spacing w:after="0"/>
              <w:rPr>
                <w:sz w:val="1"/>
                <w:szCs w:val="1"/>
                <w:color w:val="auto"/>
              </w:rPr>
            </w:pPr>
          </w:p>
        </w:tc>
      </w:tr>
      <w:tr>
        <w:trPr>
          <w:trHeight w:val="161"/>
        </w:trPr>
        <w:tc>
          <w:tcPr>
            <w:tcW w:w="900" w:type="dxa"/>
            <w:vAlign w:val="bottom"/>
            <w:gridSpan w:val="4"/>
          </w:tcPr>
          <w:p>
            <w:pPr>
              <w:ind w:left="20"/>
              <w:spacing w:after="0"/>
              <w:rPr>
                <w:sz w:val="20"/>
                <w:szCs w:val="20"/>
                <w:color w:val="auto"/>
              </w:rPr>
            </w:pPr>
            <w:r>
              <w:rPr>
                <w:rFonts w:ascii="Arial" w:cs="Arial" w:eastAsia="Arial" w:hAnsi="Arial"/>
                <w:sz w:val="12"/>
                <w:szCs w:val="12"/>
                <w:color w:val="auto"/>
              </w:rPr>
              <w:t>101.CAL</w:t>
            </w:r>
          </w:p>
        </w:tc>
        <w:tc>
          <w:tcPr>
            <w:tcW w:w="280" w:type="dxa"/>
            <w:vAlign w:val="bottom"/>
          </w:tcPr>
          <w:p>
            <w:pPr>
              <w:spacing w:after="0"/>
              <w:rPr>
                <w:sz w:val="14"/>
                <w:szCs w:val="14"/>
                <w:color w:val="auto"/>
              </w:rPr>
            </w:pPr>
          </w:p>
        </w:tc>
        <w:tc>
          <w:tcPr>
            <w:tcW w:w="10060" w:type="dxa"/>
            <w:vAlign w:val="bottom"/>
          </w:tcPr>
          <w:p>
            <w:pPr>
              <w:ind w:left="120"/>
              <w:spacing w:after="0"/>
              <w:rPr>
                <w:sz w:val="20"/>
                <w:szCs w:val="20"/>
                <w:color w:val="auto"/>
              </w:rPr>
            </w:pPr>
            <w:r>
              <w:rPr>
                <w:rFonts w:ascii="Arial" w:cs="Arial" w:eastAsia="Arial" w:hAnsi="Arial"/>
                <w:sz w:val="12"/>
                <w:szCs w:val="12"/>
                <w:color w:val="auto"/>
              </w:rPr>
              <w:t>XBRL Taxonomy Extension Calculation Linkbase Document</w:t>
            </w:r>
          </w:p>
        </w:tc>
        <w:tc>
          <w:tcPr>
            <w:tcW w:w="0" w:type="dxa"/>
            <w:vAlign w:val="bottom"/>
          </w:tcPr>
          <w:p>
            <w:pPr>
              <w:spacing w:after="0"/>
              <w:rPr>
                <w:sz w:val="1"/>
                <w:szCs w:val="1"/>
                <w:color w:val="auto"/>
              </w:rPr>
            </w:pPr>
          </w:p>
        </w:tc>
      </w:tr>
      <w:tr>
        <w:trPr>
          <w:trHeight w:val="161"/>
        </w:trPr>
        <w:tc>
          <w:tcPr>
            <w:tcW w:w="900" w:type="dxa"/>
            <w:vAlign w:val="bottom"/>
            <w:gridSpan w:val="4"/>
          </w:tcPr>
          <w:p>
            <w:pPr>
              <w:ind w:left="20"/>
              <w:spacing w:after="0"/>
              <w:rPr>
                <w:sz w:val="20"/>
                <w:szCs w:val="20"/>
                <w:color w:val="auto"/>
              </w:rPr>
            </w:pPr>
            <w:r>
              <w:rPr>
                <w:rFonts w:ascii="Arial" w:cs="Arial" w:eastAsia="Arial" w:hAnsi="Arial"/>
                <w:sz w:val="12"/>
                <w:szCs w:val="12"/>
                <w:color w:val="auto"/>
              </w:rPr>
              <w:t>101.DEF</w:t>
            </w:r>
          </w:p>
        </w:tc>
        <w:tc>
          <w:tcPr>
            <w:tcW w:w="280" w:type="dxa"/>
            <w:vAlign w:val="bottom"/>
          </w:tcPr>
          <w:p>
            <w:pPr>
              <w:spacing w:after="0"/>
              <w:rPr>
                <w:sz w:val="14"/>
                <w:szCs w:val="14"/>
                <w:color w:val="auto"/>
              </w:rPr>
            </w:pPr>
          </w:p>
        </w:tc>
        <w:tc>
          <w:tcPr>
            <w:tcW w:w="10060" w:type="dxa"/>
            <w:vAlign w:val="bottom"/>
          </w:tcPr>
          <w:p>
            <w:pPr>
              <w:ind w:left="120"/>
              <w:spacing w:after="0"/>
              <w:rPr>
                <w:sz w:val="20"/>
                <w:szCs w:val="20"/>
                <w:color w:val="auto"/>
              </w:rPr>
            </w:pPr>
            <w:r>
              <w:rPr>
                <w:rFonts w:ascii="Arial" w:cs="Arial" w:eastAsia="Arial" w:hAnsi="Arial"/>
                <w:sz w:val="12"/>
                <w:szCs w:val="12"/>
                <w:color w:val="auto"/>
              </w:rPr>
              <w:t>XBRL Taxonomy Extension Definition Linkbase Document</w:t>
            </w:r>
          </w:p>
        </w:tc>
        <w:tc>
          <w:tcPr>
            <w:tcW w:w="0" w:type="dxa"/>
            <w:vAlign w:val="bottom"/>
          </w:tcPr>
          <w:p>
            <w:pPr>
              <w:spacing w:after="0"/>
              <w:rPr>
                <w:sz w:val="1"/>
                <w:szCs w:val="1"/>
                <w:color w:val="auto"/>
              </w:rPr>
            </w:pPr>
          </w:p>
        </w:tc>
      </w:tr>
      <w:tr>
        <w:trPr>
          <w:trHeight w:val="161"/>
        </w:trPr>
        <w:tc>
          <w:tcPr>
            <w:tcW w:w="900" w:type="dxa"/>
            <w:vAlign w:val="bottom"/>
            <w:gridSpan w:val="4"/>
          </w:tcPr>
          <w:p>
            <w:pPr>
              <w:ind w:left="20"/>
              <w:spacing w:after="0"/>
              <w:rPr>
                <w:sz w:val="20"/>
                <w:szCs w:val="20"/>
                <w:color w:val="auto"/>
              </w:rPr>
            </w:pPr>
            <w:r>
              <w:rPr>
                <w:rFonts w:ascii="Arial" w:cs="Arial" w:eastAsia="Arial" w:hAnsi="Arial"/>
                <w:sz w:val="12"/>
                <w:szCs w:val="12"/>
                <w:color w:val="auto"/>
              </w:rPr>
              <w:t>101.LAB</w:t>
            </w:r>
          </w:p>
        </w:tc>
        <w:tc>
          <w:tcPr>
            <w:tcW w:w="280" w:type="dxa"/>
            <w:vAlign w:val="bottom"/>
          </w:tcPr>
          <w:p>
            <w:pPr>
              <w:spacing w:after="0"/>
              <w:rPr>
                <w:sz w:val="14"/>
                <w:szCs w:val="14"/>
                <w:color w:val="auto"/>
              </w:rPr>
            </w:pPr>
          </w:p>
        </w:tc>
        <w:tc>
          <w:tcPr>
            <w:tcW w:w="10060" w:type="dxa"/>
            <w:vAlign w:val="bottom"/>
          </w:tcPr>
          <w:p>
            <w:pPr>
              <w:ind w:left="120"/>
              <w:spacing w:after="0"/>
              <w:rPr>
                <w:sz w:val="20"/>
                <w:szCs w:val="20"/>
                <w:color w:val="auto"/>
              </w:rPr>
            </w:pPr>
            <w:r>
              <w:rPr>
                <w:rFonts w:ascii="Arial" w:cs="Arial" w:eastAsia="Arial" w:hAnsi="Arial"/>
                <w:sz w:val="12"/>
                <w:szCs w:val="12"/>
                <w:color w:val="auto"/>
              </w:rPr>
              <w:t>XBRL Taxonomy Extension Label Linkbase Document</w:t>
            </w:r>
          </w:p>
        </w:tc>
        <w:tc>
          <w:tcPr>
            <w:tcW w:w="0" w:type="dxa"/>
            <w:vAlign w:val="bottom"/>
          </w:tcPr>
          <w:p>
            <w:pPr>
              <w:spacing w:after="0"/>
              <w:rPr>
                <w:sz w:val="1"/>
                <w:szCs w:val="1"/>
                <w:color w:val="auto"/>
              </w:rPr>
            </w:pPr>
          </w:p>
        </w:tc>
      </w:tr>
      <w:tr>
        <w:trPr>
          <w:trHeight w:val="161"/>
        </w:trPr>
        <w:tc>
          <w:tcPr>
            <w:tcW w:w="900" w:type="dxa"/>
            <w:vAlign w:val="bottom"/>
            <w:gridSpan w:val="4"/>
          </w:tcPr>
          <w:p>
            <w:pPr>
              <w:ind w:left="20"/>
              <w:spacing w:after="0"/>
              <w:rPr>
                <w:sz w:val="20"/>
                <w:szCs w:val="20"/>
                <w:color w:val="auto"/>
              </w:rPr>
            </w:pPr>
            <w:r>
              <w:rPr>
                <w:rFonts w:ascii="Arial" w:cs="Arial" w:eastAsia="Arial" w:hAnsi="Arial"/>
                <w:sz w:val="12"/>
                <w:szCs w:val="12"/>
                <w:color w:val="auto"/>
              </w:rPr>
              <w:t>101.PRE</w:t>
            </w:r>
          </w:p>
        </w:tc>
        <w:tc>
          <w:tcPr>
            <w:tcW w:w="280" w:type="dxa"/>
            <w:vAlign w:val="bottom"/>
          </w:tcPr>
          <w:p>
            <w:pPr>
              <w:spacing w:after="0"/>
              <w:rPr>
                <w:sz w:val="14"/>
                <w:szCs w:val="14"/>
                <w:color w:val="auto"/>
              </w:rPr>
            </w:pPr>
          </w:p>
        </w:tc>
        <w:tc>
          <w:tcPr>
            <w:tcW w:w="10060" w:type="dxa"/>
            <w:vAlign w:val="bottom"/>
          </w:tcPr>
          <w:p>
            <w:pPr>
              <w:ind w:left="120"/>
              <w:spacing w:after="0"/>
              <w:rPr>
                <w:sz w:val="20"/>
                <w:szCs w:val="20"/>
                <w:color w:val="auto"/>
              </w:rPr>
            </w:pPr>
            <w:r>
              <w:rPr>
                <w:rFonts w:ascii="Arial" w:cs="Arial" w:eastAsia="Arial" w:hAnsi="Arial"/>
                <w:sz w:val="12"/>
                <w:szCs w:val="12"/>
                <w:color w:val="auto"/>
              </w:rPr>
              <w:t>XBRL Taxonomy Extension Presentation Linkbase Document</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160"/>
        <w:spacing w:after="0" w:line="241" w:lineRule="auto"/>
        <w:rPr>
          <w:sz w:val="20"/>
          <w:szCs w:val="20"/>
          <w:color w:val="auto"/>
        </w:rPr>
      </w:pPr>
      <w:r>
        <w:rPr>
          <w:rFonts w:ascii="Arial" w:cs="Arial" w:eastAsia="Arial" w:hAnsi="Arial"/>
          <w:sz w:val="12"/>
          <w:szCs w:val="12"/>
          <w:color w:val="auto"/>
        </w:rPr>
        <w:t>Certificate of Amendment to Amended and Restated Certificate of Incorporation of WillScot Mobile Mini Holdings Corp. (incorporated by reference to Exhibit 3.1 of the Company's Current Report on Form 8-K, filed June 16, 2021).</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*Filed herewith</w:t>
      </w:r>
    </w:p>
    <w:p>
      <w:pPr>
        <w:ind w:left="240"/>
        <w:spacing w:after="0"/>
        <w:rPr>
          <w:sz w:val="20"/>
          <w:szCs w:val="20"/>
          <w:color w:val="auto"/>
        </w:rPr>
      </w:pPr>
      <w:r>
        <w:rPr>
          <w:rFonts w:ascii="Arial" w:cs="Arial" w:eastAsia="Arial" w:hAnsi="Arial"/>
          <w:sz w:val="11"/>
          <w:szCs w:val="11"/>
          <w:color w:val="auto"/>
        </w:rPr>
        <w:t>**Furnished (and not filed) herewith pursuant to Item 601(b)(32)(ii) of Regulation S-K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608965</wp:posOffset>
            </wp:positionV>
            <wp:extent cx="719264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40"/>
          </w:cols>
          <w:pgMar w:left="300" w:top="824" w:right="359" w:bottom="1440" w:gutter="0" w:footer="0" w:header="0"/>
        </w:sectPr>
      </w:pPr>
    </w:p>
    <w:bookmarkStart w:id="67" w:name="page68"/>
    <w:bookmarkEnd w:id="67"/>
    <w:p>
      <w:pPr>
        <w:ind w:left="4780"/>
        <w:spacing w:after="0"/>
        <w:rPr>
          <w:sz w:val="20"/>
          <w:szCs w:val="20"/>
          <w:color w:val="auto"/>
        </w:rPr>
      </w:pPr>
      <w:r>
        <w:rPr>
          <w:rFonts w:ascii="Arial" w:cs="Arial" w:eastAsia="Arial" w:hAnsi="Arial"/>
          <w:sz w:val="17"/>
          <w:szCs w:val="17"/>
          <w:color w:val="1D2758"/>
        </w:rPr>
        <w:t>Signature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80" w:lineRule="exact"/>
        <w:rPr>
          <w:sz w:val="20"/>
          <w:szCs w:val="20"/>
          <w:color w:val="auto"/>
        </w:rPr>
      </w:pPr>
    </w:p>
    <w:tbl>
      <w:tblPr>
        <w:tblLayout w:type="fixed"/>
        <w:tblInd w:w="500" w:type="dxa"/>
        <w:tblCellMar>
          <w:top w:w="0" w:type="dxa"/>
          <w:left w:w="0" w:type="dxa"/>
          <w:bottom w:w="0" w:type="dxa"/>
          <w:right w:w="0" w:type="dxa"/>
        </w:tblCellMar>
      </w:tblPr>
      <w:tr>
        <w:trPr>
          <w:trHeight w:val="160"/>
        </w:trPr>
        <w:tc>
          <w:tcPr>
            <w:tcW w:w="620" w:type="dxa"/>
            <w:vAlign w:val="bottom"/>
          </w:tcPr>
          <w:p>
            <w:pPr>
              <w:spacing w:after="0"/>
              <w:rPr>
                <w:sz w:val="13"/>
                <w:szCs w:val="13"/>
                <w:color w:val="auto"/>
              </w:rPr>
            </w:pPr>
          </w:p>
        </w:tc>
        <w:tc>
          <w:tcPr>
            <w:tcW w:w="9760" w:type="dxa"/>
            <w:vAlign w:val="bottom"/>
            <w:gridSpan w:val="2"/>
          </w:tcPr>
          <w:p>
            <w:pPr>
              <w:ind w:left="5100"/>
              <w:spacing w:after="0"/>
              <w:rPr>
                <w:sz w:val="20"/>
                <w:szCs w:val="20"/>
                <w:color w:val="auto"/>
              </w:rPr>
            </w:pPr>
            <w:r>
              <w:rPr>
                <w:rFonts w:ascii="Arial" w:cs="Arial" w:eastAsia="Arial" w:hAnsi="Arial"/>
                <w:sz w:val="12"/>
                <w:szCs w:val="12"/>
                <w:b w:val="1"/>
                <w:bCs w:val="1"/>
                <w:color w:val="auto"/>
              </w:rPr>
              <w:t>WillScot Mobile Mini Holdings Corp.</w:t>
            </w:r>
          </w:p>
        </w:tc>
      </w:tr>
      <w:tr>
        <w:trPr>
          <w:trHeight w:val="325"/>
        </w:trPr>
        <w:tc>
          <w:tcPr>
            <w:tcW w:w="620" w:type="dxa"/>
            <w:vAlign w:val="bottom"/>
          </w:tcPr>
          <w:p>
            <w:pPr>
              <w:spacing w:after="0"/>
              <w:rPr>
                <w:sz w:val="24"/>
                <w:szCs w:val="24"/>
                <w:color w:val="auto"/>
              </w:rPr>
            </w:pPr>
          </w:p>
        </w:tc>
        <w:tc>
          <w:tcPr>
            <w:tcW w:w="5280" w:type="dxa"/>
            <w:vAlign w:val="bottom"/>
          </w:tcPr>
          <w:p>
            <w:pPr>
              <w:ind w:left="5100"/>
              <w:spacing w:after="0"/>
              <w:rPr>
                <w:sz w:val="20"/>
                <w:szCs w:val="20"/>
                <w:color w:val="auto"/>
              </w:rPr>
            </w:pPr>
            <w:r>
              <w:rPr>
                <w:rFonts w:ascii="Arial" w:cs="Arial" w:eastAsia="Arial" w:hAnsi="Arial"/>
                <w:sz w:val="12"/>
                <w:szCs w:val="12"/>
                <w:color w:val="auto"/>
                <w:w w:val="91"/>
              </w:rPr>
              <w:t>By:</w:t>
            </w:r>
          </w:p>
        </w:tc>
        <w:tc>
          <w:tcPr>
            <w:tcW w:w="4480" w:type="dxa"/>
            <w:vAlign w:val="bottom"/>
            <w:tcBorders>
              <w:bottom w:val="single" w:sz="8" w:color="auto"/>
            </w:tcBorders>
          </w:tcPr>
          <w:p>
            <w:pPr>
              <w:ind w:left="500"/>
              <w:spacing w:after="0"/>
              <w:rPr>
                <w:sz w:val="20"/>
                <w:szCs w:val="20"/>
                <w:color w:val="auto"/>
              </w:rPr>
            </w:pPr>
            <w:r>
              <w:rPr>
                <w:rFonts w:ascii="Arial" w:cs="Arial" w:eastAsia="Arial" w:hAnsi="Arial"/>
                <w:sz w:val="12"/>
                <w:szCs w:val="12"/>
                <w:color w:val="auto"/>
              </w:rPr>
              <w:t>/s/ CHRISTOPHER J. MINER</w:t>
            </w:r>
          </w:p>
        </w:tc>
      </w:tr>
      <w:tr>
        <w:trPr>
          <w:trHeight w:val="149"/>
        </w:trPr>
        <w:tc>
          <w:tcPr>
            <w:tcW w:w="620" w:type="dxa"/>
            <w:vAlign w:val="bottom"/>
          </w:tcPr>
          <w:p>
            <w:pPr>
              <w:spacing w:after="0"/>
              <w:rPr>
                <w:sz w:val="20"/>
                <w:szCs w:val="20"/>
                <w:color w:val="auto"/>
              </w:rPr>
            </w:pPr>
            <w:r>
              <w:rPr>
                <w:rFonts w:ascii="Arial" w:cs="Arial" w:eastAsia="Arial" w:hAnsi="Arial"/>
                <w:sz w:val="12"/>
                <w:szCs w:val="12"/>
                <w:color w:val="auto"/>
              </w:rPr>
              <w:t>Dated:</w:t>
            </w:r>
          </w:p>
        </w:tc>
        <w:tc>
          <w:tcPr>
            <w:tcW w:w="5280" w:type="dxa"/>
            <w:vAlign w:val="bottom"/>
          </w:tcPr>
          <w:p>
            <w:pPr>
              <w:ind w:left="260"/>
              <w:spacing w:after="0"/>
              <w:rPr>
                <w:sz w:val="20"/>
                <w:szCs w:val="20"/>
                <w:color w:val="auto"/>
              </w:rPr>
            </w:pPr>
            <w:r>
              <w:rPr>
                <w:rFonts w:ascii="Arial" w:cs="Arial" w:eastAsia="Arial" w:hAnsi="Arial"/>
                <w:sz w:val="12"/>
                <w:szCs w:val="12"/>
                <w:color w:val="auto"/>
              </w:rPr>
              <w:t>August 6, 2021</w:t>
            </w:r>
          </w:p>
        </w:tc>
        <w:tc>
          <w:tcPr>
            <w:tcW w:w="4480" w:type="dxa"/>
            <w:vAlign w:val="bottom"/>
          </w:tcPr>
          <w:p>
            <w:pPr>
              <w:ind w:left="500"/>
              <w:spacing w:after="0"/>
              <w:rPr>
                <w:sz w:val="20"/>
                <w:szCs w:val="20"/>
                <w:color w:val="auto"/>
              </w:rPr>
            </w:pPr>
            <w:r>
              <w:rPr>
                <w:rFonts w:ascii="Arial" w:cs="Arial" w:eastAsia="Arial" w:hAnsi="Arial"/>
                <w:sz w:val="12"/>
                <w:szCs w:val="12"/>
                <w:color w:val="auto"/>
              </w:rPr>
              <w:t>Christopher J. Miner</w:t>
            </w:r>
          </w:p>
        </w:tc>
      </w:tr>
      <w:tr>
        <w:trPr>
          <w:trHeight w:val="161"/>
        </w:trPr>
        <w:tc>
          <w:tcPr>
            <w:tcW w:w="6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Arial" w:cs="Arial" w:eastAsia="Arial" w:hAnsi="Arial"/>
                <w:sz w:val="12"/>
                <w:szCs w:val="12"/>
                <w:i w:val="1"/>
                <w:iCs w:val="1"/>
                <w:color w:val="auto"/>
              </w:rPr>
              <w:t>Executive Vice President &amp; Chief Legal Officer</w:t>
            </w:r>
          </w:p>
        </w:tc>
      </w:tr>
    </w:tbl>
    <w:p>
      <w:pPr>
        <w:sectPr>
          <w:pgSz w:w="11900" w:h="16838" w:orient="portrait"/>
          <w:cols w:equalWidth="0" w:num="1">
            <w:col w:w="10880"/>
          </w:cols>
          <w:pgMar w:left="780" w:top="869"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2"/>
          <w:szCs w:val="12"/>
          <w:b w:val="1"/>
          <w:bCs w:val="1"/>
          <w:color w:val="auto"/>
        </w:rPr>
        <w:t>Exhibit 31.1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color w:val="auto"/>
        </w:rPr>
        <w:t>I, Bradley L. Soultz, certify that:</w:t>
      </w:r>
    </w:p>
    <w:p>
      <w:pPr>
        <w:spacing w:after="0" w:line="215" w:lineRule="exact"/>
        <w:rPr>
          <w:sz w:val="20"/>
          <w:szCs w:val="20"/>
          <w:color w:val="auto"/>
        </w:rPr>
      </w:pPr>
    </w:p>
    <w:p>
      <w:pPr>
        <w:ind w:left="140" w:hanging="139"/>
        <w:spacing w:after="0"/>
        <w:tabs>
          <w:tab w:leader="none" w:pos="1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WillScot Mobile Mini Corp.;</w:t>
      </w:r>
    </w:p>
    <w:p>
      <w:pPr>
        <w:spacing w:after="0" w:line="63" w:lineRule="exact"/>
        <w:rPr>
          <w:rFonts w:ascii="Arial" w:cs="Arial" w:eastAsia="Arial" w:hAnsi="Arial"/>
          <w:sz w:val="12"/>
          <w:szCs w:val="12"/>
          <w:color w:val="auto"/>
        </w:rPr>
      </w:pPr>
    </w:p>
    <w:p>
      <w:pPr>
        <w:ind w:firstLine="1"/>
        <w:spacing w:after="0" w:line="350" w:lineRule="auto"/>
        <w:tabs>
          <w:tab w:leader="none" w:pos="138" w:val="left"/>
        </w:tabs>
        <w:numPr>
          <w:ilvl w:val="0"/>
          <w:numId w:val="2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1"/>
        <w:spacing w:after="0" w:line="350" w:lineRule="auto"/>
        <w:tabs>
          <w:tab w:leader="none" w:pos="137" w:val="left"/>
        </w:tabs>
        <w:numPr>
          <w:ilvl w:val="0"/>
          <w:numId w:val="2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firstLine="1"/>
        <w:spacing w:after="0" w:line="350" w:lineRule="auto"/>
        <w:tabs>
          <w:tab w:leader="none" w:pos="146"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480" w:firstLine="5"/>
        <w:spacing w:after="0" w:line="350" w:lineRule="auto"/>
        <w:tabs>
          <w:tab w:leader="none" w:pos="639"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480" w:firstLine="5"/>
        <w:spacing w:after="0" w:line="350" w:lineRule="auto"/>
        <w:tabs>
          <w:tab w:leader="none" w:pos="630"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480" w:firstLine="5"/>
        <w:spacing w:after="0" w:line="350" w:lineRule="auto"/>
        <w:tabs>
          <w:tab w:leader="none" w:pos="618" w:val="left"/>
        </w:tabs>
        <w:numPr>
          <w:ilvl w:val="1"/>
          <w:numId w:val="2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80" w:firstLine="5"/>
        <w:spacing w:after="0" w:line="350" w:lineRule="auto"/>
        <w:tabs>
          <w:tab w:leader="none" w:pos="627" w:val="left"/>
        </w:tabs>
        <w:numPr>
          <w:ilvl w:val="1"/>
          <w:numId w:val="2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1"/>
        <w:spacing w:after="0" w:line="350" w:lineRule="auto"/>
        <w:tabs>
          <w:tab w:leader="none" w:pos="133"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480" w:firstLine="5"/>
        <w:spacing w:after="0" w:line="350" w:lineRule="auto"/>
        <w:tabs>
          <w:tab w:leader="none" w:pos="624" w:val="left"/>
        </w:tabs>
        <w:numPr>
          <w:ilvl w:val="1"/>
          <w:numId w:val="2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20" w:hanging="135"/>
        <w:spacing w:after="0"/>
        <w:tabs>
          <w:tab w:leader="none" w:pos="620" w:val="left"/>
        </w:tabs>
        <w:numPr>
          <w:ilvl w:val="1"/>
          <w:numId w:val="2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Date: August 6, 2021</w:t>
      </w:r>
    </w:p>
    <w:p>
      <w:pPr>
        <w:spacing w:after="0" w:line="31" w:lineRule="exact"/>
        <w:rPr>
          <w:sz w:val="20"/>
          <w:szCs w:val="20"/>
          <w:color w:val="auto"/>
        </w:rPr>
      </w:pPr>
    </w:p>
    <w:p>
      <w:pPr>
        <w:ind w:left="6780"/>
        <w:spacing w:after="0"/>
        <w:rPr>
          <w:sz w:val="20"/>
          <w:szCs w:val="20"/>
          <w:color w:val="auto"/>
        </w:rPr>
      </w:pPr>
      <w:r>
        <w:rPr>
          <w:rFonts w:ascii="Arial" w:cs="Arial" w:eastAsia="Arial" w:hAnsi="Arial"/>
          <w:sz w:val="13"/>
          <w:szCs w:val="13"/>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8255</wp:posOffset>
            </wp:positionV>
            <wp:extent cx="284988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2849880" cy="6350"/>
                    </a:xfrm>
                    <a:prstGeom prst="rect">
                      <a:avLst/>
                    </a:prstGeom>
                    <a:noFill/>
                  </pic:spPr>
                </pic:pic>
              </a:graphicData>
            </a:graphic>
          </wp:anchor>
        </w:drawing>
      </w:r>
    </w:p>
    <w:p>
      <w:pPr>
        <w:spacing w:after="0" w:line="14" w:lineRule="exact"/>
        <w:rPr>
          <w:sz w:val="20"/>
          <w:szCs w:val="20"/>
          <w:color w:val="auto"/>
        </w:rPr>
      </w:pPr>
    </w:p>
    <w:p>
      <w:pPr>
        <w:ind w:left="6780"/>
        <w:spacing w:after="0"/>
        <w:rPr>
          <w:sz w:val="20"/>
          <w:szCs w:val="20"/>
          <w:color w:val="auto"/>
        </w:rPr>
      </w:pPr>
      <w:r>
        <w:rPr>
          <w:rFonts w:ascii="Arial" w:cs="Arial" w:eastAsia="Arial" w:hAnsi="Arial"/>
          <w:sz w:val="12"/>
          <w:szCs w:val="12"/>
          <w:color w:val="auto"/>
        </w:rPr>
        <w:t>Bradley L. Soultz</w:t>
      </w:r>
    </w:p>
    <w:p>
      <w:pPr>
        <w:spacing w:after="0" w:line="11" w:lineRule="exact"/>
        <w:rPr>
          <w:sz w:val="20"/>
          <w:szCs w:val="20"/>
          <w:color w:val="auto"/>
        </w:rPr>
      </w:pPr>
    </w:p>
    <w:p>
      <w:pPr>
        <w:ind w:left="6780"/>
        <w:spacing w:after="0"/>
        <w:rPr>
          <w:sz w:val="20"/>
          <w:szCs w:val="20"/>
          <w:color w:val="auto"/>
        </w:rPr>
      </w:pPr>
      <w:r>
        <w:rPr>
          <w:rFonts w:ascii="Arial" w:cs="Arial" w:eastAsia="Arial" w:hAnsi="Arial"/>
          <w:sz w:val="12"/>
          <w:szCs w:val="12"/>
          <w:i w:val="1"/>
          <w:iCs w:val="1"/>
          <w:color w:val="auto"/>
        </w:rPr>
        <w:t>President and Chief Executive Officer and Director (Principal Executive Officer)</w:t>
      </w:r>
    </w:p>
    <w:p>
      <w:pPr>
        <w:sectPr>
          <w:pgSz w:w="11900" w:h="16838" w:orient="portrait"/>
          <w:cols w:equalWidth="0" w:num="1">
            <w:col w:w="11280"/>
          </w:cols>
          <w:pgMar w:left="300" w:top="127" w:right="319" w:bottom="1440" w:gutter="0" w:footer="0" w:header="0"/>
        </w:sectPr>
      </w:pPr>
    </w:p>
    <w:bookmarkStart w:id="69" w:name="page70"/>
    <w:bookmarkEnd w:id="69"/>
    <w:p>
      <w:pPr>
        <w:jc w:val="right"/>
        <w:spacing w:after="0"/>
        <w:rPr>
          <w:sz w:val="20"/>
          <w:szCs w:val="20"/>
          <w:color w:val="auto"/>
        </w:rPr>
      </w:pPr>
      <w:r>
        <w:rPr>
          <w:rFonts w:ascii="Arial" w:cs="Arial" w:eastAsia="Arial" w:hAnsi="Arial"/>
          <w:sz w:val="12"/>
          <w:szCs w:val="12"/>
          <w:b w:val="1"/>
          <w:bCs w:val="1"/>
          <w:color w:val="auto"/>
        </w:rPr>
        <w:t>Exhibit 31.2</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color w:val="auto"/>
        </w:rPr>
        <w:t>I, Timothy D. Boswell, certify that:</w:t>
      </w:r>
    </w:p>
    <w:p>
      <w:pPr>
        <w:spacing w:after="0" w:line="215" w:lineRule="exact"/>
        <w:rPr>
          <w:sz w:val="20"/>
          <w:szCs w:val="20"/>
          <w:color w:val="auto"/>
        </w:rPr>
      </w:pPr>
    </w:p>
    <w:p>
      <w:pPr>
        <w:ind w:left="140" w:hanging="139"/>
        <w:spacing w:after="0"/>
        <w:tabs>
          <w:tab w:leader="none" w:pos="1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WillScot Mobile Mini Corp.;</w:t>
      </w:r>
    </w:p>
    <w:p>
      <w:pPr>
        <w:spacing w:after="0" w:line="63" w:lineRule="exact"/>
        <w:rPr>
          <w:rFonts w:ascii="Arial" w:cs="Arial" w:eastAsia="Arial" w:hAnsi="Arial"/>
          <w:sz w:val="12"/>
          <w:szCs w:val="12"/>
          <w:color w:val="auto"/>
        </w:rPr>
      </w:pPr>
    </w:p>
    <w:p>
      <w:pPr>
        <w:ind w:firstLine="1"/>
        <w:spacing w:after="0" w:line="350" w:lineRule="auto"/>
        <w:tabs>
          <w:tab w:leader="none" w:pos="138" w:val="left"/>
        </w:tabs>
        <w:numPr>
          <w:ilvl w:val="0"/>
          <w:numId w:val="2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1"/>
        <w:spacing w:after="0" w:line="350" w:lineRule="auto"/>
        <w:tabs>
          <w:tab w:leader="none" w:pos="137" w:val="left"/>
        </w:tabs>
        <w:numPr>
          <w:ilvl w:val="0"/>
          <w:numId w:val="2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firstLine="1"/>
        <w:spacing w:after="0" w:line="350" w:lineRule="auto"/>
        <w:tabs>
          <w:tab w:leader="none" w:pos="146"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480" w:firstLine="5"/>
        <w:spacing w:after="0" w:line="350" w:lineRule="auto"/>
        <w:tabs>
          <w:tab w:leader="none" w:pos="639" w:val="left"/>
        </w:tabs>
        <w:numPr>
          <w:ilvl w:val="1"/>
          <w:numId w:val="2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480" w:firstLine="5"/>
        <w:spacing w:after="0" w:line="350" w:lineRule="auto"/>
        <w:tabs>
          <w:tab w:leader="none" w:pos="630" w:val="left"/>
        </w:tabs>
        <w:numPr>
          <w:ilvl w:val="1"/>
          <w:numId w:val="2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480" w:firstLine="5"/>
        <w:spacing w:after="0" w:line="350" w:lineRule="auto"/>
        <w:tabs>
          <w:tab w:leader="none" w:pos="618" w:val="left"/>
        </w:tabs>
        <w:numPr>
          <w:ilvl w:val="1"/>
          <w:numId w:val="2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80" w:firstLine="5"/>
        <w:spacing w:after="0" w:line="350" w:lineRule="auto"/>
        <w:tabs>
          <w:tab w:leader="none" w:pos="627" w:val="left"/>
        </w:tabs>
        <w:numPr>
          <w:ilvl w:val="1"/>
          <w:numId w:val="2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1"/>
        <w:spacing w:after="0" w:line="350" w:lineRule="auto"/>
        <w:tabs>
          <w:tab w:leader="none" w:pos="133"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480" w:firstLine="5"/>
        <w:spacing w:after="0" w:line="350" w:lineRule="auto"/>
        <w:tabs>
          <w:tab w:leader="none" w:pos="624" w:val="left"/>
        </w:tabs>
        <w:numPr>
          <w:ilvl w:val="1"/>
          <w:numId w:val="2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20" w:hanging="135"/>
        <w:spacing w:after="0"/>
        <w:tabs>
          <w:tab w:leader="none" w:pos="620" w:val="left"/>
        </w:tabs>
        <w:numPr>
          <w:ilvl w:val="1"/>
          <w:numId w:val="2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Date: August 6, 2021</w:t>
      </w:r>
    </w:p>
    <w:p>
      <w:pPr>
        <w:spacing w:after="0" w:line="33" w:lineRule="exact"/>
        <w:rPr>
          <w:sz w:val="20"/>
          <w:szCs w:val="20"/>
          <w:color w:val="auto"/>
        </w:rPr>
      </w:pPr>
    </w:p>
    <w:p>
      <w:pPr>
        <w:ind w:left="6780"/>
        <w:spacing w:after="0"/>
        <w:rPr>
          <w:sz w:val="20"/>
          <w:szCs w:val="20"/>
          <w:color w:val="auto"/>
        </w:rPr>
      </w:pPr>
      <w:r>
        <w:rPr>
          <w:rFonts w:ascii="Arial" w:cs="Arial" w:eastAsia="Arial" w:hAnsi="Arial"/>
          <w:sz w:val="12"/>
          <w:szCs w:val="12"/>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7620</wp:posOffset>
            </wp:positionV>
            <wp:extent cx="284988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2849880" cy="6350"/>
                    </a:xfrm>
                    <a:prstGeom prst="rect">
                      <a:avLst/>
                    </a:prstGeom>
                    <a:noFill/>
                  </pic:spPr>
                </pic:pic>
              </a:graphicData>
            </a:graphic>
          </wp:anchor>
        </w:drawing>
      </w:r>
    </w:p>
    <w:p>
      <w:pPr>
        <w:spacing w:after="0" w:line="13" w:lineRule="exact"/>
        <w:rPr>
          <w:sz w:val="20"/>
          <w:szCs w:val="20"/>
          <w:color w:val="auto"/>
        </w:rPr>
      </w:pPr>
    </w:p>
    <w:p>
      <w:pPr>
        <w:ind w:left="6780"/>
        <w:spacing w:after="0"/>
        <w:rPr>
          <w:sz w:val="20"/>
          <w:szCs w:val="20"/>
          <w:color w:val="auto"/>
        </w:rPr>
      </w:pPr>
      <w:r>
        <w:rPr>
          <w:rFonts w:ascii="Arial" w:cs="Arial" w:eastAsia="Arial" w:hAnsi="Arial"/>
          <w:sz w:val="12"/>
          <w:szCs w:val="12"/>
          <w:color w:val="auto"/>
        </w:rPr>
        <w:t>Timothy D. Boswell</w:t>
      </w:r>
    </w:p>
    <w:p>
      <w:pPr>
        <w:spacing w:after="0" w:line="11" w:lineRule="exact"/>
        <w:rPr>
          <w:sz w:val="20"/>
          <w:szCs w:val="20"/>
          <w:color w:val="auto"/>
        </w:rPr>
      </w:pPr>
    </w:p>
    <w:p>
      <w:pPr>
        <w:ind w:left="6780"/>
        <w:spacing w:after="0"/>
        <w:rPr>
          <w:sz w:val="20"/>
          <w:szCs w:val="20"/>
          <w:color w:val="auto"/>
        </w:rPr>
      </w:pPr>
      <w:r>
        <w:rPr>
          <w:rFonts w:ascii="Arial" w:cs="Arial" w:eastAsia="Arial" w:hAnsi="Arial"/>
          <w:sz w:val="12"/>
          <w:szCs w:val="12"/>
          <w:i w:val="1"/>
          <w:iCs w:val="1"/>
          <w:color w:val="auto"/>
        </w:rPr>
        <w:t>Chief Financial Officer (Principal Financial Officer)</w:t>
      </w:r>
    </w:p>
    <w:p>
      <w:pPr>
        <w:sectPr>
          <w:pgSz w:w="11900" w:h="16838" w:orient="portrait"/>
          <w:cols w:equalWidth="0" w:num="1">
            <w:col w:w="11280"/>
          </w:cols>
          <w:pgMar w:left="300" w:top="127" w:right="319" w:bottom="1440" w:gutter="0" w:footer="0" w:header="0"/>
        </w:sectPr>
      </w:pPr>
    </w:p>
    <w:bookmarkStart w:id="70" w:name="page71"/>
    <w:bookmarkEnd w:id="70"/>
    <w:p>
      <w:pPr>
        <w:jc w:val="right"/>
        <w:spacing w:after="0"/>
        <w:rPr>
          <w:sz w:val="20"/>
          <w:szCs w:val="20"/>
          <w:color w:val="auto"/>
        </w:rPr>
      </w:pPr>
      <w:r>
        <w:rPr>
          <w:rFonts w:ascii="Arial" w:cs="Arial" w:eastAsia="Arial" w:hAnsi="Arial"/>
          <w:sz w:val="12"/>
          <w:szCs w:val="12"/>
          <w:b w:val="1"/>
          <w:bCs w:val="1"/>
          <w:color w:val="auto"/>
        </w:rPr>
        <w:t>Exhibit 32.1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310" w:lineRule="exact"/>
        <w:rPr>
          <w:sz w:val="20"/>
          <w:szCs w:val="20"/>
          <w:color w:val="auto"/>
        </w:rPr>
      </w:pPr>
    </w:p>
    <w:p>
      <w:pPr>
        <w:ind w:firstLine="242"/>
        <w:spacing w:after="0" w:line="350" w:lineRule="auto"/>
        <w:rPr>
          <w:sz w:val="20"/>
          <w:szCs w:val="20"/>
          <w:color w:val="auto"/>
        </w:rPr>
      </w:pPr>
      <w:r>
        <w:rPr>
          <w:rFonts w:ascii="Arial" w:cs="Arial" w:eastAsia="Arial" w:hAnsi="Arial"/>
          <w:sz w:val="12"/>
          <w:szCs w:val="12"/>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480" w:firstLine="5"/>
        <w:spacing w:after="0" w:line="350" w:lineRule="auto"/>
        <w:tabs>
          <w:tab w:leader="none" w:pos="633"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quarterly report on Form 10-Q of the Company for the period ended June 30, 2021 (the “Report”) fully complies with the requirements of Section 13(a) or Section 15(d), as applicable, of the Securities Exchange Act of 1934, as amended; and</w:t>
      </w:r>
    </w:p>
    <w:p>
      <w:pPr>
        <w:ind w:left="660" w:hanging="175"/>
        <w:spacing w:after="0"/>
        <w:tabs>
          <w:tab w:leader="none" w:pos="6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color w:val="auto"/>
        </w:rPr>
        <w:t>Date: August 6, 2021</w:t>
      </w:r>
    </w:p>
    <w:p>
      <w:pPr>
        <w:spacing w:after="0" w:line="64" w:lineRule="exact"/>
        <w:rPr>
          <w:sz w:val="20"/>
          <w:szCs w:val="20"/>
          <w:color w:val="auto"/>
        </w:rPr>
      </w:pPr>
    </w:p>
    <w:p>
      <w:pPr>
        <w:ind w:left="7260"/>
        <w:spacing w:after="0"/>
        <w:rPr>
          <w:sz w:val="20"/>
          <w:szCs w:val="20"/>
          <w:color w:val="auto"/>
        </w:rPr>
      </w:pPr>
      <w:r>
        <w:rPr>
          <w:rFonts w:ascii="Arial" w:cs="Arial" w:eastAsia="Arial" w:hAnsi="Arial"/>
          <w:sz w:val="12"/>
          <w:szCs w:val="12"/>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4605655</wp:posOffset>
            </wp:positionH>
            <wp:positionV relativeFrom="paragraph">
              <wp:posOffset>7620</wp:posOffset>
            </wp:positionV>
            <wp:extent cx="253619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2536190" cy="6350"/>
                    </a:xfrm>
                    <a:prstGeom prst="rect">
                      <a:avLst/>
                    </a:prstGeom>
                    <a:noFill/>
                  </pic:spPr>
                </pic:pic>
              </a:graphicData>
            </a:graphic>
          </wp:anchor>
        </w:drawing>
      </w:r>
    </w:p>
    <w:p>
      <w:pPr>
        <w:spacing w:after="0" w:line="13" w:lineRule="exact"/>
        <w:rPr>
          <w:sz w:val="20"/>
          <w:szCs w:val="20"/>
          <w:color w:val="auto"/>
        </w:rPr>
      </w:pPr>
    </w:p>
    <w:p>
      <w:pPr>
        <w:ind w:left="7260"/>
        <w:spacing w:after="0"/>
        <w:rPr>
          <w:sz w:val="20"/>
          <w:szCs w:val="20"/>
          <w:color w:val="auto"/>
        </w:rPr>
      </w:pPr>
      <w:r>
        <w:rPr>
          <w:rFonts w:ascii="Arial" w:cs="Arial" w:eastAsia="Arial" w:hAnsi="Arial"/>
          <w:sz w:val="12"/>
          <w:szCs w:val="12"/>
          <w:color w:val="auto"/>
        </w:rPr>
        <w:t>Bradley L. Soultz</w:t>
      </w:r>
    </w:p>
    <w:p>
      <w:pPr>
        <w:spacing w:after="0" w:line="6" w:lineRule="exact"/>
        <w:rPr>
          <w:sz w:val="20"/>
          <w:szCs w:val="20"/>
          <w:color w:val="auto"/>
        </w:rPr>
      </w:pPr>
    </w:p>
    <w:p>
      <w:pPr>
        <w:ind w:left="7260"/>
        <w:spacing w:after="0"/>
        <w:rPr>
          <w:sz w:val="20"/>
          <w:szCs w:val="20"/>
          <w:color w:val="auto"/>
        </w:rPr>
      </w:pPr>
      <w:r>
        <w:rPr>
          <w:rFonts w:ascii="Arial" w:cs="Arial" w:eastAsia="Arial" w:hAnsi="Arial"/>
          <w:sz w:val="12"/>
          <w:szCs w:val="12"/>
          <w:i w:val="1"/>
          <w:iCs w:val="1"/>
          <w:color w:val="auto"/>
        </w:rPr>
        <w:t>President and Chief Executive Officer and Director (Principal Executive</w:t>
      </w:r>
    </w:p>
    <w:p>
      <w:pPr>
        <w:ind w:left="7260"/>
        <w:spacing w:after="0"/>
        <w:rPr>
          <w:sz w:val="20"/>
          <w:szCs w:val="20"/>
          <w:color w:val="auto"/>
        </w:rPr>
      </w:pPr>
      <w:r>
        <w:rPr>
          <w:rFonts w:ascii="Arial" w:cs="Arial" w:eastAsia="Arial" w:hAnsi="Arial"/>
          <w:sz w:val="12"/>
          <w:szCs w:val="12"/>
          <w:i w:val="1"/>
          <w:iCs w:val="1"/>
          <w:color w:val="auto"/>
        </w:rPr>
        <w:t>Officer)</w:t>
      </w:r>
    </w:p>
    <w:p>
      <w:pPr>
        <w:spacing w:after="0" w:line="185" w:lineRule="exact"/>
        <w:rPr>
          <w:sz w:val="20"/>
          <w:szCs w:val="20"/>
          <w:color w:val="auto"/>
        </w:rPr>
      </w:pPr>
    </w:p>
    <w:p>
      <w:pPr>
        <w:ind w:firstLine="242"/>
        <w:spacing w:after="0" w:line="363"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WillScot Mobile Mini Corporation and will be retained by WillScot Mobile Mini Corporation and furnished to the Securities and Exchange Commission or its staff upon request.</w:t>
      </w:r>
    </w:p>
    <w:p>
      <w:pPr>
        <w:sectPr>
          <w:pgSz w:w="11900" w:h="16838" w:orient="portrait"/>
          <w:cols w:equalWidth="0" w:num="1">
            <w:col w:w="11280"/>
          </w:cols>
          <w:pgMar w:left="300" w:top="127" w:right="319" w:bottom="1440" w:gutter="0" w:footer="0" w:header="0"/>
        </w:sectPr>
      </w:pPr>
    </w:p>
    <w:bookmarkStart w:id="71" w:name="page72"/>
    <w:bookmarkEnd w:id="71"/>
    <w:p>
      <w:pPr>
        <w:jc w:val="right"/>
        <w:spacing w:after="0"/>
        <w:rPr>
          <w:sz w:val="20"/>
          <w:szCs w:val="20"/>
          <w:color w:val="auto"/>
        </w:rPr>
      </w:pPr>
      <w:r>
        <w:rPr>
          <w:rFonts w:ascii="Arial" w:cs="Arial" w:eastAsia="Arial" w:hAnsi="Arial"/>
          <w:sz w:val="12"/>
          <w:szCs w:val="12"/>
          <w:b w:val="1"/>
          <w:bCs w:val="1"/>
          <w:color w:val="auto"/>
        </w:rPr>
        <w:t>Exhibit 32.2</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128" w:lineRule="exact"/>
        <w:rPr>
          <w:sz w:val="20"/>
          <w:szCs w:val="20"/>
          <w:color w:val="auto"/>
        </w:rPr>
      </w:pPr>
    </w:p>
    <w:p>
      <w:pPr>
        <w:ind w:firstLine="242"/>
        <w:spacing w:after="0" w:line="350" w:lineRule="auto"/>
        <w:rPr>
          <w:sz w:val="20"/>
          <w:szCs w:val="20"/>
          <w:color w:val="auto"/>
        </w:rPr>
      </w:pPr>
      <w:r>
        <w:rPr>
          <w:rFonts w:ascii="Arial" w:cs="Arial" w:eastAsia="Arial" w:hAnsi="Arial"/>
          <w:sz w:val="12"/>
          <w:szCs w:val="12"/>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480" w:firstLine="5"/>
        <w:spacing w:after="0" w:line="350" w:lineRule="auto"/>
        <w:tabs>
          <w:tab w:leader="none" w:pos="633"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quarterly report on Form 10-Q of the Company for the period ended June 30, 2021 (the “Report”) fully complies with the requirements of Section 13(a) or Section 15(d), as applicable, of the Securities Exchange Act of 1934, as amended; and</w:t>
      </w:r>
    </w:p>
    <w:p>
      <w:pPr>
        <w:ind w:left="660" w:hanging="175"/>
        <w:spacing w:after="0"/>
        <w:tabs>
          <w:tab w:leader="none" w:pos="6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color w:val="auto"/>
        </w:rPr>
        <w:t>Date: August 6, 2021</w:t>
      </w:r>
    </w:p>
    <w:p>
      <w:pPr>
        <w:spacing w:after="0" w:line="64" w:lineRule="exact"/>
        <w:rPr>
          <w:sz w:val="20"/>
          <w:szCs w:val="20"/>
          <w:color w:val="auto"/>
        </w:rPr>
      </w:pPr>
    </w:p>
    <w:p>
      <w:pPr>
        <w:ind w:left="7260"/>
        <w:spacing w:after="0"/>
        <w:rPr>
          <w:sz w:val="20"/>
          <w:szCs w:val="20"/>
          <w:color w:val="auto"/>
        </w:rPr>
      </w:pPr>
      <w:r>
        <w:rPr>
          <w:rFonts w:ascii="Arial" w:cs="Arial" w:eastAsia="Arial" w:hAnsi="Arial"/>
          <w:sz w:val="12"/>
          <w:szCs w:val="12"/>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4599305</wp:posOffset>
            </wp:positionH>
            <wp:positionV relativeFrom="paragraph">
              <wp:posOffset>7620</wp:posOffset>
            </wp:positionV>
            <wp:extent cx="253619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2536190" cy="6350"/>
                    </a:xfrm>
                    <a:prstGeom prst="rect">
                      <a:avLst/>
                    </a:prstGeom>
                    <a:noFill/>
                  </pic:spPr>
                </pic:pic>
              </a:graphicData>
            </a:graphic>
          </wp:anchor>
        </w:drawing>
      </w:r>
    </w:p>
    <w:p>
      <w:pPr>
        <w:spacing w:after="0" w:line="13" w:lineRule="exact"/>
        <w:rPr>
          <w:sz w:val="20"/>
          <w:szCs w:val="20"/>
          <w:color w:val="auto"/>
        </w:rPr>
      </w:pPr>
    </w:p>
    <w:p>
      <w:pPr>
        <w:ind w:left="7260"/>
        <w:spacing w:after="0"/>
        <w:rPr>
          <w:sz w:val="20"/>
          <w:szCs w:val="20"/>
          <w:color w:val="auto"/>
        </w:rPr>
      </w:pPr>
      <w:r>
        <w:rPr>
          <w:rFonts w:ascii="Arial" w:cs="Arial" w:eastAsia="Arial" w:hAnsi="Arial"/>
          <w:sz w:val="12"/>
          <w:szCs w:val="12"/>
          <w:color w:val="auto"/>
        </w:rPr>
        <w:t>Timothy D. Boswell</w:t>
      </w:r>
    </w:p>
    <w:p>
      <w:pPr>
        <w:spacing w:after="0" w:line="11" w:lineRule="exact"/>
        <w:rPr>
          <w:sz w:val="20"/>
          <w:szCs w:val="20"/>
          <w:color w:val="auto"/>
        </w:rPr>
      </w:pPr>
    </w:p>
    <w:p>
      <w:pPr>
        <w:ind w:left="7260"/>
        <w:spacing w:after="0"/>
        <w:rPr>
          <w:sz w:val="20"/>
          <w:szCs w:val="20"/>
          <w:color w:val="auto"/>
        </w:rPr>
      </w:pPr>
      <w:r>
        <w:rPr>
          <w:rFonts w:ascii="Arial" w:cs="Arial" w:eastAsia="Arial" w:hAnsi="Arial"/>
          <w:sz w:val="12"/>
          <w:szCs w:val="12"/>
          <w:i w:val="1"/>
          <w:iCs w:val="1"/>
          <w:color w:val="auto"/>
        </w:rPr>
        <w:t>Chief Financial Officer (Principal Financial Officer)</w:t>
      </w:r>
    </w:p>
    <w:p>
      <w:pPr>
        <w:spacing w:after="0" w:line="197" w:lineRule="exact"/>
        <w:rPr>
          <w:sz w:val="20"/>
          <w:szCs w:val="20"/>
          <w:color w:val="auto"/>
        </w:rPr>
      </w:pPr>
    </w:p>
    <w:p>
      <w:pPr>
        <w:ind w:firstLine="242"/>
        <w:spacing w:after="0" w:line="363"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WillScot Mobile Mini Corporation and will be retained by WillScot Mobile Mini Corporation and furnished to the Securities and Exchange Commission or its staff upon request.</w:t>
      </w:r>
    </w:p>
    <w:sectPr>
      <w:pgSz w:w="11900" w:h="16838" w:orient="portrait"/>
      <w:cols w:equalWidth="0" w:num="1">
        <w:col w:w="11280"/>
      </w:cols>
      <w:pgMar w:left="300" w:top="1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Roman"/>
      <w:start w:val="1"/>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Letter"/>
      <w:start w:val="2"/>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
      <w:numFmt w:val="bullet"/>
      <w:start w:val="1"/>
    </w:lvl>
    <w:lvl w:ilvl="1">
      <w:lvlJc w:val="left"/>
      <w:lvlText w:val="\endash "/>
      <w:numFmt w:val="bullet"/>
      <w:start w:val="1"/>
    </w:lvl>
  </w:abstractNum>
  <w:abstractNum w:abstractNumId="9">
    <w:nsid w:val="4E6AFB66"/>
    <w:multiLevelType w:val="hybridMultilevel"/>
    <w:lvl w:ilvl="0">
      <w:lvlJc w:val="left"/>
      <w:lvlText w:val="•"/>
      <w:numFmt w:val="bullet"/>
      <w:start w:val="1"/>
    </w:lvl>
    <w:lvl w:ilvl="1">
      <w:lvlJc w:val="left"/>
      <w:lvlText w:val="\endash "/>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Roman"/>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06" Type="http://schemas.openxmlformats.org/officeDocument/2006/relationships/hyperlink" Target="https://www.sec.gov/Archives/edgar/data/1647088/000110465921082131/tm2119974d1_ex3-1.htm" TargetMode="External"/><Relationship Id="rId107" Type="http://schemas.openxmlformats.org/officeDocument/2006/relationships/hyperlink" Target="https://www.sec.gov/Archives/edgar/data/1647088/000110465920079826/tm2023606d2_ex3-1b.htm" TargetMode="External"/><Relationship Id="rId108" Type="http://schemas.openxmlformats.org/officeDocument/2006/relationships/hyperlink" Target="https://www.sec.gov/Archives/edgar/data/1647088/000110465921082131/tm2119974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2021-08-06T10:20:43Z</dcterms:created>
  <dcterms:modified xsi:type="dcterms:W3CDTF">2021-08-06T10:20:43Z</dcterms:modified>
</cp:coreProperties>
</file>