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 w:after="283"/>
        <w:ind w:left="0" w:right="0" w:firstLine="72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76" w:before="1"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8" w:after="283"/>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55"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2" w:after="283"/>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8, 2026 (June 5, 2026)</w:t>
      </w:r>
    </w:p>
    <w:p>
      <w:pPr>
        <w:pStyle w:val="TextBody"/>
        <w:bidi w:val="0"/>
        <w:spacing w:before="0" w:after="16"/>
        <w:jc w:val="center"/>
        <w:rPr/>
      </w:pPr>
      <w:r>
        <w:rPr/>
        <w:drawing>
          <wp:inline distT="0" distB="0" distL="0" distR="0">
            <wp:extent cx="20383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685800"/>
                    </a:xfrm>
                    <a:prstGeom prst="rect">
                      <a:avLst/>
                    </a:prstGeom>
                  </pic:spPr>
                </pic:pic>
              </a:graphicData>
            </a:graphic>
          </wp:inline>
        </w:drawing>
      </w:r>
      <w:bookmarkStart w:id="0" w:name="i-1"/>
      <w:bookmarkEnd w:id="0"/>
    </w:p>
    <w:p>
      <w:pPr>
        <w:pStyle w:val="TextBody"/>
        <w:bidi w:val="0"/>
        <w:spacing w:lineRule="auto" w:line="288" w:before="0" w:after="19"/>
        <w:jc w:val="center"/>
        <w:rPr>
          <w:rFonts w:ascii="Times New Roman;serif" w:hAnsi="Times New Roman;serif"/>
          <w:b/>
          <w:color w:val="000000"/>
          <w:sz w:val="36"/>
        </w:rPr>
      </w:pPr>
      <w:r>
        <w:rPr>
          <w:rFonts w:ascii="Times New Roman;serif" w:hAnsi="Times New Roman;serif"/>
          <w:b/>
          <w:color w:val="000000"/>
          <w:sz w:val="36"/>
        </w:rPr>
        <w:t>WILLSCOT HOLDINGS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6" w:after="283"/>
        <w:jc w:val="center"/>
        <w:rPr/>
      </w:pPr>
      <w:r>
        <w:rPr/>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001-37552</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82-3430194</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30" w:before="1" w:after="283"/>
        <w:jc w:val="center"/>
        <w:rPr>
          <w:rFonts w:ascii="Times New Roman;serif" w:hAnsi="Times New Roman;serif"/>
          <w:b/>
          <w:color w:val="000000"/>
          <w:sz w:val="20"/>
        </w:rPr>
      </w:pPr>
      <w:r>
        <w:rPr>
          <w:rFonts w:ascii="Times New Roman;serif" w:hAnsi="Times New Roman;serif"/>
          <w:b/>
          <w:color w:val="000000"/>
          <w:sz w:val="20"/>
        </w:rPr>
        <w:t>6400 East McDowell Road, Suite 300</w:t>
      </w:r>
    </w:p>
    <w:p>
      <w:pPr>
        <w:pStyle w:val="TextBody"/>
        <w:bidi w:val="0"/>
        <w:spacing w:lineRule="auto" w:line="230" w:before="1" w:after="283"/>
        <w:jc w:val="center"/>
        <w:rPr>
          <w:rFonts w:ascii="Times New Roman;serif" w:hAnsi="Times New Roman;serif"/>
          <w:b/>
          <w:color w:val="000000"/>
          <w:sz w:val="20"/>
        </w:rPr>
      </w:pPr>
      <w:r>
        <w:rPr>
          <w:rFonts w:ascii="Times New Roman;serif" w:hAnsi="Times New Roman;serif"/>
          <w:b/>
          <w:color w:val="000000"/>
          <w:sz w:val="20"/>
        </w:rPr>
        <w:t>Scottsdale, Arizona 85257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of principal executive offices)</w:t>
      </w:r>
    </w:p>
    <w:p>
      <w:pPr>
        <w:pStyle w:val="TextBody"/>
        <w:bidi w:val="0"/>
        <w:spacing w:before="0" w:after="0"/>
        <w:jc w:val="center"/>
        <w:rPr/>
      </w:pPr>
      <w:r>
        <w:rPr/>
      </w:r>
    </w:p>
    <w:p>
      <w:pPr>
        <w:pStyle w:val="TextBody"/>
        <w:bidi w:val="0"/>
        <w:spacing w:lineRule="auto" w:line="230" w:before="0" w:after="0"/>
        <w:jc w:val="center"/>
        <w:rPr>
          <w:rFonts w:ascii="Times New Roman;serif" w:hAnsi="Times New Roman;serif"/>
          <w:b/>
          <w:color w:val="000000"/>
          <w:sz w:val="20"/>
        </w:rPr>
      </w:pPr>
      <w:r>
        <w:rPr>
          <w:rFonts w:ascii="Times New Roman;serif" w:hAnsi="Times New Roman;serif"/>
          <w:b/>
          <w:color w:val="000000"/>
          <w:sz w:val="20"/>
        </w:rPr>
        <w:t>(480) 894-6311</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30" w:before="0" w:after="0"/>
        <w:ind w:left="0" w:right="0" w:firstLine="52"/>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76" w:before="0" w:after="0"/>
        <w:ind w:left="0" w:right="0" w:firstLine="52"/>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73" w:before="0" w:after="0"/>
        <w:ind w:left="0" w:right="0" w:firstLine="52"/>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76" w:before="0" w:after="0"/>
        <w:ind w:left="0" w:right="0" w:firstLine="52"/>
        <w:jc w:val="left"/>
        <w:rPr>
          <w:color w:val="000000"/>
        </w:rPr>
      </w:pPr>
      <w:r>
        <w:rPr>
          <w:color w:val="000000"/>
        </w:rPr>
        <w:t xml:space="preserve">☐ </w:t>
      </w:r>
      <w:r>
        <w:rPr>
          <w:rFonts w:ascii="Times New Roman;serif" w:hAnsi="Times New Roman;serif"/>
          <w:b w:val="false"/>
          <w:color w:val="000000"/>
          <w:sz w:val="20"/>
        </w:rPr>
        <w:t>Pre commencement communications pursuant to Rule 13e-4(c) under the Exchange Act (17 CFR 240.13e-4(c))</w:t>
      </w:r>
    </w:p>
    <w:p>
      <w:pPr>
        <w:pStyle w:val="TextBody"/>
        <w:bidi w:val="0"/>
        <w:spacing w:before="0" w:after="0"/>
        <w:ind w:left="0" w:right="0" w:hanging="3"/>
        <w:jc w:val="left"/>
        <w:rPr/>
      </w:pPr>
      <w:r>
        <w:rPr/>
      </w:r>
    </w:p>
    <w:p>
      <w:pPr>
        <w:pStyle w:val="TextBody"/>
        <w:bidi w:val="0"/>
        <w:spacing w:lineRule="auto" w:line="268" w:before="0" w:after="0"/>
        <w:ind w:left="0" w:right="0" w:hanging="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before="7" w:after="283"/>
        <w:jc w:val="left"/>
        <w:rPr/>
      </w:pPr>
      <w:r>
        <w:rPr/>
      </w:r>
    </w:p>
    <w:tbl>
      <w:tblPr>
        <w:tblW w:w="9194" w:type="dxa"/>
        <w:jc w:val="center"/>
        <w:tblInd w:w="0" w:type="dxa"/>
        <w:tblLayout w:type="fixed"/>
        <w:tblCellMar>
          <w:top w:w="28" w:type="dxa"/>
          <w:left w:w="28" w:type="dxa"/>
          <w:bottom w:w="28" w:type="dxa"/>
          <w:right w:w="28" w:type="dxa"/>
        </w:tblCellMar>
      </w:tblPr>
      <w:tblGrid>
        <w:gridCol w:w="1328"/>
        <w:gridCol w:w="1167"/>
        <w:gridCol w:w="1180"/>
        <w:gridCol w:w="564"/>
        <w:gridCol w:w="564"/>
        <w:gridCol w:w="566"/>
        <w:gridCol w:w="1118"/>
        <w:gridCol w:w="1118"/>
        <w:gridCol w:w="1589"/>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6"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189" w:before="0" w:after="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189"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WSC</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before="0" w:after="0"/>
        <w:jc w:val="left"/>
        <w:rPr/>
      </w:pPr>
      <w:r>
        <w:rPr/>
      </w:r>
    </w:p>
    <w:p>
      <w:pPr>
        <w:pStyle w:val="TextBody"/>
        <w:bidi w:val="0"/>
        <w:spacing w:lineRule="auto" w:line="288" w:before="1"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2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the 2026 Annual Meeting of Stockholders of WillScot Holdings Corporation (the “Company”), held on June 5, 2026 (the “Annual Meeting”), the stockholders approved the WillScot Holdings Corporation 2026 Incentive Award Plan (the “2026 Plan”), which had been previously approved by the Company’s Board of Directors subject to stockholder approval. The 2026 Plan replaces the WillScot Holdings Corporation 2020 Incentive Award Plan (the “2020 Plan”) as the source of equity awards granted on or after June 5, 2026. The 2026 Plan authorizes the issuance of up to 5,705,781 shares of the Company’s common stock (5,750,000 shares less 44,219 shares of restricted common stock issued to the Company’s non-employee directors on June 4, 2026 under the 2020 Plan). No additional awards will be made under the 2020 Plan.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material terms of the 2026 Plan are described under “Proposal 5 - Approval of the WillScot Holdings Corporation 2026 Incentive Award Plan” in the Company’s Definitive Proxy Statement on Schedule 14A filed with the Securities and Exchange Commission on April 22, 2026. This description is incorporated by reference in Item 5.02 of this Current Report on Form 8-K. The description of the material terms of the 2026 Plan is qualified in its entirety by reference to the full text of the 2026 Plan, which is filed as Exhibit 10.1 and incorporated by reference in this Current Report on Form 8-K.</w:t>
      </w:r>
    </w:p>
    <w:p>
      <w:pPr>
        <w:pStyle w:val="TextBody"/>
        <w:bidi w:val="0"/>
        <w:spacing w:before="0" w:after="0"/>
        <w:jc w:val="both"/>
        <w:rPr/>
      </w:pPr>
      <w:r>
        <w:rPr/>
      </w:r>
    </w:p>
    <w:tbl>
      <w:tblPr>
        <w:tblW w:w="5413" w:type="dxa"/>
        <w:jc w:val="left"/>
        <w:tblInd w:w="0" w:type="dxa"/>
        <w:tblLayout w:type="fixed"/>
        <w:tblCellMar>
          <w:top w:w="28" w:type="dxa"/>
          <w:left w:w="28" w:type="dxa"/>
          <w:bottom w:w="28" w:type="dxa"/>
          <w:right w:w="28" w:type="dxa"/>
        </w:tblCellMar>
      </w:tblPr>
      <w:tblGrid>
        <w:gridCol w:w="331"/>
        <w:gridCol w:w="290"/>
        <w:gridCol w:w="293"/>
        <w:gridCol w:w="1316"/>
        <w:gridCol w:w="1316"/>
        <w:gridCol w:w="1867"/>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w:t>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Submission of Matters to a Vote of Security Holders</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the Annual Meeting, stockholders voted on five proposals. The voting results for each proposal, including the votes for and against, and any abstentions or broker non-votes, are described below.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1: Election of Directors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stockholders voted for all nine of management’s nominees for election as directors to serve for a term that will expire at the 2027 annual meeting of stockholders or until their successors are elected and qualified. The results of the vote taken are as follows:</w:t>
      </w:r>
    </w:p>
    <w:p>
      <w:pPr>
        <w:pStyle w:val="TextBody"/>
        <w:bidi w:val="0"/>
        <w:spacing w:before="0" w:after="0"/>
        <w:ind w:left="0" w:right="0" w:firstLine="720"/>
        <w:jc w:val="left"/>
        <w:rPr/>
      </w:pPr>
      <w:r>
        <w:rPr/>
      </w:r>
    </w:p>
    <w:tbl>
      <w:tblPr>
        <w:tblW w:w="7670" w:type="dxa"/>
        <w:jc w:val="left"/>
        <w:tblInd w:w="0" w:type="dxa"/>
        <w:tblLayout w:type="fixed"/>
        <w:tblCellMar>
          <w:top w:w="28" w:type="dxa"/>
          <w:left w:w="28" w:type="dxa"/>
          <w:bottom w:w="28" w:type="dxa"/>
          <w:right w:w="28" w:type="dxa"/>
        </w:tblCellMar>
      </w:tblPr>
      <w:tblGrid>
        <w:gridCol w:w="689"/>
        <w:gridCol w:w="605"/>
        <w:gridCol w:w="610"/>
        <w:gridCol w:w="109"/>
        <w:gridCol w:w="109"/>
        <w:gridCol w:w="109"/>
        <w:gridCol w:w="379"/>
        <w:gridCol w:w="379"/>
        <w:gridCol w:w="383"/>
        <w:gridCol w:w="109"/>
        <w:gridCol w:w="109"/>
        <w:gridCol w:w="109"/>
        <w:gridCol w:w="308"/>
        <w:gridCol w:w="308"/>
        <w:gridCol w:w="315"/>
        <w:gridCol w:w="109"/>
        <w:gridCol w:w="109"/>
        <w:gridCol w:w="109"/>
        <w:gridCol w:w="259"/>
        <w:gridCol w:w="259"/>
        <w:gridCol w:w="263"/>
        <w:gridCol w:w="109"/>
        <w:gridCol w:w="109"/>
        <w:gridCol w:w="109"/>
        <w:gridCol w:w="470"/>
        <w:gridCol w:w="470"/>
        <w:gridCol w:w="665"/>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Timothy D. Boswell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166,304,397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6,676,367</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Erika T. Davis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163,808,457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2,676,285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76,566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6,676,367</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Gerard E. Holthaus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158,017,733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8,483,965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6,676,367</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Worthing F. Jackman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165,331,473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1,181,795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6,676,367</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Natalia N. Johnson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165,817,765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672,354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71,189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6,676,367</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Rebecca L. Owen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159,973,268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6,512,047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6,676,367</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Jeff Sagansky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160,087,407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6,425,505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6,676,367</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W. Upchurch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163,103,459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3,393,971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6,676,367</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Dominick Zarcone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166,291,633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210,549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6,676,367</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2: Ratification of Appointment of Independent Registered Public Accounting Firm</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stockholders ratified the appointment of Ernst &amp; Young LLP as the Company’s independent registered public accounting firm for the fiscal year ending December 31, 2026. The results of the vote taken are as follows:</w:t>
      </w:r>
    </w:p>
    <w:tbl>
      <w:tblPr>
        <w:tblW w:w="3387" w:type="dxa"/>
        <w:jc w:val="center"/>
        <w:tblInd w:w="0" w:type="dxa"/>
        <w:tblLayout w:type="fixed"/>
        <w:tblCellMar>
          <w:top w:w="28" w:type="dxa"/>
          <w:left w:w="28" w:type="dxa"/>
          <w:bottom w:w="28" w:type="dxa"/>
          <w:right w:w="28" w:type="dxa"/>
        </w:tblCellMar>
      </w:tblPr>
      <w:tblGrid>
        <w:gridCol w:w="418"/>
        <w:gridCol w:w="365"/>
        <w:gridCol w:w="373"/>
        <w:gridCol w:w="109"/>
        <w:gridCol w:w="109"/>
        <w:gridCol w:w="109"/>
        <w:gridCol w:w="259"/>
        <w:gridCol w:w="259"/>
        <w:gridCol w:w="263"/>
        <w:gridCol w:w="109"/>
        <w:gridCol w:w="109"/>
        <w:gridCol w:w="109"/>
        <w:gridCol w:w="233"/>
        <w:gridCol w:w="233"/>
        <w:gridCol w:w="330"/>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172,744,598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427,067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66,010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Proposal 3: Approval, by Advisory Vote, of the Compensation of the Company’s Named Executive Officers </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stockholders approved, on an advisory and non-binding basis, the compensation of the Company's named executive officers. The results of the vote taken are as follows:</w:t>
      </w:r>
    </w:p>
    <w:tbl>
      <w:tblPr>
        <w:tblW w:w="5454"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09"/>
        <w:gridCol w:w="309"/>
        <w:gridCol w:w="313"/>
        <w:gridCol w:w="109"/>
        <w:gridCol w:w="109"/>
        <w:gridCol w:w="109"/>
        <w:gridCol w:w="259"/>
        <w:gridCol w:w="259"/>
        <w:gridCol w:w="263"/>
        <w:gridCol w:w="109"/>
        <w:gridCol w:w="109"/>
        <w:gridCol w:w="109"/>
        <w:gridCol w:w="470"/>
        <w:gridCol w:w="470"/>
        <w:gridCol w:w="665"/>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162,254,222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4,185,472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121,614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6,676,367</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Proposal 4: Approval, by Advisory Vote, of the Frequency of Advisory Vote on the Compensation of the Company's Named Executive Officers</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stockholders approved, on an advisory and non-binding basis, a one-year frequency of the future advisory votes on the compensation of the named executive officers. The results of the vote taken are as follows:</w:t>
      </w:r>
    </w:p>
    <w:tbl>
      <w:tblPr>
        <w:tblW w:w="6500" w:type="dxa"/>
        <w:jc w:val="left"/>
        <w:tblInd w:w="0" w:type="dxa"/>
        <w:tblLayout w:type="fixed"/>
        <w:tblCellMar>
          <w:top w:w="28" w:type="dxa"/>
          <w:left w:w="28" w:type="dxa"/>
          <w:bottom w:w="28" w:type="dxa"/>
          <w:right w:w="28" w:type="dxa"/>
        </w:tblCellMar>
      </w:tblPr>
      <w:tblGrid>
        <w:gridCol w:w="418"/>
        <w:gridCol w:w="367"/>
        <w:gridCol w:w="371"/>
        <w:gridCol w:w="109"/>
        <w:gridCol w:w="109"/>
        <w:gridCol w:w="109"/>
        <w:gridCol w:w="249"/>
        <w:gridCol w:w="249"/>
        <w:gridCol w:w="251"/>
        <w:gridCol w:w="109"/>
        <w:gridCol w:w="109"/>
        <w:gridCol w:w="109"/>
        <w:gridCol w:w="309"/>
        <w:gridCol w:w="309"/>
        <w:gridCol w:w="313"/>
        <w:gridCol w:w="109"/>
        <w:gridCol w:w="109"/>
        <w:gridCol w:w="109"/>
        <w:gridCol w:w="250"/>
        <w:gridCol w:w="250"/>
        <w:gridCol w:w="251"/>
        <w:gridCol w:w="109"/>
        <w:gridCol w:w="109"/>
        <w:gridCol w:w="109"/>
        <w:gridCol w:w="470"/>
        <w:gridCol w:w="470"/>
        <w:gridCol w:w="665"/>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163,926,820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2,562,964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6,676,367</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Proposal 5: Approval of the WillScot Holdings Corporation 2026 Incentive Award Plan</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stockholders approved the 2026 Plan. The results of the vote taken are as follows:</w:t>
      </w:r>
    </w:p>
    <w:tbl>
      <w:tblPr>
        <w:tblW w:w="5424"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09"/>
        <w:gridCol w:w="309"/>
        <w:gridCol w:w="313"/>
        <w:gridCol w:w="109"/>
        <w:gridCol w:w="109"/>
        <w:gridCol w:w="109"/>
        <w:gridCol w:w="250"/>
        <w:gridCol w:w="250"/>
        <w:gridCol w:w="251"/>
        <w:gridCol w:w="109"/>
        <w:gridCol w:w="109"/>
        <w:gridCol w:w="109"/>
        <w:gridCol w:w="470"/>
        <w:gridCol w:w="470"/>
        <w:gridCol w:w="665"/>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164,794,091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1,689,226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77,991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6,676,367</w:t>
            </w:r>
          </w:p>
        </w:tc>
      </w:tr>
    </w:tbl>
    <w:tbl>
      <w:tblPr>
        <w:tblW w:w="3944" w:type="dxa"/>
        <w:jc w:val="left"/>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0"/>
        <w:gridCol w:w="246"/>
        <w:gridCol w:w="247"/>
        <w:gridCol w:w="109"/>
        <w:gridCol w:w="109"/>
        <w:gridCol w:w="109"/>
        <w:gridCol w:w="2698"/>
        <w:gridCol w:w="2643"/>
        <w:gridCol w:w="3764"/>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r:id="rId3">
              <w:r>
                <w:rPr>
                  <w:rStyle w:val="InternetLink"/>
                  <w:rFonts w:ascii="Times New Roman;serif" w:hAnsi="Times New Roman;serif"/>
                  <w:b w:val="false"/>
                  <w:color w:val="000000"/>
                  <w:sz w:val="20"/>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00"/>
                  <w:sz w:val="20"/>
                </w:rPr>
                <w:t>WillScot Holdings Corporation 2026 Incentive Award Plan (incorporated by reference to Appendix A to the Company’s Definitive Proxy Statement on Schedule 14A, filed on April 22, 2026).</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62" w:after="283"/>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683" w:type="dxa"/>
        <w:jc w:val="left"/>
        <w:tblInd w:w="0" w:type="dxa"/>
        <w:tblLayout w:type="fixed"/>
        <w:tblCellMar>
          <w:top w:w="28" w:type="dxa"/>
          <w:left w:w="28" w:type="dxa"/>
          <w:bottom w:w="28" w:type="dxa"/>
          <w:right w:w="28" w:type="dxa"/>
        </w:tblCellMar>
      </w:tblPr>
      <w:tblGrid>
        <w:gridCol w:w="629"/>
        <w:gridCol w:w="553"/>
        <w:gridCol w:w="558"/>
        <w:gridCol w:w="436"/>
        <w:gridCol w:w="436"/>
        <w:gridCol w:w="436"/>
        <w:gridCol w:w="1349"/>
        <w:gridCol w:w="1349"/>
        <w:gridCol w:w="1937"/>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94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WillScot Holdings Corporation</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943"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June 8, 2026</w:t>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T. Jacobsen</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Matthew T. Jacobsen</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w:t>
            </w:r>
          </w:p>
        </w:tc>
      </w:tr>
    </w:tbl>
    <w:p>
      <w:pPr>
        <w:pStyle w:val="TextBody"/>
        <w:bidi w:val="0"/>
        <w:spacing w:lineRule="auto" w:line="288" w:before="0" w:after="0"/>
        <w:ind w:left="0" w:right="0" w:firstLine="720"/>
        <w:jc w:val="left"/>
        <w:rPr>
          <w:color w:val="000000"/>
        </w:rPr>
      </w:pPr>
      <w:r>
        <w:rPr>
          <w:color w:val="000000"/>
        </w:rPr>
        <w:t> </w:t>
      </w:r>
    </w:p>
    <w:p>
      <w:pPr>
        <w:pStyle w:val="TextBody"/>
        <w:bidi w:val="0"/>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47088/000164708826000021/wsc-20260422.htm" TargetMode="External"/><Relationship Id="rId4" Type="http://schemas.openxmlformats.org/officeDocument/2006/relationships/hyperlink" Target="https://www.sec.gov/ix?doc=/Archives/edgar/data/1647088/000164708826000021/wsc-2026042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1026</Words>
  <Characters>5764</Characters>
  <CharactersWithSpaces>6667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