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460" w:hanging="818"/>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63"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3780" w:right="2400" w:hanging="3138"/>
        <w:spacing w:after="0" w:line="349" w:lineRule="auto"/>
        <w:tabs>
          <w:tab w:leader="none" w:pos="1459"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293"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86360</wp:posOffset>
            </wp:positionV>
            <wp:extent cx="288036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8036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WILLSCOT MOBILE MINI HOLDINGS CORP.</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3580" w:type="dxa"/>
            <w:vAlign w:val="bottom"/>
          </w:tcPr>
          <w:p>
            <w:pPr>
              <w:jc w:val="center"/>
              <w:ind w:right="148"/>
              <w:spacing w:after="0"/>
              <w:rPr>
                <w:sz w:val="20"/>
                <w:szCs w:val="20"/>
                <w:color w:val="auto"/>
              </w:rPr>
            </w:pPr>
            <w:r>
              <w:rPr>
                <w:rFonts w:ascii="Arial" w:cs="Arial" w:eastAsia="Arial" w:hAnsi="Arial"/>
                <w:sz w:val="14"/>
                <w:szCs w:val="14"/>
                <w:color w:val="auto"/>
              </w:rPr>
              <w:t>(Exact name of registrant as specified in its charter)</w:t>
            </w:r>
          </w:p>
        </w:tc>
        <w:tc>
          <w:tcPr>
            <w:tcW w:w="3720" w:type="dxa"/>
            <w:vAlign w:val="bottom"/>
          </w:tcPr>
          <w:p>
            <w:pPr>
              <w:spacing w:after="0"/>
              <w:rPr>
                <w:sz w:val="14"/>
                <w:szCs w:val="14"/>
                <w:color w:val="auto"/>
              </w:rPr>
            </w:pPr>
          </w:p>
        </w:tc>
      </w:tr>
      <w:tr>
        <w:trPr>
          <w:trHeight w:val="203"/>
        </w:trPr>
        <w:tc>
          <w:tcPr>
            <w:tcW w:w="394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3580" w:type="dxa"/>
            <w:vAlign w:val="bottom"/>
          </w:tcPr>
          <w:p>
            <w:pPr>
              <w:spacing w:after="0"/>
              <w:rPr>
                <w:sz w:val="17"/>
                <w:szCs w:val="17"/>
                <w:color w:val="auto"/>
              </w:rPr>
            </w:pPr>
          </w:p>
        </w:tc>
        <w:tc>
          <w:tcPr>
            <w:tcW w:w="3720" w:type="dxa"/>
            <w:vAlign w:val="bottom"/>
          </w:tcPr>
          <w:p>
            <w:pPr>
              <w:jc w:val="right"/>
              <w:ind w:right="1448"/>
              <w:spacing w:after="0"/>
              <w:rPr>
                <w:sz w:val="20"/>
                <w:szCs w:val="20"/>
                <w:color w:val="auto"/>
              </w:rPr>
            </w:pPr>
            <w:r>
              <w:rPr>
                <w:rFonts w:ascii="Arial" w:cs="Arial" w:eastAsia="Arial" w:hAnsi="Arial"/>
                <w:sz w:val="14"/>
                <w:szCs w:val="14"/>
                <w:b w:val="1"/>
                <w:bCs w:val="1"/>
                <w:color w:val="auto"/>
              </w:rPr>
              <w:t>82-3430194</w:t>
            </w:r>
          </w:p>
        </w:tc>
      </w:tr>
      <w:tr>
        <w:trPr>
          <w:trHeight w:val="189"/>
        </w:trPr>
        <w:tc>
          <w:tcPr>
            <w:tcW w:w="3940" w:type="dxa"/>
            <w:vAlign w:val="bottom"/>
          </w:tcPr>
          <w:p>
            <w:pPr>
              <w:jc w:val="center"/>
              <w:ind w:right="28"/>
              <w:spacing w:after="0"/>
              <w:rPr>
                <w:sz w:val="20"/>
                <w:szCs w:val="20"/>
                <w:color w:val="auto"/>
              </w:rPr>
            </w:pPr>
            <w:r>
              <w:rPr>
                <w:rFonts w:ascii="Arial" w:cs="Arial" w:eastAsia="Arial" w:hAnsi="Arial"/>
                <w:sz w:val="14"/>
                <w:szCs w:val="14"/>
                <w:color w:val="auto"/>
              </w:rPr>
              <w:t>(State or other jurisdiction of incorporation)</w:t>
            </w:r>
          </w:p>
        </w:tc>
        <w:tc>
          <w:tcPr>
            <w:tcW w:w="3580" w:type="dxa"/>
            <w:vAlign w:val="bottom"/>
          </w:tcPr>
          <w:p>
            <w:pPr>
              <w:spacing w:after="0"/>
              <w:rPr>
                <w:sz w:val="16"/>
                <w:szCs w:val="16"/>
                <w:color w:val="auto"/>
              </w:rPr>
            </w:pPr>
          </w:p>
        </w:tc>
        <w:tc>
          <w:tcPr>
            <w:tcW w:w="3720" w:type="dxa"/>
            <w:vAlign w:val="bottom"/>
          </w:tcPr>
          <w:p>
            <w:pPr>
              <w:jc w:val="center"/>
              <w:ind w:right="28"/>
              <w:spacing w:after="0"/>
              <w:rPr>
                <w:sz w:val="20"/>
                <w:szCs w:val="20"/>
                <w:color w:val="auto"/>
              </w:rPr>
            </w:pPr>
            <w:r>
              <w:rPr>
                <w:rFonts w:ascii="Arial" w:cs="Arial" w:eastAsia="Arial" w:hAnsi="Arial"/>
                <w:sz w:val="14"/>
                <w:szCs w:val="14"/>
                <w:color w:val="auto"/>
              </w:rPr>
              <w:t>(I.R.S. Employer Identification No.)</w:t>
            </w:r>
          </w:p>
        </w:tc>
      </w:tr>
      <w:tr>
        <w:trPr>
          <w:trHeight w:val="255"/>
        </w:trPr>
        <w:tc>
          <w:tcPr>
            <w:tcW w:w="3940" w:type="dxa"/>
            <w:vAlign w:val="bottom"/>
          </w:tcPr>
          <w:p>
            <w:pPr>
              <w:spacing w:after="0"/>
              <w:rPr>
                <w:sz w:val="22"/>
                <w:szCs w:val="22"/>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b w:val="1"/>
                <w:bCs w:val="1"/>
                <w:color w:val="auto"/>
              </w:rPr>
              <w:t>4646 E Van Buren St., Suite 400</w:t>
            </w:r>
          </w:p>
        </w:tc>
        <w:tc>
          <w:tcPr>
            <w:tcW w:w="3720" w:type="dxa"/>
            <w:vAlign w:val="bottom"/>
          </w:tcPr>
          <w:p>
            <w:pPr>
              <w:spacing w:after="0"/>
              <w:rPr>
                <w:sz w:val="22"/>
                <w:szCs w:val="22"/>
                <w:color w:val="auto"/>
              </w:rPr>
            </w:pPr>
          </w:p>
        </w:tc>
      </w:tr>
      <w:tr>
        <w:trPr>
          <w:trHeight w:val="180"/>
        </w:trPr>
        <w:tc>
          <w:tcPr>
            <w:tcW w:w="3940" w:type="dxa"/>
            <w:vAlign w:val="bottom"/>
          </w:tcPr>
          <w:p>
            <w:pPr>
              <w:spacing w:after="0"/>
              <w:rPr>
                <w:sz w:val="15"/>
                <w:szCs w:val="15"/>
                <w:color w:val="auto"/>
              </w:rPr>
            </w:pPr>
          </w:p>
        </w:tc>
        <w:tc>
          <w:tcPr>
            <w:tcW w:w="3580" w:type="dxa"/>
            <w:vAlign w:val="bottom"/>
          </w:tcPr>
          <w:p>
            <w:pPr>
              <w:jc w:val="center"/>
              <w:ind w:right="148"/>
              <w:spacing w:after="0"/>
              <w:rPr>
                <w:sz w:val="20"/>
                <w:szCs w:val="20"/>
                <w:color w:val="auto"/>
              </w:rPr>
            </w:pPr>
            <w:r>
              <w:rPr>
                <w:rFonts w:ascii="Arial" w:cs="Arial" w:eastAsia="Arial" w:hAnsi="Arial"/>
                <w:sz w:val="14"/>
                <w:szCs w:val="14"/>
                <w:b w:val="1"/>
                <w:bCs w:val="1"/>
                <w:color w:val="auto"/>
              </w:rPr>
              <w:t>Phoenix, Arizona 85008</w:t>
            </w:r>
          </w:p>
        </w:tc>
        <w:tc>
          <w:tcPr>
            <w:tcW w:w="3720" w:type="dxa"/>
            <w:vAlign w:val="bottom"/>
          </w:tcPr>
          <w:p>
            <w:pPr>
              <w:spacing w:after="0"/>
              <w:rPr>
                <w:sz w:val="15"/>
                <w:szCs w:val="15"/>
                <w:color w:val="auto"/>
              </w:rPr>
            </w:pPr>
          </w:p>
        </w:tc>
      </w:tr>
      <w:tr>
        <w:trPr>
          <w:trHeight w:val="172"/>
        </w:trPr>
        <w:tc>
          <w:tcPr>
            <w:tcW w:w="7520" w:type="dxa"/>
            <w:vAlign w:val="bottom"/>
            <w:gridSpan w:val="2"/>
          </w:tcPr>
          <w:p>
            <w:pPr>
              <w:jc w:val="center"/>
              <w:ind w:left="3648"/>
              <w:spacing w:after="0"/>
              <w:rPr>
                <w:sz w:val="20"/>
                <w:szCs w:val="20"/>
                <w:color w:val="auto"/>
              </w:rPr>
            </w:pPr>
            <w:r>
              <w:rPr>
                <w:rFonts w:ascii="Arial" w:cs="Arial" w:eastAsia="Arial" w:hAnsi="Arial"/>
                <w:sz w:val="14"/>
                <w:szCs w:val="14"/>
                <w:color w:val="auto"/>
              </w:rPr>
              <w:t>(Address, including zip code, of principal executive offices)</w:t>
            </w:r>
          </w:p>
        </w:tc>
        <w:tc>
          <w:tcPr>
            <w:tcW w:w="3720" w:type="dxa"/>
            <w:vAlign w:val="bottom"/>
          </w:tcPr>
          <w:p>
            <w:pPr>
              <w:spacing w:after="0"/>
              <w:rPr>
                <w:sz w:val="14"/>
                <w:szCs w:val="14"/>
                <w:color w:val="auto"/>
              </w:rPr>
            </w:pPr>
          </w:p>
        </w:tc>
      </w:tr>
      <w:tr>
        <w:trPr>
          <w:trHeight w:val="395"/>
        </w:trPr>
        <w:tc>
          <w:tcPr>
            <w:tcW w:w="3940" w:type="dxa"/>
            <w:vAlign w:val="bottom"/>
          </w:tcPr>
          <w:p>
            <w:pPr>
              <w:spacing w:after="0"/>
              <w:rPr>
                <w:sz w:val="24"/>
                <w:szCs w:val="24"/>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b w:val="1"/>
                <w:bCs w:val="1"/>
                <w:color w:val="auto"/>
              </w:rPr>
              <w:t>(480) 894-6311</w:t>
            </w:r>
          </w:p>
        </w:tc>
        <w:tc>
          <w:tcPr>
            <w:tcW w:w="3720" w:type="dxa"/>
            <w:vAlign w:val="bottom"/>
          </w:tcPr>
          <w:p>
            <w:pPr>
              <w:spacing w:after="0"/>
              <w:rPr>
                <w:sz w:val="24"/>
                <w:szCs w:val="24"/>
                <w:color w:val="auto"/>
              </w:rPr>
            </w:pPr>
          </w:p>
        </w:tc>
      </w:tr>
      <w:tr>
        <w:trPr>
          <w:trHeight w:val="172"/>
        </w:trPr>
        <w:tc>
          <w:tcPr>
            <w:tcW w:w="3940" w:type="dxa"/>
            <w:vAlign w:val="bottom"/>
          </w:tcPr>
          <w:p>
            <w:pPr>
              <w:spacing w:after="0"/>
              <w:rPr>
                <w:sz w:val="14"/>
                <w:szCs w:val="14"/>
                <w:color w:val="auto"/>
              </w:rPr>
            </w:pPr>
          </w:p>
        </w:tc>
        <w:tc>
          <w:tcPr>
            <w:tcW w:w="3580" w:type="dxa"/>
            <w:vAlign w:val="bottom"/>
          </w:tcPr>
          <w:p>
            <w:pPr>
              <w:jc w:val="center"/>
              <w:ind w:right="128"/>
              <w:spacing w:after="0"/>
              <w:rPr>
                <w:sz w:val="20"/>
                <w:szCs w:val="20"/>
                <w:color w:val="auto"/>
              </w:rPr>
            </w:pPr>
            <w:r>
              <w:rPr>
                <w:rFonts w:ascii="Arial" w:cs="Arial" w:eastAsia="Arial" w:hAnsi="Arial"/>
                <w:sz w:val="14"/>
                <w:szCs w:val="14"/>
                <w:color w:val="auto"/>
              </w:rPr>
              <w:t>(Registrant’s telephone number, including area code)</w:t>
            </w:r>
          </w:p>
        </w:tc>
        <w:tc>
          <w:tcPr>
            <w:tcW w:w="3720" w:type="dxa"/>
            <w:vAlign w:val="bottom"/>
          </w:tcPr>
          <w:p>
            <w:pPr>
              <w:spacing w:after="0"/>
              <w:rPr>
                <w:sz w:val="14"/>
                <w:szCs w:val="14"/>
                <w:color w:val="auto"/>
              </w:rPr>
            </w:pPr>
          </w:p>
        </w:tc>
      </w:tr>
      <w:tr>
        <w:trPr>
          <w:trHeight w:val="270"/>
        </w:trPr>
        <w:tc>
          <w:tcPr>
            <w:tcW w:w="11240" w:type="dxa"/>
            <w:vAlign w:val="bottom"/>
            <w:gridSpan w:val="3"/>
          </w:tcPr>
          <w:p>
            <w:pPr>
              <w:jc w:val="center"/>
              <w:spacing w:after="0"/>
              <w:rPr>
                <w:sz w:val="20"/>
                <w:szCs w:val="20"/>
                <w:color w:val="auto"/>
              </w:rPr>
            </w:pPr>
            <w:r>
              <w:rPr>
                <w:rFonts w:ascii="Arial" w:cs="Arial" w:eastAsia="Arial" w:hAnsi="Arial"/>
                <w:sz w:val="14"/>
                <w:szCs w:val="14"/>
                <w:color w:val="auto"/>
              </w:rPr>
              <w:t>(Former Name or Former Address, if Changed Since Last Report)</w:t>
            </w:r>
          </w:p>
        </w:tc>
      </w:tr>
      <w:tr>
        <w:trPr>
          <w:trHeight w:val="405"/>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1"/>
        </w:trPr>
        <w:tc>
          <w:tcPr>
            <w:tcW w:w="394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b w:val="1"/>
                <w:bCs w:val="1"/>
                <w:color w:val="auto"/>
              </w:rPr>
              <w:t>Title of each class</w:t>
            </w:r>
          </w:p>
        </w:tc>
        <w:tc>
          <w:tcPr>
            <w:tcW w:w="35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Trading Symbol(s)</w:t>
            </w:r>
          </w:p>
        </w:tc>
        <w:tc>
          <w:tcPr>
            <w:tcW w:w="3720" w:type="dxa"/>
            <w:vAlign w:val="bottom"/>
            <w:tcBorders>
              <w:bottom w:val="single" w:sz="8" w:color="auto"/>
            </w:tcBorders>
          </w:tcPr>
          <w:p>
            <w:pPr>
              <w:jc w:val="center"/>
              <w:ind w:right="52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940" w:type="dxa"/>
            <w:vAlign w:val="bottom"/>
          </w:tcPr>
          <w:p>
            <w:pPr>
              <w:jc w:val="center"/>
              <w:ind w:left="988"/>
              <w:spacing w:after="0"/>
              <w:rPr>
                <w:sz w:val="20"/>
                <w:szCs w:val="20"/>
                <w:color w:val="auto"/>
              </w:rPr>
            </w:pPr>
            <w:r>
              <w:rPr>
                <w:rFonts w:ascii="Arial" w:cs="Arial" w:eastAsia="Arial" w:hAnsi="Arial"/>
                <w:sz w:val="14"/>
                <w:szCs w:val="14"/>
                <w:color w:val="auto"/>
              </w:rPr>
              <w:t>Common Stock, par value $0.0001 per share</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w w:val="97"/>
              </w:rPr>
              <w:t>WSC</w:t>
            </w:r>
          </w:p>
        </w:tc>
        <w:tc>
          <w:tcPr>
            <w:tcW w:w="3720" w:type="dxa"/>
            <w:vAlign w:val="bottom"/>
          </w:tcPr>
          <w:p>
            <w:pPr>
              <w:jc w:val="center"/>
              <w:ind w:right="508"/>
              <w:spacing w:after="0"/>
              <w:rPr>
                <w:sz w:val="20"/>
                <w:szCs w:val="20"/>
                <w:color w:val="auto"/>
              </w:rPr>
            </w:pPr>
            <w:r>
              <w:rPr>
                <w:rFonts w:ascii="Arial" w:cs="Arial" w:eastAsia="Arial" w:hAnsi="Arial"/>
                <w:sz w:val="14"/>
                <w:szCs w:val="14"/>
                <w:color w:val="auto"/>
              </w:rPr>
              <w:t>The Nasdaq Capital Market</w:t>
            </w:r>
          </w:p>
        </w:tc>
      </w:tr>
      <w:tr>
        <w:trPr>
          <w:trHeight w:val="197"/>
        </w:trPr>
        <w:tc>
          <w:tcPr>
            <w:tcW w:w="3940" w:type="dxa"/>
            <w:vAlign w:val="bottom"/>
          </w:tcPr>
          <w:p>
            <w:pPr>
              <w:jc w:val="center"/>
              <w:ind w:left="988"/>
              <w:spacing w:after="0" w:line="197" w:lineRule="exact"/>
              <w:rPr>
                <w:sz w:val="20"/>
                <w:szCs w:val="20"/>
                <w:color w:val="auto"/>
              </w:rPr>
            </w:pPr>
            <w:r>
              <w:rPr>
                <w:rFonts w:ascii="Arial" w:cs="Arial" w:eastAsia="Arial" w:hAnsi="Arial"/>
                <w:sz w:val="14"/>
                <w:szCs w:val="14"/>
                <w:color w:val="auto"/>
              </w:rPr>
              <w:t>Warrants to purchase Common Stock</w:t>
            </w:r>
            <w:r>
              <w:rPr>
                <w:rFonts w:ascii="Arial" w:cs="Arial" w:eastAsia="Arial" w:hAnsi="Arial"/>
                <w:sz w:val="18"/>
                <w:szCs w:val="18"/>
                <w:color w:val="auto"/>
                <w:vertAlign w:val="superscript"/>
              </w:rPr>
              <w:t>(1)</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rPr>
              <w:t>WSCWW</w:t>
            </w:r>
          </w:p>
        </w:tc>
        <w:tc>
          <w:tcPr>
            <w:tcW w:w="3720" w:type="dxa"/>
            <w:vAlign w:val="bottom"/>
          </w:tcPr>
          <w:p>
            <w:pPr>
              <w:jc w:val="center"/>
              <w:ind w:right="508"/>
              <w:spacing w:after="0"/>
              <w:rPr>
                <w:sz w:val="20"/>
                <w:szCs w:val="20"/>
                <w:color w:val="auto"/>
              </w:rPr>
            </w:pPr>
            <w:r>
              <w:rPr>
                <w:rFonts w:ascii="Arial" w:cs="Arial" w:eastAsia="Arial" w:hAnsi="Arial"/>
                <w:sz w:val="14"/>
                <w:szCs w:val="14"/>
                <w:color w:val="auto"/>
              </w:rPr>
              <w:t>OTC Markets Group Inc.</w:t>
            </w:r>
          </w:p>
        </w:tc>
      </w:tr>
      <w:tr>
        <w:trPr>
          <w:trHeight w:val="240"/>
        </w:trPr>
        <w:tc>
          <w:tcPr>
            <w:tcW w:w="3940" w:type="dxa"/>
            <w:vAlign w:val="bottom"/>
          </w:tcPr>
          <w:p>
            <w:pPr>
              <w:jc w:val="center"/>
              <w:ind w:left="988"/>
              <w:spacing w:after="0"/>
              <w:rPr>
                <w:sz w:val="20"/>
                <w:szCs w:val="20"/>
                <w:color w:val="auto"/>
              </w:rPr>
            </w:pPr>
            <w:r>
              <w:rPr>
                <w:rFonts w:ascii="Arial" w:cs="Arial" w:eastAsia="Arial" w:hAnsi="Arial"/>
                <w:sz w:val="14"/>
                <w:szCs w:val="14"/>
                <w:color w:val="auto"/>
              </w:rPr>
              <w:t>Warrants to purchase Common Stock</w:t>
            </w:r>
            <w:r>
              <w:rPr>
                <w:rFonts w:ascii="Arial" w:cs="Arial" w:eastAsia="Arial" w:hAnsi="Arial"/>
                <w:sz w:val="18"/>
                <w:szCs w:val="18"/>
                <w:color w:val="auto"/>
                <w:vertAlign w:val="superscript"/>
              </w:rPr>
              <w:t>(2)</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rPr>
              <w:t>WSCTW</w:t>
            </w:r>
          </w:p>
        </w:tc>
        <w:tc>
          <w:tcPr>
            <w:tcW w:w="3720" w:type="dxa"/>
            <w:vAlign w:val="bottom"/>
          </w:tcPr>
          <w:p>
            <w:pPr>
              <w:jc w:val="center"/>
              <w:ind w:right="508"/>
              <w:spacing w:after="0"/>
              <w:rPr>
                <w:sz w:val="20"/>
                <w:szCs w:val="20"/>
                <w:color w:val="auto"/>
              </w:rPr>
            </w:pPr>
            <w:r>
              <w:rPr>
                <w:rFonts w:ascii="Arial" w:cs="Arial" w:eastAsia="Arial" w:hAnsi="Arial"/>
                <w:sz w:val="14"/>
                <w:szCs w:val="14"/>
                <w:color w:val="auto"/>
              </w:rPr>
              <w:t>OTC Markets Group Inc.</w:t>
            </w:r>
          </w:p>
        </w:tc>
      </w:tr>
    </w:tbl>
    <w:p>
      <w:pPr>
        <w:spacing w:after="0" w:line="52" w:lineRule="exact"/>
        <w:rPr>
          <w:sz w:val="24"/>
          <w:szCs w:val="24"/>
          <w:color w:val="auto"/>
        </w:rPr>
      </w:pPr>
    </w:p>
    <w:p>
      <w:pPr>
        <w:ind w:firstLine="656"/>
        <w:spacing w:after="0" w:line="258" w:lineRule="auto"/>
        <w:tabs>
          <w:tab w:leader="none" w:pos="864"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Issued in connection with the initial public offering of Double Eagle Acquisition Corp., the registrant's legal predecessor company, in September 2015, which are exercisable for one-half of one share of the registrant's common stock for an exercise price of $5.75.</w:t>
      </w:r>
    </w:p>
    <w:p>
      <w:pPr>
        <w:spacing w:after="0" w:line="31" w:lineRule="exact"/>
        <w:rPr>
          <w:rFonts w:ascii="Arial" w:cs="Arial" w:eastAsia="Arial" w:hAnsi="Arial"/>
          <w:sz w:val="14"/>
          <w:szCs w:val="14"/>
          <w:color w:val="auto"/>
        </w:rPr>
      </w:pPr>
    </w:p>
    <w:p>
      <w:pPr>
        <w:ind w:right="20" w:firstLine="656"/>
        <w:spacing w:after="0" w:line="258" w:lineRule="auto"/>
        <w:tabs>
          <w:tab w:leader="none" w:pos="887" w:val="left"/>
        </w:tabs>
        <w:numPr>
          <w:ilvl w:val="0"/>
          <w:numId w:val="3"/>
        </w:numPr>
        <w:rPr>
          <w:rFonts w:ascii="Arial" w:cs="Arial" w:eastAsia="Arial" w:hAnsi="Arial"/>
          <w:sz w:val="14"/>
          <w:szCs w:val="14"/>
          <w:color w:val="auto"/>
        </w:rPr>
      </w:pPr>
      <w:r>
        <w:rPr>
          <w:rFonts w:ascii="Arial" w:cs="Arial" w:eastAsia="Arial" w:hAnsi="Arial"/>
          <w:sz w:val="14"/>
          <w:szCs w:val="14"/>
          <w:color w:val="auto"/>
        </w:rPr>
        <w:t>Issued in connection with the registrant's acquisition of Modular Space Holding, Inc. in August 2018, which are exercisable for one share of the registrant's common stock at an exercise price of $15.50 per share.</w:t>
      </w:r>
    </w:p>
    <w:p>
      <w:pPr>
        <w:spacing w:after="0" w:line="32" w:lineRule="exact"/>
        <w:rPr>
          <w:sz w:val="24"/>
          <w:szCs w:val="24"/>
          <w:color w:val="auto"/>
        </w:rPr>
      </w:pPr>
    </w:p>
    <w:p>
      <w:pPr>
        <w:jc w:val="both"/>
        <w:ind w:firstLine="648"/>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right="20" w:firstLine="648"/>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p>
      <w:pPr>
        <w:ind w:left="20"/>
        <w:spacing w:after="0" w:line="161" w:lineRule="exact"/>
        <w:tabs>
          <w:tab w:leader="none" w:pos="56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6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6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firstLine="648"/>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40"/>
          </w:cols>
          <w:pgMar w:left="320" w:top="972" w:right="339" w:bottom="1440" w:gutter="0" w:footer="0" w:header="0"/>
        </w:sect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1" w:name="page2"/>
    <w:bookmarkEnd w:id="1"/>
    <w:p>
      <w:pPr>
        <w:ind w:right="2139"/>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226,826,328 shares at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593"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3"/>
          <w:szCs w:val="23"/>
          <w:b w:val="1"/>
          <w:bCs w:val="1"/>
          <w:color w:val="1D2758"/>
        </w:rPr>
        <w:t>WILLSCOT MOBILE MINI HOLDINGS CORP.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D2758"/>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Table of Contents</w:t>
      </w:r>
    </w:p>
    <w:p>
      <w:pPr>
        <w:spacing w:after="0" w:line="267" w:lineRule="exact"/>
        <w:rPr>
          <w:sz w:val="20"/>
          <w:szCs w:val="20"/>
          <w:color w:val="auto"/>
        </w:rPr>
      </w:pPr>
    </w:p>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20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4">
        <w:r>
          <w:rPr>
            <w:rFonts w:ascii="Arial" w:cs="Arial" w:eastAsia="Arial" w:hAnsi="Arial"/>
            <w:sz w:val="16"/>
            <w:szCs w:val="16"/>
            <w:color w:val="auto"/>
          </w:rPr>
          <w:t>Item 1</w:t>
        </w:r>
      </w:hyperlink>
      <w:r>
        <w:rPr>
          <w:rFonts w:ascii="Arial" w:cs="Arial" w:eastAsia="Arial" w:hAnsi="Arial"/>
          <w:sz w:val="16"/>
          <w:szCs w:val="16"/>
          <w:color w:val="auto"/>
        </w:rPr>
        <w:tab/>
      </w:r>
      <w:hyperlink w:anchor="page4">
        <w:r>
          <w:rPr>
            <w:rFonts w:ascii="Arial" w:cs="Arial" w:eastAsia="Arial" w:hAnsi="Arial"/>
            <w:sz w:val="16"/>
            <w:szCs w:val="16"/>
            <w:color w:val="auto"/>
          </w:rPr>
          <w:t>Financial Statements (unaudited, except as noted below)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1620" w:right="1960"/>
        <w:spacing w:after="0" w:line="510" w:lineRule="auto"/>
        <w:rPr>
          <w:rFonts w:ascii="Arial" w:cs="Arial" w:eastAsia="Arial" w:hAnsi="Arial"/>
          <w:sz w:val="16"/>
          <w:szCs w:val="16"/>
          <w:color w:val="auto"/>
        </w:rPr>
      </w:pPr>
      <w:hyperlink w:anchor="page4">
        <w:r>
          <w:rPr>
            <w:rFonts w:ascii="Arial" w:cs="Arial" w:eastAsia="Arial" w:hAnsi="Arial"/>
            <w:sz w:val="16"/>
            <w:szCs w:val="16"/>
            <w:color w:val="auto"/>
          </w:rPr>
          <w:t>Condensed Consolidated Balance Sheets as of March 31, 2021 and December 31, 2020 (audited)</w:t>
        </w:r>
      </w:hyperlink>
      <w:r>
        <w:rPr>
          <w:rFonts w:ascii="Arial" w:cs="Arial" w:eastAsia="Arial" w:hAnsi="Arial"/>
          <w:sz w:val="16"/>
          <w:szCs w:val="16"/>
          <w:color w:val="auto"/>
        </w:rPr>
        <w:t xml:space="preserve"> </w:t>
      </w:r>
      <w:hyperlink w:anchor="page4">
        <w:r>
          <w:rPr>
            <w:rFonts w:ascii="Arial" w:cs="Arial" w:eastAsia="Arial" w:hAnsi="Arial"/>
            <w:sz w:val="16"/>
            <w:szCs w:val="16"/>
            <w:color w:val="auto"/>
          </w:rPr>
          <w:t>Condensed Consolidated Statements of Operations for the Three Months Ended March 31,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6"/>
          <w:szCs w:val="16"/>
          <w:color w:val="auto"/>
        </w:rPr>
        <w:t>Condensed Consolidated Statements of Comprehensive Income (Loss) for the Three Months Ended March 31, 2021 and 2020</w:t>
      </w:r>
    </w:p>
    <w:p>
      <w:pPr>
        <w:spacing w:after="0" w:line="208" w:lineRule="exact"/>
        <w:rPr>
          <w:sz w:val="20"/>
          <w:szCs w:val="20"/>
          <w:color w:val="auto"/>
        </w:rPr>
      </w:pPr>
    </w:p>
    <w:p>
      <w:pPr>
        <w:ind w:left="1620" w:right="1520"/>
        <w:spacing w:after="0" w:line="295" w:lineRule="auto"/>
        <w:rPr>
          <w:rFonts w:ascii="Arial" w:cs="Arial" w:eastAsia="Arial" w:hAnsi="Arial"/>
          <w:sz w:val="16"/>
          <w:szCs w:val="16"/>
          <w:color w:val="auto"/>
        </w:rPr>
      </w:pPr>
      <w:hyperlink w:anchor="page6">
        <w:r>
          <w:rPr>
            <w:rFonts w:ascii="Arial" w:cs="Arial" w:eastAsia="Arial" w:hAnsi="Arial"/>
            <w:sz w:val="16"/>
            <w:szCs w:val="16"/>
            <w:color w:val="auto"/>
          </w:rPr>
          <w:t>Condensed Consolidated Statement of Changes in Equity for the Three Months Ended March 31, 2021 and 2020</w:t>
        </w:r>
      </w:hyperlink>
      <w:r>
        <w:rPr>
          <w:rFonts w:ascii="Arial" w:cs="Arial" w:eastAsia="Arial" w:hAnsi="Arial"/>
          <w:sz w:val="16"/>
          <w:szCs w:val="16"/>
          <w:color w:val="auto"/>
        </w:rPr>
        <w:t xml:space="preserve"> </w:t>
      </w:r>
      <w:hyperlink w:anchor="page7">
        <w:r>
          <w:rPr>
            <w:rFonts w:ascii="Arial" w:cs="Arial" w:eastAsia="Arial" w:hAnsi="Arial"/>
            <w:sz w:val="16"/>
            <w:szCs w:val="16"/>
            <w:color w:val="auto"/>
          </w:rPr>
          <w:t>Condensed Consolidated Statements of Cash Flows for the Three Months Ended March 31, 2021 and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35" w:lineRule="exact"/>
        <w:rPr>
          <w:sz w:val="20"/>
          <w:szCs w:val="20"/>
          <w:color w:val="auto"/>
        </w:rPr>
      </w:pPr>
    </w:p>
    <w:p>
      <w:pPr>
        <w:ind w:left="1620"/>
        <w:spacing w:after="0"/>
        <w:rPr>
          <w:rFonts w:ascii="Arial" w:cs="Arial" w:eastAsia="Arial" w:hAnsi="Arial"/>
          <w:sz w:val="16"/>
          <w:szCs w:val="16"/>
          <w:color w:val="auto"/>
        </w:rPr>
      </w:pPr>
      <w:hyperlink w:anchor="page8">
        <w:r>
          <w:rPr>
            <w:rFonts w:ascii="Arial" w:cs="Arial" w:eastAsia="Arial" w:hAnsi="Arial"/>
            <w:sz w:val="16"/>
            <w:szCs w:val="16"/>
            <w:color w:val="auto"/>
          </w:rPr>
          <w:t>Notes to the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33">
        <w:r>
          <w:rPr>
            <w:rFonts w:ascii="Arial" w:cs="Arial" w:eastAsia="Arial" w:hAnsi="Arial"/>
            <w:sz w:val="16"/>
            <w:szCs w:val="16"/>
            <w:color w:val="auto"/>
          </w:rPr>
          <w:t>Item 2</w:t>
        </w:r>
      </w:hyperlink>
      <w:r>
        <w:rPr>
          <w:rFonts w:ascii="Arial" w:cs="Arial" w:eastAsia="Arial" w:hAnsi="Arial"/>
          <w:sz w:val="16"/>
          <w:szCs w:val="16"/>
          <w:color w:val="auto"/>
        </w:rPr>
        <w:tab/>
      </w:r>
      <w:hyperlink w:anchor="page33">
        <w:r>
          <w:rPr>
            <w:rFonts w:ascii="Arial" w:cs="Arial" w:eastAsia="Arial" w:hAnsi="Arial"/>
            <w:sz w:val="16"/>
            <w:szCs w:val="16"/>
            <w:color w:val="auto"/>
          </w:rPr>
          <w:t>Management’s Discussion and Analysis of Financial Condition and Results of Operations</w:t>
        </w:r>
      </w:hyperlink>
    </w:p>
    <w:p>
      <w:pPr>
        <w:spacing w:after="0" w:line="20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54">
        <w:r>
          <w:rPr>
            <w:rFonts w:ascii="Arial" w:cs="Arial" w:eastAsia="Arial" w:hAnsi="Arial"/>
            <w:sz w:val="16"/>
            <w:szCs w:val="16"/>
            <w:color w:val="auto"/>
          </w:rPr>
          <w:t>Item 3</w:t>
        </w:r>
      </w:hyperlink>
      <w:r>
        <w:rPr>
          <w:rFonts w:ascii="Arial" w:cs="Arial" w:eastAsia="Arial" w:hAnsi="Arial"/>
          <w:sz w:val="16"/>
          <w:szCs w:val="16"/>
          <w:color w:val="auto"/>
        </w:rPr>
        <w:tab/>
      </w:r>
      <w:hyperlink w:anchor="page54">
        <w:r>
          <w:rPr>
            <w:rFonts w:ascii="Arial" w:cs="Arial" w:eastAsia="Arial" w:hAnsi="Arial"/>
            <w:sz w:val="16"/>
            <w:szCs w:val="16"/>
            <w:color w:val="auto"/>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8" w:lineRule="exact"/>
        <w:rPr>
          <w:sz w:val="20"/>
          <w:szCs w:val="20"/>
          <w:color w:val="auto"/>
        </w:rPr>
      </w:pPr>
    </w:p>
    <w:p>
      <w:pPr>
        <w:ind w:left="400"/>
        <w:spacing w:after="0"/>
        <w:tabs>
          <w:tab w:leader="none" w:pos="1240" w:val="left"/>
        </w:tabs>
        <w:rPr>
          <w:rFonts w:ascii="Arial" w:cs="Arial" w:eastAsia="Arial" w:hAnsi="Arial"/>
          <w:sz w:val="16"/>
          <w:szCs w:val="16"/>
          <w:color w:val="auto"/>
        </w:rPr>
      </w:pPr>
      <w:hyperlink w:anchor="page54">
        <w:r>
          <w:rPr>
            <w:rFonts w:ascii="Arial" w:cs="Arial" w:eastAsia="Arial" w:hAnsi="Arial"/>
            <w:sz w:val="16"/>
            <w:szCs w:val="16"/>
            <w:color w:val="auto"/>
          </w:rPr>
          <w:t>Item 4</w:t>
        </w:r>
      </w:hyperlink>
      <w:r>
        <w:rPr>
          <w:rFonts w:ascii="Arial" w:cs="Arial" w:eastAsia="Arial" w:hAnsi="Arial"/>
          <w:sz w:val="16"/>
          <w:szCs w:val="16"/>
          <w:color w:val="auto"/>
        </w:rPr>
        <w:tab/>
      </w:r>
      <w:hyperlink w:anchor="page54">
        <w:r>
          <w:rPr>
            <w:rFonts w:ascii="Arial" w:cs="Arial" w:eastAsia="Arial" w:hAnsi="Arial"/>
            <w:sz w:val="16"/>
            <w:szCs w:val="16"/>
            <w:color w:val="auto"/>
          </w:rPr>
          <w:t>Controls and Procedures</w:t>
        </w:r>
      </w:hyperlink>
    </w:p>
    <w:p>
      <w:pPr>
        <w:spacing w:after="0" w:line="188" w:lineRule="exact"/>
        <w:rPr>
          <w:sz w:val="20"/>
          <w:szCs w:val="20"/>
          <w:color w:val="auto"/>
        </w:rPr>
      </w:pPr>
    </w:p>
    <w:p>
      <w:pPr>
        <w:ind w:left="20"/>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shd w:val="clear" w:color="auto" w:fill="DBDBDB"/>
          </w:tcPr>
          <w:p>
            <w:pPr>
              <w:ind w:left="400"/>
              <w:spacing w:after="0"/>
              <w:rPr>
                <w:rFonts w:ascii="Arial" w:cs="Arial" w:eastAsia="Arial" w:hAnsi="Arial"/>
                <w:sz w:val="16"/>
                <w:szCs w:val="16"/>
                <w:color w:val="auto"/>
              </w:rPr>
            </w:pPr>
            <w:hyperlink w:anchor="page55">
              <w:r>
                <w:rPr>
                  <w:rFonts w:ascii="Arial" w:cs="Arial" w:eastAsia="Arial" w:hAnsi="Arial"/>
                  <w:sz w:val="16"/>
                  <w:szCs w:val="16"/>
                  <w:color w:val="auto"/>
                </w:rPr>
                <w:t>Item 1</w:t>
              </w:r>
            </w:hyperlink>
          </w:p>
        </w:tc>
        <w:tc>
          <w:tcPr>
            <w:tcW w:w="10120" w:type="dxa"/>
            <w:vAlign w:val="bottom"/>
            <w:shd w:val="clear" w:color="auto" w:fill="DBDBDB"/>
          </w:tcPr>
          <w:p>
            <w:pPr>
              <w:ind w:left="140"/>
              <w:spacing w:after="0"/>
              <w:rPr>
                <w:rFonts w:ascii="Arial" w:cs="Arial" w:eastAsia="Arial" w:hAnsi="Arial"/>
                <w:sz w:val="16"/>
                <w:szCs w:val="16"/>
                <w:color w:val="auto"/>
              </w:rPr>
            </w:pPr>
            <w:hyperlink w:anchor="page55">
              <w:r>
                <w:rPr>
                  <w:rFonts w:ascii="Arial" w:cs="Arial" w:eastAsia="Arial" w:hAnsi="Arial"/>
                  <w:sz w:val="16"/>
                  <w:szCs w:val="16"/>
                  <w:color w:val="auto"/>
                </w:rPr>
                <w:t>Legal Proceedings</w:t>
              </w:r>
            </w:hyperlink>
          </w:p>
        </w:tc>
      </w:tr>
      <w:tr>
        <w:trPr>
          <w:trHeight w:val="177"/>
        </w:trPr>
        <w:tc>
          <w:tcPr>
            <w:tcW w:w="1120" w:type="dxa"/>
            <w:vAlign w:val="bottom"/>
            <w:shd w:val="clear" w:color="auto" w:fill="DBDBDB"/>
          </w:tcPr>
          <w:p>
            <w:pPr>
              <w:spacing w:after="0"/>
              <w:rPr>
                <w:sz w:val="15"/>
                <w:szCs w:val="15"/>
                <w:color w:val="auto"/>
              </w:rPr>
            </w:pPr>
          </w:p>
        </w:tc>
        <w:tc>
          <w:tcPr>
            <w:tcW w:w="10120" w:type="dxa"/>
            <w:vAlign w:val="bottom"/>
            <w:shd w:val="clear" w:color="auto" w:fill="DBDBDB"/>
          </w:tcPr>
          <w:p>
            <w:pPr>
              <w:spacing w:after="0"/>
              <w:rPr>
                <w:sz w:val="15"/>
                <w:szCs w:val="15"/>
                <w:color w:val="auto"/>
              </w:rPr>
            </w:pPr>
          </w:p>
        </w:tc>
      </w:tr>
      <w:tr>
        <w:trPr>
          <w:trHeight w:val="210"/>
        </w:trPr>
        <w:tc>
          <w:tcPr>
            <w:tcW w:w="1120" w:type="dxa"/>
            <w:vAlign w:val="bottom"/>
          </w:tcPr>
          <w:p>
            <w:pPr>
              <w:ind w:left="400"/>
              <w:spacing w:after="0"/>
              <w:rPr>
                <w:rFonts w:ascii="Arial" w:cs="Arial" w:eastAsia="Arial" w:hAnsi="Arial"/>
                <w:sz w:val="16"/>
                <w:szCs w:val="16"/>
                <w:color w:val="auto"/>
              </w:rPr>
            </w:pPr>
            <w:hyperlink w:anchor="page55">
              <w:r>
                <w:rPr>
                  <w:rFonts w:ascii="Arial" w:cs="Arial" w:eastAsia="Arial" w:hAnsi="Arial"/>
                  <w:sz w:val="16"/>
                  <w:szCs w:val="16"/>
                  <w:color w:val="auto"/>
                </w:rPr>
                <w:t>Item 1A</w:t>
              </w:r>
            </w:hyperlink>
          </w:p>
        </w:tc>
        <w:tc>
          <w:tcPr>
            <w:tcW w:w="10120" w:type="dxa"/>
            <w:vAlign w:val="bottom"/>
          </w:tcPr>
          <w:p>
            <w:pPr>
              <w:ind w:left="140"/>
              <w:spacing w:after="0"/>
              <w:rPr>
                <w:rFonts w:ascii="Arial" w:cs="Arial" w:eastAsia="Arial" w:hAnsi="Arial"/>
                <w:sz w:val="16"/>
                <w:szCs w:val="16"/>
                <w:color w:val="auto"/>
              </w:rPr>
            </w:pPr>
            <w:hyperlink w:anchor="page55">
              <w:r>
                <w:rPr>
                  <w:rFonts w:ascii="Arial" w:cs="Arial" w:eastAsia="Arial" w:hAnsi="Arial"/>
                  <w:sz w:val="16"/>
                  <w:szCs w:val="16"/>
                  <w:color w:val="auto"/>
                </w:rPr>
                <w:t>Risk Factors</w:t>
              </w:r>
            </w:hyperlink>
          </w:p>
        </w:tc>
      </w:tr>
      <w:tr>
        <w:trPr>
          <w:trHeight w:val="182"/>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0"/>
        </w:trPr>
        <w:tc>
          <w:tcPr>
            <w:tcW w:w="1120" w:type="dxa"/>
            <w:vAlign w:val="bottom"/>
            <w:shd w:val="clear" w:color="auto" w:fill="DBDBDB"/>
          </w:tcPr>
          <w:p>
            <w:pPr>
              <w:ind w:left="400"/>
              <w:spacing w:after="0"/>
              <w:rPr>
                <w:rFonts w:ascii="Arial" w:cs="Arial" w:eastAsia="Arial" w:hAnsi="Arial"/>
                <w:sz w:val="16"/>
                <w:szCs w:val="16"/>
                <w:color w:val="auto"/>
              </w:rPr>
            </w:pPr>
            <w:hyperlink w:anchor="page55">
              <w:r>
                <w:rPr>
                  <w:rFonts w:ascii="Arial" w:cs="Arial" w:eastAsia="Arial" w:hAnsi="Arial"/>
                  <w:sz w:val="16"/>
                  <w:szCs w:val="16"/>
                  <w:color w:val="auto"/>
                </w:rPr>
                <w:t>Item 2</w:t>
              </w:r>
            </w:hyperlink>
          </w:p>
        </w:tc>
        <w:tc>
          <w:tcPr>
            <w:tcW w:w="10120" w:type="dxa"/>
            <w:vAlign w:val="bottom"/>
            <w:shd w:val="clear" w:color="auto" w:fill="DBDBDB"/>
          </w:tcPr>
          <w:p>
            <w:pPr>
              <w:ind w:left="140"/>
              <w:spacing w:after="0"/>
              <w:rPr>
                <w:rFonts w:ascii="Arial" w:cs="Arial" w:eastAsia="Arial" w:hAnsi="Arial"/>
                <w:sz w:val="16"/>
                <w:szCs w:val="16"/>
                <w:color w:val="auto"/>
              </w:rPr>
            </w:pPr>
            <w:hyperlink w:anchor="page55">
              <w:r>
                <w:rPr>
                  <w:rFonts w:ascii="Arial" w:cs="Arial" w:eastAsia="Arial" w:hAnsi="Arial"/>
                  <w:sz w:val="16"/>
                  <w:szCs w:val="16"/>
                  <w:color w:val="auto"/>
                </w:rPr>
                <w:t>Unregistered Sales of Equity Securities and Use of Proceeds</w:t>
              </w:r>
            </w:hyperlink>
          </w:p>
        </w:tc>
      </w:tr>
      <w:tr>
        <w:trPr>
          <w:trHeight w:val="182"/>
        </w:trPr>
        <w:tc>
          <w:tcPr>
            <w:tcW w:w="1120" w:type="dxa"/>
            <w:vAlign w:val="bottom"/>
            <w:shd w:val="clear" w:color="auto" w:fill="DBDBDB"/>
          </w:tcPr>
          <w:p>
            <w:pPr>
              <w:spacing w:after="0"/>
              <w:rPr>
                <w:sz w:val="15"/>
                <w:szCs w:val="15"/>
                <w:color w:val="auto"/>
              </w:rPr>
            </w:pPr>
          </w:p>
        </w:tc>
        <w:tc>
          <w:tcPr>
            <w:tcW w:w="10120" w:type="dxa"/>
            <w:vAlign w:val="bottom"/>
            <w:shd w:val="clear" w:color="auto" w:fill="DBDBDB"/>
          </w:tcPr>
          <w:p>
            <w:pPr>
              <w:spacing w:after="0"/>
              <w:rPr>
                <w:sz w:val="15"/>
                <w:szCs w:val="15"/>
                <w:color w:val="auto"/>
              </w:rPr>
            </w:pPr>
          </w:p>
        </w:tc>
      </w:tr>
      <w:tr>
        <w:trPr>
          <w:trHeight w:val="210"/>
        </w:trPr>
        <w:tc>
          <w:tcPr>
            <w:tcW w:w="1120" w:type="dxa"/>
            <w:vAlign w:val="bottom"/>
          </w:tcPr>
          <w:p>
            <w:pPr>
              <w:ind w:left="400"/>
              <w:spacing w:after="0"/>
              <w:rPr>
                <w:rFonts w:ascii="Arial" w:cs="Arial" w:eastAsia="Arial" w:hAnsi="Arial"/>
                <w:sz w:val="16"/>
                <w:szCs w:val="16"/>
                <w:color w:val="auto"/>
              </w:rPr>
            </w:pPr>
            <w:hyperlink w:anchor="page56">
              <w:r>
                <w:rPr>
                  <w:rFonts w:ascii="Arial" w:cs="Arial" w:eastAsia="Arial" w:hAnsi="Arial"/>
                  <w:sz w:val="16"/>
                  <w:szCs w:val="16"/>
                  <w:color w:val="auto"/>
                </w:rPr>
                <w:t>Item 3</w:t>
              </w:r>
            </w:hyperlink>
          </w:p>
        </w:tc>
        <w:tc>
          <w:tcPr>
            <w:tcW w:w="10120" w:type="dxa"/>
            <w:vAlign w:val="bottom"/>
          </w:tcPr>
          <w:p>
            <w:pPr>
              <w:ind w:left="140"/>
              <w:spacing w:after="0"/>
              <w:rPr>
                <w:rFonts w:ascii="Arial" w:cs="Arial" w:eastAsia="Arial" w:hAnsi="Arial"/>
                <w:sz w:val="16"/>
                <w:szCs w:val="16"/>
                <w:color w:val="auto"/>
              </w:rPr>
            </w:pPr>
            <w:hyperlink w:anchor="page56">
              <w:r>
                <w:rPr>
                  <w:rFonts w:ascii="Arial" w:cs="Arial" w:eastAsia="Arial" w:hAnsi="Arial"/>
                  <w:sz w:val="16"/>
                  <w:szCs w:val="16"/>
                  <w:color w:val="auto"/>
                </w:rPr>
                <w:t>Defaults Upon Senior Securities</w:t>
              </w:r>
            </w:hyperlink>
          </w:p>
        </w:tc>
      </w:tr>
      <w:tr>
        <w:trPr>
          <w:trHeight w:val="182"/>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0"/>
        </w:trPr>
        <w:tc>
          <w:tcPr>
            <w:tcW w:w="1120" w:type="dxa"/>
            <w:vAlign w:val="bottom"/>
            <w:shd w:val="clear" w:color="auto" w:fill="DBDBDB"/>
          </w:tcPr>
          <w:p>
            <w:pPr>
              <w:ind w:left="400"/>
              <w:spacing w:after="0"/>
              <w:rPr>
                <w:rFonts w:ascii="Arial" w:cs="Arial" w:eastAsia="Arial" w:hAnsi="Arial"/>
                <w:sz w:val="16"/>
                <w:szCs w:val="16"/>
                <w:color w:val="auto"/>
              </w:rPr>
            </w:pPr>
            <w:hyperlink w:anchor="page56">
              <w:r>
                <w:rPr>
                  <w:rFonts w:ascii="Arial" w:cs="Arial" w:eastAsia="Arial" w:hAnsi="Arial"/>
                  <w:sz w:val="16"/>
                  <w:szCs w:val="16"/>
                  <w:color w:val="auto"/>
                </w:rPr>
                <w:t>Item 4</w:t>
              </w:r>
            </w:hyperlink>
          </w:p>
        </w:tc>
        <w:tc>
          <w:tcPr>
            <w:tcW w:w="10120" w:type="dxa"/>
            <w:vAlign w:val="bottom"/>
            <w:shd w:val="clear" w:color="auto" w:fill="DBDBDB"/>
          </w:tcPr>
          <w:p>
            <w:pPr>
              <w:ind w:left="140"/>
              <w:spacing w:after="0"/>
              <w:rPr>
                <w:rFonts w:ascii="Arial" w:cs="Arial" w:eastAsia="Arial" w:hAnsi="Arial"/>
                <w:sz w:val="16"/>
                <w:szCs w:val="16"/>
                <w:color w:val="auto"/>
              </w:rPr>
            </w:pPr>
            <w:hyperlink w:anchor="page56">
              <w:r>
                <w:rPr>
                  <w:rFonts w:ascii="Arial" w:cs="Arial" w:eastAsia="Arial" w:hAnsi="Arial"/>
                  <w:sz w:val="16"/>
                  <w:szCs w:val="16"/>
                  <w:color w:val="auto"/>
                </w:rPr>
                <w:t>Mine Safety Disclosures</w:t>
              </w:r>
            </w:hyperlink>
          </w:p>
        </w:tc>
      </w:tr>
      <w:tr>
        <w:trPr>
          <w:trHeight w:val="182"/>
        </w:trPr>
        <w:tc>
          <w:tcPr>
            <w:tcW w:w="1120" w:type="dxa"/>
            <w:vAlign w:val="bottom"/>
            <w:shd w:val="clear" w:color="auto" w:fill="DBDBDB"/>
          </w:tcPr>
          <w:p>
            <w:pPr>
              <w:spacing w:after="0"/>
              <w:rPr>
                <w:sz w:val="15"/>
                <w:szCs w:val="15"/>
                <w:color w:val="auto"/>
              </w:rPr>
            </w:pPr>
          </w:p>
        </w:tc>
        <w:tc>
          <w:tcPr>
            <w:tcW w:w="10120" w:type="dxa"/>
            <w:vAlign w:val="bottom"/>
            <w:shd w:val="clear" w:color="auto" w:fill="DBDBDB"/>
          </w:tcPr>
          <w:p>
            <w:pPr>
              <w:spacing w:after="0"/>
              <w:rPr>
                <w:sz w:val="15"/>
                <w:szCs w:val="15"/>
                <w:color w:val="auto"/>
              </w:rPr>
            </w:pPr>
          </w:p>
        </w:tc>
      </w:tr>
      <w:tr>
        <w:trPr>
          <w:trHeight w:val="210"/>
        </w:trPr>
        <w:tc>
          <w:tcPr>
            <w:tcW w:w="1120" w:type="dxa"/>
            <w:vAlign w:val="bottom"/>
          </w:tcPr>
          <w:p>
            <w:pPr>
              <w:ind w:left="400"/>
              <w:spacing w:after="0"/>
              <w:rPr>
                <w:rFonts w:ascii="Arial" w:cs="Arial" w:eastAsia="Arial" w:hAnsi="Arial"/>
                <w:sz w:val="16"/>
                <w:szCs w:val="16"/>
                <w:color w:val="auto"/>
              </w:rPr>
            </w:pPr>
            <w:hyperlink w:anchor="page56">
              <w:r>
                <w:rPr>
                  <w:rFonts w:ascii="Arial" w:cs="Arial" w:eastAsia="Arial" w:hAnsi="Arial"/>
                  <w:sz w:val="16"/>
                  <w:szCs w:val="16"/>
                  <w:color w:val="auto"/>
                </w:rPr>
                <w:t>Item 5</w:t>
              </w:r>
            </w:hyperlink>
          </w:p>
        </w:tc>
        <w:tc>
          <w:tcPr>
            <w:tcW w:w="10120" w:type="dxa"/>
            <w:vAlign w:val="bottom"/>
          </w:tcPr>
          <w:p>
            <w:pPr>
              <w:ind w:left="140"/>
              <w:spacing w:after="0"/>
              <w:rPr>
                <w:rFonts w:ascii="Arial" w:cs="Arial" w:eastAsia="Arial" w:hAnsi="Arial"/>
                <w:sz w:val="16"/>
                <w:szCs w:val="16"/>
                <w:color w:val="auto"/>
              </w:rPr>
            </w:pPr>
            <w:hyperlink w:anchor="page56">
              <w:r>
                <w:rPr>
                  <w:rFonts w:ascii="Arial" w:cs="Arial" w:eastAsia="Arial" w:hAnsi="Arial"/>
                  <w:sz w:val="16"/>
                  <w:szCs w:val="16"/>
                  <w:color w:val="auto"/>
                </w:rPr>
                <w:t>Other Information</w:t>
              </w:r>
            </w:hyperlink>
          </w:p>
        </w:tc>
      </w:tr>
      <w:tr>
        <w:trPr>
          <w:trHeight w:val="182"/>
        </w:trPr>
        <w:tc>
          <w:tcPr>
            <w:tcW w:w="1120" w:type="dxa"/>
            <w:vAlign w:val="bottom"/>
          </w:tcPr>
          <w:p>
            <w:pPr>
              <w:spacing w:after="0"/>
              <w:rPr>
                <w:sz w:val="15"/>
                <w:szCs w:val="15"/>
                <w:color w:val="auto"/>
              </w:rPr>
            </w:pPr>
          </w:p>
        </w:tc>
        <w:tc>
          <w:tcPr>
            <w:tcW w:w="10120" w:type="dxa"/>
            <w:vAlign w:val="bottom"/>
          </w:tcPr>
          <w:p>
            <w:pPr>
              <w:spacing w:after="0"/>
              <w:rPr>
                <w:sz w:val="15"/>
                <w:szCs w:val="15"/>
                <w:color w:val="auto"/>
              </w:rPr>
            </w:pPr>
          </w:p>
        </w:tc>
      </w:tr>
      <w:tr>
        <w:trPr>
          <w:trHeight w:val="210"/>
        </w:trPr>
        <w:tc>
          <w:tcPr>
            <w:tcW w:w="1120" w:type="dxa"/>
            <w:vAlign w:val="bottom"/>
            <w:shd w:val="clear" w:color="auto" w:fill="DBDBDB"/>
          </w:tcPr>
          <w:p>
            <w:pPr>
              <w:ind w:left="400"/>
              <w:spacing w:after="0"/>
              <w:rPr>
                <w:rFonts w:ascii="Arial" w:cs="Arial" w:eastAsia="Arial" w:hAnsi="Arial"/>
                <w:sz w:val="16"/>
                <w:szCs w:val="16"/>
                <w:color w:val="auto"/>
              </w:rPr>
            </w:pPr>
            <w:hyperlink w:anchor="page56">
              <w:r>
                <w:rPr>
                  <w:rFonts w:ascii="Arial" w:cs="Arial" w:eastAsia="Arial" w:hAnsi="Arial"/>
                  <w:sz w:val="16"/>
                  <w:szCs w:val="16"/>
                  <w:color w:val="auto"/>
                </w:rPr>
                <w:t>Item 6</w:t>
              </w:r>
            </w:hyperlink>
          </w:p>
        </w:tc>
        <w:tc>
          <w:tcPr>
            <w:tcW w:w="10120" w:type="dxa"/>
            <w:vAlign w:val="bottom"/>
            <w:shd w:val="clear" w:color="auto" w:fill="DBDBDB"/>
          </w:tcPr>
          <w:p>
            <w:pPr>
              <w:ind w:left="140"/>
              <w:spacing w:after="0"/>
              <w:rPr>
                <w:rFonts w:ascii="Arial" w:cs="Arial" w:eastAsia="Arial" w:hAnsi="Arial"/>
                <w:sz w:val="16"/>
                <w:szCs w:val="16"/>
                <w:color w:val="auto"/>
              </w:rPr>
            </w:pPr>
            <w:hyperlink w:anchor="page56">
              <w:r>
                <w:rPr>
                  <w:rFonts w:ascii="Arial" w:cs="Arial" w:eastAsia="Arial" w:hAnsi="Arial"/>
                  <w:sz w:val="16"/>
                  <w:szCs w:val="16"/>
                  <w:color w:val="auto"/>
                </w:rPr>
                <w:t>Exhibits</w:t>
              </w:r>
            </w:hyperlink>
          </w:p>
        </w:tc>
      </w:tr>
      <w:tr>
        <w:trPr>
          <w:trHeight w:val="181"/>
        </w:trPr>
        <w:tc>
          <w:tcPr>
            <w:tcW w:w="1120" w:type="dxa"/>
            <w:vAlign w:val="bottom"/>
            <w:shd w:val="clear" w:color="auto" w:fill="DBDBDB"/>
          </w:tcPr>
          <w:p>
            <w:pPr>
              <w:spacing w:after="0"/>
              <w:rPr>
                <w:sz w:val="15"/>
                <w:szCs w:val="15"/>
                <w:color w:val="auto"/>
              </w:rPr>
            </w:pPr>
          </w:p>
        </w:tc>
        <w:tc>
          <w:tcPr>
            <w:tcW w:w="10120" w:type="dxa"/>
            <w:vAlign w:val="bottom"/>
            <w:shd w:val="clear" w:color="auto" w:fill="DBDBDB"/>
          </w:tcPr>
          <w:p>
            <w:pPr>
              <w:spacing w:after="0"/>
              <w:rPr>
                <w:sz w:val="15"/>
                <w:szCs w:val="15"/>
                <w:color w:val="auto"/>
              </w:rPr>
            </w:pPr>
          </w:p>
        </w:tc>
      </w:tr>
      <w:tr>
        <w:trPr>
          <w:trHeight w:val="215"/>
        </w:trPr>
        <w:tc>
          <w:tcPr>
            <w:tcW w:w="1120" w:type="dxa"/>
            <w:vAlign w:val="bottom"/>
          </w:tcPr>
          <w:p>
            <w:pPr>
              <w:ind w:left="20"/>
              <w:spacing w:after="0"/>
              <w:rPr>
                <w:rFonts w:ascii="Arial" w:cs="Arial" w:eastAsia="Arial" w:hAnsi="Arial"/>
                <w:sz w:val="16"/>
                <w:szCs w:val="16"/>
                <w:b w:val="1"/>
                <w:bCs w:val="1"/>
                <w:color w:val="auto"/>
              </w:rPr>
            </w:pPr>
            <w:hyperlink w:anchor="page57">
              <w:r>
                <w:rPr>
                  <w:rFonts w:ascii="Arial" w:cs="Arial" w:eastAsia="Arial" w:hAnsi="Arial"/>
                  <w:sz w:val="16"/>
                  <w:szCs w:val="16"/>
                  <w:b w:val="1"/>
                  <w:bCs w:val="1"/>
                  <w:color w:val="auto"/>
                </w:rPr>
                <w:t>SIGNATURE</w:t>
              </w:r>
            </w:hyperlink>
          </w:p>
        </w:tc>
        <w:tc>
          <w:tcPr>
            <w:tcW w:w="10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480"/>
        </w:trPr>
        <w:tc>
          <w:tcPr>
            <w:tcW w:w="3440" w:type="dxa"/>
            <w:vAlign w:val="bottom"/>
          </w:tcPr>
          <w:p>
            <w:pPr>
              <w:ind w:left="1800"/>
              <w:spacing w:after="0"/>
              <w:rPr>
                <w:sz w:val="20"/>
                <w:szCs w:val="20"/>
                <w:color w:val="auto"/>
              </w:rPr>
            </w:pPr>
            <w:r>
              <w:rPr>
                <w:rFonts w:ascii="Arial" w:cs="Arial" w:eastAsia="Arial" w:hAnsi="Arial"/>
                <w:sz w:val="36"/>
                <w:szCs w:val="36"/>
                <w:b w:val="1"/>
                <w:bCs w:val="1"/>
                <w:color w:val="auto"/>
              </w:rPr>
              <w:t>ITEM 1.</w:t>
            </w:r>
          </w:p>
        </w:tc>
        <w:tc>
          <w:tcPr>
            <w:tcW w:w="4180" w:type="dxa"/>
            <w:vAlign w:val="bottom"/>
            <w:gridSpan w:val="2"/>
          </w:tcPr>
          <w:p>
            <w:pPr>
              <w:jc w:val="right"/>
              <w:ind w:right="479"/>
              <w:spacing w:after="0"/>
              <w:rPr>
                <w:sz w:val="20"/>
                <w:szCs w:val="20"/>
                <w:color w:val="auto"/>
              </w:rPr>
            </w:pPr>
            <w:r>
              <w:rPr>
                <w:rFonts w:ascii="Arial" w:cs="Arial" w:eastAsia="Arial" w:hAnsi="Arial"/>
                <w:sz w:val="36"/>
                <w:szCs w:val="36"/>
                <w:b w:val="1"/>
                <w:bCs w:val="1"/>
                <w:color w:val="auto"/>
                <w:w w:val="99"/>
              </w:rPr>
              <w:t>Financial Statements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9"/>
        </w:trPr>
        <w:tc>
          <w:tcPr>
            <w:tcW w:w="3440" w:type="dxa"/>
            <w:vAlign w:val="bottom"/>
          </w:tcPr>
          <w:p>
            <w:pPr>
              <w:spacing w:after="0"/>
              <w:rPr>
                <w:sz w:val="24"/>
                <w:szCs w:val="24"/>
                <w:color w:val="auto"/>
              </w:rPr>
            </w:pPr>
          </w:p>
        </w:tc>
        <w:tc>
          <w:tcPr>
            <w:tcW w:w="4180" w:type="dxa"/>
            <w:vAlign w:val="bottom"/>
            <w:gridSpan w:val="2"/>
          </w:tcPr>
          <w:p>
            <w:pPr>
              <w:jc w:val="right"/>
              <w:ind w:right="279"/>
              <w:spacing w:after="0"/>
              <w:rPr>
                <w:sz w:val="20"/>
                <w:szCs w:val="20"/>
                <w:color w:val="auto"/>
              </w:rPr>
            </w:pPr>
            <w:r>
              <w:rPr>
                <w:rFonts w:ascii="Arial" w:cs="Arial" w:eastAsia="Arial" w:hAnsi="Arial"/>
                <w:sz w:val="23"/>
                <w:szCs w:val="23"/>
                <w:color w:val="1D2758"/>
              </w:rPr>
              <w:t>WillScot Mobile Mini Holdings Corp.</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620" w:type="dxa"/>
            <w:vAlign w:val="bottom"/>
            <w:gridSpan w:val="3"/>
          </w:tcPr>
          <w:p>
            <w:pPr>
              <w:ind w:left="3240"/>
              <w:spacing w:after="0"/>
              <w:rPr>
                <w:sz w:val="20"/>
                <w:szCs w:val="20"/>
                <w:color w:val="auto"/>
              </w:rPr>
            </w:pPr>
            <w:r>
              <w:rPr>
                <w:rFonts w:ascii="Arial" w:cs="Arial" w:eastAsia="Arial" w:hAnsi="Arial"/>
                <w:sz w:val="23"/>
                <w:szCs w:val="23"/>
                <w:color w:val="1D2758"/>
              </w:rPr>
              <w:t>Condensed Consolidated Balance Sheets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2660" w:type="dxa"/>
            <w:vAlign w:val="bottom"/>
            <w:shd w:val="clear" w:color="auto" w:fill="1D2758"/>
          </w:tcPr>
          <w:p>
            <w:pPr>
              <w:spacing w:after="0"/>
              <w:rPr>
                <w:sz w:val="17"/>
                <w:szCs w:val="17"/>
                <w:color w:val="auto"/>
              </w:rPr>
            </w:pPr>
          </w:p>
        </w:tc>
        <w:tc>
          <w:tcPr>
            <w:tcW w:w="2500" w:type="dxa"/>
            <w:vAlign w:val="bottom"/>
            <w:gridSpan w:val="3"/>
            <w:vMerge w:val="restart"/>
            <w:shd w:val="clear" w:color="auto" w:fill="1D2758"/>
          </w:tcPr>
          <w:p>
            <w:pPr>
              <w:ind w:left="160"/>
              <w:spacing w:after="0"/>
              <w:rPr>
                <w:sz w:val="20"/>
                <w:szCs w:val="20"/>
                <w:color w:val="auto"/>
              </w:rPr>
            </w:pPr>
            <w:r>
              <w:rPr>
                <w:rFonts w:ascii="Arial" w:cs="Arial" w:eastAsia="Arial" w:hAnsi="Arial"/>
                <w:sz w:val="16"/>
                <w:szCs w:val="16"/>
                <w:b w:val="1"/>
                <w:bCs w:val="1"/>
                <w:color w:val="FFFFFF"/>
              </w:rPr>
              <w:t>March 31, 2021 (unaudited)</w:t>
            </w:r>
          </w:p>
        </w:tc>
        <w:tc>
          <w:tcPr>
            <w:tcW w:w="300" w:type="dxa"/>
            <w:vAlign w:val="bottom"/>
            <w:shd w:val="clear" w:color="auto" w:fill="1D2758"/>
          </w:tcPr>
          <w:p>
            <w:pPr>
              <w:spacing w:after="0"/>
              <w:rPr>
                <w:sz w:val="17"/>
                <w:szCs w:val="17"/>
                <w:color w:val="auto"/>
              </w:rPr>
            </w:pPr>
          </w:p>
        </w:tc>
        <w:tc>
          <w:tcPr>
            <w:tcW w:w="2120" w:type="dxa"/>
            <w:vAlign w:val="bottom"/>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December 31, 2020</w:t>
            </w:r>
          </w:p>
        </w:tc>
        <w:tc>
          <w:tcPr>
            <w:tcW w:w="0" w:type="dxa"/>
            <w:vAlign w:val="bottom"/>
          </w:tcPr>
          <w:p>
            <w:pPr>
              <w:spacing w:after="0"/>
              <w:rPr>
                <w:sz w:val="1"/>
                <w:szCs w:val="1"/>
                <w:color w:val="auto"/>
              </w:rPr>
            </w:pPr>
          </w:p>
        </w:tc>
      </w:tr>
      <w:tr>
        <w:trPr>
          <w:trHeight w:val="216"/>
        </w:trPr>
        <w:tc>
          <w:tcPr>
            <w:tcW w:w="3440" w:type="dxa"/>
            <w:vAlign w:val="bottom"/>
            <w:vMerge w:val="continue"/>
            <w:shd w:val="clear" w:color="auto" w:fill="1D2758"/>
          </w:tcPr>
          <w:p>
            <w:pPr>
              <w:spacing w:after="0"/>
              <w:rPr>
                <w:sz w:val="18"/>
                <w:szCs w:val="18"/>
                <w:color w:val="auto"/>
              </w:rPr>
            </w:pPr>
          </w:p>
        </w:tc>
        <w:tc>
          <w:tcPr>
            <w:tcW w:w="2660" w:type="dxa"/>
            <w:vAlign w:val="bottom"/>
            <w:shd w:val="clear" w:color="auto" w:fill="1D2758"/>
          </w:tcPr>
          <w:p>
            <w:pPr>
              <w:spacing w:after="0"/>
              <w:rPr>
                <w:sz w:val="18"/>
                <w:szCs w:val="18"/>
                <w:color w:val="auto"/>
              </w:rPr>
            </w:pPr>
          </w:p>
        </w:tc>
        <w:tc>
          <w:tcPr>
            <w:tcW w:w="2500" w:type="dxa"/>
            <w:vAlign w:val="bottom"/>
            <w:gridSpan w:val="3"/>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212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216"/>
        </w:trPr>
        <w:tc>
          <w:tcPr>
            <w:tcW w:w="3440" w:type="dxa"/>
            <w:vAlign w:val="bottom"/>
            <w:shd w:val="clear" w:color="auto" w:fill="DDDDDD"/>
          </w:tcPr>
          <w:p>
            <w:pPr>
              <w:ind w:left="20"/>
              <w:spacing w:after="0"/>
              <w:rPr>
                <w:sz w:val="20"/>
                <w:szCs w:val="20"/>
                <w:color w:val="auto"/>
              </w:rPr>
            </w:pPr>
            <w:r>
              <w:rPr>
                <w:rFonts w:ascii="Arial" w:cs="Arial" w:eastAsia="Arial" w:hAnsi="Arial"/>
                <w:sz w:val="16"/>
                <w:szCs w:val="16"/>
                <w:color w:val="auto"/>
              </w:rPr>
              <w:t>Assets</w:t>
            </w:r>
          </w:p>
        </w:tc>
        <w:tc>
          <w:tcPr>
            <w:tcW w:w="26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8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1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660" w:type="dxa"/>
            <w:vAlign w:val="bottom"/>
          </w:tcPr>
          <w:p>
            <w:pPr>
              <w:spacing w:after="0"/>
              <w:rPr>
                <w:sz w:val="18"/>
                <w:szCs w:val="18"/>
                <w:color w:val="auto"/>
              </w:rPr>
            </w:pPr>
          </w:p>
        </w:tc>
        <w:tc>
          <w:tcPr>
            <w:tcW w:w="1520" w:type="dxa"/>
            <w:vAlign w:val="bottom"/>
          </w:tcPr>
          <w:p>
            <w:pPr>
              <w:jc w:val="right"/>
              <w:ind w:right="13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26,934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24,937</w:t>
            </w: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DDDDDD"/>
          </w:tcPr>
          <w:p>
            <w:pPr>
              <w:ind w:left="240"/>
              <w:spacing w:after="0" w:line="181" w:lineRule="exact"/>
              <w:rPr>
                <w:sz w:val="20"/>
                <w:szCs w:val="20"/>
                <w:color w:val="auto"/>
              </w:rPr>
            </w:pPr>
            <w:r>
              <w:rPr>
                <w:rFonts w:ascii="Arial" w:cs="Arial" w:eastAsia="Arial" w:hAnsi="Arial"/>
                <w:sz w:val="16"/>
                <w:szCs w:val="16"/>
                <w:color w:val="auto"/>
              </w:rPr>
              <w:t>Trade receivables, net of allowances for credit losses at March 31, 2021 and</w:t>
            </w:r>
          </w:p>
        </w:tc>
        <w:tc>
          <w:tcPr>
            <w:tcW w:w="152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21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00" w:type="dxa"/>
            <w:vAlign w:val="bottom"/>
            <w:gridSpan w:val="2"/>
            <w:shd w:val="clear" w:color="auto" w:fill="DDDDDD"/>
          </w:tcPr>
          <w:p>
            <w:pPr>
              <w:ind w:left="240"/>
              <w:spacing w:after="0"/>
              <w:rPr>
                <w:sz w:val="20"/>
                <w:szCs w:val="20"/>
                <w:color w:val="auto"/>
              </w:rPr>
            </w:pPr>
            <w:r>
              <w:rPr>
                <w:rFonts w:ascii="Arial" w:cs="Arial" w:eastAsia="Arial" w:hAnsi="Arial"/>
                <w:sz w:val="16"/>
                <w:szCs w:val="16"/>
                <w:color w:val="auto"/>
              </w:rPr>
              <w:t>December 31, 2020 of $31,630 and $29,258, respectively</w:t>
            </w:r>
          </w:p>
        </w:tc>
        <w:tc>
          <w:tcPr>
            <w:tcW w:w="152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322,425</w:t>
            </w: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330,942</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21,655</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28,152</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29,954</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Assets held for sale</w:t>
            </w:r>
          </w:p>
        </w:tc>
        <w:tc>
          <w:tcPr>
            <w:tcW w:w="2660" w:type="dxa"/>
            <w:vAlign w:val="bottom"/>
            <w:tcBorders>
              <w:bottom w:val="single" w:sz="8" w:color="DDDDDD"/>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12,004</w:t>
            </w:r>
          </w:p>
        </w:tc>
        <w:tc>
          <w:tcPr>
            <w:tcW w:w="0" w:type="dxa"/>
            <w:vAlign w:val="bottom"/>
          </w:tcPr>
          <w:p>
            <w:pPr>
              <w:spacing w:after="0"/>
              <w:rPr>
                <w:sz w:val="1"/>
                <w:szCs w:val="1"/>
                <w:color w:val="auto"/>
              </w:rPr>
            </w:pPr>
          </w:p>
        </w:tc>
      </w:tr>
      <w:tr>
        <w:trPr>
          <w:trHeight w:val="212"/>
        </w:trPr>
        <w:tc>
          <w:tcPr>
            <w:tcW w:w="3440" w:type="dxa"/>
            <w:vAlign w:val="bottom"/>
            <w:shd w:val="clear" w:color="auto" w:fill="DDDDDD"/>
          </w:tcPr>
          <w:p>
            <w:pPr>
              <w:ind w:left="460"/>
              <w:spacing w:after="0"/>
              <w:rPr>
                <w:sz w:val="20"/>
                <w:szCs w:val="20"/>
                <w:color w:val="auto"/>
              </w:rPr>
            </w:pPr>
            <w:r>
              <w:rPr>
                <w:rFonts w:ascii="Arial" w:cs="Arial" w:eastAsia="Arial" w:hAnsi="Arial"/>
                <w:sz w:val="16"/>
                <w:szCs w:val="16"/>
                <w:color w:val="auto"/>
              </w:rPr>
              <w:t>Total current assets</w:t>
            </w:r>
          </w:p>
        </w:tc>
        <w:tc>
          <w:tcPr>
            <w:tcW w:w="2660" w:type="dxa"/>
            <w:vAlign w:val="bottom"/>
            <w:shd w:val="clear" w:color="auto" w:fill="DDDDDD"/>
          </w:tcPr>
          <w:p>
            <w:pPr>
              <w:spacing w:after="0"/>
              <w:rPr>
                <w:sz w:val="18"/>
                <w:szCs w:val="18"/>
                <w:color w:val="auto"/>
              </w:rPr>
            </w:pPr>
          </w:p>
        </w:tc>
        <w:tc>
          <w:tcPr>
            <w:tcW w:w="1520" w:type="dxa"/>
            <w:vAlign w:val="bottom"/>
            <w:shd w:val="clear" w:color="auto" w:fill="DDDDDD"/>
          </w:tcPr>
          <w:p>
            <w:pPr>
              <w:spacing w:after="0"/>
              <w:rPr>
                <w:sz w:val="18"/>
                <w:szCs w:val="18"/>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404,056</w:t>
            </w:r>
          </w:p>
        </w:tc>
        <w:tc>
          <w:tcPr>
            <w:tcW w:w="100" w:type="dxa"/>
            <w:vAlign w:val="bottom"/>
            <w:shd w:val="clear" w:color="auto" w:fill="DDDDDD"/>
          </w:tcPr>
          <w:p>
            <w:pPr>
              <w:spacing w:after="0"/>
              <w:rPr>
                <w:sz w:val="18"/>
                <w:szCs w:val="18"/>
                <w:color w:val="auto"/>
              </w:rPr>
            </w:pPr>
          </w:p>
        </w:tc>
        <w:tc>
          <w:tcPr>
            <w:tcW w:w="300" w:type="dxa"/>
            <w:vAlign w:val="bottom"/>
            <w:shd w:val="clear" w:color="auto" w:fill="DDDDDD"/>
          </w:tcPr>
          <w:p>
            <w:pPr>
              <w:spacing w:after="0"/>
              <w:rPr>
                <w:sz w:val="18"/>
                <w:szCs w:val="18"/>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419,492</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Rental equipment, net</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2,928,682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2,933,722</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Property, plant and equipment, net</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300,687</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303,650</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Operating lease assets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229,260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232,094</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Goodwill</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1,179,421</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1,171,219</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Intangible assets, net</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481,199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495,947</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Other non-current assets</w:t>
            </w:r>
          </w:p>
        </w:tc>
        <w:tc>
          <w:tcPr>
            <w:tcW w:w="2660" w:type="dxa"/>
            <w:vAlign w:val="bottom"/>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15,570</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16,081</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DDDDDD"/>
            </w:tcBorders>
          </w:tcPr>
          <w:p>
            <w:pPr>
              <w:ind w:left="460"/>
              <w:spacing w:after="0"/>
              <w:rPr>
                <w:sz w:val="20"/>
                <w:szCs w:val="20"/>
                <w:color w:val="auto"/>
              </w:rPr>
            </w:pPr>
            <w:r>
              <w:rPr>
                <w:rFonts w:ascii="Arial" w:cs="Arial" w:eastAsia="Arial" w:hAnsi="Arial"/>
                <w:sz w:val="16"/>
                <w:szCs w:val="16"/>
                <w:color w:val="auto"/>
              </w:rPr>
              <w:t>Total long-term assets</w:t>
            </w:r>
          </w:p>
        </w:tc>
        <w:tc>
          <w:tcPr>
            <w:tcW w:w="2660" w:type="dxa"/>
            <w:vAlign w:val="bottom"/>
            <w:tcBorders>
              <w:bottom w:val="single" w:sz="8" w:color="DDDDDD"/>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5,134,819</w:t>
            </w:r>
          </w:p>
        </w:tc>
        <w:tc>
          <w:tcPr>
            <w:tcW w:w="100" w:type="dxa"/>
            <w:vAlign w:val="bottom"/>
            <w:tcBorders>
              <w:bottom w:val="single" w:sz="8" w:color="DDDDD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5,152,713</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Total assets</w:t>
            </w:r>
          </w:p>
        </w:tc>
        <w:tc>
          <w:tcPr>
            <w:tcW w:w="2660" w:type="dxa"/>
            <w:vAlign w:val="bottom"/>
            <w:tcBorders>
              <w:bottom w:val="single" w:sz="8" w:color="DDDDDD"/>
            </w:tcBorders>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jc w:val="right"/>
              <w:ind w:right="13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5,538,875</w:t>
            </w:r>
          </w:p>
        </w:tc>
        <w:tc>
          <w:tcPr>
            <w:tcW w:w="100" w:type="dxa"/>
            <w:vAlign w:val="bottom"/>
            <w:tcBorders>
              <w:bottom w:val="single" w:sz="8" w:color="DDDDDD"/>
            </w:tcBorders>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5,572,205</w:t>
            </w:r>
          </w:p>
        </w:tc>
        <w:tc>
          <w:tcPr>
            <w:tcW w:w="0" w:type="dxa"/>
            <w:vAlign w:val="bottom"/>
          </w:tcPr>
          <w:p>
            <w:pPr>
              <w:spacing w:after="0"/>
              <w:rPr>
                <w:sz w:val="1"/>
                <w:szCs w:val="1"/>
                <w:color w:val="auto"/>
              </w:rPr>
            </w:pPr>
          </w:p>
        </w:tc>
      </w:tr>
      <w:tr>
        <w:trPr>
          <w:trHeight w:val="20"/>
        </w:trPr>
        <w:tc>
          <w:tcPr>
            <w:tcW w:w="344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6"/>
                <w:szCs w:val="16"/>
                <w:color w:val="auto"/>
              </w:rPr>
              <w:t>Liabilities and equity</w:t>
            </w:r>
          </w:p>
        </w:tc>
        <w:tc>
          <w:tcPr>
            <w:tcW w:w="2660" w:type="dxa"/>
            <w:vAlign w:val="bottom"/>
            <w:tcBorders>
              <w:top w:val="single" w:sz="8" w:color="DDDDDD"/>
            </w:tcBorders>
          </w:tcPr>
          <w:p>
            <w:pPr>
              <w:spacing w:after="0" w:line="20" w:lineRule="exact"/>
              <w:rPr>
                <w:sz w:val="1"/>
                <w:szCs w:val="1"/>
                <w:color w:val="auto"/>
              </w:rPr>
            </w:pPr>
          </w:p>
        </w:tc>
        <w:tc>
          <w:tcPr>
            <w:tcW w:w="152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21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4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Accounts payable</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jc w:val="right"/>
              <w:ind w:right="13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111,408</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106,926</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133,036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141,672</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Deferred revenue and customer deposits</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139,575</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135,485</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Operating lease liabilities - current</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48,063</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Current portion of long-term debt</w:t>
            </w:r>
          </w:p>
        </w:tc>
        <w:tc>
          <w:tcPr>
            <w:tcW w:w="2660" w:type="dxa"/>
            <w:vAlign w:val="bottom"/>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16,229</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16,521</w:t>
            </w:r>
          </w:p>
        </w:tc>
        <w:tc>
          <w:tcPr>
            <w:tcW w:w="0" w:type="dxa"/>
            <w:vAlign w:val="bottom"/>
          </w:tcPr>
          <w:p>
            <w:pPr>
              <w:spacing w:after="0"/>
              <w:rPr>
                <w:sz w:val="1"/>
                <w:szCs w:val="1"/>
                <w:color w:val="auto"/>
              </w:rPr>
            </w:pPr>
          </w:p>
        </w:tc>
      </w:tr>
      <w:tr>
        <w:trPr>
          <w:trHeight w:val="206"/>
        </w:trPr>
        <w:tc>
          <w:tcPr>
            <w:tcW w:w="34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448,614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448,667</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Long-term debt</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2,454,024</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2,453,809</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Deferred tax liabilities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307,541</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Operating lease liabilities - non-current</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180,823</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183,761</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Common stock warrant liabilities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99,781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77,404</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Other non-current liabilities</w:t>
            </w:r>
          </w:p>
        </w:tc>
        <w:tc>
          <w:tcPr>
            <w:tcW w:w="2660" w:type="dxa"/>
            <w:vAlign w:val="bottom"/>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34,500</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37,150</w:t>
            </w:r>
          </w:p>
        </w:tc>
        <w:tc>
          <w:tcPr>
            <w:tcW w:w="0" w:type="dxa"/>
            <w:vAlign w:val="bottom"/>
          </w:tcPr>
          <w:p>
            <w:pPr>
              <w:spacing w:after="0"/>
              <w:rPr>
                <w:sz w:val="1"/>
                <w:szCs w:val="1"/>
                <w:color w:val="auto"/>
              </w:rPr>
            </w:pPr>
          </w:p>
        </w:tc>
      </w:tr>
      <w:tr>
        <w:trPr>
          <w:trHeight w:val="206"/>
        </w:trPr>
        <w:tc>
          <w:tcPr>
            <w:tcW w:w="3440" w:type="dxa"/>
            <w:vAlign w:val="bottom"/>
            <w:tcBorders>
              <w:bottom w:val="single" w:sz="8" w:color="DDDDDD"/>
            </w:tcBorders>
          </w:tcPr>
          <w:p>
            <w:pPr>
              <w:ind w:left="460"/>
              <w:spacing w:after="0"/>
              <w:rPr>
                <w:sz w:val="20"/>
                <w:szCs w:val="20"/>
                <w:color w:val="auto"/>
              </w:rPr>
            </w:pPr>
            <w:r>
              <w:rPr>
                <w:rFonts w:ascii="Arial" w:cs="Arial" w:eastAsia="Arial" w:hAnsi="Arial"/>
                <w:sz w:val="16"/>
                <w:szCs w:val="16"/>
                <w:color w:val="auto"/>
              </w:rPr>
              <w:t>Long-term liabilities</w:t>
            </w:r>
          </w:p>
        </w:tc>
        <w:tc>
          <w:tcPr>
            <w:tcW w:w="2660" w:type="dxa"/>
            <w:vAlign w:val="bottom"/>
            <w:tcBorders>
              <w:bottom w:val="single" w:sz="8" w:color="DDDDDD"/>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3,084,372</w:t>
            </w:r>
          </w:p>
        </w:tc>
        <w:tc>
          <w:tcPr>
            <w:tcW w:w="100" w:type="dxa"/>
            <w:vAlign w:val="bottom"/>
            <w:tcBorders>
              <w:bottom w:val="single" w:sz="8" w:color="DDDDD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3,059,665</w:t>
            </w:r>
          </w:p>
        </w:tc>
        <w:tc>
          <w:tcPr>
            <w:tcW w:w="0" w:type="dxa"/>
            <w:vAlign w:val="bottom"/>
          </w:tcPr>
          <w:p>
            <w:pPr>
              <w:spacing w:after="0"/>
              <w:rPr>
                <w:sz w:val="1"/>
                <w:szCs w:val="1"/>
                <w:color w:val="auto"/>
              </w:rPr>
            </w:pPr>
          </w:p>
        </w:tc>
      </w:tr>
      <w:tr>
        <w:trPr>
          <w:trHeight w:val="213"/>
        </w:trPr>
        <w:tc>
          <w:tcPr>
            <w:tcW w:w="3440" w:type="dxa"/>
            <w:vAlign w:val="bottom"/>
            <w:shd w:val="clear" w:color="auto" w:fill="DDDDDD"/>
          </w:tcPr>
          <w:p>
            <w:pPr>
              <w:ind w:left="20"/>
              <w:spacing w:after="0"/>
              <w:rPr>
                <w:sz w:val="20"/>
                <w:szCs w:val="20"/>
                <w:color w:val="auto"/>
              </w:rPr>
            </w:pPr>
            <w:r>
              <w:rPr>
                <w:rFonts w:ascii="Arial" w:cs="Arial" w:eastAsia="Arial" w:hAnsi="Arial"/>
                <w:sz w:val="16"/>
                <w:szCs w:val="16"/>
                <w:color w:val="auto"/>
              </w:rPr>
              <w:t>Total liabilities</w:t>
            </w:r>
          </w:p>
        </w:tc>
        <w:tc>
          <w:tcPr>
            <w:tcW w:w="2660" w:type="dxa"/>
            <w:vAlign w:val="bottom"/>
            <w:shd w:val="clear" w:color="auto" w:fill="DDDDDD"/>
          </w:tcPr>
          <w:p>
            <w:pPr>
              <w:spacing w:after="0"/>
              <w:rPr>
                <w:sz w:val="18"/>
                <w:szCs w:val="18"/>
                <w:color w:val="auto"/>
              </w:rPr>
            </w:pPr>
          </w:p>
        </w:tc>
        <w:tc>
          <w:tcPr>
            <w:tcW w:w="1520" w:type="dxa"/>
            <w:vAlign w:val="bottom"/>
            <w:tcBorders>
              <w:bottom w:val="single" w:sz="8" w:color="auto"/>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3,532,986</w:t>
            </w:r>
          </w:p>
        </w:tc>
        <w:tc>
          <w:tcPr>
            <w:tcW w:w="100" w:type="dxa"/>
            <w:vAlign w:val="bottom"/>
            <w:shd w:val="clear" w:color="auto" w:fill="DDDDDD"/>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3,508,332</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17)</w:t>
            </w:r>
          </w:p>
        </w:tc>
        <w:tc>
          <w:tcPr>
            <w:tcW w:w="2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100" w:type="dxa"/>
            <w:vAlign w:val="bottom"/>
            <w:gridSpan w:val="2"/>
            <w:shd w:val="clear" w:color="auto" w:fill="DDDDDD"/>
          </w:tcPr>
          <w:p>
            <w:pPr>
              <w:ind w:left="240"/>
              <w:spacing w:after="0" w:line="181" w:lineRule="exact"/>
              <w:rPr>
                <w:sz w:val="20"/>
                <w:szCs w:val="20"/>
                <w:color w:val="auto"/>
              </w:rPr>
            </w:pPr>
            <w:r>
              <w:rPr>
                <w:rFonts w:ascii="Arial" w:cs="Arial" w:eastAsia="Arial" w:hAnsi="Arial"/>
                <w:sz w:val="16"/>
                <w:szCs w:val="16"/>
                <w:color w:val="auto"/>
              </w:rPr>
              <w:t>Preferred Stock: $0.0001 par, 1,000,000 shares authorized and zero shares</w:t>
            </w:r>
          </w:p>
        </w:tc>
        <w:tc>
          <w:tcPr>
            <w:tcW w:w="1520" w:type="dxa"/>
            <w:vAlign w:val="bottom"/>
            <w:shd w:val="clear" w:color="auto" w:fill="DDDDDD"/>
          </w:tcPr>
          <w:p>
            <w:pPr>
              <w:spacing w:after="0"/>
              <w:rPr>
                <w:sz w:val="15"/>
                <w:szCs w:val="15"/>
                <w:color w:val="auto"/>
              </w:rPr>
            </w:pPr>
          </w:p>
        </w:tc>
        <w:tc>
          <w:tcPr>
            <w:tcW w:w="8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21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00" w:type="dxa"/>
            <w:vAlign w:val="bottom"/>
            <w:gridSpan w:val="2"/>
            <w:shd w:val="clear" w:color="auto" w:fill="DDDDDD"/>
          </w:tcPr>
          <w:p>
            <w:pPr>
              <w:ind w:left="240"/>
              <w:spacing w:after="0"/>
              <w:rPr>
                <w:sz w:val="20"/>
                <w:szCs w:val="20"/>
                <w:color w:val="auto"/>
              </w:rPr>
            </w:pPr>
            <w:r>
              <w:rPr>
                <w:rFonts w:ascii="Arial" w:cs="Arial" w:eastAsia="Arial" w:hAnsi="Arial"/>
                <w:sz w:val="16"/>
                <w:szCs w:val="16"/>
                <w:color w:val="auto"/>
              </w:rPr>
              <w:t>issued and outstanding at March 31, 2021 and December 31, 2020</w:t>
            </w:r>
          </w:p>
        </w:tc>
        <w:tc>
          <w:tcPr>
            <w:tcW w:w="1520" w:type="dxa"/>
            <w:vAlign w:val="bottom"/>
            <w:shd w:val="clear" w:color="auto" w:fill="DDDDDD"/>
          </w:tcPr>
          <w:p>
            <w:pPr>
              <w:spacing w:after="0"/>
              <w:rPr>
                <w:sz w:val="17"/>
                <w:szCs w:val="17"/>
                <w:color w:val="auto"/>
              </w:rPr>
            </w:pPr>
          </w:p>
        </w:tc>
        <w:tc>
          <w:tcPr>
            <w:tcW w:w="980" w:type="dxa"/>
            <w:vAlign w:val="bottom"/>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DDDDD"/>
          </w:tcPr>
          <w:p>
            <w:pPr>
              <w:spacing w:after="0"/>
              <w:rPr>
                <w:sz w:val="17"/>
                <w:szCs w:val="17"/>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1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Common Stock: $0.0001 par, 500,000,000 shares authorized and 226,815,146,</w:t>
            </w:r>
          </w:p>
        </w:tc>
        <w:tc>
          <w:tcPr>
            <w:tcW w:w="1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100" w:type="dxa"/>
            <w:vAlign w:val="bottom"/>
            <w:gridSpan w:val="2"/>
          </w:tcPr>
          <w:p>
            <w:pPr>
              <w:ind w:left="240"/>
              <w:spacing w:after="0" w:line="162" w:lineRule="exact"/>
              <w:rPr>
                <w:sz w:val="20"/>
                <w:szCs w:val="20"/>
                <w:color w:val="auto"/>
              </w:rPr>
            </w:pPr>
            <w:r>
              <w:rPr>
                <w:rFonts w:ascii="Arial" w:cs="Arial" w:eastAsia="Arial" w:hAnsi="Arial"/>
                <w:sz w:val="16"/>
                <w:szCs w:val="16"/>
                <w:color w:val="auto"/>
              </w:rPr>
              <w:t>and 229,038,158 shares issued and outstanding at March 31, 2021 and</w:t>
            </w:r>
          </w:p>
        </w:tc>
        <w:tc>
          <w:tcPr>
            <w:tcW w:w="1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440" w:type="dxa"/>
            <w:vAlign w:val="bottom"/>
          </w:tcPr>
          <w:p>
            <w:pPr>
              <w:ind w:left="240"/>
              <w:spacing w:after="0"/>
              <w:rPr>
                <w:sz w:val="20"/>
                <w:szCs w:val="20"/>
                <w:color w:val="auto"/>
              </w:rPr>
            </w:pPr>
            <w:r>
              <w:rPr>
                <w:rFonts w:ascii="Arial" w:cs="Arial" w:eastAsia="Arial" w:hAnsi="Arial"/>
                <w:sz w:val="16"/>
                <w:szCs w:val="16"/>
                <w:color w:val="auto"/>
              </w:rPr>
              <w:t>December 31, 2020, respectively</w:t>
            </w:r>
          </w:p>
        </w:tc>
        <w:tc>
          <w:tcPr>
            <w:tcW w:w="2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Additional paid-in-capital</w:t>
            </w:r>
          </w:p>
        </w:tc>
        <w:tc>
          <w:tcPr>
            <w:tcW w:w="2660" w:type="dxa"/>
            <w:vAlign w:val="bottom"/>
            <w:shd w:val="clear" w:color="auto" w:fill="DDDDDD"/>
          </w:tcPr>
          <w:p>
            <w:pPr>
              <w:spacing w:after="0"/>
              <w:rPr>
                <w:sz w:val="19"/>
                <w:szCs w:val="19"/>
                <w:color w:val="auto"/>
              </w:rPr>
            </w:pPr>
          </w:p>
        </w:tc>
        <w:tc>
          <w:tcPr>
            <w:tcW w:w="152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3,782,649</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1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3,852,291</w:t>
            </w:r>
          </w:p>
        </w:tc>
        <w:tc>
          <w:tcPr>
            <w:tcW w:w="0" w:type="dxa"/>
            <w:vAlign w:val="bottom"/>
          </w:tcPr>
          <w:p>
            <w:pPr>
              <w:spacing w:after="0"/>
              <w:rPr>
                <w:sz w:val="1"/>
                <w:szCs w:val="1"/>
                <w:color w:val="auto"/>
              </w:rPr>
            </w:pPr>
          </w:p>
        </w:tc>
      </w:tr>
      <w:tr>
        <w:trPr>
          <w:trHeight w:val="213"/>
        </w:trPr>
        <w:tc>
          <w:tcPr>
            <w:tcW w:w="344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2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(37,207)</w:t>
            </w:r>
          </w:p>
        </w:tc>
        <w:tc>
          <w:tcPr>
            <w:tcW w:w="0" w:type="dxa"/>
            <w:vAlign w:val="bottom"/>
          </w:tcPr>
          <w:p>
            <w:pPr>
              <w:spacing w:after="0"/>
              <w:rPr>
                <w:sz w:val="1"/>
                <w:szCs w:val="1"/>
                <w:color w:val="auto"/>
              </w:rPr>
            </w:pPr>
          </w:p>
        </w:tc>
      </w:tr>
      <w:tr>
        <w:trPr>
          <w:trHeight w:val="219"/>
        </w:trPr>
        <w:tc>
          <w:tcPr>
            <w:tcW w:w="3440" w:type="dxa"/>
            <w:vAlign w:val="bottom"/>
            <w:shd w:val="clear" w:color="auto" w:fill="DDDDDD"/>
          </w:tcPr>
          <w:p>
            <w:pPr>
              <w:ind w:left="240"/>
              <w:spacing w:after="0"/>
              <w:rPr>
                <w:sz w:val="20"/>
                <w:szCs w:val="20"/>
                <w:color w:val="auto"/>
              </w:rPr>
            </w:pPr>
            <w:r>
              <w:rPr>
                <w:rFonts w:ascii="Arial" w:cs="Arial" w:eastAsia="Arial" w:hAnsi="Arial"/>
                <w:sz w:val="16"/>
                <w:szCs w:val="16"/>
                <w:color w:val="auto"/>
              </w:rPr>
              <w:t>Accumulated deficit</w:t>
            </w:r>
          </w:p>
        </w:tc>
        <w:tc>
          <w:tcPr>
            <w:tcW w:w="2660" w:type="dxa"/>
            <w:vAlign w:val="bottom"/>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spacing w:after="0"/>
              <w:rPr>
                <w:sz w:val="19"/>
                <w:szCs w:val="19"/>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(1,746,787)</w:t>
            </w:r>
          </w:p>
        </w:tc>
        <w:tc>
          <w:tcPr>
            <w:tcW w:w="100" w:type="dxa"/>
            <w:vAlign w:val="bottom"/>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spacing w:after="0"/>
              <w:rPr>
                <w:sz w:val="19"/>
                <w:szCs w:val="19"/>
                <w:color w:val="auto"/>
              </w:rPr>
            </w:pP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(1,751,234)</w:t>
            </w:r>
          </w:p>
        </w:tc>
        <w:tc>
          <w:tcPr>
            <w:tcW w:w="0" w:type="dxa"/>
            <w:vAlign w:val="bottom"/>
          </w:tcPr>
          <w:p>
            <w:pPr>
              <w:spacing w:after="0"/>
              <w:rPr>
                <w:sz w:val="1"/>
                <w:szCs w:val="1"/>
                <w:color w:val="auto"/>
              </w:rPr>
            </w:pPr>
          </w:p>
        </w:tc>
      </w:tr>
      <w:tr>
        <w:trPr>
          <w:trHeight w:val="206"/>
        </w:trPr>
        <w:tc>
          <w:tcPr>
            <w:tcW w:w="344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Total shareholders' equity</w:t>
            </w:r>
          </w:p>
        </w:tc>
        <w:tc>
          <w:tcPr>
            <w:tcW w:w="2660" w:type="dxa"/>
            <w:vAlign w:val="bottom"/>
            <w:tcBorders>
              <w:bottom w:val="single" w:sz="8" w:color="DDDDDD"/>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2,005,889</w:t>
            </w:r>
          </w:p>
        </w:tc>
        <w:tc>
          <w:tcPr>
            <w:tcW w:w="100" w:type="dxa"/>
            <w:vAlign w:val="bottom"/>
            <w:tcBorders>
              <w:bottom w:val="single" w:sz="8" w:color="DDDDDD"/>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2,063,873</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Total liabilities and equity</w:t>
            </w:r>
          </w:p>
        </w:tc>
        <w:tc>
          <w:tcPr>
            <w:tcW w:w="2660" w:type="dxa"/>
            <w:vAlign w:val="bottom"/>
            <w:tcBorders>
              <w:bottom w:val="single" w:sz="8" w:color="DDDDDD"/>
            </w:tcBorders>
            <w:shd w:val="clear" w:color="auto" w:fill="DDDDDD"/>
          </w:tcPr>
          <w:p>
            <w:pPr>
              <w:spacing w:after="0"/>
              <w:rPr>
                <w:sz w:val="19"/>
                <w:szCs w:val="19"/>
                <w:color w:val="auto"/>
              </w:rPr>
            </w:pPr>
          </w:p>
        </w:tc>
        <w:tc>
          <w:tcPr>
            <w:tcW w:w="1520" w:type="dxa"/>
            <w:vAlign w:val="bottom"/>
            <w:tcBorders>
              <w:bottom w:val="single" w:sz="8" w:color="auto"/>
            </w:tcBorders>
            <w:shd w:val="clear" w:color="auto" w:fill="DDDDDD"/>
          </w:tcPr>
          <w:p>
            <w:pPr>
              <w:jc w:val="right"/>
              <w:ind w:right="13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5,538,875</w:t>
            </w:r>
          </w:p>
        </w:tc>
        <w:tc>
          <w:tcPr>
            <w:tcW w:w="100" w:type="dxa"/>
            <w:vAlign w:val="bottom"/>
            <w:tcBorders>
              <w:bottom w:val="single" w:sz="8" w:color="DDDDDD"/>
            </w:tcBorders>
            <w:shd w:val="clear" w:color="auto" w:fill="DDDDDD"/>
          </w:tcPr>
          <w:p>
            <w:pPr>
              <w:spacing w:after="0"/>
              <w:rPr>
                <w:sz w:val="19"/>
                <w:szCs w:val="19"/>
                <w:color w:val="auto"/>
              </w:rPr>
            </w:pPr>
          </w:p>
        </w:tc>
        <w:tc>
          <w:tcPr>
            <w:tcW w:w="300" w:type="dxa"/>
            <w:vAlign w:val="bottom"/>
            <w:tcBorders>
              <w:bottom w:val="single" w:sz="8" w:color="auto"/>
            </w:tcBorders>
            <w:shd w:val="clear" w:color="auto" w:fill="DDDDDD"/>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5,572,205</w:t>
            </w:r>
          </w:p>
        </w:tc>
        <w:tc>
          <w:tcPr>
            <w:tcW w:w="0" w:type="dxa"/>
            <w:vAlign w:val="bottom"/>
          </w:tcPr>
          <w:p>
            <w:pPr>
              <w:spacing w:after="0"/>
              <w:rPr>
                <w:sz w:val="1"/>
                <w:szCs w:val="1"/>
                <w:color w:val="auto"/>
              </w:rPr>
            </w:pPr>
          </w:p>
        </w:tc>
      </w:tr>
      <w:tr>
        <w:trPr>
          <w:trHeight w:val="20"/>
        </w:trPr>
        <w:tc>
          <w:tcPr>
            <w:tcW w:w="3440" w:type="dxa"/>
            <w:vAlign w:val="bottom"/>
            <w:tcBorders>
              <w:top w:val="single" w:sz="8" w:color="DDDDDD"/>
            </w:tcBorders>
          </w:tcPr>
          <w:p>
            <w:pPr>
              <w:spacing w:after="0" w:line="20" w:lineRule="exact"/>
              <w:rPr>
                <w:sz w:val="1"/>
                <w:szCs w:val="1"/>
                <w:color w:val="auto"/>
              </w:rPr>
            </w:pPr>
          </w:p>
        </w:tc>
        <w:tc>
          <w:tcPr>
            <w:tcW w:w="2660" w:type="dxa"/>
            <w:vAlign w:val="bottom"/>
            <w:tcBorders>
              <w:top w:val="single" w:sz="8" w:color="DDDDDD"/>
            </w:tcBorders>
          </w:tcPr>
          <w:p>
            <w:pPr>
              <w:spacing w:after="0" w:line="20" w:lineRule="exact"/>
              <w:rPr>
                <w:sz w:val="1"/>
                <w:szCs w:val="1"/>
                <w:color w:val="auto"/>
              </w:rPr>
            </w:pPr>
          </w:p>
        </w:tc>
        <w:tc>
          <w:tcPr>
            <w:tcW w:w="152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bottom w:val="single" w:sz="8" w:color="auto"/>
            </w:tcBorders>
          </w:tcPr>
          <w:p>
            <w:pPr>
              <w:spacing w:after="0" w:line="20" w:lineRule="exact"/>
              <w:rPr>
                <w:sz w:val="1"/>
                <w:szCs w:val="1"/>
                <w:color w:val="auto"/>
              </w:rPr>
            </w:pPr>
          </w:p>
        </w:tc>
        <w:tc>
          <w:tcPr>
            <w:tcW w:w="21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1D2758"/>
          </w:tcPr>
          <w:p>
            <w:pPr>
              <w:spacing w:after="0"/>
              <w:rPr>
                <w:sz w:val="16"/>
                <w:szCs w:val="16"/>
                <w:color w:val="auto"/>
              </w:rPr>
            </w:pPr>
          </w:p>
        </w:tc>
        <w:tc>
          <w:tcPr>
            <w:tcW w:w="1460" w:type="dxa"/>
            <w:vAlign w:val="bottom"/>
            <w:shd w:val="clear" w:color="auto" w:fill="1D2758"/>
          </w:tcPr>
          <w:p>
            <w:pPr>
              <w:spacing w:after="0"/>
              <w:rPr>
                <w:sz w:val="16"/>
                <w:szCs w:val="16"/>
                <w:color w:val="auto"/>
              </w:rPr>
            </w:pPr>
          </w:p>
        </w:tc>
        <w:tc>
          <w:tcPr>
            <w:tcW w:w="186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Three Months Ended</w:t>
            </w:r>
          </w:p>
        </w:tc>
        <w:tc>
          <w:tcPr>
            <w:tcW w:w="17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1D2758"/>
          </w:tcPr>
          <w:p>
            <w:pPr>
              <w:spacing w:after="0"/>
              <w:rPr>
                <w:sz w:val="18"/>
                <w:szCs w:val="18"/>
                <w:color w:val="auto"/>
              </w:rPr>
            </w:pPr>
          </w:p>
        </w:tc>
        <w:tc>
          <w:tcPr>
            <w:tcW w:w="1460" w:type="dxa"/>
            <w:vAlign w:val="bottom"/>
            <w:shd w:val="clear" w:color="auto" w:fill="1D2758"/>
          </w:tcPr>
          <w:p>
            <w:pPr>
              <w:spacing w:after="0"/>
              <w:rPr>
                <w:sz w:val="18"/>
                <w:szCs w:val="18"/>
                <w:color w:val="auto"/>
              </w:rPr>
            </w:pPr>
          </w:p>
        </w:tc>
        <w:tc>
          <w:tcPr>
            <w:tcW w:w="1860" w:type="dxa"/>
            <w:vAlign w:val="bottom"/>
            <w:gridSpan w:val="3"/>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March 31,</w:t>
            </w:r>
          </w:p>
        </w:tc>
        <w:tc>
          <w:tcPr>
            <w:tcW w:w="17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2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1460" w:type="dxa"/>
            <w:vAlign w:val="bottom"/>
            <w:shd w:val="clear" w:color="auto" w:fill="1D2758"/>
          </w:tcPr>
          <w:p>
            <w:pPr>
              <w:spacing w:after="0"/>
              <w:rPr>
                <w:sz w:val="14"/>
                <w:szCs w:val="14"/>
                <w:color w:val="auto"/>
              </w:rPr>
            </w:pPr>
          </w:p>
        </w:tc>
        <w:tc>
          <w:tcPr>
            <w:tcW w:w="102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760" w:type="dxa"/>
            <w:vAlign w:val="bottom"/>
            <w:shd w:val="clear" w:color="auto" w:fill="1D2758"/>
          </w:tcPr>
          <w:p>
            <w:pPr>
              <w:spacing w:after="0"/>
              <w:rPr>
                <w:sz w:val="14"/>
                <w:szCs w:val="14"/>
                <w:color w:val="auto"/>
              </w:rPr>
            </w:pPr>
          </w:p>
        </w:tc>
        <w:tc>
          <w:tcPr>
            <w:tcW w:w="1720" w:type="dxa"/>
            <w:vAlign w:val="bottom"/>
            <w:shd w:val="clear" w:color="auto" w:fill="1D2758"/>
          </w:tcPr>
          <w:p>
            <w:pPr>
              <w:jc w:val="right"/>
              <w:ind w:right="979"/>
              <w:spacing w:after="0" w:line="164" w:lineRule="exact"/>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16"/>
        </w:trPr>
        <w:tc>
          <w:tcPr>
            <w:tcW w:w="6200" w:type="dxa"/>
            <w:vAlign w:val="bottom"/>
            <w:vMerge w:val="continue"/>
            <w:shd w:val="clear" w:color="auto" w:fill="1D2758"/>
          </w:tcPr>
          <w:p>
            <w:pPr>
              <w:spacing w:after="0"/>
              <w:rPr>
                <w:sz w:val="10"/>
                <w:szCs w:val="10"/>
                <w:color w:val="auto"/>
              </w:rPr>
            </w:pPr>
          </w:p>
        </w:tc>
        <w:tc>
          <w:tcPr>
            <w:tcW w:w="146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2021</w:t>
            </w:r>
          </w:p>
        </w:tc>
        <w:tc>
          <w:tcPr>
            <w:tcW w:w="1020" w:type="dxa"/>
            <w:vAlign w:val="bottom"/>
            <w:shd w:val="clear" w:color="auto" w:fill="1D2758"/>
          </w:tcPr>
          <w:p>
            <w:pPr>
              <w:spacing w:after="0"/>
              <w:rPr>
                <w:sz w:val="10"/>
                <w:szCs w:val="10"/>
                <w:color w:val="auto"/>
              </w:rPr>
            </w:pPr>
          </w:p>
        </w:tc>
        <w:tc>
          <w:tcPr>
            <w:tcW w:w="80" w:type="dxa"/>
            <w:vAlign w:val="bottom"/>
            <w:shd w:val="clear" w:color="auto" w:fill="1D2758"/>
          </w:tcPr>
          <w:p>
            <w:pPr>
              <w:spacing w:after="0"/>
              <w:rPr>
                <w:sz w:val="10"/>
                <w:szCs w:val="10"/>
                <w:color w:val="auto"/>
              </w:rPr>
            </w:pPr>
          </w:p>
        </w:tc>
        <w:tc>
          <w:tcPr>
            <w:tcW w:w="760" w:type="dxa"/>
            <w:vAlign w:val="bottom"/>
            <w:shd w:val="clear" w:color="auto" w:fill="1D2758"/>
          </w:tcPr>
          <w:p>
            <w:pPr>
              <w:spacing w:after="0"/>
              <w:rPr>
                <w:sz w:val="10"/>
                <w:szCs w:val="10"/>
                <w:color w:val="auto"/>
              </w:rPr>
            </w:pPr>
          </w:p>
        </w:tc>
        <w:tc>
          <w:tcPr>
            <w:tcW w:w="1720" w:type="dxa"/>
            <w:vAlign w:val="bottom"/>
            <w:vMerge w:val="restart"/>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w w:val="98"/>
              </w:rPr>
              <w:t>(as restated)</w:t>
            </w:r>
          </w:p>
        </w:tc>
        <w:tc>
          <w:tcPr>
            <w:tcW w:w="0" w:type="dxa"/>
            <w:vAlign w:val="bottom"/>
          </w:tcPr>
          <w:p>
            <w:pPr>
              <w:spacing w:after="0"/>
              <w:rPr>
                <w:sz w:val="1"/>
                <w:szCs w:val="1"/>
                <w:color w:val="auto"/>
              </w:rPr>
            </w:pPr>
          </w:p>
        </w:tc>
      </w:tr>
      <w:tr>
        <w:trPr>
          <w:trHeight w:val="100"/>
        </w:trPr>
        <w:tc>
          <w:tcPr>
            <w:tcW w:w="6200" w:type="dxa"/>
            <w:vAlign w:val="bottom"/>
            <w:shd w:val="clear" w:color="auto" w:fill="1D2758"/>
          </w:tcPr>
          <w:p>
            <w:pPr>
              <w:spacing w:after="0"/>
              <w:rPr>
                <w:sz w:val="8"/>
                <w:szCs w:val="8"/>
                <w:color w:val="auto"/>
              </w:rPr>
            </w:pPr>
          </w:p>
        </w:tc>
        <w:tc>
          <w:tcPr>
            <w:tcW w:w="1460" w:type="dxa"/>
            <w:vAlign w:val="bottom"/>
            <w:vMerge w:val="continue"/>
            <w:shd w:val="clear" w:color="auto" w:fill="1D2758"/>
          </w:tcPr>
          <w:p>
            <w:pPr>
              <w:spacing w:after="0"/>
              <w:rPr>
                <w:sz w:val="8"/>
                <w:szCs w:val="8"/>
                <w:color w:val="auto"/>
              </w:rPr>
            </w:pPr>
          </w:p>
        </w:tc>
        <w:tc>
          <w:tcPr>
            <w:tcW w:w="102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760" w:type="dxa"/>
            <w:vAlign w:val="bottom"/>
            <w:shd w:val="clear" w:color="auto" w:fill="1D2758"/>
          </w:tcPr>
          <w:p>
            <w:pPr>
              <w:spacing w:after="0"/>
              <w:rPr>
                <w:sz w:val="8"/>
                <w:szCs w:val="8"/>
                <w:color w:val="auto"/>
              </w:rPr>
            </w:pPr>
          </w:p>
        </w:tc>
        <w:tc>
          <w:tcPr>
            <w:tcW w:w="17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4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460" w:type="dxa"/>
            <w:vAlign w:val="bottom"/>
            <w:shd w:val="clear" w:color="auto" w:fill="DBDBDB"/>
          </w:tcPr>
          <w:p>
            <w:pPr>
              <w:jc w:val="right"/>
              <w:ind w:right="1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315,662</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188,352</w:t>
            </w:r>
          </w:p>
        </w:tc>
        <w:tc>
          <w:tcPr>
            <w:tcW w:w="0" w:type="dxa"/>
            <w:vAlign w:val="bottom"/>
          </w:tcPr>
          <w:p>
            <w:pPr>
              <w:spacing w:after="0"/>
              <w:rPr>
                <w:sz w:val="1"/>
                <w:szCs w:val="1"/>
                <w:color w:val="auto"/>
              </w:rPr>
            </w:pPr>
          </w:p>
        </w:tc>
      </w:tr>
      <w:tr>
        <w:trPr>
          <w:trHeight w:val="213"/>
        </w:trPr>
        <w:tc>
          <w:tcPr>
            <w:tcW w:w="620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83,504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51,070</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4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15,202</w:t>
            </w:r>
          </w:p>
        </w:tc>
        <w:tc>
          <w:tcPr>
            <w:tcW w:w="80" w:type="dxa"/>
            <w:vAlign w:val="bottom"/>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0" w:type="dxa"/>
            <w:vAlign w:val="bottom"/>
          </w:tcPr>
          <w:p>
            <w:pPr>
              <w:spacing w:after="0"/>
              <w:rPr>
                <w:sz w:val="1"/>
                <w:szCs w:val="1"/>
                <w:color w:val="auto"/>
              </w:rPr>
            </w:pPr>
          </w:p>
        </w:tc>
      </w:tr>
      <w:tr>
        <w:trPr>
          <w:trHeight w:val="207"/>
        </w:trPr>
        <w:tc>
          <w:tcPr>
            <w:tcW w:w="620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425,323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255,821</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69,895</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49,809</w:t>
            </w:r>
          </w:p>
        </w:tc>
        <w:tc>
          <w:tcPr>
            <w:tcW w:w="0" w:type="dxa"/>
            <w:vAlign w:val="bottom"/>
          </w:tcPr>
          <w:p>
            <w:pPr>
              <w:spacing w:after="0"/>
              <w:rPr>
                <w:sz w:val="1"/>
                <w:szCs w:val="1"/>
                <w:color w:val="auto"/>
              </w:rPr>
            </w:pPr>
          </w:p>
        </w:tc>
      </w:tr>
      <w:tr>
        <w:trPr>
          <w:trHeight w:val="213"/>
        </w:trPr>
        <w:tc>
          <w:tcPr>
            <w:tcW w:w="620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70,136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43,865</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7,109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9,105</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55,698</w:t>
            </w:r>
          </w:p>
        </w:tc>
        <w:tc>
          <w:tcPr>
            <w:tcW w:w="80" w:type="dxa"/>
            <w:vAlign w:val="bottom"/>
            <w:tcBorders>
              <w:bottom w:val="single" w:sz="8" w:color="DBDBDB"/>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45,948</w:t>
            </w:r>
          </w:p>
        </w:tc>
        <w:tc>
          <w:tcPr>
            <w:tcW w:w="0" w:type="dxa"/>
            <w:vAlign w:val="bottom"/>
          </w:tcPr>
          <w:p>
            <w:pPr>
              <w:spacing w:after="0"/>
              <w:rPr>
                <w:sz w:val="1"/>
                <w:szCs w:val="1"/>
                <w:color w:val="auto"/>
              </w:rPr>
            </w:pPr>
          </w:p>
        </w:tc>
      </w:tr>
      <w:tr>
        <w:trPr>
          <w:trHeight w:val="212"/>
        </w:trPr>
        <w:tc>
          <w:tcPr>
            <w:tcW w:w="62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14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213,380</w:t>
            </w:r>
          </w:p>
        </w:tc>
        <w:tc>
          <w:tcPr>
            <w:tcW w:w="8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106,190</w:t>
            </w: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116,485</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65,537</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9,431</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depreciation and amortization</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18,324</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3,074</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3,142</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(income) expense, net</w:t>
            </w:r>
          </w:p>
        </w:tc>
        <w:tc>
          <w:tcPr>
            <w:tcW w:w="14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(1,988)</w:t>
            </w:r>
          </w:p>
        </w:tc>
        <w:tc>
          <w:tcPr>
            <w:tcW w:w="80" w:type="dxa"/>
            <w:vAlign w:val="bottom"/>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7"/>
        </w:trPr>
        <w:tc>
          <w:tcPr>
            <w:tcW w:w="620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75,284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25,373</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29,964</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13"/>
        </w:trPr>
        <w:tc>
          <w:tcPr>
            <w:tcW w:w="6200" w:type="dxa"/>
            <w:vAlign w:val="bottom"/>
          </w:tcPr>
          <w:p>
            <w:pPr>
              <w:ind w:left="240"/>
              <w:spacing w:after="0"/>
              <w:rPr>
                <w:sz w:val="20"/>
                <w:szCs w:val="20"/>
                <w:color w:val="auto"/>
              </w:rPr>
            </w:pPr>
            <w:r>
              <w:rPr>
                <w:rFonts w:ascii="Arial" w:cs="Arial" w:eastAsia="Arial" w:hAnsi="Arial"/>
                <w:sz w:val="16"/>
                <w:szCs w:val="16"/>
                <w:color w:val="auto"/>
              </w:rPr>
              <w:t>Fair value loss (gain) on common stock warrant liabilities</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27,207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(95,329)</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extinguishment of debt</w:t>
            </w:r>
          </w:p>
        </w:tc>
        <w:tc>
          <w:tcPr>
            <w:tcW w:w="14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3,185</w:t>
            </w:r>
          </w:p>
        </w:tc>
        <w:tc>
          <w:tcPr>
            <w:tcW w:w="80" w:type="dxa"/>
            <w:vAlign w:val="bottom"/>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200" w:type="dxa"/>
            <w:vAlign w:val="bottom"/>
          </w:tcPr>
          <w:p>
            <w:pPr>
              <w:ind w:left="20"/>
              <w:spacing w:after="0"/>
              <w:rPr>
                <w:sz w:val="20"/>
                <w:szCs w:val="20"/>
                <w:color w:val="auto"/>
              </w:rPr>
            </w:pPr>
            <w:r>
              <w:rPr>
                <w:rFonts w:ascii="Arial" w:cs="Arial" w:eastAsia="Arial" w:hAnsi="Arial"/>
                <w:sz w:val="16"/>
                <w:szCs w:val="16"/>
                <w:color w:val="auto"/>
              </w:rPr>
              <w:t>Income before income tax</w:t>
            </w:r>
          </w:p>
        </w:tc>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14,928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92,445</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14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10,481</w:t>
            </w:r>
          </w:p>
        </w:tc>
        <w:tc>
          <w:tcPr>
            <w:tcW w:w="80" w:type="dxa"/>
            <w:vAlign w:val="bottom"/>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6"/>
        </w:trPr>
        <w:tc>
          <w:tcPr>
            <w:tcW w:w="6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4,447</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91,655</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146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Net income attributable to WillScot Mobile Mini</w:t>
            </w:r>
          </w:p>
        </w:tc>
        <w:tc>
          <w:tcPr>
            <w:tcW w:w="146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4,447</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BDBDB"/>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0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WillScot Mobile Mini common shareholders</w:t>
            </w: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60" w:type="dxa"/>
            <w:vAlign w:val="bottom"/>
            <w:shd w:val="clear" w:color="auto" w:fill="DBDBDB"/>
          </w:tcPr>
          <w:p>
            <w:pPr>
              <w:jc w:val="right"/>
              <w:ind w:right="1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Diluted</w:t>
            </w:r>
          </w:p>
        </w:tc>
        <w:tc>
          <w:tcPr>
            <w:tcW w:w="1460" w:type="dxa"/>
            <w:vAlign w:val="bottom"/>
          </w:tcPr>
          <w:p>
            <w:pPr>
              <w:jc w:val="right"/>
              <w:ind w:right="1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shares:</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Basic</w:t>
            </w:r>
          </w:p>
        </w:tc>
        <w:tc>
          <w:tcPr>
            <w:tcW w:w="1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228,293,197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109,656,646</w:t>
            </w:r>
          </w:p>
        </w:tc>
        <w:tc>
          <w:tcPr>
            <w:tcW w:w="0" w:type="dxa"/>
            <w:vAlign w:val="bottom"/>
          </w:tcPr>
          <w:p>
            <w:pPr>
              <w:spacing w:after="0"/>
              <w:rPr>
                <w:sz w:val="1"/>
                <w:szCs w:val="1"/>
                <w:color w:val="auto"/>
              </w:rPr>
            </w:pP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14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234,720,295</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112,672,997</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 w:name="page6"/>
    <w:bookmarkEnd w:id="5"/>
    <w:p>
      <w:pPr>
        <w:jc w:val="center"/>
        <w:ind w:left="340" w:right="1920"/>
        <w:spacing w:after="0" w:line="257" w:lineRule="auto"/>
        <w:rPr>
          <w:sz w:val="20"/>
          <w:szCs w:val="20"/>
          <w:color w:val="auto"/>
        </w:rPr>
      </w:pPr>
      <w:r>
        <w:rPr>
          <w:rFonts w:ascii="Arial" w:cs="Arial" w:eastAsia="Arial" w:hAnsi="Arial"/>
          <w:sz w:val="23"/>
          <w:szCs w:val="23"/>
          <w:color w:val="1D2758"/>
        </w:rPr>
        <w:t>WillScot Mobile Mini Holdings Corp. Condensed Consolidated Statements of Comprehensive Income (Loss)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shd w:val="clear" w:color="auto" w:fill="1D2758"/>
          </w:tcPr>
          <w:p>
            <w:pPr>
              <w:spacing w:after="0"/>
              <w:rPr>
                <w:sz w:val="16"/>
                <w:szCs w:val="16"/>
                <w:color w:val="auto"/>
              </w:rPr>
            </w:pPr>
          </w:p>
        </w:tc>
        <w:tc>
          <w:tcPr>
            <w:tcW w:w="3720" w:type="dxa"/>
            <w:vAlign w:val="bottom"/>
            <w:gridSpan w:val="5"/>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5"/>
        </w:trPr>
        <w:tc>
          <w:tcPr>
            <w:tcW w:w="7520" w:type="dxa"/>
            <w:vAlign w:val="bottom"/>
            <w:shd w:val="clear" w:color="auto" w:fill="1D2758"/>
          </w:tcPr>
          <w:p>
            <w:pPr>
              <w:spacing w:after="0"/>
              <w:rPr>
                <w:sz w:val="18"/>
                <w:szCs w:val="18"/>
                <w:color w:val="auto"/>
              </w:rPr>
            </w:pPr>
          </w:p>
        </w:tc>
        <w:tc>
          <w:tcPr>
            <w:tcW w:w="1180" w:type="dxa"/>
            <w:vAlign w:val="bottom"/>
            <w:shd w:val="clear" w:color="auto" w:fill="1D2758"/>
          </w:tcPr>
          <w:p>
            <w:pPr>
              <w:spacing w:after="0"/>
              <w:rPr>
                <w:sz w:val="18"/>
                <w:szCs w:val="18"/>
                <w:color w:val="auto"/>
              </w:rPr>
            </w:pPr>
          </w:p>
        </w:tc>
        <w:tc>
          <w:tcPr>
            <w:tcW w:w="1100" w:type="dxa"/>
            <w:vAlign w:val="bottom"/>
            <w:gridSpan w:val="3"/>
            <w:shd w:val="clear" w:color="auto" w:fill="1D2758"/>
          </w:tcPr>
          <w:p>
            <w:pPr>
              <w:jc w:val="right"/>
              <w:spacing w:after="0"/>
              <w:rPr>
                <w:sz w:val="20"/>
                <w:szCs w:val="20"/>
                <w:color w:val="auto"/>
              </w:rPr>
            </w:pPr>
            <w:r>
              <w:rPr>
                <w:rFonts w:ascii="Arial" w:cs="Arial" w:eastAsia="Arial" w:hAnsi="Arial"/>
                <w:sz w:val="16"/>
                <w:szCs w:val="16"/>
                <w:b w:val="1"/>
                <w:bCs w:val="1"/>
                <w:color w:val="FFFFFF"/>
              </w:rPr>
              <w:t>March 31,</w:t>
            </w:r>
          </w:p>
        </w:tc>
        <w:tc>
          <w:tcPr>
            <w:tcW w:w="14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520" w:type="dxa"/>
            <w:vAlign w:val="bottom"/>
            <w:shd w:val="clear" w:color="auto" w:fill="1D2758"/>
          </w:tcPr>
          <w:p>
            <w:pPr>
              <w:ind w:left="20"/>
              <w:spacing w:after="0" w:line="177" w:lineRule="exact"/>
              <w:rPr>
                <w:sz w:val="20"/>
                <w:szCs w:val="20"/>
                <w:color w:val="auto"/>
              </w:rPr>
            </w:pPr>
            <w:r>
              <w:rPr>
                <w:rFonts w:ascii="Arial" w:cs="Arial" w:eastAsia="Arial" w:hAnsi="Arial"/>
                <w:sz w:val="16"/>
                <w:szCs w:val="16"/>
                <w:b w:val="1"/>
                <w:bCs w:val="1"/>
                <w:i w:val="1"/>
                <w:iCs w:val="1"/>
                <w:color w:val="FFFFFF"/>
              </w:rPr>
              <w:t>(in thousands)</w:t>
            </w:r>
          </w:p>
        </w:tc>
        <w:tc>
          <w:tcPr>
            <w:tcW w:w="118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2021</w:t>
            </w:r>
          </w:p>
        </w:tc>
        <w:tc>
          <w:tcPr>
            <w:tcW w:w="640" w:type="dxa"/>
            <w:vAlign w:val="bottom"/>
            <w:shd w:val="clear" w:color="auto" w:fill="1D2758"/>
          </w:tcPr>
          <w:p>
            <w:pPr>
              <w:spacing w:after="0"/>
              <w:rPr>
                <w:sz w:val="15"/>
                <w:szCs w:val="15"/>
                <w:color w:val="auto"/>
              </w:rPr>
            </w:pPr>
          </w:p>
        </w:tc>
        <w:tc>
          <w:tcPr>
            <w:tcW w:w="100" w:type="dxa"/>
            <w:vAlign w:val="bottom"/>
            <w:shd w:val="clear" w:color="auto" w:fill="1D2758"/>
          </w:tcPr>
          <w:p>
            <w:pPr>
              <w:spacing w:after="0"/>
              <w:rPr>
                <w:sz w:val="15"/>
                <w:szCs w:val="15"/>
                <w:color w:val="auto"/>
              </w:rPr>
            </w:pPr>
          </w:p>
        </w:tc>
        <w:tc>
          <w:tcPr>
            <w:tcW w:w="360" w:type="dxa"/>
            <w:vAlign w:val="bottom"/>
            <w:shd w:val="clear" w:color="auto" w:fill="1D2758"/>
          </w:tcPr>
          <w:p>
            <w:pPr>
              <w:spacing w:after="0"/>
              <w:rPr>
                <w:sz w:val="15"/>
                <w:szCs w:val="15"/>
                <w:color w:val="auto"/>
              </w:rPr>
            </w:pPr>
          </w:p>
        </w:tc>
        <w:tc>
          <w:tcPr>
            <w:tcW w:w="1440" w:type="dxa"/>
            <w:vAlign w:val="bottom"/>
            <w:shd w:val="clear" w:color="auto" w:fill="1D2758"/>
          </w:tcPr>
          <w:p>
            <w:pPr>
              <w:jc w:val="right"/>
              <w:ind w:right="639"/>
              <w:spacing w:after="0" w:line="177" w:lineRule="exact"/>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7520" w:type="dxa"/>
            <w:vAlign w:val="bottom"/>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6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440" w:type="dxa"/>
            <w:vAlign w:val="bottom"/>
            <w:shd w:val="clear" w:color="auto" w:fill="1D2758"/>
          </w:tcPr>
          <w:p>
            <w:pPr>
              <w:jc w:val="right"/>
              <w:ind w:right="33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216"/>
        </w:trPr>
        <w:tc>
          <w:tcPr>
            <w:tcW w:w="7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91,655</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52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Foreign currency translation adjustment, net of income tax expense of $0 and $0 for the three months</w:t>
            </w:r>
          </w:p>
        </w:tc>
        <w:tc>
          <w:tcPr>
            <w:tcW w:w="11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ended March 31, 2021 and 2020, respectively</w:t>
            </w:r>
          </w:p>
        </w:tc>
        <w:tc>
          <w:tcPr>
            <w:tcW w:w="11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(21,144)</w:t>
            </w:r>
          </w:p>
        </w:tc>
        <w:tc>
          <w:tcPr>
            <w:tcW w:w="0" w:type="dxa"/>
            <w:vAlign w:val="bottom"/>
          </w:tcPr>
          <w:p>
            <w:pPr>
              <w:spacing w:after="0"/>
              <w:rPr>
                <w:sz w:val="1"/>
                <w:szCs w:val="1"/>
                <w:color w:val="auto"/>
              </w:rPr>
            </w:pPr>
          </w:p>
        </w:tc>
      </w:tr>
      <w:tr>
        <w:trPr>
          <w:trHeight w:val="177"/>
        </w:trPr>
        <w:tc>
          <w:tcPr>
            <w:tcW w:w="7520" w:type="dxa"/>
            <w:vAlign w:val="bottom"/>
          </w:tcPr>
          <w:p>
            <w:pPr>
              <w:ind w:left="240"/>
              <w:spacing w:after="0" w:line="178" w:lineRule="exact"/>
              <w:rPr>
                <w:sz w:val="20"/>
                <w:szCs w:val="20"/>
                <w:color w:val="auto"/>
              </w:rPr>
            </w:pPr>
            <w:r>
              <w:rPr>
                <w:rFonts w:ascii="Arial" w:cs="Arial" w:eastAsia="Arial" w:hAnsi="Arial"/>
                <w:sz w:val="16"/>
                <w:szCs w:val="16"/>
                <w:color w:val="auto"/>
              </w:rPr>
              <w:t>Net gain (loss) on derivatives, net of income tax expense of $667 and $0 for the three months ended</w:t>
            </w: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March 31, 2021 and 2020, respectively</w:t>
            </w: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(8,758)</w:t>
            </w:r>
          </w:p>
        </w:tc>
        <w:tc>
          <w:tcPr>
            <w:tcW w:w="0" w:type="dxa"/>
            <w:vAlign w:val="bottom"/>
          </w:tcPr>
          <w:p>
            <w:pPr>
              <w:spacing w:after="0"/>
              <w:rPr>
                <w:sz w:val="1"/>
                <w:szCs w:val="1"/>
                <w:color w:val="auto"/>
              </w:rPr>
            </w:pPr>
          </w:p>
        </w:tc>
      </w:tr>
      <w:tr>
        <w:trPr>
          <w:trHeight w:val="209"/>
        </w:trPr>
        <w:tc>
          <w:tcPr>
            <w:tcW w:w="7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other comprehensive income (loss)</w:t>
            </w:r>
          </w:p>
        </w:tc>
        <w:tc>
          <w:tcPr>
            <w:tcW w:w="118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7,211</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(29,902)</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61,753</w:t>
            </w:r>
          </w:p>
        </w:tc>
        <w:tc>
          <w:tcPr>
            <w:tcW w:w="0" w:type="dxa"/>
            <w:vAlign w:val="bottom"/>
          </w:tcPr>
          <w:p>
            <w:pPr>
              <w:spacing w:after="0"/>
              <w:rPr>
                <w:sz w:val="1"/>
                <w:szCs w:val="1"/>
                <w:color w:val="auto"/>
              </w:rPr>
            </w:pPr>
          </w:p>
        </w:tc>
      </w:tr>
      <w:tr>
        <w:trPr>
          <w:trHeight w:val="216"/>
        </w:trPr>
        <w:tc>
          <w:tcPr>
            <w:tcW w:w="75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Comprehensive loss attributable to non-controlling interest</w:t>
            </w:r>
          </w:p>
        </w:tc>
        <w:tc>
          <w:tcPr>
            <w:tcW w:w="118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Total comprehensive income attributable to WillScot Mobile Mini</w:t>
            </w: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11,658</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64,586</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 w:name="page7"/>
    <w:bookmarkEnd w:id="6"/>
    <w:p>
      <w:pPr>
        <w:jc w:val="center"/>
        <w:ind w:left="340" w:right="2560"/>
        <w:spacing w:after="0" w:line="257" w:lineRule="auto"/>
        <w:rPr>
          <w:sz w:val="20"/>
          <w:szCs w:val="20"/>
          <w:color w:val="auto"/>
        </w:rPr>
      </w:pPr>
      <w:r>
        <w:rPr>
          <w:rFonts w:ascii="Arial" w:cs="Arial" w:eastAsia="Arial" w:hAnsi="Arial"/>
          <w:sz w:val="23"/>
          <w:szCs w:val="23"/>
          <w:color w:val="1D2758"/>
        </w:rPr>
        <w:t>WillScot Mobile Mini Holdings Corp. Condensed Consolidated Statements of Changes in Equity (Unaudited)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74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1000" w:type="dxa"/>
            <w:vAlign w:val="bottom"/>
            <w:gridSpan w:val="2"/>
            <w:shd w:val="clear" w:color="auto" w:fill="1D2758"/>
          </w:tcPr>
          <w:p>
            <w:pPr>
              <w:jc w:val="center"/>
              <w:spacing w:after="0"/>
              <w:rPr>
                <w:sz w:val="20"/>
                <w:szCs w:val="20"/>
                <w:color w:val="auto"/>
              </w:rPr>
            </w:pPr>
            <w:r>
              <w:rPr>
                <w:rFonts w:ascii="Arial" w:cs="Arial" w:eastAsia="Arial" w:hAnsi="Arial"/>
                <w:sz w:val="13"/>
                <w:szCs w:val="13"/>
                <w:b w:val="1"/>
                <w:bCs w:val="1"/>
                <w:color w:val="FFFFFF"/>
                <w:w w:val="97"/>
              </w:rPr>
              <w:t>Accumulated</w:t>
            </w:r>
          </w:p>
        </w:tc>
        <w:tc>
          <w:tcPr>
            <w:tcW w:w="9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80" w:type="dxa"/>
            <w:vAlign w:val="bottom"/>
            <w:shd w:val="clear" w:color="auto" w:fill="1D2758"/>
          </w:tcPr>
          <w:p>
            <w:pPr>
              <w:spacing w:after="0"/>
              <w:rPr>
                <w:sz w:val="12"/>
                <w:szCs w:val="12"/>
                <w:color w:val="auto"/>
              </w:rPr>
            </w:pPr>
          </w:p>
        </w:tc>
        <w:tc>
          <w:tcPr>
            <w:tcW w:w="1720" w:type="dxa"/>
            <w:vAlign w:val="bottom"/>
            <w:gridSpan w:val="2"/>
            <w:shd w:val="clear" w:color="auto" w:fill="1D2758"/>
          </w:tcPr>
          <w:p>
            <w:pPr>
              <w:jc w:val="right"/>
              <w:ind w:right="125"/>
              <w:spacing w:after="0" w:line="148" w:lineRule="exact"/>
              <w:rPr>
                <w:sz w:val="20"/>
                <w:szCs w:val="20"/>
                <w:color w:val="auto"/>
              </w:rPr>
            </w:pPr>
            <w:r>
              <w:rPr>
                <w:rFonts w:ascii="Arial" w:cs="Arial" w:eastAsia="Arial" w:hAnsi="Arial"/>
                <w:sz w:val="13"/>
                <w:szCs w:val="13"/>
                <w:b w:val="1"/>
                <w:bCs w:val="1"/>
                <w:color w:val="FFFFFF"/>
              </w:rPr>
              <w:t>Common Stock</w:t>
            </w:r>
            <w:r>
              <w:rPr>
                <w:rFonts w:ascii="Arial" w:cs="Arial" w:eastAsia="Arial" w:hAnsi="Arial"/>
                <w:sz w:val="16"/>
                <w:szCs w:val="16"/>
                <w:b w:val="1"/>
                <w:bCs w:val="1"/>
                <w:color w:val="FFFFFF"/>
                <w:vertAlign w:val="superscript"/>
              </w:rPr>
              <w:t>(1)</w:t>
            </w:r>
          </w:p>
        </w:tc>
        <w:tc>
          <w:tcPr>
            <w:tcW w:w="26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220" w:type="dxa"/>
            <w:vAlign w:val="bottom"/>
            <w:shd w:val="clear" w:color="auto" w:fill="1D2758"/>
          </w:tcPr>
          <w:p>
            <w:pPr>
              <w:spacing w:after="0"/>
              <w:rPr>
                <w:sz w:val="12"/>
                <w:szCs w:val="12"/>
                <w:color w:val="auto"/>
              </w:rPr>
            </w:pPr>
          </w:p>
        </w:tc>
        <w:tc>
          <w:tcPr>
            <w:tcW w:w="780" w:type="dxa"/>
            <w:vAlign w:val="bottom"/>
            <w:shd w:val="clear" w:color="auto" w:fill="1D2758"/>
          </w:tcPr>
          <w:p>
            <w:pPr>
              <w:jc w:val="center"/>
              <w:ind w:right="161"/>
              <w:spacing w:after="0"/>
              <w:rPr>
                <w:sz w:val="20"/>
                <w:szCs w:val="20"/>
                <w:color w:val="auto"/>
              </w:rPr>
            </w:pPr>
            <w:r>
              <w:rPr>
                <w:rFonts w:ascii="Arial" w:cs="Arial" w:eastAsia="Arial" w:hAnsi="Arial"/>
                <w:sz w:val="13"/>
                <w:szCs w:val="13"/>
                <w:b w:val="1"/>
                <w:bCs w:val="1"/>
                <w:color w:val="FFFFFF"/>
                <w:w w:val="97"/>
              </w:rPr>
              <w:t>Other</w:t>
            </w:r>
          </w:p>
        </w:tc>
        <w:tc>
          <w:tcPr>
            <w:tcW w:w="98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840" w:type="dxa"/>
            <w:vAlign w:val="bottom"/>
            <w:shd w:val="clear" w:color="auto" w:fill="1D2758"/>
          </w:tcPr>
          <w:p>
            <w:pPr>
              <w:jc w:val="center"/>
              <w:ind w:right="63"/>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94"/>
        </w:trPr>
        <w:tc>
          <w:tcPr>
            <w:tcW w:w="528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980" w:type="dxa"/>
            <w:vAlign w:val="bottom"/>
            <w:vMerge w:val="restart"/>
            <w:shd w:val="clear" w:color="auto" w:fill="1D2758"/>
          </w:tcPr>
          <w:p>
            <w:pPr>
              <w:jc w:val="right"/>
              <w:ind w:right="203"/>
              <w:spacing w:after="0"/>
              <w:rPr>
                <w:sz w:val="20"/>
                <w:szCs w:val="20"/>
                <w:color w:val="auto"/>
              </w:rPr>
            </w:pPr>
            <w:r>
              <w:rPr>
                <w:rFonts w:ascii="Arial" w:cs="Arial" w:eastAsia="Arial" w:hAnsi="Arial"/>
                <w:sz w:val="13"/>
                <w:szCs w:val="13"/>
                <w:b w:val="1"/>
                <w:bCs w:val="1"/>
                <w:color w:val="FFFFFF"/>
              </w:rPr>
              <w:t>Shares</w:t>
            </w:r>
          </w:p>
        </w:tc>
        <w:tc>
          <w:tcPr>
            <w:tcW w:w="740" w:type="dxa"/>
            <w:vAlign w:val="bottom"/>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Amount</w:t>
            </w:r>
          </w:p>
        </w:tc>
        <w:tc>
          <w:tcPr>
            <w:tcW w:w="260" w:type="dxa"/>
            <w:vAlign w:val="bottom"/>
            <w:shd w:val="clear" w:color="auto" w:fill="1D2758"/>
          </w:tcPr>
          <w:p>
            <w:pPr>
              <w:spacing w:after="0"/>
              <w:rPr>
                <w:sz w:val="8"/>
                <w:szCs w:val="8"/>
                <w:color w:val="auto"/>
              </w:rPr>
            </w:pPr>
          </w:p>
        </w:tc>
        <w:tc>
          <w:tcPr>
            <w:tcW w:w="2000" w:type="dxa"/>
            <w:vAlign w:val="bottom"/>
            <w:gridSpan w:val="4"/>
            <w:shd w:val="clear" w:color="auto" w:fill="1D2758"/>
          </w:tcPr>
          <w:p>
            <w:pPr>
              <w:jc w:val="right"/>
              <w:spacing w:after="0" w:line="95" w:lineRule="exact"/>
              <w:rPr>
                <w:sz w:val="20"/>
                <w:szCs w:val="20"/>
                <w:color w:val="auto"/>
              </w:rPr>
            </w:pPr>
            <w:r>
              <w:rPr>
                <w:rFonts w:ascii="Arial" w:cs="Arial" w:eastAsia="Arial" w:hAnsi="Arial"/>
                <w:sz w:val="10"/>
                <w:szCs w:val="10"/>
                <w:b w:val="1"/>
                <w:bCs w:val="1"/>
                <w:color w:val="FFFFFF"/>
              </w:rPr>
              <w:t>Additional Paid- Comprehensive</w:t>
            </w:r>
          </w:p>
        </w:tc>
        <w:tc>
          <w:tcPr>
            <w:tcW w:w="980" w:type="dxa"/>
            <w:vAlign w:val="bottom"/>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Accumulated</w:t>
            </w:r>
          </w:p>
        </w:tc>
        <w:tc>
          <w:tcPr>
            <w:tcW w:w="1000" w:type="dxa"/>
            <w:vAlign w:val="bottom"/>
            <w:gridSpan w:val="2"/>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Shareholders'</w:t>
            </w:r>
          </w:p>
        </w:tc>
        <w:tc>
          <w:tcPr>
            <w:tcW w:w="0" w:type="dxa"/>
            <w:vAlign w:val="bottom"/>
          </w:tcPr>
          <w:p>
            <w:pPr>
              <w:spacing w:after="0"/>
              <w:rPr>
                <w:sz w:val="1"/>
                <w:szCs w:val="1"/>
                <w:color w:val="auto"/>
              </w:rPr>
            </w:pPr>
          </w:p>
        </w:tc>
      </w:tr>
      <w:tr>
        <w:trPr>
          <w:trHeight w:val="176"/>
        </w:trPr>
        <w:tc>
          <w:tcPr>
            <w:tcW w:w="5280" w:type="dxa"/>
            <w:vAlign w:val="bottom"/>
            <w:vMerge w:val="continue"/>
            <w:shd w:val="clear" w:color="auto" w:fill="1D2758"/>
          </w:tcPr>
          <w:p>
            <w:pPr>
              <w:spacing w:after="0"/>
              <w:rPr>
                <w:sz w:val="15"/>
                <w:szCs w:val="15"/>
                <w:color w:val="auto"/>
              </w:rPr>
            </w:pPr>
          </w:p>
        </w:tc>
        <w:tc>
          <w:tcPr>
            <w:tcW w:w="980" w:type="dxa"/>
            <w:vAlign w:val="bottom"/>
            <w:vMerge w:val="continue"/>
            <w:shd w:val="clear" w:color="auto" w:fill="1D2758"/>
          </w:tcPr>
          <w:p>
            <w:pPr>
              <w:spacing w:after="0"/>
              <w:rPr>
                <w:sz w:val="15"/>
                <w:szCs w:val="15"/>
                <w:color w:val="auto"/>
              </w:rPr>
            </w:pPr>
          </w:p>
        </w:tc>
        <w:tc>
          <w:tcPr>
            <w:tcW w:w="740" w:type="dxa"/>
            <w:vAlign w:val="bottom"/>
            <w:vMerge w:val="continue"/>
            <w:shd w:val="clear" w:color="auto" w:fill="1D2758"/>
          </w:tcPr>
          <w:p>
            <w:pPr>
              <w:spacing w:after="0"/>
              <w:rPr>
                <w:sz w:val="15"/>
                <w:szCs w:val="15"/>
                <w:color w:val="auto"/>
              </w:rPr>
            </w:pPr>
          </w:p>
        </w:tc>
        <w:tc>
          <w:tcPr>
            <w:tcW w:w="260" w:type="dxa"/>
            <w:vAlign w:val="bottom"/>
            <w:shd w:val="clear" w:color="auto" w:fill="1D2758"/>
          </w:tcPr>
          <w:p>
            <w:pPr>
              <w:spacing w:after="0"/>
              <w:rPr>
                <w:sz w:val="15"/>
                <w:szCs w:val="15"/>
                <w:color w:val="auto"/>
              </w:rPr>
            </w:pPr>
          </w:p>
        </w:tc>
        <w:tc>
          <w:tcPr>
            <w:tcW w:w="160" w:type="dxa"/>
            <w:vAlign w:val="bottom"/>
            <w:shd w:val="clear" w:color="auto" w:fill="1D2758"/>
          </w:tcPr>
          <w:p>
            <w:pPr>
              <w:spacing w:after="0"/>
              <w:rPr>
                <w:sz w:val="15"/>
                <w:szCs w:val="15"/>
                <w:color w:val="auto"/>
              </w:rPr>
            </w:pPr>
          </w:p>
        </w:tc>
        <w:tc>
          <w:tcPr>
            <w:tcW w:w="840" w:type="dxa"/>
            <w:vAlign w:val="bottom"/>
            <w:shd w:val="clear" w:color="auto" w:fill="1D2758"/>
          </w:tcPr>
          <w:p>
            <w:pPr>
              <w:jc w:val="right"/>
              <w:ind w:right="141"/>
              <w:spacing w:after="0"/>
              <w:rPr>
                <w:sz w:val="20"/>
                <w:szCs w:val="20"/>
                <w:color w:val="auto"/>
              </w:rPr>
            </w:pPr>
            <w:r>
              <w:rPr>
                <w:rFonts w:ascii="Arial" w:cs="Arial" w:eastAsia="Arial" w:hAnsi="Arial"/>
                <w:sz w:val="13"/>
                <w:szCs w:val="13"/>
                <w:b w:val="1"/>
                <w:bCs w:val="1"/>
                <w:color w:val="FFFFFF"/>
              </w:rPr>
              <w:t>in-Capital</w:t>
            </w:r>
          </w:p>
        </w:tc>
        <w:tc>
          <w:tcPr>
            <w:tcW w:w="1000" w:type="dxa"/>
            <w:vAlign w:val="bottom"/>
            <w:gridSpan w:val="2"/>
            <w:shd w:val="clear" w:color="auto" w:fill="1D2758"/>
          </w:tcPr>
          <w:p>
            <w:pPr>
              <w:jc w:val="center"/>
              <w:spacing w:after="0"/>
              <w:rPr>
                <w:sz w:val="20"/>
                <w:szCs w:val="20"/>
                <w:color w:val="auto"/>
              </w:rPr>
            </w:pPr>
            <w:r>
              <w:rPr>
                <w:rFonts w:ascii="Arial" w:cs="Arial" w:eastAsia="Arial" w:hAnsi="Arial"/>
                <w:sz w:val="13"/>
                <w:szCs w:val="13"/>
                <w:b w:val="1"/>
                <w:bCs w:val="1"/>
                <w:color w:val="FFFFFF"/>
                <w:w w:val="97"/>
              </w:rPr>
              <w:t>Income (Loss)</w:t>
            </w:r>
          </w:p>
        </w:tc>
        <w:tc>
          <w:tcPr>
            <w:tcW w:w="98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w w:val="95"/>
              </w:rPr>
              <w:t>Deficit</w:t>
            </w:r>
          </w:p>
        </w:tc>
        <w:tc>
          <w:tcPr>
            <w:tcW w:w="160" w:type="dxa"/>
            <w:vAlign w:val="bottom"/>
            <w:shd w:val="clear" w:color="auto" w:fill="1D2758"/>
          </w:tcPr>
          <w:p>
            <w:pPr>
              <w:spacing w:after="0"/>
              <w:rPr>
                <w:sz w:val="15"/>
                <w:szCs w:val="15"/>
                <w:color w:val="auto"/>
              </w:rPr>
            </w:pPr>
          </w:p>
        </w:tc>
        <w:tc>
          <w:tcPr>
            <w:tcW w:w="840" w:type="dxa"/>
            <w:vAlign w:val="bottom"/>
            <w:shd w:val="clear" w:color="auto" w:fill="1D2758"/>
          </w:tcPr>
          <w:p>
            <w:pPr>
              <w:jc w:val="center"/>
              <w:ind w:right="63"/>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216"/>
        </w:trPr>
        <w:tc>
          <w:tcPr>
            <w:tcW w:w="5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2020 (as restated)</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229,038</w:t>
            </w:r>
          </w:p>
        </w:tc>
        <w:tc>
          <w:tcPr>
            <w:tcW w:w="740" w:type="dxa"/>
            <w:vAlign w:val="bottom"/>
            <w:shd w:val="clear" w:color="auto" w:fill="DBDBDB"/>
          </w:tcPr>
          <w:p>
            <w:pPr>
              <w:jc w:val="right"/>
              <w:ind w:right="565"/>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3,852,291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(37,207)</w:t>
            </w:r>
          </w:p>
        </w:tc>
        <w:tc>
          <w:tcPr>
            <w:tcW w:w="9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 (1,751,234)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2,063,873</w:t>
            </w:r>
          </w:p>
        </w:tc>
        <w:tc>
          <w:tcPr>
            <w:tcW w:w="0" w:type="dxa"/>
            <w:vAlign w:val="bottom"/>
          </w:tcPr>
          <w:p>
            <w:pPr>
              <w:spacing w:after="0"/>
              <w:rPr>
                <w:sz w:val="1"/>
                <w:szCs w:val="1"/>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4,447</w:t>
            </w: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219"/>
        </w:trPr>
        <w:tc>
          <w:tcPr>
            <w:tcW w:w="52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comprehensive income</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DBDBDB"/>
          </w:tcPr>
          <w:p>
            <w:pPr>
              <w:spacing w:after="0"/>
              <w:rPr>
                <w:sz w:val="19"/>
                <w:szCs w:val="19"/>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7,211</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7,211</w:t>
            </w:r>
          </w:p>
        </w:tc>
        <w:tc>
          <w:tcPr>
            <w:tcW w:w="0" w:type="dxa"/>
            <w:vAlign w:val="bottom"/>
          </w:tcPr>
          <w:p>
            <w:pPr>
              <w:spacing w:after="0"/>
              <w:rPr>
                <w:sz w:val="1"/>
                <w:szCs w:val="1"/>
                <w:color w:val="auto"/>
              </w:rPr>
            </w:pPr>
          </w:p>
        </w:tc>
      </w:tr>
      <w:tr>
        <w:trPr>
          <w:trHeight w:val="177"/>
        </w:trPr>
        <w:tc>
          <w:tcPr>
            <w:tcW w:w="5280" w:type="dxa"/>
            <w:vAlign w:val="bottom"/>
          </w:tcPr>
          <w:p>
            <w:pPr>
              <w:ind w:left="240"/>
              <w:spacing w:after="0" w:line="178" w:lineRule="exact"/>
              <w:rPr>
                <w:sz w:val="20"/>
                <w:szCs w:val="20"/>
                <w:color w:val="auto"/>
              </w:rPr>
            </w:pPr>
            <w:r>
              <w:rPr>
                <w:rFonts w:ascii="Arial" w:cs="Arial" w:eastAsia="Arial" w:hAnsi="Arial"/>
                <w:sz w:val="16"/>
                <w:szCs w:val="16"/>
                <w:color w:val="auto"/>
              </w:rPr>
              <w:t>Stock-based compensation and issuance of Common Stock from</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80" w:type="dxa"/>
            <w:vAlign w:val="bottom"/>
          </w:tcPr>
          <w:p>
            <w:pPr>
              <w:ind w:left="240"/>
              <w:spacing w:after="0"/>
              <w:rPr>
                <w:sz w:val="20"/>
                <w:szCs w:val="20"/>
                <w:color w:val="auto"/>
              </w:rPr>
            </w:pPr>
            <w:r>
              <w:rPr>
                <w:rFonts w:ascii="Arial" w:cs="Arial" w:eastAsia="Arial" w:hAnsi="Arial"/>
                <w:sz w:val="16"/>
                <w:szCs w:val="16"/>
                <w:color w:val="auto"/>
              </w:rPr>
              <w:t>vesting</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229</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4,951</w:t>
            </w: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19"/>
        </w:trPr>
        <w:tc>
          <w:tcPr>
            <w:tcW w:w="52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Repurchase and cancellation of Common Stock and warrants</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(2,793)</w:t>
            </w:r>
          </w:p>
        </w:tc>
        <w:tc>
          <w:tcPr>
            <w:tcW w:w="740" w:type="dxa"/>
            <w:vAlign w:val="bottom"/>
            <w:shd w:val="clear" w:color="auto" w:fill="DBDBDB"/>
          </w:tcPr>
          <w:p>
            <w:pPr>
              <w:spacing w:after="0"/>
              <w:rPr>
                <w:sz w:val="19"/>
                <w:szCs w:val="19"/>
                <w:color w:val="auto"/>
              </w:rPr>
            </w:pP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(76,788)</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(76,788)</w:t>
            </w:r>
          </w:p>
        </w:tc>
        <w:tc>
          <w:tcPr>
            <w:tcW w:w="0" w:type="dxa"/>
            <w:vAlign w:val="bottom"/>
          </w:tcPr>
          <w:p>
            <w:pPr>
              <w:spacing w:after="0"/>
              <w:rPr>
                <w:sz w:val="1"/>
                <w:szCs w:val="1"/>
                <w:color w:val="auto"/>
              </w:rPr>
            </w:pPr>
          </w:p>
        </w:tc>
      </w:tr>
      <w:tr>
        <w:trPr>
          <w:trHeight w:val="177"/>
        </w:trPr>
        <w:tc>
          <w:tcPr>
            <w:tcW w:w="5280" w:type="dxa"/>
            <w:vAlign w:val="bottom"/>
          </w:tcPr>
          <w:p>
            <w:pPr>
              <w:ind w:left="240"/>
              <w:spacing w:after="0" w:line="178" w:lineRule="exact"/>
              <w:rPr>
                <w:sz w:val="20"/>
                <w:szCs w:val="20"/>
                <w:color w:val="auto"/>
              </w:rPr>
            </w:pPr>
            <w:r>
              <w:rPr>
                <w:rFonts w:ascii="Arial" w:cs="Arial" w:eastAsia="Arial" w:hAnsi="Arial"/>
                <w:sz w:val="16"/>
                <w:szCs w:val="16"/>
                <w:color w:val="auto"/>
              </w:rPr>
              <w:t>Receipts from issuance of Common Stock from the exercise of</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80" w:type="dxa"/>
            <w:vAlign w:val="bottom"/>
          </w:tcPr>
          <w:p>
            <w:pPr>
              <w:ind w:left="240"/>
              <w:spacing w:after="0"/>
              <w:rPr>
                <w:sz w:val="20"/>
                <w:szCs w:val="20"/>
                <w:color w:val="auto"/>
              </w:rPr>
            </w:pPr>
            <w:r>
              <w:rPr>
                <w:rFonts w:ascii="Arial" w:cs="Arial" w:eastAsia="Arial" w:hAnsi="Arial"/>
                <w:sz w:val="16"/>
                <w:szCs w:val="16"/>
                <w:color w:val="auto"/>
              </w:rPr>
              <w:t>options</w:t>
            </w: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341</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5,414</w:t>
            </w: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180"/>
        </w:trPr>
        <w:tc>
          <w:tcPr>
            <w:tcW w:w="5280" w:type="dxa"/>
            <w:vAlign w:val="bottom"/>
            <w:shd w:val="clear" w:color="auto" w:fill="DBDBDB"/>
          </w:tcPr>
          <w:p>
            <w:pPr>
              <w:ind w:left="240"/>
              <w:spacing w:after="0" w:line="181" w:lineRule="exact"/>
              <w:rPr>
                <w:sz w:val="20"/>
                <w:szCs w:val="20"/>
                <w:color w:val="auto"/>
              </w:rPr>
            </w:pPr>
            <w:r>
              <w:rPr>
                <w:rFonts w:ascii="Arial" w:cs="Arial" w:eastAsia="Arial" w:hAnsi="Arial"/>
                <w:sz w:val="16"/>
                <w:szCs w:val="16"/>
                <w:color w:val="auto"/>
              </w:rPr>
              <w:t>Withholding taxes on net share settlement of stock-based</w:t>
            </w:r>
          </w:p>
        </w:tc>
        <w:tc>
          <w:tcPr>
            <w:tcW w:w="9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compensation</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(3,219)</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226,815</w:t>
            </w: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3,782,649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 (1,746,787)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2,005,889</w:t>
            </w: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Three Months Ended March 31, 2020 (as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20" w:type="dxa"/>
            <w:vAlign w:val="bottom"/>
            <w:shd w:val="clear" w:color="auto" w:fill="1D2758"/>
          </w:tcPr>
          <w:p>
            <w:pPr>
              <w:spacing w:after="0"/>
              <w:rPr>
                <w:sz w:val="14"/>
                <w:szCs w:val="14"/>
                <w:color w:val="auto"/>
              </w:rPr>
            </w:pPr>
          </w:p>
        </w:tc>
        <w:tc>
          <w:tcPr>
            <w:tcW w:w="82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760" w:type="dxa"/>
            <w:vAlign w:val="bottom"/>
            <w:shd w:val="clear" w:color="auto" w:fill="1D2758"/>
          </w:tcPr>
          <w:p>
            <w:pPr>
              <w:spacing w:after="0"/>
              <w:rPr>
                <w:sz w:val="14"/>
                <w:szCs w:val="14"/>
                <w:color w:val="auto"/>
              </w:rPr>
            </w:pPr>
          </w:p>
        </w:tc>
        <w:tc>
          <w:tcPr>
            <w:tcW w:w="78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840" w:type="dxa"/>
            <w:vAlign w:val="bottom"/>
            <w:shd w:val="clear" w:color="auto" w:fill="1D2758"/>
          </w:tcPr>
          <w:p>
            <w:pPr>
              <w:spacing w:after="0"/>
              <w:rPr>
                <w:sz w:val="14"/>
                <w:szCs w:val="14"/>
                <w:color w:val="auto"/>
              </w:rPr>
            </w:pPr>
          </w:p>
        </w:tc>
        <w:tc>
          <w:tcPr>
            <w:tcW w:w="1000" w:type="dxa"/>
            <w:vAlign w:val="bottom"/>
            <w:gridSpan w:val="2"/>
            <w:shd w:val="clear" w:color="auto" w:fill="1D2758"/>
          </w:tcPr>
          <w:p>
            <w:pPr>
              <w:jc w:val="right"/>
              <w:ind w:right="21"/>
              <w:spacing w:after="0"/>
              <w:rPr>
                <w:sz w:val="20"/>
                <w:szCs w:val="20"/>
                <w:color w:val="auto"/>
              </w:rPr>
            </w:pPr>
            <w:r>
              <w:rPr>
                <w:rFonts w:ascii="Arial" w:cs="Arial" w:eastAsia="Arial" w:hAnsi="Arial"/>
                <w:sz w:val="13"/>
                <w:szCs w:val="13"/>
                <w:b w:val="1"/>
                <w:bCs w:val="1"/>
                <w:color w:val="FFFFFF"/>
              </w:rPr>
              <w:t>Accumulated</w:t>
            </w:r>
          </w:p>
        </w:tc>
        <w:tc>
          <w:tcPr>
            <w:tcW w:w="100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680" w:type="dxa"/>
            <w:vAlign w:val="bottom"/>
            <w:shd w:val="clear" w:color="auto" w:fill="1D2758"/>
          </w:tcPr>
          <w:p>
            <w:pPr>
              <w:spacing w:after="0"/>
              <w:rPr>
                <w:sz w:val="14"/>
                <w:szCs w:val="14"/>
                <w:color w:val="auto"/>
              </w:rPr>
            </w:pPr>
          </w:p>
        </w:tc>
        <w:tc>
          <w:tcPr>
            <w:tcW w:w="160" w:type="dxa"/>
            <w:vAlign w:val="bottom"/>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1D2758"/>
          </w:tcPr>
          <w:p>
            <w:pPr>
              <w:spacing w:after="0"/>
              <w:rPr>
                <w:sz w:val="12"/>
                <w:szCs w:val="12"/>
                <w:color w:val="auto"/>
              </w:rPr>
            </w:pPr>
          </w:p>
        </w:tc>
        <w:tc>
          <w:tcPr>
            <w:tcW w:w="1760" w:type="dxa"/>
            <w:vAlign w:val="bottom"/>
            <w:gridSpan w:val="3"/>
            <w:shd w:val="clear" w:color="auto" w:fill="1D2758"/>
          </w:tcPr>
          <w:p>
            <w:pPr>
              <w:jc w:val="right"/>
              <w:ind w:right="61"/>
              <w:spacing w:after="0" w:line="148" w:lineRule="exact"/>
              <w:rPr>
                <w:sz w:val="20"/>
                <w:szCs w:val="20"/>
                <w:color w:val="auto"/>
              </w:rPr>
            </w:pPr>
            <w:r>
              <w:rPr>
                <w:rFonts w:ascii="Arial" w:cs="Arial" w:eastAsia="Arial" w:hAnsi="Arial"/>
                <w:sz w:val="13"/>
                <w:szCs w:val="13"/>
                <w:b w:val="1"/>
                <w:bCs w:val="1"/>
                <w:color w:val="FFFFFF"/>
              </w:rPr>
              <w:t>Class A Common Stock</w:t>
            </w:r>
            <w:r>
              <w:rPr>
                <w:rFonts w:ascii="Arial" w:cs="Arial" w:eastAsia="Arial" w:hAnsi="Arial"/>
                <w:sz w:val="16"/>
                <w:szCs w:val="16"/>
                <w:b w:val="1"/>
                <w:bCs w:val="1"/>
                <w:color w:val="FFFFFF"/>
                <w:vertAlign w:val="superscript"/>
              </w:rPr>
              <w:t>(1)</w:t>
            </w:r>
          </w:p>
        </w:tc>
        <w:tc>
          <w:tcPr>
            <w:tcW w:w="1680" w:type="dxa"/>
            <w:vAlign w:val="bottom"/>
            <w:gridSpan w:val="3"/>
            <w:shd w:val="clear" w:color="auto" w:fill="1D2758"/>
          </w:tcPr>
          <w:p>
            <w:pPr>
              <w:jc w:val="right"/>
              <w:ind w:right="81"/>
              <w:spacing w:after="0"/>
              <w:rPr>
                <w:sz w:val="20"/>
                <w:szCs w:val="20"/>
                <w:color w:val="auto"/>
              </w:rPr>
            </w:pPr>
            <w:r>
              <w:rPr>
                <w:rFonts w:ascii="Arial" w:cs="Arial" w:eastAsia="Arial" w:hAnsi="Arial"/>
                <w:sz w:val="13"/>
                <w:szCs w:val="13"/>
                <w:b w:val="1"/>
                <w:bCs w:val="1"/>
                <w:color w:val="FFFFFF"/>
              </w:rPr>
              <w:t>Class B Common Stock</w:t>
            </w:r>
          </w:p>
        </w:tc>
        <w:tc>
          <w:tcPr>
            <w:tcW w:w="140" w:type="dxa"/>
            <w:vAlign w:val="bottom"/>
            <w:shd w:val="clear" w:color="auto" w:fill="1D2758"/>
          </w:tcPr>
          <w:p>
            <w:pPr>
              <w:spacing w:after="0"/>
              <w:rPr>
                <w:sz w:val="12"/>
                <w:szCs w:val="12"/>
                <w:color w:val="auto"/>
              </w:rPr>
            </w:pPr>
          </w:p>
        </w:tc>
        <w:tc>
          <w:tcPr>
            <w:tcW w:w="840" w:type="dxa"/>
            <w:vAlign w:val="bottom"/>
            <w:shd w:val="clear" w:color="auto" w:fill="1D2758"/>
          </w:tcPr>
          <w:p>
            <w:pPr>
              <w:spacing w:after="0"/>
              <w:rPr>
                <w:sz w:val="12"/>
                <w:szCs w:val="12"/>
                <w:color w:val="auto"/>
              </w:rPr>
            </w:pPr>
          </w:p>
        </w:tc>
        <w:tc>
          <w:tcPr>
            <w:tcW w:w="220" w:type="dxa"/>
            <w:vAlign w:val="bottom"/>
            <w:shd w:val="clear" w:color="auto" w:fill="1D2758"/>
          </w:tcPr>
          <w:p>
            <w:pPr>
              <w:spacing w:after="0"/>
              <w:rPr>
                <w:sz w:val="12"/>
                <w:szCs w:val="12"/>
                <w:color w:val="auto"/>
              </w:rPr>
            </w:pPr>
          </w:p>
        </w:tc>
        <w:tc>
          <w:tcPr>
            <w:tcW w:w="780" w:type="dxa"/>
            <w:vAlign w:val="bottom"/>
            <w:shd w:val="clear" w:color="auto" w:fill="1D2758"/>
          </w:tcPr>
          <w:p>
            <w:pPr>
              <w:jc w:val="right"/>
              <w:ind w:right="261"/>
              <w:spacing w:after="0"/>
              <w:rPr>
                <w:sz w:val="20"/>
                <w:szCs w:val="20"/>
                <w:color w:val="auto"/>
              </w:rPr>
            </w:pPr>
            <w:r>
              <w:rPr>
                <w:rFonts w:ascii="Arial" w:cs="Arial" w:eastAsia="Arial" w:hAnsi="Arial"/>
                <w:sz w:val="13"/>
                <w:szCs w:val="13"/>
                <w:b w:val="1"/>
                <w:bCs w:val="1"/>
                <w:color w:val="FFFFFF"/>
              </w:rPr>
              <w:t>Other</w:t>
            </w:r>
          </w:p>
        </w:tc>
        <w:tc>
          <w:tcPr>
            <w:tcW w:w="1000" w:type="dxa"/>
            <w:vAlign w:val="bottom"/>
            <w:shd w:val="clear" w:color="auto" w:fill="1D2758"/>
          </w:tcPr>
          <w:p>
            <w:pPr>
              <w:spacing w:after="0"/>
              <w:rPr>
                <w:sz w:val="12"/>
                <w:szCs w:val="12"/>
                <w:color w:val="auto"/>
              </w:rPr>
            </w:pPr>
          </w:p>
        </w:tc>
        <w:tc>
          <w:tcPr>
            <w:tcW w:w="160" w:type="dxa"/>
            <w:vAlign w:val="bottom"/>
            <w:shd w:val="clear" w:color="auto" w:fill="1D2758"/>
          </w:tcPr>
          <w:p>
            <w:pPr>
              <w:spacing w:after="0"/>
              <w:rPr>
                <w:sz w:val="12"/>
                <w:szCs w:val="12"/>
                <w:color w:val="auto"/>
              </w:rPr>
            </w:pPr>
          </w:p>
        </w:tc>
        <w:tc>
          <w:tcPr>
            <w:tcW w:w="720" w:type="dxa"/>
            <w:vAlign w:val="bottom"/>
            <w:shd w:val="clear" w:color="auto" w:fill="1D2758"/>
          </w:tcPr>
          <w:p>
            <w:pPr>
              <w:jc w:val="right"/>
              <w:ind w:right="223"/>
              <w:spacing w:after="0"/>
              <w:rPr>
                <w:sz w:val="20"/>
                <w:szCs w:val="20"/>
                <w:color w:val="auto"/>
              </w:rPr>
            </w:pPr>
            <w:r>
              <w:rPr>
                <w:rFonts w:ascii="Arial" w:cs="Arial" w:eastAsia="Arial" w:hAnsi="Arial"/>
                <w:sz w:val="13"/>
                <w:szCs w:val="13"/>
                <w:b w:val="1"/>
                <w:bCs w:val="1"/>
                <w:color w:val="FFFFFF"/>
              </w:rPr>
              <w:t>Total</w:t>
            </w:r>
          </w:p>
        </w:tc>
        <w:tc>
          <w:tcPr>
            <w:tcW w:w="160" w:type="dxa"/>
            <w:vAlign w:val="bottom"/>
            <w:shd w:val="clear" w:color="auto" w:fill="1D2758"/>
          </w:tcPr>
          <w:p>
            <w:pPr>
              <w:spacing w:after="0"/>
              <w:rPr>
                <w:sz w:val="12"/>
                <w:szCs w:val="12"/>
                <w:color w:val="auto"/>
              </w:rPr>
            </w:pPr>
          </w:p>
        </w:tc>
        <w:tc>
          <w:tcPr>
            <w:tcW w:w="680" w:type="dxa"/>
            <w:vAlign w:val="bottom"/>
            <w:shd w:val="clear" w:color="auto" w:fill="1D2758"/>
          </w:tcPr>
          <w:p>
            <w:pPr>
              <w:jc w:val="center"/>
              <w:ind w:right="83"/>
              <w:spacing w:after="0"/>
              <w:rPr>
                <w:sz w:val="20"/>
                <w:szCs w:val="20"/>
                <w:color w:val="auto"/>
              </w:rPr>
            </w:pPr>
            <w:r>
              <w:rPr>
                <w:rFonts w:ascii="Arial" w:cs="Arial" w:eastAsia="Arial" w:hAnsi="Arial"/>
                <w:sz w:val="13"/>
                <w:szCs w:val="13"/>
                <w:b w:val="1"/>
                <w:bCs w:val="1"/>
                <w:color w:val="FFFFFF"/>
                <w:w w:val="94"/>
              </w:rPr>
              <w:t>Non-</w:t>
            </w:r>
          </w:p>
        </w:tc>
        <w:tc>
          <w:tcPr>
            <w:tcW w:w="160" w:type="dxa"/>
            <w:vAlign w:val="bottom"/>
            <w:shd w:val="clear" w:color="auto" w:fill="1D2758"/>
          </w:tcPr>
          <w:p>
            <w:pPr>
              <w:spacing w:after="0"/>
              <w:rPr>
                <w:sz w:val="12"/>
                <w:szCs w:val="12"/>
                <w:color w:val="auto"/>
              </w:rPr>
            </w:pPr>
          </w:p>
        </w:tc>
        <w:tc>
          <w:tcPr>
            <w:tcW w:w="700" w:type="dxa"/>
            <w:vAlign w:val="bottom"/>
            <w:shd w:val="clear" w:color="auto" w:fill="1D2758"/>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20" w:type="dxa"/>
            <w:vAlign w:val="bottom"/>
            <w:vMerge w:val="restart"/>
            <w:shd w:val="clear" w:color="auto" w:fill="1D2758"/>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20" w:type="dxa"/>
            <w:vAlign w:val="bottom"/>
            <w:vMerge w:val="restart"/>
            <w:shd w:val="clear" w:color="auto" w:fill="1D2758"/>
          </w:tcPr>
          <w:p>
            <w:pPr>
              <w:jc w:val="right"/>
              <w:ind w:right="103"/>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1D2758"/>
          </w:tcPr>
          <w:p>
            <w:pPr>
              <w:spacing w:after="0"/>
              <w:rPr>
                <w:sz w:val="8"/>
                <w:szCs w:val="8"/>
                <w:color w:val="auto"/>
              </w:rPr>
            </w:pPr>
          </w:p>
        </w:tc>
        <w:tc>
          <w:tcPr>
            <w:tcW w:w="760" w:type="dxa"/>
            <w:vAlign w:val="bottom"/>
            <w:vMerge w:val="restart"/>
            <w:shd w:val="clear" w:color="auto" w:fill="1D2758"/>
          </w:tcPr>
          <w:p>
            <w:pPr>
              <w:jc w:val="right"/>
              <w:ind w:right="161"/>
              <w:spacing w:after="0"/>
              <w:rPr>
                <w:sz w:val="20"/>
                <w:szCs w:val="20"/>
                <w:color w:val="auto"/>
              </w:rPr>
            </w:pPr>
            <w:r>
              <w:rPr>
                <w:rFonts w:ascii="Arial" w:cs="Arial" w:eastAsia="Arial" w:hAnsi="Arial"/>
                <w:sz w:val="13"/>
                <w:szCs w:val="13"/>
                <w:b w:val="1"/>
                <w:bCs w:val="1"/>
                <w:color w:val="FFFFFF"/>
              </w:rPr>
              <w:t>Amount</w:t>
            </w:r>
          </w:p>
        </w:tc>
        <w:tc>
          <w:tcPr>
            <w:tcW w:w="780" w:type="dxa"/>
            <w:vAlign w:val="bottom"/>
            <w:vMerge w:val="restart"/>
            <w:shd w:val="clear" w:color="auto" w:fill="1D2758"/>
          </w:tcPr>
          <w:p>
            <w:pPr>
              <w:jc w:val="right"/>
              <w:ind w:right="103"/>
              <w:spacing w:after="0"/>
              <w:rPr>
                <w:sz w:val="20"/>
                <w:szCs w:val="20"/>
                <w:color w:val="auto"/>
              </w:rPr>
            </w:pPr>
            <w:r>
              <w:rPr>
                <w:rFonts w:ascii="Arial" w:cs="Arial" w:eastAsia="Arial" w:hAnsi="Arial"/>
                <w:sz w:val="13"/>
                <w:szCs w:val="13"/>
                <w:b w:val="1"/>
                <w:bCs w:val="1"/>
                <w:color w:val="FFFFFF"/>
              </w:rPr>
              <w:t>Shares</w:t>
            </w:r>
          </w:p>
        </w:tc>
        <w:tc>
          <w:tcPr>
            <w:tcW w:w="180" w:type="dxa"/>
            <w:vAlign w:val="bottom"/>
            <w:shd w:val="clear" w:color="auto" w:fill="1D2758"/>
          </w:tcPr>
          <w:p>
            <w:pPr>
              <w:spacing w:after="0"/>
              <w:rPr>
                <w:sz w:val="8"/>
                <w:szCs w:val="8"/>
                <w:color w:val="auto"/>
              </w:rPr>
            </w:pPr>
          </w:p>
        </w:tc>
        <w:tc>
          <w:tcPr>
            <w:tcW w:w="720" w:type="dxa"/>
            <w:vAlign w:val="bottom"/>
            <w:vMerge w:val="restart"/>
            <w:shd w:val="clear" w:color="auto" w:fill="1D2758"/>
          </w:tcPr>
          <w:p>
            <w:pPr>
              <w:jc w:val="right"/>
              <w:ind w:right="121"/>
              <w:spacing w:after="0"/>
              <w:rPr>
                <w:sz w:val="20"/>
                <w:szCs w:val="20"/>
                <w:color w:val="auto"/>
              </w:rPr>
            </w:pPr>
            <w:r>
              <w:rPr>
                <w:rFonts w:ascii="Arial" w:cs="Arial" w:eastAsia="Arial" w:hAnsi="Arial"/>
                <w:sz w:val="13"/>
                <w:szCs w:val="13"/>
                <w:b w:val="1"/>
                <w:bCs w:val="1"/>
                <w:color w:val="FFFFFF"/>
              </w:rPr>
              <w:t>Amount</w:t>
            </w:r>
          </w:p>
        </w:tc>
        <w:tc>
          <w:tcPr>
            <w:tcW w:w="140" w:type="dxa"/>
            <w:vAlign w:val="bottom"/>
            <w:shd w:val="clear" w:color="auto" w:fill="1D2758"/>
          </w:tcPr>
          <w:p>
            <w:pPr>
              <w:spacing w:after="0"/>
              <w:rPr>
                <w:sz w:val="8"/>
                <w:szCs w:val="8"/>
                <w:color w:val="auto"/>
              </w:rPr>
            </w:pPr>
          </w:p>
        </w:tc>
        <w:tc>
          <w:tcPr>
            <w:tcW w:w="840" w:type="dxa"/>
            <w:vAlign w:val="bottom"/>
            <w:shd w:val="clear" w:color="auto" w:fill="1D2758"/>
          </w:tcPr>
          <w:p>
            <w:pPr>
              <w:jc w:val="right"/>
              <w:ind w:right="103"/>
              <w:spacing w:after="0" w:line="95" w:lineRule="exact"/>
              <w:rPr>
                <w:sz w:val="20"/>
                <w:szCs w:val="20"/>
                <w:color w:val="auto"/>
              </w:rPr>
            </w:pPr>
            <w:r>
              <w:rPr>
                <w:rFonts w:ascii="Arial" w:cs="Arial" w:eastAsia="Arial" w:hAnsi="Arial"/>
                <w:sz w:val="10"/>
                <w:szCs w:val="10"/>
                <w:b w:val="1"/>
                <w:bCs w:val="1"/>
                <w:color w:val="FFFFFF"/>
              </w:rPr>
              <w:t>Additional</w:t>
            </w:r>
          </w:p>
        </w:tc>
        <w:tc>
          <w:tcPr>
            <w:tcW w:w="1000" w:type="dxa"/>
            <w:vAlign w:val="bottom"/>
            <w:gridSpan w:val="2"/>
            <w:shd w:val="clear" w:color="auto" w:fill="1D2758"/>
          </w:tcPr>
          <w:p>
            <w:pPr>
              <w:jc w:val="right"/>
              <w:spacing w:after="0" w:line="95" w:lineRule="exact"/>
              <w:rPr>
                <w:sz w:val="20"/>
                <w:szCs w:val="20"/>
                <w:color w:val="auto"/>
              </w:rPr>
            </w:pPr>
            <w:r>
              <w:rPr>
                <w:rFonts w:ascii="Arial" w:cs="Arial" w:eastAsia="Arial" w:hAnsi="Arial"/>
                <w:sz w:val="10"/>
                <w:szCs w:val="10"/>
                <w:b w:val="1"/>
                <w:bCs w:val="1"/>
                <w:color w:val="FFFFFF"/>
              </w:rPr>
              <w:t>Comprehensive</w:t>
            </w:r>
          </w:p>
        </w:tc>
        <w:tc>
          <w:tcPr>
            <w:tcW w:w="1000" w:type="dxa"/>
            <w:vAlign w:val="bottom"/>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Accumulated</w:t>
            </w:r>
          </w:p>
        </w:tc>
        <w:tc>
          <w:tcPr>
            <w:tcW w:w="880" w:type="dxa"/>
            <w:vAlign w:val="bottom"/>
            <w:gridSpan w:val="2"/>
            <w:shd w:val="clear" w:color="auto" w:fill="1D2758"/>
          </w:tcPr>
          <w:p>
            <w:pPr>
              <w:ind w:left="20"/>
              <w:spacing w:after="0" w:line="95" w:lineRule="exact"/>
              <w:rPr>
                <w:sz w:val="20"/>
                <w:szCs w:val="20"/>
                <w:color w:val="auto"/>
              </w:rPr>
            </w:pPr>
            <w:r>
              <w:rPr>
                <w:rFonts w:ascii="Arial" w:cs="Arial" w:eastAsia="Arial" w:hAnsi="Arial"/>
                <w:sz w:val="10"/>
                <w:szCs w:val="10"/>
                <w:b w:val="1"/>
                <w:bCs w:val="1"/>
                <w:color w:val="FFFFFF"/>
              </w:rPr>
              <w:t>Shareholders'</w:t>
            </w:r>
          </w:p>
        </w:tc>
        <w:tc>
          <w:tcPr>
            <w:tcW w:w="840" w:type="dxa"/>
            <w:vAlign w:val="bottom"/>
            <w:gridSpan w:val="2"/>
            <w:shd w:val="clear" w:color="auto" w:fill="1D2758"/>
          </w:tcPr>
          <w:p>
            <w:pPr>
              <w:jc w:val="center"/>
              <w:spacing w:after="0" w:line="95" w:lineRule="exact"/>
              <w:rPr>
                <w:sz w:val="20"/>
                <w:szCs w:val="20"/>
                <w:color w:val="auto"/>
              </w:rPr>
            </w:pPr>
            <w:r>
              <w:rPr>
                <w:rFonts w:ascii="Arial" w:cs="Arial" w:eastAsia="Arial" w:hAnsi="Arial"/>
                <w:sz w:val="10"/>
                <w:szCs w:val="10"/>
                <w:b w:val="1"/>
                <w:bCs w:val="1"/>
                <w:color w:val="FFFFFF"/>
              </w:rPr>
              <w:t>Controlling</w:t>
            </w:r>
          </w:p>
        </w:tc>
        <w:tc>
          <w:tcPr>
            <w:tcW w:w="860" w:type="dxa"/>
            <w:vAlign w:val="bottom"/>
            <w:gridSpan w:val="2"/>
            <w:vMerge w:val="restart"/>
            <w:shd w:val="clear" w:color="auto" w:fill="1D2758"/>
          </w:tcPr>
          <w:p>
            <w:pPr>
              <w:jc w:val="right"/>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176"/>
        </w:trPr>
        <w:tc>
          <w:tcPr>
            <w:tcW w:w="2220" w:type="dxa"/>
            <w:vAlign w:val="bottom"/>
            <w:vMerge w:val="continue"/>
            <w:shd w:val="clear" w:color="auto" w:fill="1D2758"/>
          </w:tcPr>
          <w:p>
            <w:pPr>
              <w:spacing w:after="0"/>
              <w:rPr>
                <w:sz w:val="15"/>
                <w:szCs w:val="15"/>
                <w:color w:val="auto"/>
              </w:rPr>
            </w:pPr>
          </w:p>
        </w:tc>
        <w:tc>
          <w:tcPr>
            <w:tcW w:w="820" w:type="dxa"/>
            <w:vAlign w:val="bottom"/>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760" w:type="dxa"/>
            <w:vAlign w:val="bottom"/>
            <w:vMerge w:val="continue"/>
            <w:shd w:val="clear" w:color="auto" w:fill="1D2758"/>
          </w:tcPr>
          <w:p>
            <w:pPr>
              <w:spacing w:after="0"/>
              <w:rPr>
                <w:sz w:val="15"/>
                <w:szCs w:val="15"/>
                <w:color w:val="auto"/>
              </w:rPr>
            </w:pPr>
          </w:p>
        </w:tc>
        <w:tc>
          <w:tcPr>
            <w:tcW w:w="780" w:type="dxa"/>
            <w:vAlign w:val="bottom"/>
            <w:vMerge w:val="continue"/>
            <w:shd w:val="clear" w:color="auto" w:fill="1D2758"/>
          </w:tcPr>
          <w:p>
            <w:pPr>
              <w:spacing w:after="0"/>
              <w:rPr>
                <w:sz w:val="15"/>
                <w:szCs w:val="15"/>
                <w:color w:val="auto"/>
              </w:rPr>
            </w:pPr>
          </w:p>
        </w:tc>
        <w:tc>
          <w:tcPr>
            <w:tcW w:w="180" w:type="dxa"/>
            <w:vAlign w:val="bottom"/>
            <w:shd w:val="clear" w:color="auto" w:fill="1D2758"/>
          </w:tcPr>
          <w:p>
            <w:pPr>
              <w:spacing w:after="0"/>
              <w:rPr>
                <w:sz w:val="15"/>
                <w:szCs w:val="15"/>
                <w:color w:val="auto"/>
              </w:rPr>
            </w:pPr>
          </w:p>
        </w:tc>
        <w:tc>
          <w:tcPr>
            <w:tcW w:w="720" w:type="dxa"/>
            <w:vAlign w:val="bottom"/>
            <w:vMerge w:val="continue"/>
            <w:shd w:val="clear" w:color="auto" w:fill="1D2758"/>
          </w:tcPr>
          <w:p>
            <w:pPr>
              <w:spacing w:after="0"/>
              <w:rPr>
                <w:sz w:val="15"/>
                <w:szCs w:val="15"/>
                <w:color w:val="auto"/>
              </w:rPr>
            </w:pPr>
          </w:p>
        </w:tc>
        <w:tc>
          <w:tcPr>
            <w:tcW w:w="980" w:type="dxa"/>
            <w:vAlign w:val="bottom"/>
            <w:gridSpan w:val="2"/>
            <w:shd w:val="clear" w:color="auto" w:fill="1D2758"/>
          </w:tcPr>
          <w:p>
            <w:pPr>
              <w:jc w:val="right"/>
              <w:spacing w:after="0"/>
              <w:rPr>
                <w:sz w:val="20"/>
                <w:szCs w:val="20"/>
                <w:color w:val="auto"/>
              </w:rPr>
            </w:pPr>
            <w:r>
              <w:rPr>
                <w:rFonts w:ascii="Arial" w:cs="Arial" w:eastAsia="Arial" w:hAnsi="Arial"/>
                <w:sz w:val="13"/>
                <w:szCs w:val="13"/>
                <w:b w:val="1"/>
                <w:bCs w:val="1"/>
                <w:color w:val="FFFFFF"/>
                <w:w w:val="98"/>
              </w:rPr>
              <w:t>Paid-in-Capital</w:t>
            </w:r>
          </w:p>
        </w:tc>
        <w:tc>
          <w:tcPr>
            <w:tcW w:w="1000" w:type="dxa"/>
            <w:vAlign w:val="bottom"/>
            <w:gridSpan w:val="2"/>
            <w:shd w:val="clear" w:color="auto" w:fill="1D2758"/>
          </w:tcPr>
          <w:p>
            <w:pPr>
              <w:jc w:val="right"/>
              <w:ind w:right="1"/>
              <w:spacing w:after="0"/>
              <w:rPr>
                <w:sz w:val="20"/>
                <w:szCs w:val="20"/>
                <w:color w:val="auto"/>
              </w:rPr>
            </w:pPr>
            <w:r>
              <w:rPr>
                <w:rFonts w:ascii="Arial" w:cs="Arial" w:eastAsia="Arial" w:hAnsi="Arial"/>
                <w:sz w:val="13"/>
                <w:szCs w:val="13"/>
                <w:b w:val="1"/>
                <w:bCs w:val="1"/>
                <w:color w:val="FFFFFF"/>
              </w:rPr>
              <w:t>Income (Loss)</w:t>
            </w:r>
          </w:p>
        </w:tc>
        <w:tc>
          <w:tcPr>
            <w:tcW w:w="1000" w:type="dxa"/>
            <w:vAlign w:val="bottom"/>
            <w:shd w:val="clear" w:color="auto" w:fill="1D2758"/>
          </w:tcPr>
          <w:p>
            <w:pPr>
              <w:jc w:val="center"/>
              <w:spacing w:after="0"/>
              <w:rPr>
                <w:sz w:val="20"/>
                <w:szCs w:val="20"/>
                <w:color w:val="auto"/>
              </w:rPr>
            </w:pPr>
            <w:r>
              <w:rPr>
                <w:rFonts w:ascii="Arial" w:cs="Arial" w:eastAsia="Arial" w:hAnsi="Arial"/>
                <w:sz w:val="13"/>
                <w:szCs w:val="13"/>
                <w:b w:val="1"/>
                <w:bCs w:val="1"/>
                <w:color w:val="FFFFFF"/>
                <w:w w:val="95"/>
              </w:rPr>
              <w:t>Deficit</w:t>
            </w:r>
          </w:p>
        </w:tc>
        <w:tc>
          <w:tcPr>
            <w:tcW w:w="160" w:type="dxa"/>
            <w:vAlign w:val="bottom"/>
            <w:shd w:val="clear" w:color="auto" w:fill="1D2758"/>
          </w:tcPr>
          <w:p>
            <w:pPr>
              <w:spacing w:after="0"/>
              <w:rPr>
                <w:sz w:val="15"/>
                <w:szCs w:val="15"/>
                <w:color w:val="auto"/>
              </w:rPr>
            </w:pPr>
          </w:p>
        </w:tc>
        <w:tc>
          <w:tcPr>
            <w:tcW w:w="720" w:type="dxa"/>
            <w:vAlign w:val="bottom"/>
            <w:shd w:val="clear" w:color="auto" w:fill="1D2758"/>
          </w:tcPr>
          <w:p>
            <w:pPr>
              <w:jc w:val="right"/>
              <w:ind w:right="163"/>
              <w:spacing w:after="0"/>
              <w:rPr>
                <w:sz w:val="20"/>
                <w:szCs w:val="20"/>
                <w:color w:val="auto"/>
              </w:rPr>
            </w:pPr>
            <w:r>
              <w:rPr>
                <w:rFonts w:ascii="Arial" w:cs="Arial" w:eastAsia="Arial" w:hAnsi="Arial"/>
                <w:sz w:val="13"/>
                <w:szCs w:val="13"/>
                <w:b w:val="1"/>
                <w:bCs w:val="1"/>
                <w:color w:val="FFFFFF"/>
              </w:rPr>
              <w:t>Equity</w:t>
            </w:r>
          </w:p>
        </w:tc>
        <w:tc>
          <w:tcPr>
            <w:tcW w:w="160" w:type="dxa"/>
            <w:vAlign w:val="bottom"/>
            <w:shd w:val="clear" w:color="auto" w:fill="1D2758"/>
          </w:tcPr>
          <w:p>
            <w:pPr>
              <w:spacing w:after="0"/>
              <w:rPr>
                <w:sz w:val="15"/>
                <w:szCs w:val="15"/>
                <w:color w:val="auto"/>
              </w:rPr>
            </w:pPr>
          </w:p>
        </w:tc>
        <w:tc>
          <w:tcPr>
            <w:tcW w:w="680" w:type="dxa"/>
            <w:vAlign w:val="bottom"/>
            <w:shd w:val="clear" w:color="auto" w:fill="1D2758"/>
          </w:tcPr>
          <w:p>
            <w:pPr>
              <w:jc w:val="center"/>
              <w:ind w:right="63"/>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gridSpan w:val="2"/>
            <w:vMerge w:val="continue"/>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DBDBDB"/>
          </w:tcPr>
          <w:p>
            <w:pPr>
              <w:ind w:left="20"/>
              <w:spacing w:after="0" w:line="178" w:lineRule="exact"/>
              <w:rPr>
                <w:sz w:val="20"/>
                <w:szCs w:val="20"/>
                <w:color w:val="auto"/>
              </w:rPr>
            </w:pPr>
            <w:r>
              <w:rPr>
                <w:rFonts w:ascii="Arial" w:cs="Arial" w:eastAsia="Arial" w:hAnsi="Arial"/>
                <w:sz w:val="16"/>
                <w:szCs w:val="16"/>
                <w:color w:val="auto"/>
              </w:rPr>
              <w:t>Balance at December 31,</w:t>
            </w:r>
          </w:p>
        </w:tc>
        <w:tc>
          <w:tcPr>
            <w:tcW w:w="8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60" w:type="dxa"/>
            <w:vAlign w:val="bottom"/>
            <w:shd w:val="clear" w:color="auto" w:fill="DBDBDB"/>
          </w:tcPr>
          <w:p>
            <w:pPr>
              <w:jc w:val="right"/>
              <w:spacing w:after="0" w:line="178" w:lineRule="exact"/>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line="178" w:lineRule="exact"/>
              <w:rPr>
                <w:sz w:val="20"/>
                <w:szCs w:val="20"/>
                <w:color w:val="auto"/>
              </w:rPr>
            </w:pPr>
            <w:r>
              <w:rPr>
                <w:rFonts w:ascii="Arial" w:cs="Arial" w:eastAsia="Arial" w:hAnsi="Arial"/>
                <w:sz w:val="16"/>
                <w:szCs w:val="16"/>
                <w:color w:val="auto"/>
              </w:rPr>
              <w:t>555,199</w:t>
            </w:r>
          </w:p>
        </w:tc>
        <w:tc>
          <w:tcPr>
            <w:tcW w:w="0" w:type="dxa"/>
            <w:vAlign w:val="bottom"/>
          </w:tcPr>
          <w:p>
            <w:pPr>
              <w:spacing w:after="0"/>
              <w:rPr>
                <w:sz w:val="1"/>
                <w:szCs w:val="1"/>
                <w:color w:val="auto"/>
              </w:rPr>
            </w:pPr>
          </w:p>
        </w:tc>
      </w:tr>
      <w:tr>
        <w:trPr>
          <w:trHeight w:val="201"/>
        </w:trPr>
        <w:tc>
          <w:tcPr>
            <w:tcW w:w="2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2019</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108,819</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11</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8,024</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2,378,733</w:t>
            </w:r>
          </w:p>
        </w:tc>
        <w:tc>
          <w:tcPr>
            <w:tcW w:w="220" w:type="dxa"/>
            <w:vAlign w:val="bottom"/>
            <w:shd w:val="clear" w:color="auto" w:fill="DBDBDB"/>
          </w:tcPr>
          <w:p>
            <w:pPr>
              <w:jc w:val="right"/>
              <w:ind w:right="5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(62,775)</w:t>
            </w:r>
          </w:p>
        </w:tc>
        <w:tc>
          <w:tcPr>
            <w:tcW w:w="10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 (1,825,361)</w:t>
            </w:r>
          </w:p>
        </w:tc>
        <w:tc>
          <w:tcPr>
            <w:tcW w:w="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490,609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64,590</w:t>
            </w: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91,785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91,785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91,655</w:t>
            </w:r>
          </w:p>
        </w:tc>
        <w:tc>
          <w:tcPr>
            <w:tcW w:w="0" w:type="dxa"/>
            <w:vAlign w:val="bottom"/>
          </w:tcPr>
          <w:p>
            <w:pPr>
              <w:spacing w:after="0"/>
              <w:rPr>
                <w:sz w:val="1"/>
                <w:szCs w:val="1"/>
                <w:color w:val="auto"/>
              </w:rPr>
            </w:pPr>
          </w:p>
        </w:tc>
      </w:tr>
      <w:tr>
        <w:trPr>
          <w:trHeight w:val="219"/>
        </w:trPr>
        <w:tc>
          <w:tcPr>
            <w:tcW w:w="22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 comprehensive loss</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9"/>
                <w:szCs w:val="19"/>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(27,199)</w:t>
            </w: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(27,199)</w:t>
            </w:r>
          </w:p>
        </w:tc>
        <w:tc>
          <w:tcPr>
            <w:tcW w:w="16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(2,703)</w:t>
            </w:r>
          </w:p>
        </w:tc>
        <w:tc>
          <w:tcPr>
            <w:tcW w:w="16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(29,902)</w:t>
            </w:r>
          </w:p>
        </w:tc>
        <w:tc>
          <w:tcPr>
            <w:tcW w:w="0" w:type="dxa"/>
            <w:vAlign w:val="bottom"/>
          </w:tcPr>
          <w:p>
            <w:pPr>
              <w:spacing w:after="0"/>
              <w:rPr>
                <w:sz w:val="1"/>
                <w:szCs w:val="1"/>
                <w:color w:val="auto"/>
              </w:rPr>
            </w:pPr>
          </w:p>
        </w:tc>
      </w:tr>
      <w:tr>
        <w:trPr>
          <w:trHeight w:val="177"/>
        </w:trPr>
        <w:tc>
          <w:tcPr>
            <w:tcW w:w="2220" w:type="dxa"/>
            <w:vAlign w:val="bottom"/>
          </w:tcPr>
          <w:p>
            <w:pPr>
              <w:ind w:left="220"/>
              <w:spacing w:after="0" w:line="178" w:lineRule="exact"/>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20"/>
              <w:spacing w:after="0" w:line="162" w:lineRule="exact"/>
              <w:rPr>
                <w:sz w:val="20"/>
                <w:szCs w:val="20"/>
                <w:color w:val="auto"/>
              </w:rPr>
            </w:pPr>
            <w:r>
              <w:rPr>
                <w:rFonts w:ascii="Arial" w:cs="Arial" w:eastAsia="Arial" w:hAnsi="Arial"/>
                <w:sz w:val="16"/>
                <w:szCs w:val="16"/>
                <w:color w:val="auto"/>
              </w:rPr>
              <w:t>and issuance of Common</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20" w:type="dxa"/>
            <w:vAlign w:val="bottom"/>
          </w:tcPr>
          <w:p>
            <w:pPr>
              <w:ind w:left="220"/>
              <w:spacing w:after="0"/>
              <w:rPr>
                <w:sz w:val="20"/>
                <w:szCs w:val="20"/>
                <w:color w:val="auto"/>
              </w:rPr>
            </w:pPr>
            <w:r>
              <w:rPr>
                <w:rFonts w:ascii="Arial" w:cs="Arial" w:eastAsia="Arial" w:hAnsi="Arial"/>
                <w:sz w:val="16"/>
                <w:szCs w:val="16"/>
                <w:color w:val="auto"/>
              </w:rPr>
              <w:t>Stock from vesting</w:t>
            </w:r>
          </w:p>
        </w:tc>
        <w:tc>
          <w:tcPr>
            <w:tcW w:w="82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1,787</w:t>
            </w: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1,787</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180"/>
        </w:trPr>
        <w:tc>
          <w:tcPr>
            <w:tcW w:w="2220" w:type="dxa"/>
            <w:vAlign w:val="bottom"/>
            <w:shd w:val="clear" w:color="auto" w:fill="DBDBDB"/>
          </w:tcPr>
          <w:p>
            <w:pPr>
              <w:ind w:left="220"/>
              <w:spacing w:after="0" w:line="181" w:lineRule="exact"/>
              <w:rPr>
                <w:sz w:val="20"/>
                <w:szCs w:val="20"/>
                <w:color w:val="auto"/>
              </w:rPr>
            </w:pPr>
            <w:r>
              <w:rPr>
                <w:rFonts w:ascii="Arial" w:cs="Arial" w:eastAsia="Arial" w:hAnsi="Arial"/>
                <w:sz w:val="16"/>
                <w:szCs w:val="16"/>
                <w:color w:val="auto"/>
              </w:rPr>
              <w:t>Receipts from issuance of</w:t>
            </w:r>
          </w:p>
        </w:tc>
        <w:tc>
          <w:tcPr>
            <w:tcW w:w="8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DBDBDB"/>
          </w:tcPr>
          <w:p>
            <w:pPr>
              <w:ind w:left="220"/>
              <w:spacing w:after="0" w:line="162" w:lineRule="exact"/>
              <w:rPr>
                <w:sz w:val="20"/>
                <w:szCs w:val="20"/>
                <w:color w:val="auto"/>
              </w:rPr>
            </w:pPr>
            <w:r>
              <w:rPr>
                <w:rFonts w:ascii="Arial" w:cs="Arial" w:eastAsia="Arial" w:hAnsi="Arial"/>
                <w:sz w:val="16"/>
                <w:szCs w:val="16"/>
                <w:color w:val="auto"/>
              </w:rPr>
              <w:t>Common Stock from</w:t>
            </w:r>
          </w:p>
        </w:tc>
        <w:tc>
          <w:tcPr>
            <w:tcW w:w="8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DBDBDB"/>
          </w:tcPr>
          <w:p>
            <w:pPr>
              <w:ind w:left="220"/>
              <w:spacing w:after="0" w:line="162" w:lineRule="exact"/>
              <w:rPr>
                <w:sz w:val="20"/>
                <w:szCs w:val="20"/>
                <w:color w:val="auto"/>
              </w:rPr>
            </w:pPr>
            <w:r>
              <w:rPr>
                <w:rFonts w:ascii="Arial" w:cs="Arial" w:eastAsia="Arial" w:hAnsi="Arial"/>
                <w:sz w:val="16"/>
                <w:szCs w:val="16"/>
                <w:color w:val="auto"/>
              </w:rPr>
              <w:t>warrant exercises and</w:t>
            </w:r>
          </w:p>
        </w:tc>
        <w:tc>
          <w:tcPr>
            <w:tcW w:w="8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redemptions</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1,497</w:t>
            </w:r>
          </w:p>
        </w:tc>
        <w:tc>
          <w:tcPr>
            <w:tcW w:w="180" w:type="dxa"/>
            <w:vAlign w:val="bottom"/>
            <w:shd w:val="clear" w:color="auto" w:fill="DBDBDB"/>
          </w:tcPr>
          <w:p>
            <w:pPr>
              <w:spacing w:after="0"/>
              <w:rPr>
                <w:sz w:val="17"/>
                <w:szCs w:val="17"/>
                <w:color w:val="auto"/>
              </w:rPr>
            </w:pPr>
          </w:p>
        </w:tc>
        <w:tc>
          <w:tcPr>
            <w:tcW w:w="76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7"/>
                <w:szCs w:val="17"/>
                <w:color w:val="auto"/>
              </w:rPr>
            </w:pPr>
          </w:p>
        </w:tc>
        <w:tc>
          <w:tcPr>
            <w:tcW w:w="7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28,958</w:t>
            </w: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28,958</w:t>
            </w:r>
          </w:p>
        </w:tc>
        <w:tc>
          <w:tcPr>
            <w:tcW w:w="16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28,958</w:t>
            </w:r>
          </w:p>
        </w:tc>
        <w:tc>
          <w:tcPr>
            <w:tcW w:w="0" w:type="dxa"/>
            <w:vAlign w:val="bottom"/>
          </w:tcPr>
          <w:p>
            <w:pPr>
              <w:spacing w:after="0"/>
              <w:rPr>
                <w:sz w:val="1"/>
                <w:szCs w:val="1"/>
                <w:color w:val="auto"/>
              </w:rPr>
            </w:pPr>
          </w:p>
        </w:tc>
      </w:tr>
      <w:tr>
        <w:trPr>
          <w:trHeight w:val="177"/>
        </w:trPr>
        <w:tc>
          <w:tcPr>
            <w:tcW w:w="2220" w:type="dxa"/>
            <w:vAlign w:val="bottom"/>
          </w:tcPr>
          <w:p>
            <w:pPr>
              <w:ind w:left="220"/>
              <w:spacing w:after="0" w:line="178" w:lineRule="exact"/>
              <w:rPr>
                <w:sz w:val="20"/>
                <w:szCs w:val="20"/>
                <w:color w:val="auto"/>
              </w:rPr>
            </w:pPr>
            <w:r>
              <w:rPr>
                <w:rFonts w:ascii="Arial" w:cs="Arial" w:eastAsia="Arial" w:hAnsi="Arial"/>
                <w:sz w:val="16"/>
                <w:szCs w:val="16"/>
                <w:color w:val="auto"/>
              </w:rPr>
              <w:t>Withholding taxes on net</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20"/>
              <w:spacing w:after="0" w:line="162" w:lineRule="exact"/>
              <w:rPr>
                <w:sz w:val="20"/>
                <w:szCs w:val="20"/>
                <w:color w:val="auto"/>
              </w:rPr>
            </w:pPr>
            <w:r>
              <w:rPr>
                <w:rFonts w:ascii="Arial" w:cs="Arial" w:eastAsia="Arial" w:hAnsi="Arial"/>
                <w:sz w:val="16"/>
                <w:szCs w:val="16"/>
                <w:color w:val="auto"/>
              </w:rPr>
              <w:t>share settlement of stock-</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20" w:type="dxa"/>
            <w:vAlign w:val="bottom"/>
          </w:tcPr>
          <w:p>
            <w:pPr>
              <w:ind w:left="220"/>
              <w:spacing w:after="0"/>
              <w:rPr>
                <w:sz w:val="20"/>
                <w:szCs w:val="20"/>
                <w:color w:val="auto"/>
              </w:rPr>
            </w:pPr>
            <w:r>
              <w:rPr>
                <w:rFonts w:ascii="Arial" w:cs="Arial" w:eastAsia="Arial" w:hAnsi="Arial"/>
                <w:sz w:val="16"/>
                <w:szCs w:val="16"/>
                <w:color w:val="auto"/>
              </w:rPr>
              <w:t>based compensation</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(673)</w:t>
            </w:r>
          </w:p>
        </w:tc>
        <w:tc>
          <w:tcPr>
            <w:tcW w:w="2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(673)</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41"/>
        </w:trPr>
        <w:tc>
          <w:tcPr>
            <w:tcW w:w="2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 at March 31, 2020</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110,555</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BDBDB"/>
          </w:tcPr>
          <w:p>
            <w:pPr>
              <w:jc w:val="right"/>
              <w:ind w:right="41"/>
              <w:spacing w:after="0"/>
              <w:rPr>
                <w:sz w:val="20"/>
                <w:szCs w:val="20"/>
                <w:color w:val="auto"/>
              </w:rPr>
            </w:pPr>
            <w:r>
              <w:rPr>
                <w:rFonts w:ascii="Arial" w:cs="Arial" w:eastAsia="Arial" w:hAnsi="Arial"/>
                <w:sz w:val="16"/>
                <w:szCs w:val="16"/>
                <w:color w:val="auto"/>
              </w:rPr>
              <w:t>11</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8,024</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6"/>
                <w:szCs w:val="16"/>
                <w:color w:val="auto"/>
              </w:rPr>
              <w:t>2,408,805</w:t>
            </w:r>
          </w:p>
        </w:tc>
        <w:tc>
          <w:tcPr>
            <w:tcW w:w="220" w:type="dxa"/>
            <w:vAlign w:val="bottom"/>
            <w:tcBorders>
              <w:bottom w:val="single" w:sz="8" w:color="auto"/>
            </w:tcBorders>
            <w:shd w:val="clear" w:color="auto" w:fill="DBDBDB"/>
          </w:tcPr>
          <w:p>
            <w:pPr>
              <w:jc w:val="right"/>
              <w:ind w:right="5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(89,974)</w:t>
            </w:r>
          </w:p>
        </w:tc>
        <w:tc>
          <w:tcPr>
            <w:tcW w:w="10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w w:val="98"/>
              </w:rPr>
              <w:t>$ (1,733,576)</w:t>
            </w:r>
          </w:p>
        </w:tc>
        <w:tc>
          <w:tcPr>
            <w:tcW w:w="1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585,267</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61,757</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647,024</w:t>
            </w:r>
          </w:p>
        </w:tc>
        <w:tc>
          <w:tcPr>
            <w:tcW w:w="0" w:type="dxa"/>
            <w:vAlign w:val="bottom"/>
          </w:tcPr>
          <w:p>
            <w:pPr>
              <w:spacing w:after="0"/>
              <w:rPr>
                <w:sz w:val="1"/>
                <w:szCs w:val="1"/>
                <w:color w:val="auto"/>
              </w:rPr>
            </w:pPr>
          </w:p>
        </w:tc>
      </w:tr>
      <w:tr>
        <w:trPr>
          <w:trHeight w:val="20"/>
        </w:trPr>
        <w:tc>
          <w:tcPr>
            <w:tcW w:w="22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60" w:right="2500" w:hanging="2552"/>
        <w:spacing w:after="0" w:line="726" w:lineRule="auto"/>
        <w:tabs>
          <w:tab w:leader="none" w:pos="199" w:val="left"/>
        </w:tabs>
        <w:numPr>
          <w:ilvl w:val="0"/>
          <w:numId w:val="4"/>
        </w:numPr>
        <w:rPr>
          <w:rFonts w:ascii="Arial" w:cs="Arial" w:eastAsia="Arial" w:hAnsi="Arial"/>
          <w:sz w:val="12"/>
          <w:szCs w:val="12"/>
          <w:i w:val="1"/>
          <w:iCs w:val="1"/>
          <w:color w:val="auto"/>
        </w:rPr>
      </w:pPr>
      <w:r>
        <w:rPr>
          <w:rFonts w:ascii="Arial" w:cs="Arial" w:eastAsia="Arial" w:hAnsi="Arial"/>
          <w:sz w:val="12"/>
          <w:szCs w:val="12"/>
          <w:i w:val="1"/>
          <w:iCs w:val="1"/>
          <w:color w:val="auto"/>
        </w:rPr>
        <w:t>See Note 1 for information regarding the Company's conversion of Class A Common Stock to Common Stock on July 1, 2020 concurrent with the Merger. See the accompanying notes which are an integral part of these condensed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3"/>
          <w:szCs w:val="23"/>
          <w:color w:val="1D2758"/>
        </w:rPr>
        <w:t>WillScot Mobile Mini Holdings Corp.</w:t>
      </w:r>
    </w:p>
    <w:p>
      <w:pPr>
        <w:jc w:val="center"/>
        <w:spacing w:after="0"/>
        <w:rPr>
          <w:sz w:val="20"/>
          <w:szCs w:val="20"/>
          <w:color w:val="auto"/>
        </w:rPr>
      </w:pPr>
      <w:r>
        <w:rPr>
          <w:rFonts w:ascii="Arial" w:cs="Arial" w:eastAsia="Arial" w:hAnsi="Arial"/>
          <w:sz w:val="23"/>
          <w:szCs w:val="23"/>
          <w:color w:val="1D2758"/>
        </w:rPr>
        <w:t>Condensed Consolidated Statements of Cash Flows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20" w:type="dxa"/>
            <w:vAlign w:val="bottom"/>
            <w:shd w:val="clear" w:color="auto" w:fill="1D2758"/>
          </w:tcPr>
          <w:p>
            <w:pPr>
              <w:spacing w:after="0"/>
              <w:rPr>
                <w:sz w:val="17"/>
                <w:szCs w:val="17"/>
                <w:color w:val="auto"/>
              </w:rPr>
            </w:pPr>
          </w:p>
        </w:tc>
        <w:tc>
          <w:tcPr>
            <w:tcW w:w="4320" w:type="dxa"/>
            <w:vAlign w:val="bottom"/>
            <w:gridSpan w:val="4"/>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Three Months Ended March 31,</w:t>
            </w:r>
          </w:p>
        </w:tc>
        <w:tc>
          <w:tcPr>
            <w:tcW w:w="7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1D2758"/>
          </w:tcPr>
          <w:p>
            <w:pPr>
              <w:ind w:left="20"/>
              <w:spacing w:after="0" w:line="175" w:lineRule="exact"/>
              <w:rPr>
                <w:sz w:val="20"/>
                <w:szCs w:val="20"/>
                <w:color w:val="auto"/>
              </w:rPr>
            </w:pPr>
            <w:r>
              <w:rPr>
                <w:rFonts w:ascii="Arial" w:cs="Arial" w:eastAsia="Arial" w:hAnsi="Arial"/>
                <w:sz w:val="16"/>
                <w:szCs w:val="16"/>
                <w:b w:val="1"/>
                <w:bCs w:val="1"/>
                <w:i w:val="1"/>
                <w:iCs w:val="1"/>
                <w:color w:val="FFFFFF"/>
              </w:rPr>
              <w:t>(in thousands)</w:t>
            </w:r>
          </w:p>
        </w:tc>
        <w:tc>
          <w:tcPr>
            <w:tcW w:w="1580" w:type="dxa"/>
            <w:vAlign w:val="bottom"/>
            <w:vMerge w:val="restart"/>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2021</w:t>
            </w:r>
          </w:p>
        </w:tc>
        <w:tc>
          <w:tcPr>
            <w:tcW w:w="880" w:type="dxa"/>
            <w:vAlign w:val="bottom"/>
            <w:shd w:val="clear" w:color="auto" w:fill="1D2758"/>
          </w:tcPr>
          <w:p>
            <w:pPr>
              <w:spacing w:after="0"/>
              <w:rPr>
                <w:sz w:val="15"/>
                <w:szCs w:val="15"/>
                <w:color w:val="auto"/>
              </w:rPr>
            </w:pPr>
          </w:p>
        </w:tc>
        <w:tc>
          <w:tcPr>
            <w:tcW w:w="80" w:type="dxa"/>
            <w:vAlign w:val="bottom"/>
            <w:shd w:val="clear" w:color="auto" w:fill="1D2758"/>
          </w:tcPr>
          <w:p>
            <w:pPr>
              <w:spacing w:after="0"/>
              <w:rPr>
                <w:sz w:val="15"/>
                <w:szCs w:val="15"/>
                <w:color w:val="auto"/>
              </w:rPr>
            </w:pPr>
          </w:p>
        </w:tc>
        <w:tc>
          <w:tcPr>
            <w:tcW w:w="1780" w:type="dxa"/>
            <w:vAlign w:val="bottom"/>
            <w:shd w:val="clear" w:color="auto" w:fill="1D2758"/>
          </w:tcPr>
          <w:p>
            <w:pPr>
              <w:jc w:val="right"/>
              <w:ind w:right="279"/>
              <w:spacing w:after="0" w:line="175" w:lineRule="exact"/>
              <w:rPr>
                <w:sz w:val="20"/>
                <w:szCs w:val="20"/>
                <w:color w:val="auto"/>
              </w:rPr>
            </w:pPr>
            <w:r>
              <w:rPr>
                <w:rFonts w:ascii="Arial" w:cs="Arial" w:eastAsia="Arial" w:hAnsi="Arial"/>
                <w:sz w:val="16"/>
                <w:szCs w:val="16"/>
                <w:b w:val="1"/>
                <w:bCs w:val="1"/>
                <w:color w:val="FFFFFF"/>
              </w:rPr>
              <w:t>2020</w:t>
            </w:r>
          </w:p>
        </w:tc>
        <w:tc>
          <w:tcPr>
            <w:tcW w:w="700" w:type="dxa"/>
            <w:vAlign w:val="bottom"/>
            <w:shd w:val="clear" w:color="auto" w:fill="1D275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1D2758"/>
          </w:tcPr>
          <w:p>
            <w:pPr>
              <w:spacing w:after="0"/>
              <w:rPr>
                <w:sz w:val="18"/>
                <w:szCs w:val="18"/>
                <w:color w:val="auto"/>
              </w:rPr>
            </w:pPr>
          </w:p>
        </w:tc>
        <w:tc>
          <w:tcPr>
            <w:tcW w:w="1580" w:type="dxa"/>
            <w:vAlign w:val="bottom"/>
            <w:vMerge w:val="continue"/>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78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(as restated)</w:t>
            </w:r>
          </w:p>
        </w:tc>
        <w:tc>
          <w:tcPr>
            <w:tcW w:w="7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activities:</w:t>
            </w:r>
          </w:p>
        </w:tc>
        <w:tc>
          <w:tcPr>
            <w:tcW w:w="158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580" w:type="dxa"/>
            <w:vAlign w:val="bottom"/>
          </w:tcPr>
          <w:p>
            <w:pPr>
              <w:jc w:val="right"/>
              <w:ind w:right="1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4,447</w:t>
            </w:r>
          </w:p>
        </w:tc>
        <w:tc>
          <w:tcPr>
            <w:tcW w:w="80" w:type="dxa"/>
            <w:vAlign w:val="bottom"/>
          </w:tcPr>
          <w:p>
            <w:pPr>
              <w:spacing w:after="0"/>
              <w:rPr>
                <w:sz w:val="18"/>
                <w:szCs w:val="18"/>
                <w:color w:val="auto"/>
              </w:rPr>
            </w:pPr>
          </w:p>
        </w:tc>
        <w:tc>
          <w:tcPr>
            <w:tcW w:w="1780" w:type="dxa"/>
            <w:vAlign w:val="bottom"/>
          </w:tcPr>
          <w:p>
            <w:pPr>
              <w:jc w:val="right"/>
              <w:ind w:right="15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91,655</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74,855</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49,764</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Provision for credit losses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8,516</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(8,128)</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Amortization of debt discounts and debt issuance costs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Fair value loss (gain) on common stock warrant liabilities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27,207</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(95,329)</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Loss on extinguishment of debt</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3,185</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4,951</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Deferred income tax benefit</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8,057</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Unrealized currency losses (gains), net</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Trade receivables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Inventories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(2,452)</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Prepaid and other assets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2,995</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(5,701)</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Operating lease assets and liabilities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Accrued interest</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3,394</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Accounts payable and other accrued expenses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(13,096)</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(9,760)</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DBDBDB"/>
            </w:tcBorders>
          </w:tcPr>
          <w:p>
            <w:pPr>
              <w:ind w:left="460"/>
              <w:spacing w:after="0"/>
              <w:rPr>
                <w:sz w:val="20"/>
                <w:szCs w:val="20"/>
                <w:color w:val="auto"/>
              </w:rPr>
            </w:pPr>
            <w:r>
              <w:rPr>
                <w:rFonts w:ascii="Arial" w:cs="Arial" w:eastAsia="Arial" w:hAnsi="Arial"/>
                <w:sz w:val="16"/>
                <w:szCs w:val="16"/>
                <w:color w:val="auto"/>
              </w:rPr>
              <w:t>Deferred revenue and customer deposits</w:t>
            </w: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80" w:type="dxa"/>
            <w:vAlign w:val="bottom"/>
            <w:tcBorders>
              <w:bottom w:val="single" w:sz="8" w:color="DBDBDB"/>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213"/>
        </w:trPr>
        <w:tc>
          <w:tcPr>
            <w:tcW w:w="6220" w:type="dxa"/>
            <w:vAlign w:val="bottom"/>
            <w:shd w:val="clear" w:color="auto" w:fill="DBDBDB"/>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158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122,071</w:t>
            </w:r>
          </w:p>
        </w:tc>
        <w:tc>
          <w:tcPr>
            <w:tcW w:w="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38,348</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Proceeds from sale of rental equipment</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15,202</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Purchase of rental equipment and refurbishments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(52,535)</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(39,648)</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Proceeds from the sale of property, plant and equipment</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13,729</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3,840</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DBDBDB"/>
            </w:tcBorders>
          </w:tcPr>
          <w:p>
            <w:pPr>
              <w:ind w:left="460"/>
              <w:spacing w:after="0"/>
              <w:rPr>
                <w:sz w:val="20"/>
                <w:szCs w:val="20"/>
                <w:color w:val="auto"/>
              </w:rPr>
            </w:pPr>
            <w:r>
              <w:rPr>
                <w:rFonts w:ascii="Arial" w:cs="Arial" w:eastAsia="Arial" w:hAnsi="Arial"/>
                <w:sz w:val="16"/>
                <w:szCs w:val="16"/>
                <w:color w:val="auto"/>
              </w:rPr>
              <w:t>Purchase of property, plant and equipment</w:t>
            </w: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(7,307)</w:t>
            </w:r>
          </w:p>
        </w:tc>
        <w:tc>
          <w:tcPr>
            <w:tcW w:w="80" w:type="dxa"/>
            <w:vAlign w:val="bottom"/>
            <w:tcBorders>
              <w:bottom w:val="single" w:sz="8" w:color="DBDBDB"/>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3"/>
        </w:trPr>
        <w:tc>
          <w:tcPr>
            <w:tcW w:w="62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Net cash used in investing activities</w:t>
            </w:r>
          </w:p>
        </w:tc>
        <w:tc>
          <w:tcPr>
            <w:tcW w:w="158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(30,911)</w:t>
            </w:r>
          </w:p>
        </w:tc>
        <w:tc>
          <w:tcPr>
            <w:tcW w:w="8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(30,540)</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Receipts from issuance of Common Stock from the exercise of options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5,414</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Repurchase and cancellation of Common Stock and warrants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(81,618)</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Receipts from borrowings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162,000</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35,793</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Repayment of borrowings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(166,112)</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(45,282)</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Payment of debt extinguishment premium costs</w:t>
            </w: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(1,950)</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20" w:type="dxa"/>
            <w:vAlign w:val="bottom"/>
          </w:tcPr>
          <w:p>
            <w:pPr>
              <w:ind w:left="460"/>
              <w:spacing w:after="0"/>
              <w:rPr>
                <w:sz w:val="20"/>
                <w:szCs w:val="20"/>
                <w:color w:val="auto"/>
              </w:rPr>
            </w:pPr>
            <w:r>
              <w:rPr>
                <w:rFonts w:ascii="Arial" w:cs="Arial" w:eastAsia="Arial" w:hAnsi="Arial"/>
                <w:sz w:val="16"/>
                <w:szCs w:val="16"/>
                <w:color w:val="auto"/>
              </w:rPr>
              <w:t>Principal payments on finance lease obligations</w:t>
            </w:r>
          </w:p>
        </w:tc>
        <w:tc>
          <w:tcPr>
            <w:tcW w:w="1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(3,735)</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Taxes paid on employee stock awards</w:t>
            </w:r>
          </w:p>
        </w:tc>
        <w:tc>
          <w:tcPr>
            <w:tcW w:w="15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(3,219)</w:t>
            </w:r>
          </w:p>
        </w:tc>
        <w:tc>
          <w:tcPr>
            <w:tcW w:w="80" w:type="dxa"/>
            <w:vAlign w:val="bottom"/>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7"/>
        </w:trPr>
        <w:tc>
          <w:tcPr>
            <w:tcW w:w="6220" w:type="dxa"/>
            <w:vAlign w:val="bottom"/>
          </w:tcPr>
          <w:p>
            <w:pPr>
              <w:ind w:left="240"/>
              <w:spacing w:after="0"/>
              <w:rPr>
                <w:sz w:val="20"/>
                <w:szCs w:val="20"/>
                <w:color w:val="auto"/>
              </w:rPr>
            </w:pPr>
            <w:r>
              <w:rPr>
                <w:rFonts w:ascii="Arial" w:cs="Arial" w:eastAsia="Arial" w:hAnsi="Arial"/>
                <w:sz w:val="16"/>
                <w:szCs w:val="16"/>
                <w:color w:val="auto"/>
              </w:rPr>
              <w:t>Net cash used in financing activities</w:t>
            </w:r>
          </w:p>
        </w:tc>
        <w:tc>
          <w:tcPr>
            <w:tcW w:w="1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(89,220)</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(5,582)</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5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06"/>
        </w:trPr>
        <w:tc>
          <w:tcPr>
            <w:tcW w:w="6220" w:type="dxa"/>
            <w:vAlign w:val="bottom"/>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15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1,997</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Cash and cash equivalents at the beginning of the period</w:t>
            </w:r>
          </w:p>
        </w:tc>
        <w:tc>
          <w:tcPr>
            <w:tcW w:w="15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24,937</w:t>
            </w:r>
          </w:p>
        </w:tc>
        <w:tc>
          <w:tcPr>
            <w:tcW w:w="80" w:type="dxa"/>
            <w:vAlign w:val="bottom"/>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207"/>
        </w:trPr>
        <w:tc>
          <w:tcPr>
            <w:tcW w:w="6220" w:type="dxa"/>
            <w:vAlign w:val="bottom"/>
          </w:tcPr>
          <w:p>
            <w:pPr>
              <w:ind w:left="240"/>
              <w:spacing w:after="0"/>
              <w:rPr>
                <w:sz w:val="20"/>
                <w:szCs w:val="20"/>
                <w:color w:val="auto"/>
              </w:rPr>
            </w:pPr>
            <w:r>
              <w:rPr>
                <w:rFonts w:ascii="Arial" w:cs="Arial" w:eastAsia="Arial" w:hAnsi="Arial"/>
                <w:sz w:val="16"/>
                <w:szCs w:val="16"/>
                <w:color w:val="auto"/>
              </w:rPr>
              <w:t>Cash and cash equivalents at the end of the period</w:t>
            </w:r>
          </w:p>
        </w:tc>
        <w:tc>
          <w:tcPr>
            <w:tcW w:w="15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26,934</w:t>
            </w:r>
          </w:p>
        </w:tc>
        <w:tc>
          <w:tcPr>
            <w:tcW w:w="80" w:type="dxa"/>
            <w:vAlign w:val="bottom"/>
          </w:tcPr>
          <w:p>
            <w:pPr>
              <w:spacing w:after="0"/>
              <w:rPr>
                <w:sz w:val="17"/>
                <w:szCs w:val="17"/>
                <w:color w:val="auto"/>
              </w:rPr>
            </w:pPr>
          </w:p>
        </w:tc>
        <w:tc>
          <w:tcPr>
            <w:tcW w:w="178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4,642</w:t>
            </w:r>
          </w:p>
        </w:tc>
        <w:tc>
          <w:tcPr>
            <w:tcW w:w="0" w:type="dxa"/>
            <w:vAlign w:val="bottom"/>
          </w:tcPr>
          <w:p>
            <w:pPr>
              <w:spacing w:after="0"/>
              <w:rPr>
                <w:sz w:val="1"/>
                <w:szCs w:val="1"/>
                <w:color w:val="auto"/>
              </w:rPr>
            </w:pP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2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paid</w:t>
            </w:r>
          </w:p>
        </w:tc>
        <w:tc>
          <w:tcPr>
            <w:tcW w:w="1580" w:type="dxa"/>
            <w:vAlign w:val="bottom"/>
            <w:shd w:val="clear" w:color="auto" w:fill="DBDBDB"/>
          </w:tcPr>
          <w:p>
            <w:pPr>
              <w:jc w:val="right"/>
              <w:ind w:right="13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20,089</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jc w:val="right"/>
              <w:ind w:right="1579"/>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27,384</w:t>
            </w:r>
          </w:p>
        </w:tc>
        <w:tc>
          <w:tcPr>
            <w:tcW w:w="0" w:type="dxa"/>
            <w:vAlign w:val="bottom"/>
          </w:tcPr>
          <w:p>
            <w:pPr>
              <w:spacing w:after="0"/>
              <w:rPr>
                <w:sz w:val="1"/>
                <w:szCs w:val="1"/>
                <w:color w:val="auto"/>
              </w:rPr>
            </w:pP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Income taxes paid, net</w:t>
            </w:r>
          </w:p>
        </w:tc>
        <w:tc>
          <w:tcPr>
            <w:tcW w:w="1580" w:type="dxa"/>
            <w:vAlign w:val="bottom"/>
          </w:tcPr>
          <w:p>
            <w:pPr>
              <w:jc w:val="right"/>
              <w:ind w:right="1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588</w:t>
            </w:r>
          </w:p>
        </w:tc>
        <w:tc>
          <w:tcPr>
            <w:tcW w:w="80" w:type="dxa"/>
            <w:vAlign w:val="bottom"/>
          </w:tcPr>
          <w:p>
            <w:pPr>
              <w:spacing w:after="0"/>
              <w:rPr>
                <w:sz w:val="18"/>
                <w:szCs w:val="18"/>
                <w:color w:val="auto"/>
              </w:rPr>
            </w:pPr>
          </w:p>
        </w:tc>
        <w:tc>
          <w:tcPr>
            <w:tcW w:w="1780" w:type="dxa"/>
            <w:vAlign w:val="bottom"/>
          </w:tcPr>
          <w:p>
            <w:pPr>
              <w:jc w:val="right"/>
              <w:ind w:right="15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Capital expenditures accrued or payable</w:t>
            </w:r>
          </w:p>
        </w:tc>
        <w:tc>
          <w:tcPr>
            <w:tcW w:w="1580" w:type="dxa"/>
            <w:vAlign w:val="bottom"/>
            <w:shd w:val="clear" w:color="auto" w:fill="DBDBDB"/>
          </w:tcPr>
          <w:p>
            <w:pPr>
              <w:jc w:val="right"/>
              <w:ind w:right="13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25,975</w:t>
            </w:r>
          </w:p>
        </w:tc>
        <w:tc>
          <w:tcPr>
            <w:tcW w:w="80" w:type="dxa"/>
            <w:vAlign w:val="bottom"/>
            <w:shd w:val="clear" w:color="auto" w:fill="DBDBDB"/>
          </w:tcPr>
          <w:p>
            <w:pPr>
              <w:spacing w:after="0"/>
              <w:rPr>
                <w:sz w:val="19"/>
                <w:szCs w:val="19"/>
                <w:color w:val="auto"/>
              </w:rPr>
            </w:pPr>
          </w:p>
        </w:tc>
        <w:tc>
          <w:tcPr>
            <w:tcW w:w="1780" w:type="dxa"/>
            <w:vAlign w:val="bottom"/>
            <w:shd w:val="clear" w:color="auto" w:fill="DBDBDB"/>
          </w:tcPr>
          <w:p>
            <w:pPr>
              <w:jc w:val="right"/>
              <w:ind w:right="1579"/>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3"/>
          <w:szCs w:val="23"/>
          <w:color w:val="1D2758"/>
        </w:rPr>
        <w:t>WillScot Mobile Mini Holdings Corp.</w:t>
      </w:r>
    </w:p>
    <w:p>
      <w:pPr>
        <w:spacing w:after="0" w:line="6" w:lineRule="exact"/>
        <w:rPr>
          <w:sz w:val="20"/>
          <w:szCs w:val="20"/>
          <w:color w:val="auto"/>
        </w:rPr>
      </w:pPr>
    </w:p>
    <w:p>
      <w:pPr>
        <w:ind w:right="1880" w:firstLine="1871"/>
        <w:spacing w:after="0" w:line="330" w:lineRule="auto"/>
        <w:rPr>
          <w:sz w:val="20"/>
          <w:szCs w:val="20"/>
          <w:color w:val="auto"/>
        </w:rPr>
      </w:pPr>
      <w:r>
        <w:rPr>
          <w:rFonts w:ascii="Arial" w:cs="Arial" w:eastAsia="Arial" w:hAnsi="Arial"/>
          <w:sz w:val="23"/>
          <w:szCs w:val="23"/>
          <w:color w:val="1D2758"/>
        </w:rPr>
        <w:t>Notes to the Condensed Consolidated Financial Statements (Unaudited) NOTE 1 - Summary of Significant Accounting Policies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Mobile Mini Holdings Corp. (“WillScot Mobile Mini” and, together with its subsidiaries, the “Company”) is a leading provider of modular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2020, WillScot Corporation, a Delaware corporation (“WillScot”), and Mobile Mini, Inc. (“Mobile Mini”) merged (the “Merger”).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Common Stock, par value $0.0001 per share, of WillScot Mobile Mini ("WillScot Mobile Mini Common Stock"). The WillScot Class A Common Stock was listed on the Nasdaq Capital Market (Nasdaq: WSC) up until the Merger, and the WillScot Mobile Mini Common Stock has been listed on the Nasdaq Capital Market (Nasdaq: WSC) since the Merger. As used herein, the term “Common Stock” or “the Company’s Common Stock” refers to WillScot Class A Common Stock prior to filing of the A&amp;R Charter on July 1, 2020 and to WillScot Mobile Mini Common Stock as of and following the filing of the A&amp;R Charter July 1, 2020.</w:t>
      </w:r>
    </w:p>
    <w:p>
      <w:pPr>
        <w:spacing w:after="0" w:line="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(“GAAP”) requires that our condensed consolidated financial statements and most of the disclosures in these notes be presented on a historical basis. Unless the context otherwise requires, the terms “Company” and “WillScot Mobile Mini” as used in these financial statements mean WillScot and its subsidiaries when referring to periods prior to July 1, 2020 (prior to the Merger) and to WillScot Mobile Mini, when referring to periods on or after July 1, 2020 (after the Merger).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Quarterly Report on Form 10-Q and do not include all the information and notes required by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necessary to present fairly the financial position, results of operations and cash flows for the interim periods presented.</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results of operations for the three months ended March 31, 2021 are not necessarily indicative of the results to be expected for the full year. For further information, refer to the consolidated financial statements and notes included in the Company's Annual Report on Form 10-K/A for the year ended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Reported Financial Statements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notes included herein should be read in conjunction with the Company's restated audited consolidated financial statements included in the Company's Annual Report on Form 10-K/A filed with the SEC on May 10, 2021 (the "2020 Form 10-K/A").</w:t>
      </w:r>
    </w:p>
    <w:p>
      <w:pPr>
        <w:spacing w:after="0" w:line="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previously disclosed in the 2020 Form 10-K/A, the Company restated its previously issued consolidated financial statements for the years ended December 31, 2020, 2019 and 2018 to make the necessary accounting adjustments related to warrant accounting. The Company has restated herein its condensed consolidated financial statements for the quarter ended March 31, 2020 and related amounts within the accompanying footnotes to the condensed consolidated financial statements. For the quarter ended March 31, 2020, restated net income attributable to WillScot Mobile Mini is $91.8 million, an increase of $95.3 million from the previously disclosed net loss of $3.5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Issued Accounting Standards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Standards Update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which is elective, and provides for optional expedients and exceptions for applying GAAP to contracts, hedging relationships,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affected by reference rate reform if certain criteria are met. The Company is currently evaluating the impact of reference rate reform and the potential impact of adoption of these elective practical expedients on its condensed consolidated financial statements and does not expect the impact to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jc w:val="both"/>
        <w:ind w:firstLine="648"/>
        <w:spacing w:after="0" w:line="252" w:lineRule="auto"/>
        <w:rPr>
          <w:sz w:val="20"/>
          <w:szCs w:val="20"/>
          <w:color w:val="auto"/>
        </w:rPr>
      </w:pPr>
      <w:r>
        <w:rPr>
          <w:rFonts w:ascii="Arial" w:cs="Arial" w:eastAsia="Arial" w:hAnsi="Arial"/>
          <w:sz w:val="16"/>
          <w:szCs w:val="16"/>
          <w:color w:val="auto"/>
        </w:rPr>
        <w:t xml:space="preserve">In August 2020, the FASB issued ASU 2020-06, Debt, </w:t>
      </w:r>
      <w:r>
        <w:rPr>
          <w:rFonts w:ascii="Arial" w:cs="Arial" w:eastAsia="Arial" w:hAnsi="Arial"/>
          <w:sz w:val="16"/>
          <w:szCs w:val="16"/>
          <w:i w:val="1"/>
          <w:iCs w:val="1"/>
          <w:color w:val="auto"/>
        </w:rPr>
        <w:t>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new ASU eliminates the beneficial conversion and cash conversion accounting models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The amendments in the ASU are effective for public entities for fiscal years beginning after December 15, 2021, including interim periods within those fiscal years. The Company is currently evaluating the potential impact of the adoption of the pronouncement on its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Recently Adopted Accounting Standards</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removes certain exceptions to the general principles for income taxes and also improves consistent application of accounting by clarifying or amending existing guidance. On January 1, 2021, the Company adopted ASU 2019-12 and the impact of adoption was not material to the Company's consolidated financial statements. The Company will apply the standard prospectively for intraperiod tax allocation, year-to-date losses that exceed anticipated annual losses and enacted changes in tax laws.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color w:val="1D2758"/>
        </w:rPr>
        <w:t>NOTE 2 - Acquisitions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Mini Merger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Price</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Upon completion of the Merger on July 1, 2020, each issued and outstanding share of Mobile Mini Common Stock, par value $0.01 per share, converted to 2.405 shares of WillScot Class A Common Stock, par value $0.0001 per share, and cash in lieu of any fractional shares. The Company issued 106,426,721 shares of Class A Common Stock to Mobile Mini stockholders as consideration for the Merger. The trading price of the Class A Common Stock was $12.53 per share on the closing date. In addition, Mobile Mini stock options converted into WillScot Mobile Mini stock options. The purchase price was determined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460" w:type="dxa"/>
            <w:vAlign w:val="bottom"/>
            <w:shd w:val="clear" w:color="auto" w:fill="1D2758"/>
          </w:tcPr>
          <w:p>
            <w:pPr>
              <w:spacing w:after="0"/>
              <w:rPr>
                <w:sz w:val="18"/>
                <w:szCs w:val="18"/>
                <w:color w:val="auto"/>
              </w:rPr>
            </w:pPr>
          </w:p>
        </w:tc>
        <w:tc>
          <w:tcPr>
            <w:tcW w:w="202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July 1, 2020</w:t>
            </w:r>
          </w:p>
        </w:tc>
      </w:tr>
      <w:tr>
        <w:trPr>
          <w:trHeight w:val="216"/>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Mobile Mini Common Stock outstanding</w:t>
            </w:r>
          </w:p>
        </w:tc>
        <w:tc>
          <w:tcPr>
            <w:tcW w:w="4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44,252,275</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Share conversion ratio</w:t>
            </w:r>
          </w:p>
        </w:tc>
        <w:tc>
          <w:tcPr>
            <w:tcW w:w="4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2.405</w:t>
            </w:r>
          </w:p>
        </w:tc>
      </w:tr>
      <w:tr>
        <w:trPr>
          <w:trHeight w:val="219"/>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 issued</w:t>
            </w:r>
          </w:p>
        </w:tc>
        <w:tc>
          <w:tcPr>
            <w:tcW w:w="4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106,426,721</w:t>
            </w:r>
          </w:p>
        </w:tc>
      </w:tr>
      <w:tr>
        <w:trPr>
          <w:trHeight w:val="213"/>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Common Stock per share price as of July 1, 2020</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r>
      <w:tr>
        <w:trPr>
          <w:trHeight w:val="213"/>
        </w:trPr>
        <w:tc>
          <w:tcPr>
            <w:tcW w:w="8760" w:type="dxa"/>
            <w:vAlign w:val="bottom"/>
            <w:shd w:val="clear" w:color="auto" w:fill="DBDBDB"/>
          </w:tcPr>
          <w:p>
            <w:pPr>
              <w:ind w:left="260"/>
              <w:spacing w:after="0"/>
              <w:rPr>
                <w:sz w:val="20"/>
                <w:szCs w:val="20"/>
                <w:color w:val="auto"/>
              </w:rPr>
            </w:pPr>
            <w:r>
              <w:rPr>
                <w:rFonts w:ascii="Arial" w:cs="Arial" w:eastAsia="Arial" w:hAnsi="Arial"/>
                <w:sz w:val="16"/>
                <w:szCs w:val="16"/>
                <w:color w:val="auto"/>
              </w:rPr>
              <w:t>Fair value of shares of WillScot Class A Common Stock issued</w:t>
            </w:r>
          </w:p>
        </w:tc>
        <w:tc>
          <w:tcPr>
            <w:tcW w:w="46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1,333,527</w:t>
            </w:r>
          </w:p>
        </w:tc>
      </w:tr>
      <w:tr>
        <w:trPr>
          <w:trHeight w:val="213"/>
        </w:trPr>
        <w:tc>
          <w:tcPr>
            <w:tcW w:w="8760" w:type="dxa"/>
            <w:vAlign w:val="bottom"/>
          </w:tcPr>
          <w:p>
            <w:pPr>
              <w:ind w:left="260"/>
              <w:spacing w:after="0"/>
              <w:rPr>
                <w:sz w:val="20"/>
                <w:szCs w:val="20"/>
                <w:color w:val="auto"/>
              </w:rPr>
            </w:pPr>
            <w:r>
              <w:rPr>
                <w:rFonts w:ascii="Arial" w:cs="Arial" w:eastAsia="Arial" w:hAnsi="Arial"/>
                <w:sz w:val="16"/>
                <w:szCs w:val="16"/>
                <w:color w:val="auto"/>
              </w:rPr>
              <w:t>Cash paid for fractional shares</w:t>
            </w:r>
          </w:p>
        </w:tc>
        <w:tc>
          <w:tcPr>
            <w:tcW w:w="4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760" w:type="dxa"/>
            <w:vAlign w:val="bottom"/>
            <w:shd w:val="clear" w:color="auto" w:fill="DBDBDB"/>
          </w:tcPr>
          <w:p>
            <w:pPr>
              <w:ind w:left="260"/>
              <w:spacing w:after="0"/>
              <w:rPr>
                <w:sz w:val="20"/>
                <w:szCs w:val="20"/>
                <w:color w:val="auto"/>
              </w:rPr>
            </w:pPr>
            <w:r>
              <w:rPr>
                <w:rFonts w:ascii="Arial" w:cs="Arial" w:eastAsia="Arial" w:hAnsi="Arial"/>
                <w:sz w:val="16"/>
                <w:szCs w:val="16"/>
                <w:color w:val="auto"/>
              </w:rPr>
              <w:t>Fair value of Mobile Mini Options converted to WillScot Mobile Mini Options</w:t>
            </w:r>
          </w:p>
        </w:tc>
        <w:tc>
          <w:tcPr>
            <w:tcW w:w="460" w:type="dxa"/>
            <w:vAlign w:val="bottom"/>
            <w:tcBorders>
              <w:bottom w:val="single" w:sz="8" w:color="auto"/>
            </w:tcBorders>
            <w:shd w:val="clear" w:color="auto" w:fill="DBDBDB"/>
          </w:tcPr>
          <w:p>
            <w:pPr>
              <w:spacing w:after="0"/>
              <w:rPr>
                <w:sz w:val="19"/>
                <w:szCs w:val="19"/>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19,279</w:t>
            </w:r>
          </w:p>
        </w:tc>
      </w:tr>
      <w:tr>
        <w:trPr>
          <w:trHeight w:val="207"/>
        </w:trPr>
        <w:tc>
          <w:tcPr>
            <w:tcW w:w="8760" w:type="dxa"/>
            <w:vAlign w:val="bottom"/>
          </w:tcPr>
          <w:p>
            <w:pPr>
              <w:ind w:left="480"/>
              <w:spacing w:after="0"/>
              <w:rPr>
                <w:sz w:val="20"/>
                <w:szCs w:val="20"/>
                <w:color w:val="auto"/>
              </w:rPr>
            </w:pPr>
            <w:r>
              <w:rPr>
                <w:rFonts w:ascii="Arial" w:cs="Arial" w:eastAsia="Arial" w:hAnsi="Arial"/>
                <w:sz w:val="16"/>
                <w:szCs w:val="16"/>
                <w:color w:val="auto"/>
              </w:rPr>
              <w:t>Total purchase price</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1,352,836</w:t>
            </w:r>
          </w:p>
        </w:tc>
      </w:tr>
      <w:tr>
        <w:trPr>
          <w:trHeight w:val="23"/>
        </w:trPr>
        <w:tc>
          <w:tcPr>
            <w:tcW w:w="8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Merger was accounted for using the acquisition method of accounting, and WillScot was considered the accounting acquirer. Under the acquisition method of accounting, the Company assigned the purchase price to tangible and identifiable intangible assets acquired and liabilities assumed based on their fair values at the closing date. The excess of the purchase price over those fair values was recorded as goodwill.</w:t>
      </w:r>
    </w:p>
    <w:p>
      <w:pPr>
        <w:spacing w:after="0" w:line="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purchase price for the Merger was assigned to the underlying assets acquired and liabilities assumed based upon their fair values at the date of acquisition, July 1, 2020. The Company recorded the fair values based on independent valuations, discounted cash flow analyses, quoted market prices, contributory asset charges, and estimates made by management. The following table summarizes the July 1, 2020 preliminary fair values of the assets acquired and liabilities assumed. The final assignment of the fair value of the Merger, including the final valuation of acquired rental equipment, intangible assets and the related deferred tax liability and the final assignment of goodwill to reporting units, was not complete at March 31, 2021, but will be finalized within the allowable one-year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Opening Balance Sheet</w:t>
            </w: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73"/>
        </w:trPr>
        <w:tc>
          <w:tcPr>
            <w:tcW w:w="8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60" w:type="dxa"/>
            <w:vAlign w:val="bottom"/>
          </w:tcPr>
          <w:p>
            <w:pPr>
              <w:spacing w:after="0"/>
              <w:rPr>
                <w:sz w:val="6"/>
                <w:szCs w:val="6"/>
                <w:color w:val="auto"/>
              </w:rPr>
            </w:pPr>
          </w:p>
        </w:tc>
      </w:tr>
      <w:tr>
        <w:trPr>
          <w:trHeight w:val="216"/>
        </w:trPr>
        <w:tc>
          <w:tcPr>
            <w:tcW w:w="84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July 1, 2020</w:t>
            </w:r>
          </w:p>
        </w:tc>
        <w:tc>
          <w:tcPr>
            <w:tcW w:w="360" w:type="dxa"/>
            <w:vAlign w:val="bottom"/>
            <w:shd w:val="clear" w:color="auto" w:fill="1D2758"/>
          </w:tcPr>
          <w:p>
            <w:pPr>
              <w:spacing w:after="0"/>
              <w:rPr>
                <w:sz w:val="18"/>
                <w:szCs w:val="18"/>
                <w:color w:val="auto"/>
              </w:rPr>
            </w:pPr>
          </w:p>
        </w:tc>
      </w:tr>
      <w:tr>
        <w:trPr>
          <w:trHeight w:val="216"/>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17,203</w:t>
            </w:r>
          </w:p>
        </w:tc>
        <w:tc>
          <w:tcPr>
            <w:tcW w:w="360" w:type="dxa"/>
            <w:vAlign w:val="bottom"/>
            <w:shd w:val="clear" w:color="auto" w:fill="DBDBDB"/>
          </w:tcPr>
          <w:p>
            <w:pPr>
              <w:spacing w:after="0"/>
              <w:rPr>
                <w:sz w:val="18"/>
                <w:szCs w:val="18"/>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Trade receivables</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87,492</w:t>
            </w:r>
          </w:p>
        </w:tc>
        <w:tc>
          <w:tcPr>
            <w:tcW w:w="360" w:type="dxa"/>
            <w:vAlign w:val="bottom"/>
          </w:tcPr>
          <w:p>
            <w:pPr>
              <w:spacing w:after="0"/>
              <w:rPr>
                <w:sz w:val="18"/>
                <w:szCs w:val="18"/>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8,987</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13,717</w:t>
            </w:r>
          </w:p>
        </w:tc>
        <w:tc>
          <w:tcPr>
            <w:tcW w:w="360" w:type="dxa"/>
            <w:vAlign w:val="bottom"/>
          </w:tcPr>
          <w:p>
            <w:pPr>
              <w:spacing w:after="0"/>
              <w:rPr>
                <w:sz w:val="18"/>
                <w:szCs w:val="18"/>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Rental equipment</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1,033,190</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161,401</w:t>
            </w:r>
          </w:p>
        </w:tc>
        <w:tc>
          <w:tcPr>
            <w:tcW w:w="360" w:type="dxa"/>
            <w:vAlign w:val="bottom"/>
          </w:tcPr>
          <w:p>
            <w:pPr>
              <w:spacing w:after="0"/>
              <w:rPr>
                <w:sz w:val="18"/>
                <w:szCs w:val="18"/>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92,054</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374,500</w:t>
            </w:r>
          </w:p>
        </w:tc>
        <w:tc>
          <w:tcPr>
            <w:tcW w:w="360" w:type="dxa"/>
            <w:vAlign w:val="bottom"/>
          </w:tcPr>
          <w:p>
            <w:pPr>
              <w:ind w:left="80"/>
              <w:spacing w:after="0"/>
              <w:rPr>
                <w:sz w:val="20"/>
                <w:szCs w:val="20"/>
                <w:color w:val="auto"/>
              </w:rPr>
            </w:pPr>
            <w:r>
              <w:rPr>
                <w:rFonts w:ascii="Arial" w:cs="Arial" w:eastAsia="Arial" w:hAnsi="Arial"/>
                <w:sz w:val="16"/>
                <w:szCs w:val="16"/>
                <w:color w:val="auto"/>
              </w:rPr>
              <w:t>(a)</w:t>
            </w: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Goodwill identified</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936,173</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non-current assets</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w:t>
            </w:r>
          </w:p>
        </w:tc>
        <w:tc>
          <w:tcPr>
            <w:tcW w:w="360" w:type="dxa"/>
            <w:vAlign w:val="bottom"/>
            <w:tcBorders>
              <w:bottom w:val="single" w:sz="8" w:color="DBDBDB"/>
            </w:tcBorders>
          </w:tcPr>
          <w:p>
            <w:pPr>
              <w:spacing w:after="0"/>
              <w:rPr>
                <w:sz w:val="18"/>
                <w:szCs w:val="18"/>
                <w:color w:val="auto"/>
              </w:rPr>
            </w:pPr>
          </w:p>
        </w:tc>
      </w:tr>
      <w:tr>
        <w:trPr>
          <w:trHeight w:val="213"/>
        </w:trPr>
        <w:tc>
          <w:tcPr>
            <w:tcW w:w="84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identifiable assets acquired</w:t>
            </w:r>
          </w:p>
        </w:tc>
        <w:tc>
          <w:tcPr>
            <w:tcW w:w="440" w:type="dxa"/>
            <w:vAlign w:val="bottom"/>
            <w:tcBorders>
              <w:bottom w:val="single" w:sz="8" w:color="auto"/>
            </w:tcBorders>
            <w:shd w:val="clear" w:color="auto" w:fill="DBDBDB"/>
          </w:tcPr>
          <w:p>
            <w:pPr>
              <w:jc w:val="right"/>
              <w:ind w:right="2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2,727,236</w:t>
            </w:r>
          </w:p>
        </w:tc>
        <w:tc>
          <w:tcPr>
            <w:tcW w:w="360" w:type="dxa"/>
            <w:vAlign w:val="bottom"/>
            <w:shd w:val="clear" w:color="auto" w:fill="DBDBDB"/>
          </w:tcPr>
          <w:p>
            <w:pPr>
              <w:spacing w:after="0"/>
              <w:rPr>
                <w:sz w:val="18"/>
                <w:szCs w:val="18"/>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(29,797)</w:t>
            </w:r>
          </w:p>
        </w:tc>
        <w:tc>
          <w:tcPr>
            <w:tcW w:w="360" w:type="dxa"/>
            <w:vAlign w:val="bottom"/>
          </w:tcPr>
          <w:p>
            <w:pPr>
              <w:spacing w:after="0"/>
              <w:rPr>
                <w:sz w:val="17"/>
                <w:szCs w:val="17"/>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expenses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(40,235)</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(38,846)</w:t>
            </w:r>
          </w:p>
        </w:tc>
        <w:tc>
          <w:tcPr>
            <w:tcW w:w="360" w:type="dxa"/>
            <w:vAlign w:val="bottom"/>
          </w:tcPr>
          <w:p>
            <w:pPr>
              <w:spacing w:after="0"/>
              <w:rPr>
                <w:sz w:val="18"/>
                <w:szCs w:val="18"/>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liabilities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(89,968)</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Debt and finance lease liabilities</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(897,244)</w:t>
            </w:r>
          </w:p>
        </w:tc>
        <w:tc>
          <w:tcPr>
            <w:tcW w:w="360" w:type="dxa"/>
            <w:vAlign w:val="bottom"/>
          </w:tcPr>
          <w:p>
            <w:pPr>
              <w:spacing w:after="0"/>
              <w:rPr>
                <w:sz w:val="18"/>
                <w:szCs w:val="18"/>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tax liabilities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(276,882)</w:t>
            </w:r>
          </w:p>
        </w:tc>
        <w:tc>
          <w:tcPr>
            <w:tcW w:w="360" w:type="dxa"/>
            <w:vAlign w:val="bottom"/>
            <w:shd w:val="clear" w:color="auto" w:fill="DBDBDB"/>
          </w:tcPr>
          <w:p>
            <w:pPr>
              <w:spacing w:after="0"/>
              <w:rPr>
                <w:sz w:val="19"/>
                <w:szCs w:val="19"/>
                <w:color w:val="auto"/>
              </w:rPr>
            </w:pPr>
          </w:p>
        </w:tc>
      </w:tr>
      <w:tr>
        <w:trPr>
          <w:trHeight w:val="213"/>
        </w:trPr>
        <w:tc>
          <w:tcPr>
            <w:tcW w:w="8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360" w:type="dxa"/>
            <w:vAlign w:val="bottom"/>
            <w:tcBorders>
              <w:bottom w:val="single" w:sz="8" w:color="DBDBDB"/>
            </w:tcBorders>
          </w:tcPr>
          <w:p>
            <w:pPr>
              <w:spacing w:after="0"/>
              <w:rPr>
                <w:sz w:val="18"/>
                <w:szCs w:val="18"/>
                <w:color w:val="auto"/>
              </w:rPr>
            </w:pPr>
          </w:p>
        </w:tc>
      </w:tr>
      <w:tr>
        <w:trPr>
          <w:trHeight w:val="213"/>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liabilities assumed</w:t>
            </w:r>
          </w:p>
        </w:tc>
        <w:tc>
          <w:tcPr>
            <w:tcW w:w="440" w:type="dxa"/>
            <w:vAlign w:val="bottom"/>
            <w:tcBorders>
              <w:bottom w:val="single" w:sz="8" w:color="auto"/>
            </w:tcBorders>
            <w:shd w:val="clear" w:color="auto" w:fill="DBDBDB"/>
          </w:tcPr>
          <w:p>
            <w:pPr>
              <w:spacing w:after="0"/>
              <w:rPr>
                <w:sz w:val="18"/>
                <w:szCs w:val="18"/>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(1,374,400)</w:t>
            </w:r>
          </w:p>
        </w:tc>
        <w:tc>
          <w:tcPr>
            <w:tcW w:w="360" w:type="dxa"/>
            <w:vAlign w:val="bottom"/>
            <w:shd w:val="clear" w:color="auto" w:fill="DBDBDB"/>
          </w:tcPr>
          <w:p>
            <w:pPr>
              <w:spacing w:after="0"/>
              <w:rPr>
                <w:sz w:val="18"/>
                <w:szCs w:val="18"/>
                <w:color w:val="auto"/>
              </w:rPr>
            </w:pP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1,352,836</w:t>
            </w:r>
          </w:p>
        </w:tc>
        <w:tc>
          <w:tcPr>
            <w:tcW w:w="360" w:type="dxa"/>
            <w:vAlign w:val="bottom"/>
          </w:tcPr>
          <w:p>
            <w:pPr>
              <w:spacing w:after="0"/>
              <w:rPr>
                <w:sz w:val="17"/>
                <w:szCs w:val="17"/>
                <w:color w:val="auto"/>
              </w:rPr>
            </w:pPr>
          </w:p>
        </w:tc>
      </w:tr>
      <w:tr>
        <w:trPr>
          <w:trHeight w:val="24"/>
        </w:trPr>
        <w:tc>
          <w:tcPr>
            <w:tcW w:w="8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400" w:right="20" w:hanging="374"/>
        <w:spacing w:after="0" w:line="249"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initial fair value estimates were calculated using preliminary estimates and assumptions which have been updated in the current reporting period as additional information was obtained during the measurement period. The underlying assets have been adjusted from those previously recorded accordingly. Intangible assets were reduced by approximately $8.0 million from amounts reported at December 31, 2020.</w:t>
      </w:r>
    </w:p>
    <w:p>
      <w:pPr>
        <w:spacing w:after="0" w:line="117"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Mobile Mini generated $159.1 million of revenue and $26.9 million of pre-tax income in the three months ended March 31, 2021, which is included in the condensed consolidated financial statements of operations.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 forma results presented below give effect to the following as if they occurred on January 1, 2019:</w:t>
      </w:r>
    </w:p>
    <w:p>
      <w:pPr>
        <w:spacing w:after="0" w:line="10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Merger</w:t>
      </w:r>
    </w:p>
    <w:p>
      <w:pPr>
        <w:spacing w:after="0" w:line="32" w:lineRule="exact"/>
        <w:rPr>
          <w:rFonts w:ascii="Arial" w:cs="Arial" w:eastAsia="Arial" w:hAnsi="Arial"/>
          <w:sz w:val="16"/>
          <w:szCs w:val="16"/>
          <w:color w:val="auto"/>
        </w:rPr>
      </w:pPr>
    </w:p>
    <w:p>
      <w:pPr>
        <w:ind w:left="480" w:right="40" w:hanging="454"/>
        <w:spacing w:after="0" w:line="232"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Borrowings under the Company's 2025 Secured Notes and 2020 ABL Facility (both as defined in Note 9) used to repay certain debt in connection with the Merger</w:t>
      </w:r>
    </w:p>
    <w:p>
      <w:pPr>
        <w:spacing w:after="0" w:line="22" w:lineRule="exact"/>
        <w:rPr>
          <w:rFonts w:ascii="Arial" w:cs="Arial" w:eastAsia="Arial" w:hAnsi="Arial"/>
          <w:sz w:val="16"/>
          <w:szCs w:val="16"/>
          <w:color w:val="auto"/>
        </w:rPr>
      </w:pPr>
    </w:p>
    <w:p>
      <w:pPr>
        <w:ind w:left="480" w:hanging="454"/>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Extinguishment of the Mobile Mini revolving credit facility and senior notes assumed in the Merger and immediately repaid</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Extinguishment of WillScot's 2017 ABL Facility and WillScot's 2022 Secured Notes (both as defined in Note 9) repaid in connection with the Merger</w:t>
      </w:r>
    </w:p>
    <w:p>
      <w:pPr>
        <w:spacing w:after="0" w:line="32" w:lineRule="exact"/>
        <w:rPr>
          <w:rFonts w:ascii="Arial" w:cs="Arial" w:eastAsia="Arial" w:hAnsi="Arial"/>
          <w:sz w:val="16"/>
          <w:szCs w:val="16"/>
          <w:color w:val="auto"/>
        </w:rPr>
      </w:pPr>
    </w:p>
    <w:p>
      <w:pPr>
        <w:ind w:left="480" w:hanging="454"/>
        <w:spacing w:after="0"/>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Elimination of WillScot's non-controlling interest and WillScot's Class B common stock in connection with the Merger. See Note 10 for further details.</w:t>
      </w:r>
    </w:p>
    <w:p>
      <w:pPr>
        <w:spacing w:after="0" w:line="3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 forma information is not necessarily indicative of the Company’s results of operations had the Merger been completed on January 1, 2019, nor is it necessarily indicative of the Company’s future results. The pro forma information does not reflect any cost savings from operating efficiencies, synergies, or revenue opportunities that could result from the Merger.</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results of operations for the three months ended March 31, 2021 represent the activities of the Company after the Merger. As a result, there were no differences between pro forma results and actual results on a reported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tables below present unaudited pro forma condensed combined statements of operations information for the three months ended March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shd w:val="clear" w:color="auto" w:fill="1D2758"/>
          </w:tcPr>
          <w:p>
            <w:pPr>
              <w:spacing w:after="0"/>
              <w:rPr>
                <w:sz w:val="16"/>
                <w:szCs w:val="16"/>
                <w:color w:val="auto"/>
              </w:rPr>
            </w:pPr>
          </w:p>
        </w:tc>
        <w:tc>
          <w:tcPr>
            <w:tcW w:w="248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Three Months Ended March 31,</w:t>
            </w:r>
          </w:p>
        </w:tc>
        <w:tc>
          <w:tcPr>
            <w:tcW w:w="3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4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40" w:type="dxa"/>
            <w:vAlign w:val="bottom"/>
            <w:shd w:val="clear" w:color="auto" w:fill="1D2758"/>
          </w:tcPr>
          <w:p>
            <w:pPr>
              <w:spacing w:after="0"/>
              <w:rPr>
                <w:sz w:val="14"/>
                <w:szCs w:val="14"/>
                <w:color w:val="auto"/>
              </w:rPr>
            </w:pPr>
          </w:p>
        </w:tc>
        <w:tc>
          <w:tcPr>
            <w:tcW w:w="2040" w:type="dxa"/>
            <w:vAlign w:val="bottom"/>
            <w:shd w:val="clear" w:color="auto" w:fill="1D2758"/>
          </w:tcPr>
          <w:p>
            <w:pPr>
              <w:jc w:val="right"/>
              <w:ind w:right="979"/>
              <w:spacing w:after="0" w:line="162" w:lineRule="exact"/>
              <w:rPr>
                <w:sz w:val="20"/>
                <w:szCs w:val="20"/>
                <w:color w:val="auto"/>
              </w:rPr>
            </w:pPr>
            <w:r>
              <w:rPr>
                <w:rFonts w:ascii="Arial" w:cs="Arial" w:eastAsia="Arial" w:hAnsi="Arial"/>
                <w:sz w:val="16"/>
                <w:szCs w:val="16"/>
                <w:b w:val="1"/>
                <w:bCs w:val="1"/>
                <w:color w:val="FFFFFF"/>
              </w:rPr>
              <w:t>2020</w:t>
            </w:r>
          </w:p>
        </w:tc>
        <w:tc>
          <w:tcPr>
            <w:tcW w:w="3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0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(as restated)</w:t>
            </w:r>
          </w:p>
        </w:tc>
        <w:tc>
          <w:tcPr>
            <w:tcW w:w="3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revenues</w:t>
            </w:r>
          </w:p>
        </w:tc>
        <w:tc>
          <w:tcPr>
            <w:tcW w:w="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255,821</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Mobile Mini revenues</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150,576</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Pro forma revenues</w:t>
            </w:r>
          </w:p>
        </w:tc>
        <w:tc>
          <w:tcPr>
            <w:tcW w:w="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406,397</w:t>
            </w:r>
          </w:p>
        </w:tc>
        <w:tc>
          <w:tcPr>
            <w:tcW w:w="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WillScot Mobile Mini income before income tax</w:t>
            </w:r>
          </w:p>
        </w:tc>
        <w:tc>
          <w:tcPr>
            <w:tcW w:w="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92,445</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Mobile Mini income before income tax</w:t>
            </w: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14,907</w:t>
            </w:r>
          </w:p>
        </w:tc>
        <w:tc>
          <w:tcPr>
            <w:tcW w:w="3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 forma income before income tax</w:t>
            </w:r>
          </w:p>
        </w:tc>
        <w:tc>
          <w:tcPr>
            <w:tcW w:w="440" w:type="dxa"/>
            <w:vAlign w:val="bottom"/>
            <w:shd w:val="clear" w:color="auto" w:fill="DBDBDB"/>
          </w:tcPr>
          <w:p>
            <w:pPr>
              <w:spacing w:after="0"/>
              <w:rPr>
                <w:sz w:val="18"/>
                <w:szCs w:val="18"/>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107,352</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Pro forma adjustments to combined income before income tax:</w:t>
            </w: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Elimination of Merger transaction costs</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24,651</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Impact of fair value mark-ups on rental fleet depreciation</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(1,167)</w:t>
            </w:r>
          </w:p>
        </w:tc>
        <w:tc>
          <w:tcPr>
            <w:tcW w:w="360" w:type="dxa"/>
            <w:vAlign w:val="bottom"/>
          </w:tcPr>
          <w:p>
            <w:pPr>
              <w:jc w:val="right"/>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depreciation expense and intangible asset amortization</w:t>
            </w: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(5,669)</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(2,564)</w:t>
            </w:r>
          </w:p>
        </w:tc>
        <w:tc>
          <w:tcPr>
            <w:tcW w:w="360" w:type="dxa"/>
            <w:vAlign w:val="bottom"/>
          </w:tcPr>
          <w:p>
            <w:pPr>
              <w:jc w:val="right"/>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Elimination of Mobile Mini interest</w:t>
            </w:r>
          </w:p>
        </w:tc>
        <w:tc>
          <w:tcPr>
            <w:tcW w:w="440" w:type="dxa"/>
            <w:vAlign w:val="bottom"/>
            <w:tcBorders>
              <w:bottom w:val="single" w:sz="8" w:color="auto"/>
            </w:tcBorders>
            <w:shd w:val="clear" w:color="auto" w:fill="DBDBDB"/>
          </w:tcPr>
          <w:p>
            <w:pPr>
              <w:spacing w:after="0"/>
              <w:rPr>
                <w:sz w:val="19"/>
                <w:szCs w:val="19"/>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8,712</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Pro forma income before income tax</w:t>
            </w:r>
          </w:p>
        </w:tc>
        <w:tc>
          <w:tcPr>
            <w:tcW w:w="4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131,315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auto"/>
            </w:tcBorders>
            <w:shd w:val="clear" w:color="auto" w:fill="DBDBDB"/>
          </w:tcPr>
          <w:p>
            <w:pPr>
              <w:spacing w:after="0"/>
              <w:rPr>
                <w:sz w:val="19"/>
                <w:szCs w:val="19"/>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(13,506)</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(g)</w:t>
            </w:r>
          </w:p>
        </w:tc>
        <w:tc>
          <w:tcPr>
            <w:tcW w:w="0" w:type="dxa"/>
            <w:vAlign w:val="bottom"/>
          </w:tcPr>
          <w:p>
            <w:pPr>
              <w:spacing w:after="0"/>
              <w:rPr>
                <w:sz w:val="1"/>
                <w:szCs w:val="1"/>
                <w:color w:val="auto"/>
              </w:rPr>
            </w:pP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Pro forma net income</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117,809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impact of non-controlling interest which was eliminated as part of the Sapphire Exchange. See Note 10.</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Eliminates discrete transaction costs incurred as a result of the Mobile Mini Merger.</w:t>
      </w:r>
    </w:p>
    <w:p>
      <w:pPr>
        <w:spacing w:after="0" w:line="28"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Depreciation on rental equipment and property, plant and equipment were adjusted for the preliminary determination of the fair value of equipment acquired in the Mobile Mini Merger.</w:t>
      </w:r>
    </w:p>
    <w:p>
      <w:pPr>
        <w:spacing w:after="0" w:line="16"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differential in other depreciation and amortization expense related to the provisional fair value purchase accounting adjustments as a result of the Merger, principally the amortization of the Mobile Mini customer relationship estimated at $209,000 and a 13 year life.</w:t>
      </w:r>
    </w:p>
    <w:p>
      <w:pPr>
        <w:spacing w:after="0" w:line="16" w:lineRule="exact"/>
        <w:rPr>
          <w:rFonts w:ascii="Arial" w:cs="Arial" w:eastAsia="Arial" w:hAnsi="Arial"/>
          <w:sz w:val="14"/>
          <w:szCs w:val="14"/>
          <w:color w:val="auto"/>
        </w:rPr>
      </w:pPr>
    </w:p>
    <w:p>
      <w:pPr>
        <w:jc w:val="both"/>
        <w:ind w:left="480" w:right="20" w:hanging="454"/>
        <w:spacing w:after="0" w:line="215"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connection with the Merger, the Company entered into a new ABL Facility and drew $1.47 billion at close with an estimated interest rate of 2.046%, issued the 2025 Secured Notes at 6.125%, repaid the 2022 Secured Notes and repaid the 2017 ABL Facility. Interest and amortization of deferred financing fees for the 2020 ABL Facility and the 2025 Secured Notes has been included offset by the removal of interest and amortization of deferred financing fees attributable to the 2022 Secured Notes and the 2017 ABL Facility. See Note 9 for definitions of terms.</w:t>
      </w:r>
    </w:p>
    <w:p>
      <w:pPr>
        <w:spacing w:after="0" w:line="17"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and amortization of deferred financing fees on the senior notes and line of credit maintained by Mobile Mini which were assumed at acquisition and repaid immediately using proceeds from the 2020 ABL Facility and 2025 Secured Notes was eliminated. See Note 9 for definition of terms.</w:t>
      </w:r>
    </w:p>
    <w:p>
      <w:pPr>
        <w:spacing w:after="0" w:line="16"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recorded income tax provision plus the adjustment to recognize the income tax impacts of the unaudited pro forma adjustments for which a tax expense is recognized using a US federal and state statutory tax rate of 25.5%. This rate may vary from the effective tax rates of the historical and combined businesses.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3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recorded $0.8 million and $9.4 million in transaction costs related to the Merger during the three months ended March 31, 2021 and 2020, respectively. The Company also recorded $7.3 million in integration costs related to the Merger within selling, general and administrative ("SG&amp;A") expense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2" w:name="page13"/>
    <w:bookmarkEnd w:id="12"/>
    <w:p>
      <w:pPr>
        <w:spacing w:after="0"/>
        <w:rPr>
          <w:sz w:val="20"/>
          <w:szCs w:val="20"/>
          <w:color w:val="auto"/>
        </w:rPr>
      </w:pPr>
      <w:r>
        <w:rPr>
          <w:rFonts w:ascii="Arial" w:cs="Arial" w:eastAsia="Arial" w:hAnsi="Arial"/>
          <w:sz w:val="23"/>
          <w:szCs w:val="23"/>
          <w:color w:val="1D2758"/>
        </w:rPr>
        <w:t>NOTE 3 -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Geographic Areas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months ended March 31,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1D2758"/>
          </w:tcPr>
          <w:p>
            <w:pPr>
              <w:spacing w:after="0"/>
              <w:rPr>
                <w:sz w:val="16"/>
                <w:szCs w:val="16"/>
                <w:color w:val="auto"/>
              </w:rPr>
            </w:pPr>
          </w:p>
        </w:tc>
        <w:tc>
          <w:tcPr>
            <w:tcW w:w="580" w:type="dxa"/>
            <w:vAlign w:val="bottom"/>
            <w:shd w:val="clear" w:color="auto" w:fill="1D2758"/>
          </w:tcPr>
          <w:p>
            <w:pPr>
              <w:spacing w:after="0"/>
              <w:rPr>
                <w:sz w:val="16"/>
                <w:szCs w:val="16"/>
                <w:color w:val="auto"/>
              </w:rPr>
            </w:pPr>
          </w:p>
        </w:tc>
        <w:tc>
          <w:tcPr>
            <w:tcW w:w="290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Three Months Ended</w:t>
            </w:r>
          </w:p>
        </w:tc>
        <w:tc>
          <w:tcPr>
            <w:tcW w:w="1560" w:type="dxa"/>
            <w:vAlign w:val="bottom"/>
            <w:shd w:val="clear" w:color="auto" w:fill="1D2758"/>
          </w:tcPr>
          <w:p>
            <w:pPr>
              <w:spacing w:after="0"/>
              <w:rPr>
                <w:sz w:val="16"/>
                <w:szCs w:val="16"/>
                <w:color w:val="auto"/>
              </w:rPr>
            </w:pPr>
          </w:p>
        </w:tc>
      </w:tr>
      <w:tr>
        <w:trPr>
          <w:trHeight w:val="215"/>
        </w:trPr>
        <w:tc>
          <w:tcPr>
            <w:tcW w:w="62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2900" w:type="dxa"/>
            <w:vAlign w:val="bottom"/>
            <w:gridSpan w:val="3"/>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March 31,</w:t>
            </w:r>
          </w:p>
        </w:tc>
        <w:tc>
          <w:tcPr>
            <w:tcW w:w="1560" w:type="dxa"/>
            <w:vAlign w:val="bottom"/>
            <w:shd w:val="clear" w:color="auto" w:fill="1D2758"/>
          </w:tcPr>
          <w:p>
            <w:pPr>
              <w:spacing w:after="0"/>
              <w:rPr>
                <w:sz w:val="18"/>
                <w:szCs w:val="18"/>
                <w:color w:val="auto"/>
              </w:rPr>
            </w:pPr>
          </w:p>
        </w:tc>
      </w:tr>
      <w:tr>
        <w:trPr>
          <w:trHeight w:val="217"/>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90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US</w:t>
            </w:r>
          </w:p>
        </w:tc>
        <w:tc>
          <w:tcPr>
            <w:tcW w:w="58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371,269</w:t>
            </w:r>
          </w:p>
        </w:tc>
        <w:tc>
          <w:tcPr>
            <w:tcW w:w="80" w:type="dxa"/>
            <w:vAlign w:val="bottom"/>
            <w:shd w:val="clear" w:color="auto" w:fill="DBDBDB"/>
          </w:tcPr>
          <w:p>
            <w:pPr>
              <w:spacing w:after="0"/>
              <w:rPr>
                <w:sz w:val="18"/>
                <w:szCs w:val="18"/>
                <w:color w:val="auto"/>
              </w:rPr>
            </w:pPr>
          </w:p>
        </w:tc>
        <w:tc>
          <w:tcPr>
            <w:tcW w:w="920" w:type="dxa"/>
            <w:vAlign w:val="bottom"/>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235,328</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Canada</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23,584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16,706</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Mexico</w:t>
            </w:r>
          </w:p>
        </w:tc>
        <w:tc>
          <w:tcPr>
            <w:tcW w:w="5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3,463</w:t>
            </w: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3,787</w:t>
            </w:r>
          </w:p>
        </w:tc>
      </w:tr>
      <w:tr>
        <w:trPr>
          <w:trHeight w:val="21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UK</w:t>
            </w: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27,007</w:t>
            </w:r>
          </w:p>
        </w:tc>
        <w:tc>
          <w:tcPr>
            <w:tcW w:w="80" w:type="dxa"/>
            <w:vAlign w:val="bottom"/>
            <w:tcBorders>
              <w:bottom w:val="single" w:sz="8" w:color="DBDBDB"/>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2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revenues</w:t>
            </w:r>
          </w:p>
        </w:tc>
        <w:tc>
          <w:tcPr>
            <w:tcW w:w="580" w:type="dxa"/>
            <w:vAlign w:val="bottom"/>
            <w:tcBorders>
              <w:bottom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425,323</w:t>
            </w:r>
          </w:p>
        </w:tc>
        <w:tc>
          <w:tcPr>
            <w:tcW w:w="80" w:type="dxa"/>
            <w:vAlign w:val="bottom"/>
            <w:tcBorders>
              <w:bottom w:val="single" w:sz="8" w:color="DBDBDB"/>
            </w:tcBorders>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255,821</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Major Product and Service Lines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Equipment leasing is the Company's core business. This includes rental modular space, portable space and tank and pump units along with value added products and services ("VAPS"), which include furniture, steps, ramps, basic appliances, internet connectivity devices,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months ended March 31,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1D2758"/>
          </w:tcPr>
          <w:p>
            <w:pPr>
              <w:spacing w:after="0"/>
              <w:rPr>
                <w:sz w:val="16"/>
                <w:szCs w:val="16"/>
                <w:color w:val="auto"/>
              </w:rPr>
            </w:pPr>
          </w:p>
        </w:tc>
        <w:tc>
          <w:tcPr>
            <w:tcW w:w="580" w:type="dxa"/>
            <w:vAlign w:val="bottom"/>
            <w:shd w:val="clear" w:color="auto" w:fill="1D2758"/>
          </w:tcPr>
          <w:p>
            <w:pPr>
              <w:spacing w:after="0"/>
              <w:rPr>
                <w:sz w:val="16"/>
                <w:szCs w:val="16"/>
                <w:color w:val="auto"/>
              </w:rPr>
            </w:pPr>
          </w:p>
        </w:tc>
        <w:tc>
          <w:tcPr>
            <w:tcW w:w="290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Three Months Ended</w:t>
            </w:r>
          </w:p>
        </w:tc>
        <w:tc>
          <w:tcPr>
            <w:tcW w:w="1560" w:type="dxa"/>
            <w:vAlign w:val="bottom"/>
            <w:shd w:val="clear" w:color="auto" w:fill="1D2758"/>
          </w:tcPr>
          <w:p>
            <w:pPr>
              <w:spacing w:after="0"/>
              <w:rPr>
                <w:sz w:val="16"/>
                <w:szCs w:val="16"/>
                <w:color w:val="auto"/>
              </w:rPr>
            </w:pPr>
          </w:p>
        </w:tc>
      </w:tr>
      <w:tr>
        <w:trPr>
          <w:trHeight w:val="215"/>
        </w:trPr>
        <w:tc>
          <w:tcPr>
            <w:tcW w:w="62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2900" w:type="dxa"/>
            <w:vAlign w:val="bottom"/>
            <w:gridSpan w:val="3"/>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March 31,</w:t>
            </w:r>
          </w:p>
        </w:tc>
        <w:tc>
          <w:tcPr>
            <w:tcW w:w="1560" w:type="dxa"/>
            <w:vAlign w:val="bottom"/>
            <w:shd w:val="clear" w:color="auto" w:fill="1D2758"/>
          </w:tcPr>
          <w:p>
            <w:pPr>
              <w:spacing w:after="0"/>
              <w:rPr>
                <w:sz w:val="18"/>
                <w:szCs w:val="18"/>
                <w:color w:val="auto"/>
              </w:rPr>
            </w:pPr>
          </w:p>
        </w:tc>
      </w:tr>
      <w:tr>
        <w:trPr>
          <w:trHeight w:val="217"/>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90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156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Modular space leasing revenue</w:t>
            </w:r>
          </w:p>
        </w:tc>
        <w:tc>
          <w:tcPr>
            <w:tcW w:w="580" w:type="dxa"/>
            <w:vAlign w:val="bottom"/>
            <w:shd w:val="clear" w:color="auto" w:fill="DDDDDD"/>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169,952</w:t>
            </w:r>
          </w:p>
        </w:tc>
        <w:tc>
          <w:tcPr>
            <w:tcW w:w="80" w:type="dxa"/>
            <w:vAlign w:val="bottom"/>
            <w:shd w:val="clear" w:color="auto" w:fill="DDDDDD"/>
          </w:tcPr>
          <w:p>
            <w:pPr>
              <w:spacing w:after="0"/>
              <w:rPr>
                <w:sz w:val="18"/>
                <w:szCs w:val="18"/>
                <w:color w:val="auto"/>
              </w:rPr>
            </w:pPr>
          </w:p>
        </w:tc>
        <w:tc>
          <w:tcPr>
            <w:tcW w:w="920" w:type="dxa"/>
            <w:vAlign w:val="bottom"/>
            <w:shd w:val="clear" w:color="auto" w:fill="DDDDDD"/>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131,398</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54,613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5,849</w:t>
            </w:r>
          </w:p>
        </w:tc>
      </w:tr>
      <w:tr>
        <w:trPr>
          <w:trHeight w:val="219"/>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Tank and pump leasing revenue</w:t>
            </w:r>
          </w:p>
        </w:tc>
        <w:tc>
          <w:tcPr>
            <w:tcW w:w="58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15,760</w:t>
            </w:r>
          </w:p>
        </w:tc>
        <w:tc>
          <w:tcPr>
            <w:tcW w:w="8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00" w:type="dxa"/>
            <w:vAlign w:val="bottom"/>
          </w:tcPr>
          <w:p>
            <w:pPr>
              <w:ind w:left="20"/>
              <w:spacing w:after="0" w:line="216" w:lineRule="exact"/>
              <w:rPr>
                <w:sz w:val="20"/>
                <w:szCs w:val="20"/>
                <w:color w:val="auto"/>
              </w:rPr>
            </w:pPr>
            <w:r>
              <w:rPr>
                <w:rFonts w:ascii="Arial" w:cs="Arial" w:eastAsia="Arial" w:hAnsi="Arial"/>
                <w:sz w:val="16"/>
                <w:szCs w:val="16"/>
                <w:color w:val="auto"/>
              </w:rPr>
              <w:t>VAPS and third party leasing revenues</w:t>
            </w:r>
            <w:r>
              <w:rPr>
                <w:rFonts w:ascii="Arial" w:cs="Arial" w:eastAsia="Arial" w:hAnsi="Arial"/>
                <w:sz w:val="21"/>
                <w:szCs w:val="21"/>
                <w:color w:val="auto"/>
                <w:vertAlign w:val="superscript"/>
              </w:rPr>
              <w:t>(a)</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62,426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41,002</w:t>
            </w:r>
          </w:p>
        </w:tc>
      </w:tr>
      <w:tr>
        <w:trPr>
          <w:trHeight w:val="216"/>
        </w:trPr>
        <w:tc>
          <w:tcPr>
            <w:tcW w:w="6200" w:type="dxa"/>
            <w:vAlign w:val="bottom"/>
            <w:shd w:val="clear" w:color="auto" w:fill="DDDDDD"/>
          </w:tcPr>
          <w:p>
            <w:pPr>
              <w:ind w:left="20"/>
              <w:spacing w:after="0" w:line="216" w:lineRule="exact"/>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(b)</w:t>
            </w:r>
          </w:p>
        </w:tc>
        <w:tc>
          <w:tcPr>
            <w:tcW w:w="580" w:type="dxa"/>
            <w:vAlign w:val="bottom"/>
            <w:tcBorders>
              <w:bottom w:val="single" w:sz="8" w:color="auto"/>
            </w:tcBorders>
            <w:shd w:val="clear" w:color="auto" w:fill="DDDDDD"/>
          </w:tcPr>
          <w:p>
            <w:pPr>
              <w:spacing w:after="0"/>
              <w:rPr>
                <w:sz w:val="18"/>
                <w:szCs w:val="18"/>
                <w:color w:val="auto"/>
              </w:rPr>
            </w:pPr>
          </w:p>
        </w:tc>
        <w:tc>
          <w:tcPr>
            <w:tcW w:w="1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12,911</w:t>
            </w:r>
          </w:p>
        </w:tc>
        <w:tc>
          <w:tcPr>
            <w:tcW w:w="80" w:type="dxa"/>
            <w:vAlign w:val="bottom"/>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10,103</w:t>
            </w:r>
          </w:p>
        </w:tc>
      </w:tr>
      <w:tr>
        <w:trPr>
          <w:trHeight w:val="206"/>
        </w:trPr>
        <w:tc>
          <w:tcPr>
            <w:tcW w:w="6200" w:type="dxa"/>
            <w:vAlign w:val="bottom"/>
          </w:tcPr>
          <w:p>
            <w:pPr>
              <w:ind w:left="240"/>
              <w:spacing w:after="0"/>
              <w:rPr>
                <w:sz w:val="20"/>
                <w:szCs w:val="20"/>
                <w:color w:val="auto"/>
              </w:rPr>
            </w:pPr>
            <w:r>
              <w:rPr>
                <w:rFonts w:ascii="Arial" w:cs="Arial" w:eastAsia="Arial" w:hAnsi="Arial"/>
                <w:sz w:val="16"/>
                <w:szCs w:val="16"/>
                <w:color w:val="auto"/>
              </w:rPr>
              <w:t>Leasing revenue</w:t>
            </w:r>
          </w:p>
        </w:tc>
        <w:tc>
          <w:tcPr>
            <w:tcW w:w="5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315,662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188,352</w:t>
            </w:r>
          </w:p>
        </w:tc>
      </w:tr>
      <w:tr>
        <w:trPr>
          <w:trHeight w:val="216"/>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Delivery and installation revenue</w:t>
            </w:r>
          </w:p>
        </w:tc>
        <w:tc>
          <w:tcPr>
            <w:tcW w:w="580" w:type="dxa"/>
            <w:vAlign w:val="bottom"/>
            <w:tcBorders>
              <w:bottom w:val="single" w:sz="8" w:color="auto"/>
            </w:tcBorders>
            <w:shd w:val="clear" w:color="auto" w:fill="DDDDDD"/>
          </w:tcPr>
          <w:p>
            <w:pPr>
              <w:spacing w:after="0"/>
              <w:rPr>
                <w:sz w:val="18"/>
                <w:szCs w:val="18"/>
                <w:color w:val="auto"/>
              </w:rPr>
            </w:pPr>
          </w:p>
        </w:tc>
        <w:tc>
          <w:tcPr>
            <w:tcW w:w="1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83,504</w:t>
            </w:r>
          </w:p>
        </w:tc>
        <w:tc>
          <w:tcPr>
            <w:tcW w:w="80" w:type="dxa"/>
            <w:vAlign w:val="bottom"/>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spacing w:after="0"/>
              <w:rPr>
                <w:sz w:val="18"/>
                <w:szCs w:val="18"/>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51,070</w:t>
            </w:r>
          </w:p>
        </w:tc>
      </w:tr>
      <w:tr>
        <w:trPr>
          <w:trHeight w:val="210"/>
        </w:trPr>
        <w:tc>
          <w:tcPr>
            <w:tcW w:w="6200" w:type="dxa"/>
            <w:vAlign w:val="bottom"/>
          </w:tcPr>
          <w:p>
            <w:pPr>
              <w:ind w:left="240"/>
              <w:spacing w:after="0"/>
              <w:rPr>
                <w:sz w:val="20"/>
                <w:szCs w:val="20"/>
                <w:color w:val="auto"/>
              </w:rPr>
            </w:pPr>
            <w:r>
              <w:rPr>
                <w:rFonts w:ascii="Arial" w:cs="Arial" w:eastAsia="Arial" w:hAnsi="Arial"/>
                <w:sz w:val="16"/>
                <w:szCs w:val="16"/>
                <w:color w:val="auto"/>
              </w:rPr>
              <w:t>Total leasing and services revenue</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399,166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239,422</w:t>
            </w:r>
          </w:p>
        </w:tc>
      </w:tr>
      <w:tr>
        <w:trPr>
          <w:trHeight w:val="219"/>
        </w:trPr>
        <w:tc>
          <w:tcPr>
            <w:tcW w:w="6200" w:type="dxa"/>
            <w:vAlign w:val="bottom"/>
            <w:shd w:val="clear" w:color="auto" w:fill="DDDDDD"/>
          </w:tcPr>
          <w:p>
            <w:pPr>
              <w:ind w:left="20"/>
              <w:spacing w:after="0"/>
              <w:rPr>
                <w:sz w:val="20"/>
                <w:szCs w:val="20"/>
                <w:color w:val="auto"/>
              </w:rPr>
            </w:pPr>
            <w:r>
              <w:rPr>
                <w:rFonts w:ascii="Arial" w:cs="Arial" w:eastAsia="Arial" w:hAnsi="Arial"/>
                <w:sz w:val="16"/>
                <w:szCs w:val="16"/>
                <w:color w:val="auto"/>
              </w:rPr>
              <w:t>New unit sales revenue</w:t>
            </w:r>
          </w:p>
        </w:tc>
        <w:tc>
          <w:tcPr>
            <w:tcW w:w="580" w:type="dxa"/>
            <w:vAlign w:val="bottom"/>
            <w:shd w:val="clear" w:color="auto" w:fill="DDDDDD"/>
          </w:tcPr>
          <w:p>
            <w:pPr>
              <w:spacing w:after="0"/>
              <w:rPr>
                <w:sz w:val="19"/>
                <w:szCs w:val="19"/>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10,955</w:t>
            </w:r>
          </w:p>
        </w:tc>
        <w:tc>
          <w:tcPr>
            <w:tcW w:w="8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9,613</w:t>
            </w:r>
          </w:p>
        </w:tc>
      </w:tr>
      <w:tr>
        <w:trPr>
          <w:trHeight w:val="213"/>
        </w:trPr>
        <w:tc>
          <w:tcPr>
            <w:tcW w:w="620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Rental unit sales revenue</w:t>
            </w: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15,202</w:t>
            </w:r>
          </w:p>
        </w:tc>
        <w:tc>
          <w:tcPr>
            <w:tcW w:w="80" w:type="dxa"/>
            <w:vAlign w:val="bottom"/>
            <w:tcBorders>
              <w:bottom w:val="single" w:sz="8" w:color="DDDDDD"/>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6,786</w:t>
            </w:r>
          </w:p>
        </w:tc>
      </w:tr>
      <w:tr>
        <w:trPr>
          <w:trHeight w:val="238"/>
        </w:trPr>
        <w:tc>
          <w:tcPr>
            <w:tcW w:w="620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6"/>
                <w:szCs w:val="16"/>
                <w:color w:val="auto"/>
              </w:rPr>
              <w:t>Total revenues</w:t>
            </w:r>
          </w:p>
        </w:tc>
        <w:tc>
          <w:tcPr>
            <w:tcW w:w="580" w:type="dxa"/>
            <w:vAlign w:val="bottom"/>
            <w:tcBorders>
              <w:bottom w:val="single" w:sz="8" w:color="auto"/>
            </w:tcBorders>
            <w:shd w:val="clear" w:color="auto" w:fill="DDDDDD"/>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425,323</w:t>
            </w:r>
          </w:p>
        </w:tc>
        <w:tc>
          <w:tcPr>
            <w:tcW w:w="80" w:type="dxa"/>
            <w:vAlign w:val="bottom"/>
            <w:tcBorders>
              <w:bottom w:val="single" w:sz="8" w:color="DDDDDD"/>
            </w:tcBorders>
            <w:shd w:val="clear" w:color="auto" w:fill="DDDDDD"/>
          </w:tcPr>
          <w:p>
            <w:pPr>
              <w:spacing w:after="0"/>
              <w:rPr>
                <w:sz w:val="20"/>
                <w:szCs w:val="20"/>
                <w:color w:val="auto"/>
              </w:rPr>
            </w:pPr>
          </w:p>
        </w:tc>
        <w:tc>
          <w:tcPr>
            <w:tcW w:w="920" w:type="dxa"/>
            <w:vAlign w:val="bottom"/>
            <w:tcBorders>
              <w:bottom w:val="single" w:sz="8" w:color="auto"/>
            </w:tcBorders>
            <w:shd w:val="clear" w:color="auto" w:fill="DDDDDD"/>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255,821</w:t>
            </w:r>
          </w:p>
        </w:tc>
      </w:tr>
      <w:tr>
        <w:trPr>
          <w:trHeight w:val="20"/>
        </w:trPr>
        <w:tc>
          <w:tcPr>
            <w:tcW w:w="620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9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spacing w:after="0"/>
        <w:rPr>
          <w:sz w:val="20"/>
          <w:szCs w:val="20"/>
          <w:color w:val="auto"/>
        </w:rPr>
      </w:pPr>
      <w:r>
        <w:rPr>
          <w:rFonts w:ascii="Arial" w:cs="Arial" w:eastAsia="Arial" w:hAnsi="Arial"/>
          <w:sz w:val="14"/>
          <w:szCs w:val="14"/>
          <w:color w:val="auto"/>
        </w:rPr>
        <w:t>Includes $6.2 million and $4.0 million of service revenue for the three months ended March 31, 2021 and 2020, respectively.</w:t>
      </w:r>
    </w:p>
    <w:p>
      <w:pPr>
        <w:spacing w:after="0" w:line="28"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Leasing and Services Revenue</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majority of revenue (73% and 72% for the three months ended March 31, 2021 and 2020, respectively) is generated by rental income subject to the guidance of ASU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 The remaining revenue for the three months ended March 31, 2021 and 2020 is generated by performance obligations in contracts with customers for services or sale of units subject to the guidance in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(Topic 606) </w:t>
      </w:r>
      <w:r>
        <w:rPr>
          <w:rFonts w:ascii="Arial" w:cs="Arial" w:eastAsia="Arial" w:hAnsi="Arial"/>
          <w:sz w:val="16"/>
          <w:szCs w:val="16"/>
          <w:color w:val="auto"/>
        </w:rPr>
        <w:t>("ASC 606").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reflected above, approximately 73% of the Company's rental revenue is generated by lease revenue subject to the guidance in ASC 842. The customers that are responsible for the remaining revenue accounted for under ASC 606 are generally the same customers that rent the Company's equipment. The Company manages credit risk associated with its accounts receivables at the customer level. As the same customers generate the revenues that are accounted for under both ASC 606 and ASC 842, the discussions below on credit risk and the Company's allowance for credit losses address its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16"/>
          <w:szCs w:val="16"/>
          <w:color w:val="auto"/>
        </w:rPr>
        <w:t>revenues. The Company's top five customers with the largest open receivables balances represented 5.0% of the total receivables balance as of March 31, 2021.</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March 31, 2021 and December 31, 2020, the Company had approximately $75.4 million and $74.1 million, respectively, of deferred revenue that relates to removal services for lease transactions and advance billings for sale transactions, which are within the scope of ASC 606 and are included in deferred revenue and customer deposits in the condensed consolidated balance sheets. During the three months ended March 31, 2021, $19.3 million of previously deferred revenue relating to removal services for lease transactions and advance billings for sale transactions was recognized as revenue.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not have material contract assets and it did not recognize any material impairments of contract assets.</w:t>
      </w:r>
    </w:p>
    <w:p>
      <w:pPr>
        <w:spacing w:after="0" w:line="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primary costs to obtain contracts for new and rental unit sales with the Company's customers are commissions paid to its sales force. The Company pays its sales force commissions on the sale of new and rental units. For new and rental unit sales, the period benefited by each commission is less than one year, therefore the commissions are expensed as incurred.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exposed to credit losses from trade receivables generated through its leasing and sales business.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new leases after a defined period of dormancy. The Company also considers contract terms and conditions, country risk and business strategy in the evaluation.</w:t>
      </w:r>
    </w:p>
    <w:p>
      <w:pPr>
        <w:spacing w:after="0" w:line="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monitors ongoing credit exposure through an active review of customer balances against contract terms and due dates. The Company may employ collection agencies and legal counsel to pursue recovery of defaulted receivables. The allowances for credit losses reflect the estimate of the amount of receivables that the Company will be unable to collect based on historical write-off experience and, as applicable, current conditions and reasonable and supportable forecasts that affect collectability. This estimate could require change based on changing circumstances, including changes in the economy or in the particular circumstances of individual customers. Accordingly, the Company may be required to increase or decrease its allowances.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ind w:left="660"/>
              <w:spacing w:after="0"/>
              <w:rPr>
                <w:sz w:val="20"/>
                <w:szCs w:val="20"/>
                <w:color w:val="auto"/>
              </w:rPr>
            </w:pPr>
            <w:r>
              <w:rPr>
                <w:rFonts w:ascii="Arial" w:cs="Arial" w:eastAsia="Arial" w:hAnsi="Arial"/>
                <w:sz w:val="16"/>
                <w:szCs w:val="16"/>
                <w:color w:val="auto"/>
              </w:rPr>
              <w:t>Activity in the allowance for credit losses was as follows:</w:t>
            </w: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28"/>
        </w:trPr>
        <w:tc>
          <w:tcPr>
            <w:tcW w:w="6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560" w:type="dxa"/>
            <w:vAlign w:val="bottom"/>
            <w:gridSpan w:val="3"/>
          </w:tcPr>
          <w:p>
            <w:pPr>
              <w:spacing w:after="0"/>
              <w:rPr>
                <w:sz w:val="11"/>
                <w:szCs w:val="11"/>
                <w:color w:val="auto"/>
              </w:rPr>
            </w:pPr>
          </w:p>
        </w:tc>
      </w:tr>
      <w:tr>
        <w:trPr>
          <w:trHeight w:val="215"/>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444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7"/>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beginning of year</w:t>
            </w:r>
          </w:p>
        </w:tc>
        <w:tc>
          <w:tcPr>
            <w:tcW w:w="580" w:type="dxa"/>
            <w:vAlign w:val="bottom"/>
            <w:shd w:val="clear" w:color="auto" w:fill="DDDDDD"/>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29,258</w:t>
            </w:r>
          </w:p>
        </w:tc>
        <w:tc>
          <w:tcPr>
            <w:tcW w:w="80" w:type="dxa"/>
            <w:vAlign w:val="bottom"/>
            <w:shd w:val="clear" w:color="auto" w:fill="DDDDDD"/>
          </w:tcPr>
          <w:p>
            <w:pPr>
              <w:spacing w:after="0"/>
              <w:rPr>
                <w:sz w:val="18"/>
                <w:szCs w:val="18"/>
                <w:color w:val="auto"/>
              </w:rPr>
            </w:pPr>
          </w:p>
        </w:tc>
        <w:tc>
          <w:tcPr>
            <w:tcW w:w="600" w:type="dxa"/>
            <w:vAlign w:val="bottom"/>
            <w:shd w:val="clear" w:color="auto" w:fill="DDDDDD"/>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15,828</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Net charges to bad debt expense and revenue</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8,516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3,392</w:t>
            </w:r>
          </w:p>
        </w:tc>
      </w:tr>
      <w:tr>
        <w:trPr>
          <w:trHeight w:val="219"/>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Write-offs</w:t>
            </w:r>
          </w:p>
        </w:tc>
        <w:tc>
          <w:tcPr>
            <w:tcW w:w="580" w:type="dxa"/>
            <w:vAlign w:val="bottom"/>
            <w:shd w:val="clear" w:color="auto" w:fill="DDDDDD"/>
          </w:tcPr>
          <w:p>
            <w:pPr>
              <w:spacing w:after="0"/>
              <w:rPr>
                <w:sz w:val="19"/>
                <w:szCs w:val="19"/>
                <w:color w:val="auto"/>
              </w:rPr>
            </w:pPr>
          </w:p>
        </w:tc>
        <w:tc>
          <w:tcPr>
            <w:tcW w:w="1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(5,813)</w:t>
            </w:r>
          </w:p>
        </w:tc>
        <w:tc>
          <w:tcPr>
            <w:tcW w:w="8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18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(2,744)</w:t>
            </w:r>
          </w:p>
        </w:tc>
      </w:tr>
      <w:tr>
        <w:trPr>
          <w:trHeight w:val="213"/>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Foreign currency translation and other</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80" w:type="dxa"/>
            <w:vAlign w:val="bottom"/>
            <w:tcBorders>
              <w:bottom w:val="single" w:sz="8" w:color="DDDDDD"/>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 at end of period</w:t>
            </w:r>
          </w:p>
        </w:tc>
        <w:tc>
          <w:tcPr>
            <w:tcW w:w="58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31,630</w:t>
            </w:r>
          </w:p>
        </w:tc>
        <w:tc>
          <w:tcPr>
            <w:tcW w:w="80" w:type="dxa"/>
            <w:vAlign w:val="bottom"/>
            <w:tcBorders>
              <w:bottom w:val="single" w:sz="8" w:color="DDDDDD"/>
            </w:tcBorders>
            <w:shd w:val="clear" w:color="auto" w:fill="DDDDDD"/>
          </w:tcPr>
          <w:p>
            <w:pPr>
              <w:spacing w:after="0"/>
              <w:rPr>
                <w:sz w:val="19"/>
                <w:szCs w:val="19"/>
                <w:color w:val="auto"/>
              </w:rPr>
            </w:pPr>
          </w:p>
        </w:tc>
        <w:tc>
          <w:tcPr>
            <w:tcW w:w="60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16,471</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DDDDD"/>
              <w:bottom w:val="single" w:sz="8" w:color="auto"/>
            </w:tcBorders>
          </w:tcPr>
          <w:p>
            <w:pPr>
              <w:spacing w:after="0" w:line="20" w:lineRule="exact"/>
              <w:rPr>
                <w:sz w:val="1"/>
                <w:szCs w:val="1"/>
                <w:color w:val="auto"/>
              </w:rPr>
            </w:pPr>
          </w:p>
        </w:tc>
        <w:tc>
          <w:tcPr>
            <w:tcW w:w="18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600" w:type="dxa"/>
            <w:vAlign w:val="bottom"/>
            <w:tcBorders>
              <w:top w:val="single" w:sz="8" w:color="DDDDDD"/>
              <w:bottom w:val="single" w:sz="8" w:color="auto"/>
            </w:tcBorders>
          </w:tcPr>
          <w:p>
            <w:pPr>
              <w:spacing w:after="0" w:line="20" w:lineRule="exact"/>
              <w:rPr>
                <w:sz w:val="1"/>
                <w:szCs w:val="1"/>
                <w:color w:val="auto"/>
              </w:rPr>
            </w:pPr>
          </w:p>
        </w:tc>
        <w:tc>
          <w:tcPr>
            <w:tcW w:w="1880" w:type="dxa"/>
            <w:vAlign w:val="bottom"/>
            <w:tcBorders>
              <w:top w:val="single" w:sz="8" w:color="DDDDDD"/>
              <w:bottom w:val="single" w:sz="8" w:color="auto"/>
            </w:tcBorders>
          </w:tcPr>
          <w:p>
            <w:pPr>
              <w:spacing w:after="0" w:line="20" w:lineRule="exact"/>
              <w:rPr>
                <w:sz w:val="1"/>
                <w:szCs w:val="1"/>
                <w:color w:val="auto"/>
              </w:rPr>
            </w:pPr>
          </w:p>
        </w:tc>
      </w:tr>
      <w:tr>
        <w:trPr>
          <w:trHeight w:val="1415"/>
        </w:trPr>
        <w:tc>
          <w:tcPr>
            <w:tcW w:w="6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4" w:name="page15"/>
    <w:bookmarkEnd w:id="14"/>
    <w:p>
      <w:pPr>
        <w:spacing w:after="0"/>
        <w:rPr>
          <w:sz w:val="20"/>
          <w:szCs w:val="20"/>
          <w:color w:val="auto"/>
        </w:rPr>
      </w:pPr>
      <w:r>
        <w:rPr>
          <w:rFonts w:ascii="Arial" w:cs="Arial" w:eastAsia="Arial" w:hAnsi="Arial"/>
          <w:sz w:val="23"/>
          <w:szCs w:val="23"/>
          <w:color w:val="1D2758"/>
        </w:rPr>
        <w:t>NOTE 4 - Leases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00" w:type="dxa"/>
            <w:vAlign w:val="bottom"/>
            <w:gridSpan w:val="5"/>
          </w:tcPr>
          <w:p>
            <w:pPr>
              <w:ind w:left="660"/>
              <w:spacing w:after="0"/>
              <w:rPr>
                <w:sz w:val="20"/>
                <w:szCs w:val="20"/>
                <w:color w:val="auto"/>
              </w:rPr>
            </w:pPr>
            <w:r>
              <w:rPr>
                <w:rFonts w:ascii="Arial" w:cs="Arial" w:eastAsia="Arial" w:hAnsi="Arial"/>
                <w:sz w:val="16"/>
                <w:szCs w:val="16"/>
                <w:color w:val="auto"/>
              </w:rPr>
              <w:t>As of March 31, 2021, the undiscounted future lease payments for operating and finance lease liabilities were as follows:</w:t>
            </w:r>
          </w:p>
        </w:tc>
        <w:tc>
          <w:tcPr>
            <w:tcW w:w="1740" w:type="dxa"/>
            <w:vAlign w:val="bottom"/>
          </w:tcPr>
          <w:p>
            <w:pPr>
              <w:spacing w:after="0"/>
              <w:rPr>
                <w:sz w:val="16"/>
                <w:szCs w:val="16"/>
                <w:color w:val="auto"/>
              </w:rPr>
            </w:pPr>
          </w:p>
        </w:tc>
      </w:tr>
      <w:tr>
        <w:trPr>
          <w:trHeight w:val="127"/>
        </w:trPr>
        <w:tc>
          <w:tcPr>
            <w:tcW w:w="6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216"/>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80" w:type="dxa"/>
            <w:vAlign w:val="bottom"/>
            <w:shd w:val="clear" w:color="auto" w:fill="1D2758"/>
          </w:tcPr>
          <w:p>
            <w:pPr>
              <w:spacing w:after="0"/>
              <w:rPr>
                <w:sz w:val="18"/>
                <w:szCs w:val="18"/>
                <w:color w:val="auto"/>
              </w:rPr>
            </w:pPr>
          </w:p>
        </w:tc>
        <w:tc>
          <w:tcPr>
            <w:tcW w:w="2080" w:type="dxa"/>
            <w:vAlign w:val="bottom"/>
            <w:gridSpan w:val="2"/>
            <w:shd w:val="clear" w:color="auto" w:fill="1D2758"/>
          </w:tcPr>
          <w:p>
            <w:pPr>
              <w:ind w:left="380"/>
              <w:spacing w:after="0"/>
              <w:rPr>
                <w:sz w:val="20"/>
                <w:szCs w:val="20"/>
                <w:color w:val="auto"/>
              </w:rPr>
            </w:pPr>
            <w:r>
              <w:rPr>
                <w:rFonts w:ascii="Arial" w:cs="Arial" w:eastAsia="Arial" w:hAnsi="Arial"/>
                <w:sz w:val="16"/>
                <w:szCs w:val="16"/>
                <w:b w:val="1"/>
                <w:bCs w:val="1"/>
                <w:color w:val="FFFFFF"/>
              </w:rPr>
              <w:t>Operating</w:t>
            </w:r>
          </w:p>
        </w:tc>
        <w:tc>
          <w:tcPr>
            <w:tcW w:w="740" w:type="dxa"/>
            <w:vAlign w:val="bottom"/>
            <w:shd w:val="clear" w:color="auto" w:fill="1D2758"/>
          </w:tcPr>
          <w:p>
            <w:pPr>
              <w:spacing w:after="0"/>
              <w:rPr>
                <w:sz w:val="18"/>
                <w:szCs w:val="18"/>
                <w:color w:val="auto"/>
              </w:rPr>
            </w:pPr>
          </w:p>
        </w:tc>
        <w:tc>
          <w:tcPr>
            <w:tcW w:w="1740" w:type="dxa"/>
            <w:vAlign w:val="bottom"/>
            <w:shd w:val="clear" w:color="auto" w:fill="1D2758"/>
          </w:tcPr>
          <w:p>
            <w:pPr>
              <w:jc w:val="right"/>
              <w:ind w:right="839"/>
              <w:spacing w:after="0"/>
              <w:rPr>
                <w:sz w:val="20"/>
                <w:szCs w:val="20"/>
                <w:color w:val="auto"/>
              </w:rPr>
            </w:pPr>
            <w:r>
              <w:rPr>
                <w:rFonts w:ascii="Arial" w:cs="Arial" w:eastAsia="Arial" w:hAnsi="Arial"/>
                <w:sz w:val="16"/>
                <w:szCs w:val="16"/>
                <w:b w:val="1"/>
                <w:bCs w:val="1"/>
                <w:color w:val="FFFFFF"/>
              </w:rPr>
              <w:t>Finance</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2021 (remaining)</w:t>
            </w:r>
          </w:p>
        </w:tc>
        <w:tc>
          <w:tcPr>
            <w:tcW w:w="48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45,902</w:t>
            </w:r>
          </w:p>
        </w:tc>
        <w:tc>
          <w:tcPr>
            <w:tcW w:w="80" w:type="dxa"/>
            <w:vAlign w:val="bottom"/>
            <w:shd w:val="clear" w:color="auto" w:fill="DBDBDB"/>
          </w:tcPr>
          <w:p>
            <w:pPr>
              <w:spacing w:after="0"/>
              <w:rPr>
                <w:sz w:val="18"/>
                <w:szCs w:val="18"/>
                <w:color w:val="auto"/>
              </w:rPr>
            </w:pPr>
          </w:p>
        </w:tc>
        <w:tc>
          <w:tcPr>
            <w:tcW w:w="740" w:type="dxa"/>
            <w:vAlign w:val="bottom"/>
            <w:shd w:val="clear" w:color="auto" w:fill="DBDBDB"/>
          </w:tcPr>
          <w:p>
            <w:pPr>
              <w:jc w:val="right"/>
              <w:ind w:right="5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14,383</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2022</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53,179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17,655</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4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42,937</w:t>
            </w:r>
          </w:p>
        </w:tc>
        <w:tc>
          <w:tcPr>
            <w:tcW w:w="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14,204</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2024</w:t>
            </w:r>
          </w:p>
        </w:tc>
        <w:tc>
          <w:tcPr>
            <w:tcW w:w="4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34,899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11,283</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4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28,057</w:t>
            </w:r>
          </w:p>
        </w:tc>
        <w:tc>
          <w:tcPr>
            <w:tcW w:w="8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11,391</w:t>
            </w:r>
          </w:p>
        </w:tc>
      </w:tr>
      <w:tr>
        <w:trPr>
          <w:trHeight w:val="21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69,774</w:t>
            </w:r>
          </w:p>
        </w:tc>
        <w:tc>
          <w:tcPr>
            <w:tcW w:w="80" w:type="dxa"/>
            <w:vAlign w:val="bottom"/>
            <w:tcBorders>
              <w:bottom w:val="single" w:sz="8" w:color="DBDBDB"/>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14,790</w:t>
            </w:r>
          </w:p>
        </w:tc>
      </w:tr>
      <w:tr>
        <w:trPr>
          <w:trHeight w:val="213"/>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lease payments</w:t>
            </w:r>
          </w:p>
        </w:tc>
        <w:tc>
          <w:tcPr>
            <w:tcW w:w="480" w:type="dxa"/>
            <w:vAlign w:val="bottom"/>
            <w:shd w:val="clear" w:color="auto" w:fill="DBDBDB"/>
          </w:tcPr>
          <w:p>
            <w:pPr>
              <w:spacing w:after="0"/>
              <w:rPr>
                <w:sz w:val="18"/>
                <w:szCs w:val="18"/>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274,748</w:t>
            </w:r>
          </w:p>
        </w:tc>
        <w:tc>
          <w:tcPr>
            <w:tcW w:w="8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83,706</w:t>
            </w:r>
          </w:p>
        </w:tc>
      </w:tr>
      <w:tr>
        <w:trPr>
          <w:trHeight w:val="21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interest</w:t>
            </w:r>
          </w:p>
        </w:tc>
        <w:tc>
          <w:tcPr>
            <w:tcW w:w="4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80" w:type="dxa"/>
            <w:vAlign w:val="bottom"/>
            <w:tcBorders>
              <w:bottom w:val="single" w:sz="8" w:color="DBDBDB"/>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r>
      <w:tr>
        <w:trPr>
          <w:trHeight w:val="234"/>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Present value of lease liabilities</w:t>
            </w:r>
          </w:p>
        </w:tc>
        <w:tc>
          <w:tcPr>
            <w:tcW w:w="48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229,189</w:t>
            </w:r>
          </w:p>
        </w:tc>
        <w:tc>
          <w:tcPr>
            <w:tcW w:w="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ind w:right="5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77,551</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lease liabilities are included within long-term debt and current portion of long-term debt on the condensed consolidated balance sheets.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lease activity during the three months ended March 31, 2021 and 2020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444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Financial Statement Line</w:t>
            </w: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Finance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13"/>
        </w:trPr>
        <w:tc>
          <w:tcPr>
            <w:tcW w:w="6220" w:type="dxa"/>
            <w:vAlign w:val="bottom"/>
          </w:tcPr>
          <w:p>
            <w:pPr>
              <w:ind w:left="360"/>
              <w:spacing w:after="0"/>
              <w:rPr>
                <w:sz w:val="20"/>
                <w:szCs w:val="20"/>
                <w:color w:val="auto"/>
              </w:rPr>
            </w:pPr>
            <w:r>
              <w:rPr>
                <w:rFonts w:ascii="Arial" w:cs="Arial" w:eastAsia="Arial" w:hAnsi="Arial"/>
                <w:sz w:val="16"/>
                <w:szCs w:val="16"/>
                <w:color w:val="auto"/>
              </w:rPr>
              <w:t>Amortization of finance lease assets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4,378</w:t>
            </w:r>
          </w:p>
        </w:tc>
        <w:tc>
          <w:tcPr>
            <w:tcW w:w="8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Interest on obligations under finance leases</w:t>
            </w:r>
          </w:p>
        </w:tc>
        <w:tc>
          <w:tcPr>
            <w:tcW w:w="58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547</w:t>
            </w:r>
          </w:p>
        </w:tc>
        <w:tc>
          <w:tcPr>
            <w:tcW w:w="80" w:type="dxa"/>
            <w:vAlign w:val="bottom"/>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Total finance lease expense</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4"/>
        </w:trPr>
        <w:tc>
          <w:tcPr>
            <w:tcW w:w="622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Operating Lease Expense</w:t>
            </w: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Fixed lease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13"/>
        </w:trPr>
        <w:tc>
          <w:tcPr>
            <w:tcW w:w="622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1,106</w:t>
            </w:r>
          </w:p>
        </w:tc>
        <w:tc>
          <w:tcPr>
            <w:tcW w:w="8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19"/>
        </w:trPr>
        <w:tc>
          <w:tcPr>
            <w:tcW w:w="62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14,472</w:t>
            </w: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7,885</w:t>
            </w:r>
          </w:p>
        </w:tc>
      </w:tr>
      <w:tr>
        <w:trPr>
          <w:trHeight w:val="213"/>
        </w:trPr>
        <w:tc>
          <w:tcPr>
            <w:tcW w:w="6220" w:type="dxa"/>
            <w:vAlign w:val="bottom"/>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596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Short-term lease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13"/>
        </w:trPr>
        <w:tc>
          <w:tcPr>
            <w:tcW w:w="622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6,379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7,300</w:t>
            </w:r>
          </w:p>
        </w:tc>
      </w:tr>
      <w:tr>
        <w:trPr>
          <w:trHeight w:val="219"/>
        </w:trPr>
        <w:tc>
          <w:tcPr>
            <w:tcW w:w="62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w:t>
            </w:r>
          </w:p>
        </w:tc>
      </w:tr>
      <w:tr>
        <w:trPr>
          <w:trHeight w:val="213"/>
        </w:trPr>
        <w:tc>
          <w:tcPr>
            <w:tcW w:w="6220" w:type="dxa"/>
            <w:vAlign w:val="bottom"/>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58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Variable lease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13"/>
        </w:trPr>
        <w:tc>
          <w:tcPr>
            <w:tcW w:w="6220" w:type="dxa"/>
            <w:vAlign w:val="bottom"/>
          </w:tcPr>
          <w:p>
            <w:pPr>
              <w:ind w:left="560"/>
              <w:spacing w:after="0"/>
              <w:rPr>
                <w:sz w:val="20"/>
                <w:szCs w:val="20"/>
                <w:color w:val="auto"/>
              </w:rPr>
            </w:pPr>
            <w:r>
              <w:rPr>
                <w:rFonts w:ascii="Arial" w:cs="Arial" w:eastAsia="Arial" w:hAnsi="Arial"/>
                <w:sz w:val="16"/>
                <w:szCs w:val="16"/>
                <w:color w:val="auto"/>
              </w:rPr>
              <w:t>Cost of leasing and services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1,802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1,832</w:t>
            </w:r>
          </w:p>
        </w:tc>
      </w:tr>
      <w:tr>
        <w:trPr>
          <w:trHeight w:val="219"/>
        </w:trPr>
        <w:tc>
          <w:tcPr>
            <w:tcW w:w="622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1,838</w:t>
            </w: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867</w:t>
            </w:r>
          </w:p>
        </w:tc>
      </w:tr>
      <w:tr>
        <w:trPr>
          <w:trHeight w:val="213"/>
        </w:trPr>
        <w:tc>
          <w:tcPr>
            <w:tcW w:w="6220" w:type="dxa"/>
            <w:vAlign w:val="bottom"/>
            <w:tcBorders>
              <w:bottom w:val="single" w:sz="8" w:color="DBDBDB"/>
            </w:tcBorders>
          </w:tcPr>
          <w:p>
            <w:pPr>
              <w:ind w:left="560"/>
              <w:spacing w:after="0"/>
              <w:rPr>
                <w:sz w:val="20"/>
                <w:szCs w:val="20"/>
                <w:color w:val="auto"/>
              </w:rPr>
            </w:pPr>
            <w:r>
              <w:rPr>
                <w:rFonts w:ascii="Arial" w:cs="Arial" w:eastAsia="Arial" w:hAnsi="Arial"/>
                <w:sz w:val="16"/>
                <w:szCs w:val="16"/>
                <w:color w:val="auto"/>
              </w:rPr>
              <w:t>Lease impairment expense and other related charges</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80" w:type="dxa"/>
            <w:vAlign w:val="bottom"/>
            <w:tcBorders>
              <w:bottom w:val="single" w:sz="8" w:color="DBDBDB"/>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38"/>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operating lease expense</w:t>
            </w:r>
          </w:p>
        </w:tc>
        <w:tc>
          <w:tcPr>
            <w:tcW w:w="580" w:type="dxa"/>
            <w:vAlign w:val="bottom"/>
            <w:tcBorders>
              <w:bottom w:val="single" w:sz="8" w:color="auto"/>
            </w:tcBorders>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26,921</w:t>
            </w:r>
          </w:p>
        </w:tc>
        <w:tc>
          <w:tcPr>
            <w:tcW w:w="80" w:type="dxa"/>
            <w:vAlign w:val="bottom"/>
            <w:tcBorders>
              <w:bottom w:val="single" w:sz="8" w:color="DBDBDB"/>
            </w:tcBorders>
            <w:shd w:val="clear" w:color="auto" w:fill="DBDBDB"/>
          </w:tcPr>
          <w:p>
            <w:pPr>
              <w:spacing w:after="0"/>
              <w:rPr>
                <w:sz w:val="20"/>
                <w:szCs w:val="20"/>
                <w:color w:val="auto"/>
              </w:rPr>
            </w:pPr>
          </w:p>
        </w:tc>
        <w:tc>
          <w:tcPr>
            <w:tcW w:w="600" w:type="dxa"/>
            <w:vAlign w:val="bottom"/>
            <w:tcBorders>
              <w:bottom w:val="single" w:sz="8" w:color="auto"/>
            </w:tcBorders>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21,055</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Lease impairment expense and other related charges relate to closed locations that are no longer used in operations as a result of consolidation activities within the Company. During the three months ended March 31, 2021, the Company recorded $1.3 million in lease impairment expense and other related charges which is comprised of $0.5 million loss on lease exit and impairment charges and $0.8 million in closed location rent expense. During the three months ended March 31, 2020, the Company recorded $1.7 million in lease impairment expense and other related charges which is comprised of $0.5 million loss on lease exit and $1.2 million in closed location rent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Supplemental cash flow information related to leases for the three months ended March 31, 2021 and 2020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20" w:type="dxa"/>
            <w:vAlign w:val="bottom"/>
            <w:shd w:val="clear" w:color="auto" w:fill="1D2758"/>
          </w:tcPr>
          <w:p>
            <w:pPr>
              <w:spacing w:after="0"/>
              <w:rPr>
                <w:sz w:val="18"/>
                <w:szCs w:val="18"/>
                <w:color w:val="auto"/>
              </w:rPr>
            </w:pPr>
          </w:p>
        </w:tc>
        <w:tc>
          <w:tcPr>
            <w:tcW w:w="4000" w:type="dxa"/>
            <w:vAlign w:val="bottom"/>
            <w:gridSpan w:val="3"/>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672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Supplemental Cash Flow Information</w:t>
            </w:r>
          </w:p>
        </w:tc>
        <w:tc>
          <w:tcPr>
            <w:tcW w:w="520" w:type="dxa"/>
            <w:vAlign w:val="bottom"/>
            <w:shd w:val="clear" w:color="auto" w:fill="1D2758"/>
          </w:tcPr>
          <w:p>
            <w:pPr>
              <w:spacing w:after="0"/>
              <w:rPr>
                <w:sz w:val="18"/>
                <w:szCs w:val="18"/>
                <w:color w:val="auto"/>
              </w:rPr>
            </w:pPr>
          </w:p>
        </w:tc>
        <w:tc>
          <w:tcPr>
            <w:tcW w:w="1720" w:type="dxa"/>
            <w:vAlign w:val="bottom"/>
            <w:shd w:val="clear" w:color="auto" w:fill="1D2758"/>
          </w:tcPr>
          <w:p>
            <w:pPr>
              <w:jc w:val="right"/>
              <w:ind w:right="879"/>
              <w:spacing w:after="0"/>
              <w:rPr>
                <w:sz w:val="20"/>
                <w:szCs w:val="20"/>
                <w:color w:val="auto"/>
              </w:rPr>
            </w:pPr>
            <w:r>
              <w:rPr>
                <w:rFonts w:ascii="Arial" w:cs="Arial" w:eastAsia="Arial" w:hAnsi="Arial"/>
                <w:sz w:val="16"/>
                <w:szCs w:val="16"/>
                <w:b w:val="1"/>
                <w:bCs w:val="1"/>
                <w:color w:val="FFFFFF"/>
              </w:rPr>
              <w:t>2021</w:t>
            </w:r>
          </w:p>
        </w:tc>
        <w:tc>
          <w:tcPr>
            <w:tcW w:w="580" w:type="dxa"/>
            <w:vAlign w:val="bottom"/>
            <w:shd w:val="clear" w:color="auto" w:fill="1D2758"/>
          </w:tcPr>
          <w:p>
            <w:pPr>
              <w:spacing w:after="0"/>
              <w:rPr>
                <w:sz w:val="18"/>
                <w:szCs w:val="18"/>
                <w:color w:val="auto"/>
              </w:rPr>
            </w:pPr>
          </w:p>
        </w:tc>
        <w:tc>
          <w:tcPr>
            <w:tcW w:w="1700" w:type="dxa"/>
            <w:vAlign w:val="bottom"/>
            <w:shd w:val="clear" w:color="auto" w:fill="1D2758"/>
          </w:tcPr>
          <w:p>
            <w:pPr>
              <w:jc w:val="right"/>
              <w:ind w:right="83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paid for the amounts included in the measurement of lease liabilities:</w:t>
            </w:r>
          </w:p>
        </w:tc>
        <w:tc>
          <w:tcPr>
            <w:tcW w:w="520" w:type="dxa"/>
            <w:vAlign w:val="bottom"/>
            <w:shd w:val="clear" w:color="auto" w:fill="DBDBDB"/>
          </w:tcPr>
          <w:p>
            <w:pPr>
              <w:spacing w:after="0"/>
              <w:rPr>
                <w:sz w:val="18"/>
                <w:szCs w:val="18"/>
                <w:color w:val="auto"/>
              </w:rPr>
            </w:pPr>
          </w:p>
        </w:tc>
        <w:tc>
          <w:tcPr>
            <w:tcW w:w="17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r>
      <w:tr>
        <w:trPr>
          <w:trHeight w:val="213"/>
        </w:trPr>
        <w:tc>
          <w:tcPr>
            <w:tcW w:w="6720" w:type="dxa"/>
            <w:vAlign w:val="bottom"/>
          </w:tcPr>
          <w:p>
            <w:pPr>
              <w:ind w:left="140"/>
              <w:spacing w:after="0"/>
              <w:rPr>
                <w:sz w:val="20"/>
                <w:szCs w:val="20"/>
                <w:color w:val="auto"/>
              </w:rPr>
            </w:pPr>
            <w:r>
              <w:rPr>
                <w:rFonts w:ascii="Arial" w:cs="Arial" w:eastAsia="Arial" w:hAnsi="Arial"/>
                <w:sz w:val="16"/>
                <w:szCs w:val="16"/>
                <w:color w:val="auto"/>
              </w:rPr>
              <w:t>Operating cash outflows from operating leases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16,458</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10,108</w:t>
            </w:r>
          </w:p>
        </w:tc>
      </w:tr>
      <w:tr>
        <w:trPr>
          <w:trHeight w:val="219"/>
        </w:trPr>
        <w:tc>
          <w:tcPr>
            <w:tcW w:w="67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Financing cash outflows from finance leases</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4,320</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16"/>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Right of use assets obtained in exchange for lease obligations</w:t>
            </w:r>
          </w:p>
        </w:tc>
        <w:tc>
          <w:tcPr>
            <w:tcW w:w="520" w:type="dxa"/>
            <w:vAlign w:val="bottom"/>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10,878</w:t>
            </w:r>
          </w:p>
        </w:tc>
        <w:tc>
          <w:tcPr>
            <w:tcW w:w="5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13,270</w:t>
            </w:r>
          </w:p>
        </w:tc>
      </w:tr>
      <w:tr>
        <w:trPr>
          <w:trHeight w:val="210"/>
        </w:trPr>
        <w:tc>
          <w:tcPr>
            <w:tcW w:w="6720" w:type="dxa"/>
            <w:vAlign w:val="bottom"/>
          </w:tcPr>
          <w:p>
            <w:pPr>
              <w:ind w:left="20"/>
              <w:spacing w:after="0"/>
              <w:rPr>
                <w:sz w:val="20"/>
                <w:szCs w:val="20"/>
                <w:color w:val="auto"/>
              </w:rPr>
            </w:pPr>
            <w:r>
              <w:rPr>
                <w:rFonts w:ascii="Arial" w:cs="Arial" w:eastAsia="Arial" w:hAnsi="Arial"/>
                <w:sz w:val="16"/>
                <w:szCs w:val="16"/>
                <w:color w:val="auto"/>
              </w:rPr>
              <w:t>Assets obtained in exchange for finance leases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3,366</w:t>
            </w:r>
          </w:p>
        </w:tc>
        <w:tc>
          <w:tcPr>
            <w:tcW w:w="5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Weighted-average remaining operating lease terms and the weighted average discount rates as of March 31, 2021 and December 31,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Lease Terms and Discount Rates</w:t>
            </w:r>
          </w:p>
        </w:tc>
        <w:tc>
          <w:tcPr>
            <w:tcW w:w="2560" w:type="dxa"/>
            <w:vAlign w:val="bottom"/>
            <w:shd w:val="clear" w:color="auto" w:fill="1D2758"/>
          </w:tcPr>
          <w:p>
            <w:pPr>
              <w:jc w:val="right"/>
              <w:ind w:right="919"/>
              <w:spacing w:after="0"/>
              <w:rPr>
                <w:sz w:val="20"/>
                <w:szCs w:val="20"/>
                <w:color w:val="auto"/>
              </w:rPr>
            </w:pPr>
            <w:r>
              <w:rPr>
                <w:rFonts w:ascii="Arial" w:cs="Arial" w:eastAsia="Arial" w:hAnsi="Arial"/>
                <w:sz w:val="16"/>
                <w:szCs w:val="16"/>
                <w:b w:val="1"/>
                <w:bCs w:val="1"/>
                <w:color w:val="FFFFFF"/>
              </w:rPr>
              <w:t>March 31, 2021</w:t>
            </w:r>
          </w:p>
        </w:tc>
        <w:tc>
          <w:tcPr>
            <w:tcW w:w="234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December 31, 2020</w:t>
            </w:r>
          </w:p>
        </w:tc>
      </w:tr>
      <w:tr>
        <w:trPr>
          <w:trHeight w:val="216"/>
        </w:trPr>
        <w:tc>
          <w:tcPr>
            <w:tcW w:w="6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 operating leases</w:t>
            </w:r>
          </w:p>
        </w:tc>
        <w:tc>
          <w:tcPr>
            <w:tcW w:w="256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6.3 years</w:t>
            </w:r>
          </w:p>
        </w:tc>
        <w:tc>
          <w:tcPr>
            <w:tcW w:w="2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 years</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Weighted-average discount rate - operating leases</w:t>
            </w:r>
          </w:p>
        </w:tc>
        <w:tc>
          <w:tcPr>
            <w:tcW w:w="2560" w:type="dxa"/>
            <w:vAlign w:val="bottom"/>
          </w:tcPr>
          <w:p>
            <w:pPr>
              <w:jc w:val="right"/>
              <w:ind w:right="239"/>
              <w:spacing w:after="0"/>
              <w:rPr>
                <w:sz w:val="20"/>
                <w:szCs w:val="20"/>
                <w:color w:val="auto"/>
              </w:rPr>
            </w:pPr>
            <w:r>
              <w:rPr>
                <w:rFonts w:ascii="Arial" w:cs="Arial" w:eastAsia="Arial" w:hAnsi="Arial"/>
                <w:sz w:val="16"/>
                <w:szCs w:val="16"/>
                <w:color w:val="auto"/>
              </w:rPr>
              <w:t>5.6 %</w:t>
            </w:r>
          </w:p>
        </w:tc>
        <w:tc>
          <w:tcPr>
            <w:tcW w:w="234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9"/>
        </w:trPr>
        <w:tc>
          <w:tcPr>
            <w:tcW w:w="6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 finance leases</w:t>
            </w:r>
          </w:p>
        </w:tc>
        <w:tc>
          <w:tcPr>
            <w:tcW w:w="256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4.5 years</w:t>
            </w:r>
          </w:p>
        </w:tc>
        <w:tc>
          <w:tcPr>
            <w:tcW w:w="2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 years</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Weighted-average discount rate - finance leases</w:t>
            </w:r>
          </w:p>
        </w:tc>
        <w:tc>
          <w:tcPr>
            <w:tcW w:w="2560" w:type="dxa"/>
            <w:vAlign w:val="bottom"/>
          </w:tcPr>
          <w:p>
            <w:pPr>
              <w:jc w:val="right"/>
              <w:ind w:right="239"/>
              <w:spacing w:after="0"/>
              <w:rPr>
                <w:sz w:val="20"/>
                <w:szCs w:val="20"/>
                <w:color w:val="auto"/>
              </w:rPr>
            </w:pPr>
            <w:r>
              <w:rPr>
                <w:rFonts w:ascii="Arial" w:cs="Arial" w:eastAsia="Arial" w:hAnsi="Arial"/>
                <w:sz w:val="16"/>
                <w:szCs w:val="16"/>
                <w:color w:val="auto"/>
              </w:rPr>
              <w:t>2.9 %</w:t>
            </w:r>
          </w:p>
        </w:tc>
        <w:tc>
          <w:tcPr>
            <w:tcW w:w="234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11"/>
        </w:trPr>
        <w:tc>
          <w:tcPr>
            <w:tcW w:w="6340" w:type="dxa"/>
            <w:vAlign w:val="bottom"/>
          </w:tcPr>
          <w:p>
            <w:pPr>
              <w:ind w:left="660"/>
              <w:spacing w:after="0"/>
              <w:rPr>
                <w:sz w:val="20"/>
                <w:szCs w:val="20"/>
                <w:color w:val="auto"/>
              </w:rPr>
            </w:pPr>
            <w:r>
              <w:rPr>
                <w:rFonts w:ascii="Arial" w:cs="Arial" w:eastAsia="Arial" w:hAnsi="Arial"/>
                <w:sz w:val="16"/>
                <w:szCs w:val="16"/>
                <w:color w:val="auto"/>
              </w:rPr>
              <w:t>The Company presents information related to leasing revenues in Note 3.</w:t>
            </w:r>
          </w:p>
        </w:tc>
        <w:tc>
          <w:tcPr>
            <w:tcW w:w="256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3"/>
          <w:szCs w:val="23"/>
          <w:color w:val="1D2758"/>
        </w:rPr>
        <w:t>NOTE 5 - Inventories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4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March 31, 2021</w:t>
            </w:r>
          </w:p>
        </w:tc>
        <w:tc>
          <w:tcPr>
            <w:tcW w:w="62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320" w:type="dxa"/>
            <w:vAlign w:val="bottom"/>
            <w:shd w:val="clear" w:color="auto" w:fill="1D2758"/>
          </w:tcPr>
          <w:p>
            <w:pPr>
              <w:spacing w:after="0"/>
              <w:rPr>
                <w:sz w:val="20"/>
                <w:szCs w:val="20"/>
                <w:color w:val="auto"/>
              </w:rPr>
            </w:pPr>
          </w:p>
        </w:tc>
        <w:tc>
          <w:tcPr>
            <w:tcW w:w="2160" w:type="dxa"/>
            <w:vAlign w:val="bottom"/>
            <w:vMerge w:val="restart"/>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December 31, 2020</w:t>
            </w:r>
          </w:p>
        </w:tc>
        <w:tc>
          <w:tcPr>
            <w:tcW w:w="0" w:type="dxa"/>
            <w:vAlign w:val="bottom"/>
          </w:tcPr>
          <w:p>
            <w:pPr>
              <w:spacing w:after="0"/>
              <w:rPr>
                <w:sz w:val="1"/>
                <w:szCs w:val="1"/>
                <w:color w:val="auto"/>
              </w:rPr>
            </w:pPr>
          </w:p>
        </w:tc>
      </w:tr>
      <w:tr>
        <w:trPr>
          <w:trHeight w:val="76"/>
        </w:trPr>
        <w:tc>
          <w:tcPr>
            <w:tcW w:w="6220" w:type="dxa"/>
            <w:vAlign w:val="bottom"/>
            <w:shd w:val="clear" w:color="auto" w:fill="1D2758"/>
          </w:tcPr>
          <w:p>
            <w:pPr>
              <w:spacing w:after="0"/>
              <w:rPr>
                <w:sz w:val="6"/>
                <w:szCs w:val="6"/>
                <w:color w:val="auto"/>
              </w:rPr>
            </w:pPr>
          </w:p>
        </w:tc>
        <w:tc>
          <w:tcPr>
            <w:tcW w:w="1840" w:type="dxa"/>
            <w:vAlign w:val="bottom"/>
            <w:vMerge w:val="continue"/>
            <w:shd w:val="clear" w:color="auto" w:fill="1D2758"/>
          </w:tcPr>
          <w:p>
            <w:pPr>
              <w:spacing w:after="0"/>
              <w:rPr>
                <w:sz w:val="6"/>
                <w:szCs w:val="6"/>
                <w:color w:val="auto"/>
              </w:rPr>
            </w:pPr>
          </w:p>
        </w:tc>
        <w:tc>
          <w:tcPr>
            <w:tcW w:w="62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320" w:type="dxa"/>
            <w:vAlign w:val="bottom"/>
            <w:shd w:val="clear" w:color="auto" w:fill="1D2758"/>
          </w:tcPr>
          <w:p>
            <w:pPr>
              <w:spacing w:after="0"/>
              <w:rPr>
                <w:sz w:val="6"/>
                <w:szCs w:val="6"/>
                <w:color w:val="auto"/>
              </w:rPr>
            </w:pPr>
          </w:p>
        </w:tc>
        <w:tc>
          <w:tcPr>
            <w:tcW w:w="2160" w:type="dxa"/>
            <w:vAlign w:val="bottom"/>
            <w:vMerge w:val="continue"/>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1840" w:type="dxa"/>
            <w:vAlign w:val="bottom"/>
            <w:shd w:val="clear" w:color="auto" w:fill="DBDBDB"/>
          </w:tcPr>
          <w:p>
            <w:pPr>
              <w:jc w:val="right"/>
              <w:ind w:right="16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21,665</w:t>
            </w:r>
          </w:p>
        </w:tc>
        <w:tc>
          <w:tcPr>
            <w:tcW w:w="8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19,560</w:t>
            </w:r>
          </w:p>
        </w:tc>
        <w:tc>
          <w:tcPr>
            <w:tcW w:w="0" w:type="dxa"/>
            <w:vAlign w:val="bottom"/>
          </w:tcPr>
          <w:p>
            <w:pPr>
              <w:spacing w:after="0"/>
              <w:rPr>
                <w:sz w:val="1"/>
                <w:szCs w:val="1"/>
                <w:color w:val="auto"/>
              </w:rPr>
            </w:pPr>
          </w:p>
        </w:tc>
      </w:tr>
      <w:tr>
        <w:trPr>
          <w:trHeight w:val="213"/>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Finished units</w:t>
            </w: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37"/>
        </w:trPr>
        <w:tc>
          <w:tcPr>
            <w:tcW w:w="62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Inventories</w:t>
            </w:r>
          </w:p>
        </w:tc>
        <w:tc>
          <w:tcPr>
            <w:tcW w:w="1840" w:type="dxa"/>
            <w:vAlign w:val="bottom"/>
            <w:tcBorders>
              <w:bottom w:val="single" w:sz="8" w:color="auto"/>
            </w:tcBorders>
            <w:shd w:val="clear" w:color="auto" w:fill="DBDBDB"/>
          </w:tcPr>
          <w:p>
            <w:pPr>
              <w:jc w:val="right"/>
              <w:ind w:right="16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24,132</w:t>
            </w:r>
          </w:p>
        </w:tc>
        <w:tc>
          <w:tcPr>
            <w:tcW w:w="8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21,655</w:t>
            </w:r>
          </w:p>
        </w:tc>
        <w:tc>
          <w:tcPr>
            <w:tcW w:w="0" w:type="dxa"/>
            <w:vAlign w:val="bottom"/>
          </w:tcPr>
          <w:p>
            <w:pPr>
              <w:spacing w:after="0"/>
              <w:rPr>
                <w:sz w:val="1"/>
                <w:szCs w:val="1"/>
                <w:color w:val="auto"/>
              </w:rPr>
            </w:pP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NOTE 6 - Rental Equipment, net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ectPr>
          <w:pgSz w:w="11900" w:h="16838" w:orient="portrait"/>
          <w:cols w:equalWidth="0" w:num="1">
            <w:col w:w="11240"/>
          </w:cols>
          <w:pgMar w:left="320" w:top="1113" w:right="339" w:bottom="1440" w:gutter="0" w:footer="0" w:header="0"/>
        </w:sectPr>
      </w:pP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Modular space units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Portable storage units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Tank and pump products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Value added products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2120" w:type="dxa"/>
            <w:vAlign w:val="bottom"/>
          </w:tcPr>
          <w:p>
            <w:pPr>
              <w:jc w:val="right"/>
              <w:ind w:right="599"/>
              <w:spacing w:after="0"/>
              <w:rPr>
                <w:sz w:val="20"/>
                <w:szCs w:val="20"/>
                <w:color w:val="auto"/>
              </w:rPr>
            </w:pPr>
            <w:r>
              <w:rPr>
                <w:rFonts w:ascii="Arial" w:cs="Arial" w:eastAsia="Arial" w:hAnsi="Arial"/>
                <w:sz w:val="16"/>
                <w:szCs w:val="16"/>
                <w:b w:val="1"/>
                <w:bCs w:val="1"/>
                <w:color w:val="FFFFFF"/>
              </w:rPr>
              <w:t>March 31, 2021</w:t>
            </w:r>
          </w:p>
        </w:tc>
        <w:tc>
          <w:tcPr>
            <w:tcW w:w="380" w:type="dxa"/>
            <w:vAlign w:val="bottom"/>
          </w:tcPr>
          <w:p>
            <w:pPr>
              <w:spacing w:after="0"/>
              <w:rPr>
                <w:sz w:val="18"/>
                <w:szCs w:val="18"/>
                <w:color w:val="auto"/>
              </w:rPr>
            </w:pP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FFFFFF"/>
              </w:rPr>
              <w:t>December 31, 2020</w:t>
            </w:r>
          </w:p>
        </w:tc>
      </w:tr>
      <w:tr>
        <w:trPr>
          <w:trHeight w:val="216"/>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2,556,286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2,520,704</w:t>
            </w:r>
          </w:p>
        </w:tc>
      </w:tr>
      <w:tr>
        <w:trPr>
          <w:trHeight w:val="216"/>
        </w:trPr>
        <w:tc>
          <w:tcPr>
            <w:tcW w:w="360" w:type="dxa"/>
            <w:vAlign w:val="bottom"/>
          </w:tcPr>
          <w:p>
            <w:pPr>
              <w:spacing w:after="0"/>
              <w:rPr>
                <w:sz w:val="18"/>
                <w:szCs w:val="18"/>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940,653</w:t>
            </w:r>
          </w:p>
        </w:tc>
        <w:tc>
          <w:tcPr>
            <w:tcW w:w="3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931,363</w:t>
            </w:r>
          </w:p>
        </w:tc>
      </w:tr>
      <w:tr>
        <w:trPr>
          <w:trHeight w:val="216"/>
        </w:trPr>
        <w:tc>
          <w:tcPr>
            <w:tcW w:w="360" w:type="dxa"/>
            <w:vAlign w:val="bottom"/>
          </w:tcPr>
          <w:p>
            <w:pPr>
              <w:spacing w:after="0"/>
              <w:rPr>
                <w:sz w:val="18"/>
                <w:szCs w:val="18"/>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134,445</w:t>
            </w:r>
          </w:p>
        </w:tc>
        <w:tc>
          <w:tcPr>
            <w:tcW w:w="3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132,071</w:t>
            </w:r>
          </w:p>
        </w:tc>
      </w:tr>
      <w:tr>
        <w:trPr>
          <w:trHeight w:val="216"/>
        </w:trPr>
        <w:tc>
          <w:tcPr>
            <w:tcW w:w="360" w:type="dxa"/>
            <w:vAlign w:val="bottom"/>
          </w:tcPr>
          <w:p>
            <w:pPr>
              <w:spacing w:after="0"/>
              <w:rPr>
                <w:sz w:val="18"/>
                <w:szCs w:val="18"/>
                <w:color w:val="auto"/>
              </w:rPr>
            </w:pPr>
          </w:p>
        </w:tc>
        <w:tc>
          <w:tcPr>
            <w:tcW w:w="2120" w:type="dxa"/>
            <w:vAlign w:val="bottom"/>
          </w:tcPr>
          <w:p>
            <w:pPr>
              <w:jc w:val="right"/>
              <w:ind w:right="19"/>
              <w:spacing w:after="0"/>
              <w:rPr>
                <w:sz w:val="20"/>
                <w:szCs w:val="20"/>
                <w:color w:val="auto"/>
              </w:rPr>
            </w:pPr>
            <w:r>
              <w:rPr>
                <w:rFonts w:ascii="Arial" w:cs="Arial" w:eastAsia="Arial" w:hAnsi="Arial"/>
                <w:sz w:val="16"/>
                <w:szCs w:val="16"/>
                <w:color w:val="auto"/>
              </w:rPr>
              <w:t>148,135</w:t>
            </w:r>
          </w:p>
        </w:tc>
        <w:tc>
          <w:tcPr>
            <w:tcW w:w="3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143,652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-741045</wp:posOffset>
            </wp:positionV>
            <wp:extent cx="7132320" cy="334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-269875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00" w:space="720"/>
            <w:col w:w="5020"/>
          </w:cols>
          <w:pgMar w:left="320" w:top="1113"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20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 rental equipment</w:t>
            </w:r>
          </w:p>
        </w:tc>
        <w:tc>
          <w:tcPr>
            <w:tcW w:w="900" w:type="dxa"/>
            <w:vAlign w:val="bottom"/>
            <w:tcBorders>
              <w:top w:val="single" w:sz="8" w:color="auto"/>
            </w:tcBorders>
            <w:shd w:val="clear" w:color="auto" w:fill="DBDBDB"/>
          </w:tcPr>
          <w:p>
            <w:pPr>
              <w:spacing w:after="0"/>
              <w:rPr>
                <w:sz w:val="18"/>
                <w:szCs w:val="18"/>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3,779,519</w:t>
            </w:r>
          </w:p>
        </w:tc>
        <w:tc>
          <w:tcPr>
            <w:tcW w:w="80" w:type="dxa"/>
            <w:vAlign w:val="bottom"/>
            <w:tcBorders>
              <w:top w:val="single" w:sz="8" w:color="DBDBDB"/>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3,727,790</w:t>
            </w:r>
          </w:p>
        </w:tc>
      </w:tr>
      <w:tr>
        <w:trPr>
          <w:trHeight w:val="213"/>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(850,837)</w:t>
            </w:r>
          </w:p>
        </w:tc>
        <w:tc>
          <w:tcPr>
            <w:tcW w:w="80" w:type="dxa"/>
            <w:vAlign w:val="bottom"/>
            <w:tcBorders>
              <w:bottom w:val="single" w:sz="8" w:color="DBDBDB"/>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(794,068)</w:t>
            </w:r>
          </w:p>
        </w:tc>
      </w:tr>
      <w:tr>
        <w:trPr>
          <w:trHeight w:val="235"/>
        </w:trPr>
        <w:tc>
          <w:tcPr>
            <w:tcW w:w="62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Rental equipment, net</w:t>
            </w:r>
          </w:p>
        </w:tc>
        <w:tc>
          <w:tcPr>
            <w:tcW w:w="90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2,928,682</w:t>
            </w:r>
          </w:p>
        </w:tc>
        <w:tc>
          <w:tcPr>
            <w:tcW w:w="80" w:type="dxa"/>
            <w:vAlign w:val="bottom"/>
            <w:tcBorders>
              <w:bottom w:val="single" w:sz="8" w:color="DBDBDB"/>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2,933,722</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r>
      <w:tr>
        <w:trPr>
          <w:trHeight w:val="1469"/>
        </w:trPr>
        <w:tc>
          <w:tcPr>
            <w:tcW w:w="6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3"/>
          <w:szCs w:val="23"/>
          <w:color w:val="1D2758"/>
        </w:rPr>
        <w:t>NOTE 7 - Goodwill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60" w:type="dxa"/>
            <w:vAlign w:val="bottom"/>
          </w:tcPr>
          <w:p>
            <w:pPr>
              <w:ind w:left="660"/>
              <w:spacing w:after="0"/>
              <w:rPr>
                <w:sz w:val="20"/>
                <w:szCs w:val="20"/>
                <w:color w:val="auto"/>
              </w:rPr>
            </w:pPr>
            <w:r>
              <w:rPr>
                <w:rFonts w:ascii="Arial" w:cs="Arial" w:eastAsia="Arial" w:hAnsi="Arial"/>
                <w:sz w:val="16"/>
                <w:szCs w:val="16"/>
                <w:color w:val="auto"/>
              </w:rPr>
              <w:t>Changes in the carrying amount of goodwill were as follows:</w:t>
            </w:r>
          </w:p>
        </w:tc>
        <w:tc>
          <w:tcPr>
            <w:tcW w:w="9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73"/>
        </w:trPr>
        <w:tc>
          <w:tcPr>
            <w:tcW w:w="8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16"/>
        </w:trPr>
        <w:tc>
          <w:tcPr>
            <w:tcW w:w="8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00" w:type="dxa"/>
            <w:vAlign w:val="bottom"/>
            <w:shd w:val="clear" w:color="auto" w:fill="1D2758"/>
          </w:tcPr>
          <w:p>
            <w:pPr>
              <w:spacing w:after="0"/>
              <w:rPr>
                <w:sz w:val="18"/>
                <w:szCs w:val="18"/>
                <w:color w:val="auto"/>
              </w:rPr>
            </w:pPr>
          </w:p>
        </w:tc>
        <w:tc>
          <w:tcPr>
            <w:tcW w:w="1580" w:type="dxa"/>
            <w:vAlign w:val="bottom"/>
            <w:shd w:val="clear" w:color="auto" w:fill="1D2758"/>
          </w:tcPr>
          <w:p>
            <w:pPr>
              <w:spacing w:after="0"/>
              <w:rPr>
                <w:sz w:val="18"/>
                <w:szCs w:val="18"/>
                <w:color w:val="auto"/>
              </w:rPr>
            </w:pPr>
          </w:p>
        </w:tc>
      </w:tr>
      <w:tr>
        <w:trPr>
          <w:trHeight w:val="216"/>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2019</w:t>
            </w:r>
          </w:p>
        </w:tc>
        <w:tc>
          <w:tcPr>
            <w:tcW w:w="900" w:type="dxa"/>
            <w:vAlign w:val="bottom"/>
            <w:shd w:val="clear" w:color="auto" w:fill="DBDBDB"/>
          </w:tcPr>
          <w:p>
            <w:pPr>
              <w:jc w:val="right"/>
              <w:ind w:right="6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235,177</w:t>
            </w:r>
          </w:p>
        </w:tc>
      </w:tr>
      <w:tr>
        <w:trPr>
          <w:trHeight w:val="213"/>
        </w:trPr>
        <w:tc>
          <w:tcPr>
            <w:tcW w:w="8760" w:type="dxa"/>
            <w:vAlign w:val="bottom"/>
          </w:tcPr>
          <w:p>
            <w:pPr>
              <w:ind w:left="240"/>
              <w:spacing w:after="0"/>
              <w:rPr>
                <w:sz w:val="20"/>
                <w:szCs w:val="20"/>
                <w:color w:val="auto"/>
              </w:rPr>
            </w:pPr>
            <w:r>
              <w:rPr>
                <w:rFonts w:ascii="Arial" w:cs="Arial" w:eastAsia="Arial" w:hAnsi="Arial"/>
                <w:sz w:val="16"/>
                <w:szCs w:val="16"/>
                <w:color w:val="auto"/>
              </w:rPr>
              <w:t>Acquisition of Mobile Mini</w:t>
            </w:r>
          </w:p>
        </w:tc>
        <w:tc>
          <w:tcPr>
            <w:tcW w:w="9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928,974</w:t>
            </w:r>
          </w:p>
        </w:tc>
      </w:tr>
      <w:tr>
        <w:trPr>
          <w:trHeight w:val="219"/>
        </w:trPr>
        <w:tc>
          <w:tcPr>
            <w:tcW w:w="8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Effects of movements in foreign exchange rates</w:t>
            </w:r>
          </w:p>
        </w:tc>
        <w:tc>
          <w:tcPr>
            <w:tcW w:w="900" w:type="dxa"/>
            <w:vAlign w:val="bottom"/>
            <w:tcBorders>
              <w:bottom w:val="single" w:sz="8" w:color="auto"/>
            </w:tcBorders>
            <w:shd w:val="clear" w:color="auto" w:fill="DBDBDB"/>
          </w:tcPr>
          <w:p>
            <w:pPr>
              <w:spacing w:after="0"/>
              <w:rPr>
                <w:sz w:val="19"/>
                <w:szCs w:val="19"/>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7,068</w:t>
            </w:r>
          </w:p>
        </w:tc>
      </w:tr>
      <w:tr>
        <w:trPr>
          <w:trHeight w:val="207"/>
        </w:trPr>
        <w:tc>
          <w:tcPr>
            <w:tcW w:w="876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9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1,171,219</w:t>
            </w:r>
          </w:p>
        </w:tc>
      </w:tr>
      <w:tr>
        <w:trPr>
          <w:trHeight w:val="219"/>
        </w:trPr>
        <w:tc>
          <w:tcPr>
            <w:tcW w:w="8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Changes to purchase accounting - Mobile Mini</w:t>
            </w:r>
          </w:p>
        </w:tc>
        <w:tc>
          <w:tcPr>
            <w:tcW w:w="9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7,199</w:t>
            </w:r>
          </w:p>
        </w:tc>
      </w:tr>
      <w:tr>
        <w:trPr>
          <w:trHeight w:val="213"/>
        </w:trPr>
        <w:tc>
          <w:tcPr>
            <w:tcW w:w="87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Effects of movements in foreign exchange rates</w:t>
            </w:r>
          </w:p>
        </w:tc>
        <w:tc>
          <w:tcPr>
            <w:tcW w:w="9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r>
      <w:tr>
        <w:trPr>
          <w:trHeight w:val="234"/>
        </w:trPr>
        <w:tc>
          <w:tcPr>
            <w:tcW w:w="8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 at March 31, 2021</w:t>
            </w:r>
          </w:p>
        </w:tc>
        <w:tc>
          <w:tcPr>
            <w:tcW w:w="90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1,179,421</w:t>
            </w:r>
          </w:p>
        </w:tc>
      </w:tr>
      <w:tr>
        <w:trPr>
          <w:trHeight w:val="20"/>
        </w:trPr>
        <w:tc>
          <w:tcPr>
            <w:tcW w:w="876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discussed further in Note 2, the Company acquired Mobile Mini on July 1, 2020. Goodwill was preliminarily allocated to the NA Modular, NA Storage, UK Storage and Tank and Pump segments, as defined in Note 18, in the amounts of $285.0 million, $491.8 million, $59.2 million and $100.2 million, respectively. The Company expects to finalize the valuation of the acquired net assets of Mobile Mini, including the final assignment of goodwill to reporting units, within the one-year measurement period from the date of acquisition. The Company expects any adjustments to goodwill for financial reporting to be non-deductible for income tax purposes.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no goodwill impairment during the three months ended March 31, 2021 or the year ended December 31, 2020.</w:t>
      </w:r>
    </w:p>
    <w:p>
      <w:pPr>
        <w:spacing w:after="0" w:line="358" w:lineRule="exact"/>
        <w:rPr>
          <w:sz w:val="20"/>
          <w:szCs w:val="20"/>
          <w:color w:val="auto"/>
        </w:rPr>
      </w:pPr>
    </w:p>
    <w:p>
      <w:pPr>
        <w:spacing w:after="0"/>
        <w:rPr>
          <w:sz w:val="20"/>
          <w:szCs w:val="20"/>
          <w:color w:val="auto"/>
        </w:rPr>
      </w:pPr>
      <w:r>
        <w:rPr>
          <w:rFonts w:ascii="Arial" w:cs="Arial" w:eastAsia="Arial" w:hAnsi="Arial"/>
          <w:sz w:val="23"/>
          <w:szCs w:val="23"/>
          <w:color w:val="1D2758"/>
        </w:rPr>
        <w:t>NOTE 8 - Intangibles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other than goodwill at the respective balance sheet dates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1D2758"/>
          </w:tcPr>
          <w:p>
            <w:pPr>
              <w:spacing w:after="0"/>
              <w:rPr>
                <w:sz w:val="18"/>
                <w:szCs w:val="18"/>
                <w:color w:val="auto"/>
              </w:rPr>
            </w:pPr>
          </w:p>
        </w:tc>
        <w:tc>
          <w:tcPr>
            <w:tcW w:w="154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3000" w:type="dxa"/>
            <w:vAlign w:val="bottom"/>
            <w:gridSpan w:val="5"/>
            <w:shd w:val="clear" w:color="auto" w:fill="1D2758"/>
          </w:tcPr>
          <w:p>
            <w:pPr>
              <w:jc w:val="center"/>
              <w:ind w:right="200"/>
              <w:spacing w:after="0"/>
              <w:rPr>
                <w:sz w:val="20"/>
                <w:szCs w:val="20"/>
                <w:color w:val="auto"/>
              </w:rPr>
            </w:pPr>
            <w:r>
              <w:rPr>
                <w:rFonts w:ascii="Arial" w:cs="Arial" w:eastAsia="Arial" w:hAnsi="Arial"/>
                <w:sz w:val="16"/>
                <w:szCs w:val="16"/>
                <w:b w:val="1"/>
                <w:bCs w:val="1"/>
                <w:color w:val="FFFFFF"/>
              </w:rPr>
              <w:t>March 31, 2021</w:t>
            </w:r>
          </w:p>
        </w:tc>
        <w:tc>
          <w:tcPr>
            <w:tcW w:w="140" w:type="dxa"/>
            <w:vAlign w:val="bottom"/>
            <w:shd w:val="clear" w:color="auto" w:fill="1D2758"/>
          </w:tcPr>
          <w:p>
            <w:pPr>
              <w:spacing w:after="0"/>
              <w:rPr>
                <w:sz w:val="18"/>
                <w:szCs w:val="18"/>
                <w:color w:val="auto"/>
              </w:rPr>
            </w:pPr>
          </w:p>
        </w:tc>
        <w:tc>
          <w:tcPr>
            <w:tcW w:w="13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8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1D2758"/>
          </w:tcPr>
          <w:p>
            <w:pPr>
              <w:spacing w:after="0"/>
              <w:rPr>
                <w:sz w:val="14"/>
                <w:szCs w:val="14"/>
                <w:color w:val="auto"/>
              </w:rPr>
            </w:pPr>
          </w:p>
        </w:tc>
        <w:tc>
          <w:tcPr>
            <w:tcW w:w="142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1D2758"/>
          </w:tcPr>
          <w:p>
            <w:pPr>
              <w:spacing w:after="0"/>
              <w:rPr>
                <w:sz w:val="14"/>
                <w:szCs w:val="14"/>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4"/>
                <w:szCs w:val="14"/>
                <w:color w:val="auto"/>
              </w:rPr>
            </w:pPr>
          </w:p>
        </w:tc>
        <w:tc>
          <w:tcPr>
            <w:tcW w:w="1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remaining life (in</w:t>
            </w:r>
          </w:p>
        </w:tc>
        <w:tc>
          <w:tcPr>
            <w:tcW w:w="140" w:type="dxa"/>
            <w:vAlign w:val="bottom"/>
            <w:shd w:val="clear" w:color="auto" w:fill="1D2758"/>
          </w:tcPr>
          <w:p>
            <w:pPr>
              <w:spacing w:after="0"/>
              <w:rPr>
                <w:sz w:val="14"/>
                <w:szCs w:val="14"/>
                <w:color w:val="auto"/>
              </w:rPr>
            </w:pPr>
          </w:p>
        </w:tc>
        <w:tc>
          <w:tcPr>
            <w:tcW w:w="1420" w:type="dxa"/>
            <w:vAlign w:val="bottom"/>
            <w:gridSpan w:val="2"/>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00" w:type="dxa"/>
            <w:vAlign w:val="bottom"/>
            <w:gridSpan w:val="2"/>
            <w:vMerge w:val="continue"/>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4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080" w:type="dxa"/>
            <w:vAlign w:val="bottom"/>
            <w:vMerge w:val="continue"/>
            <w:shd w:val="clear" w:color="auto" w:fill="1D2758"/>
          </w:tcPr>
          <w:p>
            <w:pPr>
              <w:spacing w:after="0"/>
              <w:rPr>
                <w:sz w:val="18"/>
                <w:szCs w:val="18"/>
                <w:color w:val="auto"/>
              </w:rPr>
            </w:pPr>
          </w:p>
        </w:tc>
        <w:tc>
          <w:tcPr>
            <w:tcW w:w="154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1D2758"/>
          </w:tcPr>
          <w:p>
            <w:pPr>
              <w:spacing w:after="0"/>
              <w:rPr>
                <w:sz w:val="18"/>
                <w:szCs w:val="18"/>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Trade name - ModSpace</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0.4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(2,625)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Mobile Mini customer relationships</w:t>
            </w:r>
          </w:p>
        </w:tc>
        <w:tc>
          <w:tcPr>
            <w:tcW w:w="154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7.3</w:t>
            </w: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209,000</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(18,488)</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190,512</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Technology</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Trade name - Mobile Mini</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164,000</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Trade name - WillScot</w:t>
            </w:r>
          </w:p>
        </w:tc>
        <w:tc>
          <w:tcPr>
            <w:tcW w:w="15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502,500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481,199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gridSpan w:val="5"/>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1D2758"/>
          </w:tcPr>
          <w:p>
            <w:pPr>
              <w:spacing w:after="0"/>
              <w:rPr>
                <w:sz w:val="18"/>
                <w:szCs w:val="18"/>
                <w:color w:val="auto"/>
              </w:rPr>
            </w:pPr>
          </w:p>
        </w:tc>
        <w:tc>
          <w:tcPr>
            <w:tcW w:w="154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3000" w:type="dxa"/>
            <w:vAlign w:val="bottom"/>
            <w:gridSpan w:val="5"/>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December 31, 2020</w:t>
            </w:r>
          </w:p>
        </w:tc>
        <w:tc>
          <w:tcPr>
            <w:tcW w:w="140" w:type="dxa"/>
            <w:vAlign w:val="bottom"/>
            <w:shd w:val="clear" w:color="auto" w:fill="1D2758"/>
          </w:tcPr>
          <w:p>
            <w:pPr>
              <w:spacing w:after="0"/>
              <w:rPr>
                <w:sz w:val="18"/>
                <w:szCs w:val="18"/>
                <w:color w:val="auto"/>
              </w:rPr>
            </w:pPr>
          </w:p>
        </w:tc>
        <w:tc>
          <w:tcPr>
            <w:tcW w:w="134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80" w:type="dxa"/>
            <w:vAlign w:val="bottom"/>
            <w:shd w:val="clear" w:color="auto" w:fill="1D2758"/>
          </w:tcPr>
          <w:p>
            <w:pPr>
              <w:spacing w:after="0"/>
              <w:rPr>
                <w:sz w:val="14"/>
                <w:szCs w:val="14"/>
                <w:color w:val="auto"/>
              </w:rPr>
            </w:pPr>
          </w:p>
        </w:tc>
        <w:tc>
          <w:tcPr>
            <w:tcW w:w="1540" w:type="dxa"/>
            <w:vAlign w:val="bottom"/>
            <w:shd w:val="clear" w:color="auto" w:fill="1D2758"/>
          </w:tcPr>
          <w:p>
            <w:pPr>
              <w:jc w:val="center"/>
              <w:ind w:right="19"/>
              <w:spacing w:after="0" w:line="164" w:lineRule="exact"/>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1D2758"/>
          </w:tcPr>
          <w:p>
            <w:pPr>
              <w:spacing w:after="0"/>
              <w:rPr>
                <w:sz w:val="14"/>
                <w:szCs w:val="14"/>
                <w:color w:val="auto"/>
              </w:rPr>
            </w:pPr>
          </w:p>
        </w:tc>
        <w:tc>
          <w:tcPr>
            <w:tcW w:w="142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1D2758"/>
          </w:tcPr>
          <w:p>
            <w:pPr>
              <w:spacing w:after="0"/>
              <w:rPr>
                <w:sz w:val="14"/>
                <w:szCs w:val="14"/>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1D2758"/>
          </w:tcPr>
          <w:p>
            <w:pPr>
              <w:spacing w:after="0"/>
              <w:rPr>
                <w:sz w:val="14"/>
                <w:szCs w:val="14"/>
                <w:color w:val="auto"/>
              </w:rPr>
            </w:pPr>
          </w:p>
        </w:tc>
        <w:tc>
          <w:tcPr>
            <w:tcW w:w="134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40" w:type="dxa"/>
            <w:vAlign w:val="bottom"/>
            <w:shd w:val="clear" w:color="auto" w:fill="1D2758"/>
          </w:tcPr>
          <w:p>
            <w:pPr>
              <w:jc w:val="center"/>
              <w:ind w:right="19"/>
              <w:spacing w:after="0" w:line="162" w:lineRule="exact"/>
              <w:rPr>
                <w:sz w:val="20"/>
                <w:szCs w:val="20"/>
                <w:color w:val="auto"/>
              </w:rPr>
            </w:pPr>
            <w:r>
              <w:rPr>
                <w:rFonts w:ascii="Arial" w:cs="Arial" w:eastAsia="Arial" w:hAnsi="Arial"/>
                <w:sz w:val="16"/>
                <w:szCs w:val="16"/>
                <w:b w:val="1"/>
                <w:bCs w:val="1"/>
                <w:color w:val="FFFFFF"/>
                <w:w w:val="99"/>
              </w:rPr>
              <w:t>remaining life (in</w:t>
            </w:r>
          </w:p>
        </w:tc>
        <w:tc>
          <w:tcPr>
            <w:tcW w:w="140" w:type="dxa"/>
            <w:vAlign w:val="bottom"/>
            <w:shd w:val="clear" w:color="auto" w:fill="1D2758"/>
          </w:tcPr>
          <w:p>
            <w:pPr>
              <w:spacing w:after="0"/>
              <w:rPr>
                <w:sz w:val="14"/>
                <w:szCs w:val="14"/>
                <w:color w:val="auto"/>
              </w:rPr>
            </w:pPr>
          </w:p>
        </w:tc>
        <w:tc>
          <w:tcPr>
            <w:tcW w:w="1420" w:type="dxa"/>
            <w:vAlign w:val="bottom"/>
            <w:gridSpan w:val="2"/>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400" w:type="dxa"/>
            <w:vAlign w:val="bottom"/>
            <w:gridSpan w:val="2"/>
            <w:vMerge w:val="continue"/>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340" w:type="dxa"/>
            <w:vAlign w:val="bottom"/>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Net book value</w:t>
            </w:r>
          </w:p>
        </w:tc>
        <w:tc>
          <w:tcPr>
            <w:tcW w:w="0" w:type="dxa"/>
            <w:vAlign w:val="bottom"/>
          </w:tcPr>
          <w:p>
            <w:pPr>
              <w:spacing w:after="0"/>
              <w:rPr>
                <w:sz w:val="1"/>
                <w:szCs w:val="1"/>
                <w:color w:val="auto"/>
              </w:rPr>
            </w:pPr>
          </w:p>
        </w:tc>
      </w:tr>
      <w:tr>
        <w:trPr>
          <w:trHeight w:val="216"/>
        </w:trPr>
        <w:tc>
          <w:tcPr>
            <w:tcW w:w="5080" w:type="dxa"/>
            <w:vAlign w:val="bottom"/>
            <w:vMerge w:val="continue"/>
            <w:shd w:val="clear" w:color="auto" w:fill="1D2758"/>
          </w:tcPr>
          <w:p>
            <w:pPr>
              <w:spacing w:after="0"/>
              <w:rPr>
                <w:sz w:val="18"/>
                <w:szCs w:val="18"/>
                <w:color w:val="auto"/>
              </w:rPr>
            </w:pPr>
          </w:p>
        </w:tc>
        <w:tc>
          <w:tcPr>
            <w:tcW w:w="1540" w:type="dxa"/>
            <w:vAlign w:val="bottom"/>
            <w:shd w:val="clear" w:color="auto" w:fill="1D2758"/>
          </w:tcPr>
          <w:p>
            <w:pPr>
              <w:jc w:val="center"/>
              <w:ind w:right="1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1D2758"/>
          </w:tcPr>
          <w:p>
            <w:pPr>
              <w:spacing w:after="0"/>
              <w:rPr>
                <w:sz w:val="18"/>
                <w:szCs w:val="18"/>
                <w:color w:val="auto"/>
              </w:rPr>
            </w:pPr>
          </w:p>
        </w:tc>
        <w:tc>
          <w:tcPr>
            <w:tcW w:w="1420" w:type="dxa"/>
            <w:vAlign w:val="bottom"/>
            <w:gridSpan w:val="2"/>
            <w:shd w:val="clear" w:color="auto" w:fill="1D2758"/>
          </w:tcPr>
          <w:p>
            <w:pPr>
              <w:jc w:val="center"/>
              <w:ind w:right="220"/>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1D2758"/>
          </w:tcPr>
          <w:p>
            <w:pPr>
              <w:spacing w:after="0"/>
              <w:rPr>
                <w:sz w:val="18"/>
                <w:szCs w:val="18"/>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1D2758"/>
          </w:tcPr>
          <w:p>
            <w:pPr>
              <w:spacing w:after="0"/>
              <w:rPr>
                <w:sz w:val="18"/>
                <w:szCs w:val="18"/>
                <w:color w:val="auto"/>
              </w:rPr>
            </w:pPr>
          </w:p>
        </w:tc>
        <w:tc>
          <w:tcPr>
            <w:tcW w:w="13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 subject to amortization:</w:t>
            </w:r>
          </w:p>
        </w:tc>
        <w:tc>
          <w:tcPr>
            <w:tcW w:w="15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Trade name - ModSpace</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0.7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Mobile Mini customer relationships</w:t>
            </w:r>
          </w:p>
        </w:tc>
        <w:tc>
          <w:tcPr>
            <w:tcW w:w="154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8.0</w:t>
            </w: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217,000</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(12,053)</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204,947</w:t>
            </w: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Technology</w:t>
            </w:r>
          </w:p>
        </w:tc>
        <w:tc>
          <w:tcPr>
            <w:tcW w:w="1540" w:type="dxa"/>
            <w:vAlign w:val="bottom"/>
          </w:tcPr>
          <w:p>
            <w:pPr>
              <w:jc w:val="center"/>
              <w:ind w:right="19"/>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5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40"/>
              <w:spacing w:after="0"/>
              <w:rPr>
                <w:sz w:val="20"/>
                <w:szCs w:val="20"/>
                <w:color w:val="auto"/>
              </w:rPr>
            </w:pPr>
            <w:r>
              <w:rPr>
                <w:rFonts w:ascii="Arial" w:cs="Arial" w:eastAsia="Arial" w:hAnsi="Arial"/>
                <w:sz w:val="16"/>
                <w:szCs w:val="16"/>
                <w:color w:val="auto"/>
              </w:rPr>
              <w:t>Trade name - Mobile Mini</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164,000</w:t>
            </w:r>
          </w:p>
        </w:tc>
        <w:tc>
          <w:tcPr>
            <w:tcW w:w="0" w:type="dxa"/>
            <w:vAlign w:val="bottom"/>
          </w:tcPr>
          <w:p>
            <w:pPr>
              <w:spacing w:after="0"/>
              <w:rPr>
                <w:sz w:val="1"/>
                <w:szCs w:val="1"/>
                <w:color w:val="auto"/>
              </w:rPr>
            </w:pPr>
          </w:p>
        </w:tc>
      </w:tr>
      <w:tr>
        <w:trPr>
          <w:trHeight w:val="233"/>
        </w:trPr>
        <w:tc>
          <w:tcPr>
            <w:tcW w:w="50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Trade name - WillScot</w:t>
            </w:r>
          </w:p>
        </w:tc>
        <w:tc>
          <w:tcPr>
            <w:tcW w:w="15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20"/>
                <w:szCs w:val="20"/>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color w:val="auto"/>
              </w:rPr>
              <w:t>Total intangible assets other than goodwill</w:t>
            </w:r>
          </w:p>
        </w:tc>
        <w:tc>
          <w:tcPr>
            <w:tcW w:w="15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510,500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(14,553)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495,947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in Note 2, the Company acquired Mobile Mini on July 1, 2020. The Company preliminarily recorded $164.0 million to indefinite-lived intangible assets and $210.5 million of intangibles subject to amortization related to Mobile Mini customer relationships and technology, respectively, in the NA Storage, UK Storage, and Tank and Pump segments.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6"/>
          <w:szCs w:val="16"/>
          <w:color w:val="auto"/>
        </w:rPr>
        <w:t>Company expects to finalize the valuation of the acquired net assets of Mobile Mini, including the related intangible assets, within the one-year measurement period from the date of acquisition. The Company expects any adjustments to intangible assets for financial reporting to be non-deductible for income tax purposes.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carrying value at March 31, 2021, future amortization of intangible assets is expected to be as follows for the years ended December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60" w:type="dxa"/>
            <w:vAlign w:val="bottom"/>
          </w:tcPr>
          <w:p>
            <w:pPr>
              <w:spacing w:after="0"/>
              <w:rPr>
                <w:sz w:val="20"/>
                <w:szCs w:val="20"/>
                <w:color w:val="auto"/>
              </w:rPr>
            </w:pPr>
            <w:r>
              <w:rPr>
                <w:rFonts w:ascii="Arial" w:cs="Arial" w:eastAsia="Arial" w:hAnsi="Arial"/>
                <w:sz w:val="16"/>
                <w:szCs w:val="16"/>
                <w:color w:val="auto"/>
              </w:rPr>
              <w:t>31:</w:t>
            </w: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73"/>
        </w:trPr>
        <w:tc>
          <w:tcPr>
            <w:tcW w:w="8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8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980" w:type="dxa"/>
            <w:vAlign w:val="bottom"/>
            <w:shd w:val="clear" w:color="auto" w:fill="1D2758"/>
          </w:tcPr>
          <w:p>
            <w:pPr>
              <w:spacing w:after="0"/>
              <w:rPr>
                <w:sz w:val="18"/>
                <w:szCs w:val="18"/>
                <w:color w:val="auto"/>
              </w:rPr>
            </w:pPr>
          </w:p>
        </w:tc>
        <w:tc>
          <w:tcPr>
            <w:tcW w:w="1500" w:type="dxa"/>
            <w:vAlign w:val="bottom"/>
            <w:shd w:val="clear" w:color="auto" w:fill="1D2758"/>
          </w:tcPr>
          <w:p>
            <w:pPr>
              <w:spacing w:after="0"/>
              <w:rPr>
                <w:sz w:val="18"/>
                <w:szCs w:val="18"/>
                <w:color w:val="auto"/>
              </w:rPr>
            </w:pP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2021 (remaining)</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26,791</w:t>
            </w:r>
          </w:p>
        </w:tc>
      </w:tr>
      <w:tr>
        <w:trPr>
          <w:trHeight w:val="219"/>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9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26,416</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2023</w:t>
            </w:r>
          </w:p>
        </w:tc>
        <w:tc>
          <w:tcPr>
            <w:tcW w:w="9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26,416</w:t>
            </w:r>
          </w:p>
        </w:tc>
      </w:tr>
      <w:tr>
        <w:trPr>
          <w:trHeight w:val="219"/>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98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26,416</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2025</w:t>
            </w:r>
          </w:p>
        </w:tc>
        <w:tc>
          <w:tcPr>
            <w:tcW w:w="9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26,416</w:t>
            </w:r>
          </w:p>
        </w:tc>
      </w:tr>
      <w:tr>
        <w:trPr>
          <w:trHeight w:val="216"/>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59,744</w:t>
            </w:r>
          </w:p>
        </w:tc>
      </w:tr>
      <w:tr>
        <w:trPr>
          <w:trHeight w:val="213"/>
        </w:trPr>
        <w:tc>
          <w:tcPr>
            <w:tcW w:w="8760" w:type="dxa"/>
            <w:vAlign w:val="bottom"/>
          </w:tcPr>
          <w:p>
            <w:pPr>
              <w:ind w:left="1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192,199</w:t>
            </w: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color w:val="1D2758"/>
        </w:rPr>
        <w:t>NOTE 9 - Debt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40" w:type="dxa"/>
            <w:vAlign w:val="bottom"/>
            <w:gridSpan w:val="6"/>
          </w:tcPr>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28"/>
        </w:trPr>
        <w:tc>
          <w:tcPr>
            <w:tcW w:w="36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16"/>
        </w:trPr>
        <w:tc>
          <w:tcPr>
            <w:tcW w:w="3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2180" w:type="dxa"/>
            <w:vAlign w:val="bottom"/>
            <w:shd w:val="clear" w:color="auto" w:fill="1D2758"/>
          </w:tcPr>
          <w:p>
            <w:pPr>
              <w:jc w:val="center"/>
              <w:ind w:left="499"/>
              <w:spacing w:after="0"/>
              <w:rPr>
                <w:sz w:val="20"/>
                <w:szCs w:val="20"/>
                <w:color w:val="auto"/>
              </w:rPr>
            </w:pPr>
            <w:r>
              <w:rPr>
                <w:rFonts w:ascii="Arial" w:cs="Arial" w:eastAsia="Arial" w:hAnsi="Arial"/>
                <w:sz w:val="16"/>
                <w:szCs w:val="16"/>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180" w:type="dxa"/>
            <w:vAlign w:val="bottom"/>
            <w:shd w:val="clear" w:color="auto" w:fill="1D2758"/>
          </w:tcPr>
          <w:p>
            <w:pPr>
              <w:spacing w:after="0"/>
              <w:rPr>
                <w:sz w:val="18"/>
                <w:szCs w:val="18"/>
                <w:color w:val="auto"/>
              </w:rPr>
            </w:pPr>
          </w:p>
        </w:tc>
        <w:tc>
          <w:tcPr>
            <w:tcW w:w="1600" w:type="dxa"/>
            <w:vAlign w:val="bottom"/>
            <w:gridSpan w:val="2"/>
            <w:shd w:val="clear" w:color="auto" w:fill="1D2758"/>
          </w:tcPr>
          <w:p>
            <w:pPr>
              <w:ind w:left="80"/>
              <w:spacing w:after="0"/>
              <w:rPr>
                <w:sz w:val="20"/>
                <w:szCs w:val="20"/>
                <w:color w:val="auto"/>
              </w:rPr>
            </w:pPr>
            <w:r>
              <w:rPr>
                <w:rFonts w:ascii="Arial" w:cs="Arial" w:eastAsia="Arial" w:hAnsi="Arial"/>
                <w:sz w:val="16"/>
                <w:szCs w:val="16"/>
                <w:b w:val="1"/>
                <w:bCs w:val="1"/>
                <w:color w:val="FFFFFF"/>
              </w:rPr>
              <w:t>March 31, 2021</w:t>
            </w: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w w:val="99"/>
              </w:rPr>
              <w:t>December 31, 2020</w:t>
            </w:r>
          </w:p>
        </w:tc>
      </w:tr>
      <w:tr>
        <w:trPr>
          <w:trHeight w:val="216"/>
        </w:trPr>
        <w:tc>
          <w:tcPr>
            <w:tcW w:w="3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 Secured Notes</w:t>
            </w:r>
          </w:p>
        </w:tc>
        <w:tc>
          <w:tcPr>
            <w:tcW w:w="218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573,930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637,068</w:t>
            </w:r>
          </w:p>
        </w:tc>
      </w:tr>
      <w:tr>
        <w:trPr>
          <w:trHeight w:val="216"/>
        </w:trPr>
        <w:tc>
          <w:tcPr>
            <w:tcW w:w="3680" w:type="dxa"/>
            <w:vAlign w:val="bottom"/>
          </w:tcPr>
          <w:p>
            <w:pPr>
              <w:ind w:left="20"/>
              <w:spacing w:after="0" w:line="216" w:lineRule="exact"/>
              <w:rPr>
                <w:sz w:val="20"/>
                <w:szCs w:val="20"/>
                <w:color w:val="auto"/>
              </w:rPr>
            </w:pPr>
            <w:r>
              <w:rPr>
                <w:rFonts w:ascii="Arial" w:cs="Arial" w:eastAsia="Arial" w:hAnsi="Arial"/>
                <w:sz w:val="16"/>
                <w:szCs w:val="16"/>
                <w:color w:val="auto"/>
              </w:rPr>
              <w:t>ABL Facility</w:t>
            </w:r>
            <w:r>
              <w:rPr>
                <w:rFonts w:ascii="Arial" w:cs="Arial" w:eastAsia="Arial" w:hAnsi="Arial"/>
                <w:sz w:val="21"/>
                <w:szCs w:val="21"/>
                <w:color w:val="auto"/>
                <w:vertAlign w:val="superscript"/>
              </w:rPr>
              <w:t>(a)</w:t>
            </w:r>
          </w:p>
        </w:tc>
        <w:tc>
          <w:tcPr>
            <w:tcW w:w="2180" w:type="dxa"/>
            <w:vAlign w:val="bottom"/>
          </w:tcPr>
          <w:p>
            <w:pPr>
              <w:jc w:val="center"/>
              <w:ind w:left="499"/>
              <w:spacing w:after="0"/>
              <w:rPr>
                <w:sz w:val="20"/>
                <w:szCs w:val="20"/>
                <w:color w:val="auto"/>
              </w:rPr>
            </w:pPr>
            <w:r>
              <w:rPr>
                <w:rFonts w:ascii="Arial" w:cs="Arial" w:eastAsia="Arial" w:hAnsi="Arial"/>
                <w:sz w:val="16"/>
                <w:szCs w:val="16"/>
                <w:color w:val="auto"/>
                <w:w w:val="96"/>
              </w:rPr>
              <w:t>Varies</w:t>
            </w:r>
          </w:p>
        </w:tc>
        <w:tc>
          <w:tcPr>
            <w:tcW w:w="1900" w:type="dxa"/>
            <w:vAlign w:val="bottom"/>
          </w:tcPr>
          <w:p>
            <w:pPr>
              <w:jc w:val="center"/>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1,326,988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1,263,833</w:t>
            </w:r>
          </w:p>
        </w:tc>
      </w:tr>
      <w:tr>
        <w:trPr>
          <w:trHeight w:val="216"/>
        </w:trPr>
        <w:tc>
          <w:tcPr>
            <w:tcW w:w="3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 Secured Notes</w:t>
            </w:r>
          </w:p>
        </w:tc>
        <w:tc>
          <w:tcPr>
            <w:tcW w:w="2180" w:type="dxa"/>
            <w:vAlign w:val="bottom"/>
            <w:shd w:val="clear" w:color="auto" w:fill="DBDBDB"/>
          </w:tcPr>
          <w:p>
            <w:pPr>
              <w:jc w:val="center"/>
              <w:ind w:left="499"/>
              <w:spacing w:after="0"/>
              <w:rPr>
                <w:sz w:val="20"/>
                <w:szCs w:val="20"/>
                <w:color w:val="auto"/>
              </w:rPr>
            </w:pPr>
            <w:r>
              <w:rPr>
                <w:rFonts w:ascii="Arial" w:cs="Arial" w:eastAsia="Arial" w:hAnsi="Arial"/>
                <w:sz w:val="16"/>
                <w:szCs w:val="16"/>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491,784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491,555</w:t>
            </w:r>
          </w:p>
        </w:tc>
      </w:tr>
      <w:tr>
        <w:trPr>
          <w:trHeight w:val="21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Finance Leases</w:t>
            </w:r>
          </w:p>
        </w:tc>
        <w:tc>
          <w:tcPr>
            <w:tcW w:w="2180" w:type="dxa"/>
            <w:vAlign w:val="bottom"/>
            <w:tcBorders>
              <w:bottom w:val="single" w:sz="8" w:color="DBDBDB"/>
            </w:tcBorders>
          </w:tcPr>
          <w:p>
            <w:pPr>
              <w:jc w:val="center"/>
              <w:ind w:left="499"/>
              <w:spacing w:after="0"/>
              <w:rPr>
                <w:sz w:val="20"/>
                <w:szCs w:val="20"/>
                <w:color w:val="auto"/>
              </w:rPr>
            </w:pPr>
            <w:r>
              <w:rPr>
                <w:rFonts w:ascii="Arial" w:cs="Arial" w:eastAsia="Arial" w:hAnsi="Arial"/>
                <w:sz w:val="16"/>
                <w:szCs w:val="16"/>
                <w:color w:val="auto"/>
                <w:w w:val="96"/>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6"/>
                <w:szCs w:val="16"/>
                <w:color w:val="auto"/>
                <w:w w:val="96"/>
              </w:rPr>
              <w:t>Varies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77,551</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77,874</w:t>
            </w:r>
          </w:p>
        </w:tc>
      </w:tr>
      <w:tr>
        <w:trPr>
          <w:trHeight w:val="213"/>
        </w:trPr>
        <w:tc>
          <w:tcPr>
            <w:tcW w:w="36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debt</w:t>
            </w:r>
          </w:p>
        </w:tc>
        <w:tc>
          <w:tcPr>
            <w:tcW w:w="218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2,470,253</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2,470,330</w:t>
            </w:r>
          </w:p>
        </w:tc>
      </w:tr>
      <w:tr>
        <w:trPr>
          <w:trHeight w:val="213"/>
        </w:trPr>
        <w:tc>
          <w:tcPr>
            <w:tcW w:w="36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2180" w:type="dxa"/>
            <w:vAlign w:val="bottom"/>
            <w:tcBorders>
              <w:bottom w:val="single" w:sz="8" w:color="DBDBDB"/>
            </w:tcBorders>
          </w:tcPr>
          <w:p>
            <w:pPr>
              <w:spacing w:after="0"/>
              <w:rPr>
                <w:sz w:val="18"/>
                <w:szCs w:val="18"/>
                <w:color w:val="auto"/>
              </w:rPr>
            </w:pPr>
          </w:p>
        </w:tc>
        <w:tc>
          <w:tcPr>
            <w:tcW w:w="19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16,229</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16,521</w:t>
            </w:r>
          </w:p>
        </w:tc>
      </w:tr>
      <w:tr>
        <w:trPr>
          <w:trHeight w:val="235"/>
        </w:trPr>
        <w:tc>
          <w:tcPr>
            <w:tcW w:w="36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Total long-term debt</w:t>
            </w:r>
          </w:p>
        </w:tc>
        <w:tc>
          <w:tcPr>
            <w:tcW w:w="218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2,454,024</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2,453,809</w:t>
            </w:r>
          </w:p>
        </w:tc>
      </w:tr>
      <w:tr>
        <w:trPr>
          <w:trHeight w:val="20"/>
        </w:trPr>
        <w:tc>
          <w:tcPr>
            <w:tcW w:w="3680" w:type="dxa"/>
            <w:vAlign w:val="bottom"/>
            <w:tcBorders>
              <w:top w:val="single" w:sz="8" w:color="DBDBDB"/>
            </w:tcBorders>
          </w:tcPr>
          <w:p>
            <w:pPr>
              <w:spacing w:after="0" w:line="20" w:lineRule="exact"/>
              <w:rPr>
                <w:sz w:val="1"/>
                <w:szCs w:val="1"/>
                <w:color w:val="auto"/>
              </w:rPr>
            </w:pPr>
          </w:p>
        </w:tc>
        <w:tc>
          <w:tcPr>
            <w:tcW w:w="218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8"/>
        <w:spacing w:after="0" w:line="249" w:lineRule="auto"/>
        <w:tabs>
          <w:tab w:leader="none" w:pos="225"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both March 31, 2021 and December 31, 2020, the Company had no outstanding principal borrowings on the Multicurrency Facility and $7.6 million and $7.9 million, respectively, of related debt issuance costs. No related debt issuance costs were recorded as a direct offset against the principal borrowings on the Multicurrency Facility, and the $7.6 million and $7.9 million in excess of principal was included in other non-current assets on the condensed consolidated balance sheets.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Backed Lending Facilities ("ABL Facility")</w:t>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Williams Scotsman Holdings Corp ("Holdings"), Williams Scotsman International, Inc. ("WSII") and certain of its subsidiaries entered into an ABL credit agreement (the “2017 ABL Facility”), as amended, that provided a senior secured revolving credit facility that matured on May 29, 2022. The 2017 ABL Facility consisted of (i) a $1.3 billion asset-backed revolving credit facility for WSII and certain of its domestic subsidiaries (the "2017 US ABL Facility"), (ii) a $140.0 million asset-based revolving credit facility (the "2017 Canadian ABL Facility") for certain Canadian subsidiaries of WSII, and (iii) an accordion feature that permitted the borrowers to increase the lenders’ commitments in an aggregate amount not to exceed $375.0 million, subject to the satisfaction of customary conditions and lender approval, plus any voluntary prepayments that are accompanied by permanent commitment reductions under the 2017 ABL Facility.</w:t>
      </w:r>
    </w:p>
    <w:p>
      <w:pPr>
        <w:spacing w:after="0" w:line="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the “2020 ABL Facility”), available to be drawn in US Dollars, Canadian Dollars, British Pounds Sterling or Euros by the US Borrowers, and certain of WSII’s wholly-owned subsidiaries organized in Canada and in the UK. On July 1, 2020, in connection with the completion of the Merger, approximately $1.5 billion of proceeds from the 2020 ABL Facility were used to repay the 2017 ABL Facility and the asset-backed lending facility assumed in the transaction with Mobile Mini, as well as to pay fees and expenses related to the Merger and the debt financing transactions. In connection with the repayment of the 2017 ABL facility, the Company wrote off $4.4 million of deferred financing costs to loss on extinguishment of debt in the third quarter of 2020. The 2020 ABL Facility matures July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18" w:name="page19"/>
    <w:bookmarkEnd w:id="18"/>
    <w:p>
      <w:pPr>
        <w:jc w:val="both"/>
        <w:ind w:firstLine="648"/>
        <w:spacing w:after="0" w:line="249" w:lineRule="auto"/>
        <w:rPr>
          <w:sz w:val="20"/>
          <w:szCs w:val="20"/>
          <w:color w:val="auto"/>
        </w:rPr>
      </w:pPr>
      <w:r>
        <w:rPr>
          <w:rFonts w:ascii="Arial" w:cs="Arial" w:eastAsia="Arial" w:hAnsi="Arial"/>
          <w:sz w:val="16"/>
          <w:szCs w:val="16"/>
          <w:color w:val="auto"/>
        </w:rPr>
        <w:t>Borrowings under the 2020 ABL Facility initially bear interest at (i) in the case of US Dollars, at WSII’s option, either an adjusted LIBOR rate plus 1.875% or an alternative base rate plus 0.875%, (ii) in the case of Canadian Dollars, at WSII’s option, either a Canadian BA rate plus 1.875% or Canadian prime rate plus 0.875%, and (iii) in the case of Euros and British Pounds Sterling, an adjusted LIBOR rate plus 1.875%. The 2020 ABL Facility requires the payment of an annual commitment fee on the unused available borrowings of 0.225% per annum. At March 31, 2021, the weighted average interest rate for borrowings under the 2020 ABL Facility was 1.99%. The weighted average interest rate on the balance outstanding as of March 31, 2021, as adjusted for the effects of the interest rate swap agreements was 2.85%. Refer to Note 16 for a more detailed discussion on interest rate management.</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 availability under the US Facility and the Multicurrency Facility is equal to the lesser of (i) the aggregate Revolver Commitments and (ii) the Line Cap. At March 31, 2021, the Line Cap was $2.4 billion and the Borrowers had $1.0 billion of available borrowing capacity under the 2020 ABL Facility, including $620.4 million under the US Facility and $400.0 million under the Multicurrency Facility. Borrowing capacity under the 2020 ABL Facility is made available for up to $205.9 million of letters of credit and up to $170.0 million of swingline loans. At March 31, 2021, letters of credit and bank guarantees carried fees of 2.00%. The Company had issued $14.1 million of standby letters of credit under the 2020 ABL Facility at March 31, 2021.</w:t>
      </w:r>
    </w:p>
    <w:p>
      <w:pPr>
        <w:spacing w:after="0" w:line="4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$1.4 billion outstanding principal under the 2020 ABL Facility at March 31, 2021. Debt issuance costs of $38.5 million were included in the carrying value of the 2020 ABL Facility at March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WSII had $270.0 million aggregate principal amount of 7.875% senior secured notes due December 15, 2022 (the “2022 Secured Notes”). In connection with the Merger and related financing transactions in the third quarter of 2020, using proceeds from the 2025 Secured Notes discussed below, the Company redeemed all of its 2022 Secured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WSII had $490.0 million of 6.875% senior secured notes due August 15, 2023 (the “2023 Secured Notes”). On August 11, 2020, WSII redeemed 10% of the outstanding principal amount of the 2023 Secured Notes, $49.0 million. On August 25, 2020, the Company completed a private offering of its 2028 Secured Notes, discussed below, and used the offering proceeds to repay, along with expenses, the $441.0 million outstanding principal amount of its 2023 Secured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anticipation of the Merger, on June 15, 2020, Picasso Finance Sub, Inc., a newly-formed indirect finance subsidiary (the “Finance Sub”) of the Company, completed a private offering of $650.0 million in aggregate principal amount of its 6.125% senior secured notes due 2025 (the “2025 Secured Notes”). Finance Sub was merged into WSII on July 1, 2020. The offering proceeds were used to repay the 2022 Secured Notes, repay Mobile Mini senior notes assumed in the acquisition and pay certain fees and expenses related to the Merger and the related financing transactions.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26, 2021, using cash on hand and borrowings on the 2020 ABL Facility, the Company redeemed 10% of the outstanding principal, $65.0 million, of its 2025 Secured Notes and recorded a loss on extinguishment of debt in the condensed consolidated statement of operations of $3.2 million comprised of a redemption premium of $1.9 million and write off of unamortized deferred financing fees of $1.3 million in the first quarter of 2021.</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2025 Secured Notes mature on June 15, 2025 and bear interest at a rate of 6.125% per annum. Interest is payable semi-annually on June 15 and December 15 of each year, beginning December 15, 2020. Unamortized deferred financing costs pertaining to the 2025 Secured Notes were $11.1 million as of March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2028 Senior Secured Notes</w:t>
      </w:r>
    </w:p>
    <w:p>
      <w:pPr>
        <w:spacing w:after="0" w:line="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25, 2020, the Company, completed a private offering of $500.0 million in aggregate principal amount of 4.625% senior secured notes due 2028 (the “2028 Secured Notes”). The 2028 Secured Notes mature on August 15, 2028. They bear interest at a rate of 4.625% per annum. Interest is payable semi-annually on August 15 and February 15 of each year, beginning February 25, 2021. Unamortized deferred financing cost pertaining to the 2028 Secured Notes were $8.2 million as of March 31, 2021.</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is in compliance with all debt covenants and restrictions for the aforementioned debt instruments as of March 31, 2021 and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8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maintains finance leases primarily related to transportation equipment. At March 31, 2021 and December 31, 2020, obligations under finance leases for certain real property and transportation related equipment were $77.6 million and $77.9 million, respectively. Refer to Note 4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9" w:name="page20"/>
    <w:bookmarkEnd w:id="19"/>
    <w:p>
      <w:pPr>
        <w:spacing w:after="0"/>
        <w:rPr>
          <w:sz w:val="20"/>
          <w:szCs w:val="20"/>
          <w:color w:val="auto"/>
        </w:rPr>
      </w:pPr>
      <w:r>
        <w:rPr>
          <w:rFonts w:ascii="Arial" w:cs="Arial" w:eastAsia="Arial" w:hAnsi="Arial"/>
          <w:sz w:val="23"/>
          <w:szCs w:val="23"/>
          <w:color w:val="1D2758"/>
        </w:rPr>
        <w:t>NOTE 10 – Equity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30, 2020, as contemplated by the Merger Agreement, Sapphire Holding S.à r.l. ("Sapphire Holdings"), an affiliate of TDR Capital LLP (“TDR Capital”), exchanged each of its shares of common stock of Holdings for 1.3261 shares of newly issued WillScot Class A Common Stock (the "Sapphire Exchange"). As a result of the Sapphire Exchange, all issued and outstanding shares of WillScot’s Class B Common Stock, par value $0.0001 per share (the "Class B Common Stock"), were automatically canceled for no consideration and the existing exchange agreement was automatically terminated. As a result of the Sapphire Exchange, Sapphire Holdings became a wholly-owned subsidiary of WillScot. Sapphire Holdings received 10,641,182 shares of Common Stock of WillScot in the Sapphire Exchange. Prior to the Sapphire Exchange, Sapphire Holdings' ownership of Holdings was recorded as a non-controlling interest in the condensed consolidated financial statements. Subsequent to the Sapphire Exchange, the Company's subsidiaries are each wholly owned and there is no non-controlling interest. As a result of the Sapphire Exchange, non-controlling interest of $63.9 million was reclassified to $66.9 million of additional paid-in-capital and $(3.0) million to accumulated other comprehensive loss, on the condensed consolidated balance sheet.</w:t>
      </w:r>
    </w:p>
    <w:p>
      <w:pPr>
        <w:spacing w:after="0" w:line="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Merger on July 1, 2020, the Company issued 106,426,722 shares of Class A Common Stock in exchange for Mobile Mini Common Stock outstanding and subsequently filed an amended and restated certificate of incorporation, which reclassified all outstanding shares of the Class A Common Stock and converted such shares into shares of Common Stock, par value $0.0001 per share, of WillScot Mobile Mini.</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 2021, the Company repurchased and cancelled 2,750,000 shares of its Common Stock from Sapphire Holdings.</w:t>
      </w:r>
    </w:p>
    <w:p>
      <w:pPr>
        <w:spacing w:after="0" w:line="5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stock compensation vesting events and stock option exercises described in Note 15, and the warrant exercises described below, the Company issued 570,197 shares of Common Stock during the three months ended March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7, 2020, the Company's Board of Directors approved a stock repurchase program that authorizes the Company to repurchase up to $250 million of its outstanding shares of Common Stock. The stock repurchase program does not obligate the Company to purchase any particular number of shares, and the timing and exact amount of any repurchases will depend on various factors, including market pricing and conditions, business, legal, accounting, and other considerations.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may repurchase its shares in open market transactions from time to time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is conducted subject to the covenants in the agreements governing the Company's indebtedness.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three months ended March 31, 2021, the Company repurchased 3,056,217 shares of Common Stock and stock equivalents for $81.6 million, including the shares repurchased from Sapphire Holdings noted above. As of March 31, 2021, $133.9 million of the approved repurchase pool remains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changes in accumulated other comprehensive income (loss) ("AOCI"), net of tax, for the three months ended March 31, 2021 and 2020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6"/>
                <w:szCs w:val="16"/>
                <w:color w:val="auto"/>
              </w:rPr>
            </w:pPr>
          </w:p>
        </w:tc>
        <w:tc>
          <w:tcPr>
            <w:tcW w:w="172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Foreign currency</w:t>
            </w:r>
          </w:p>
        </w:tc>
        <w:tc>
          <w:tcPr>
            <w:tcW w:w="188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420" w:type="dxa"/>
            <w:vAlign w:val="bottom"/>
            <w:shd w:val="clear" w:color="auto" w:fill="1D2758"/>
          </w:tcPr>
          <w:p>
            <w:pPr>
              <w:spacing w:after="0"/>
              <w:rPr>
                <w:sz w:val="16"/>
                <w:szCs w:val="16"/>
                <w:color w:val="auto"/>
              </w:rPr>
            </w:pPr>
          </w:p>
        </w:tc>
        <w:tc>
          <w:tcPr>
            <w:tcW w:w="1380" w:type="dxa"/>
            <w:vAlign w:val="bottom"/>
            <w:vMerge w:val="restart"/>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66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720" w:type="dxa"/>
            <w:vAlign w:val="bottom"/>
            <w:gridSpan w:val="2"/>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translation</w:t>
            </w:r>
          </w:p>
        </w:tc>
        <w:tc>
          <w:tcPr>
            <w:tcW w:w="160" w:type="dxa"/>
            <w:vAlign w:val="bottom"/>
            <w:shd w:val="clear" w:color="auto" w:fill="1D2758"/>
          </w:tcPr>
          <w:p>
            <w:pPr>
              <w:spacing w:after="0"/>
              <w:rPr>
                <w:sz w:val="18"/>
                <w:szCs w:val="18"/>
                <w:color w:val="auto"/>
              </w:rPr>
            </w:pPr>
          </w:p>
        </w:tc>
        <w:tc>
          <w:tcPr>
            <w:tcW w:w="172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hedging activities</w:t>
            </w:r>
          </w:p>
        </w:tc>
        <w:tc>
          <w:tcPr>
            <w:tcW w:w="420" w:type="dxa"/>
            <w:vAlign w:val="bottom"/>
            <w:shd w:val="clear" w:color="auto" w:fill="1D2758"/>
          </w:tcPr>
          <w:p>
            <w:pPr>
              <w:spacing w:after="0"/>
              <w:rPr>
                <w:sz w:val="18"/>
                <w:szCs w:val="18"/>
                <w:color w:val="auto"/>
              </w:rPr>
            </w:pPr>
          </w:p>
        </w:tc>
        <w:tc>
          <w:tcPr>
            <w:tcW w:w="13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2020</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(24,694)</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(12,513)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(37,207)</w:t>
            </w:r>
          </w:p>
        </w:tc>
        <w:tc>
          <w:tcPr>
            <w:tcW w:w="0" w:type="dxa"/>
            <w:vAlign w:val="bottom"/>
          </w:tcPr>
          <w:p>
            <w:pPr>
              <w:spacing w:after="0"/>
              <w:rPr>
                <w:sz w:val="1"/>
                <w:szCs w:val="1"/>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Other comprehensive income (loss) before reclassifications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5,034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4,274</w:t>
            </w:r>
          </w:p>
        </w:tc>
        <w:tc>
          <w:tcPr>
            <w:tcW w:w="0" w:type="dxa"/>
            <w:vAlign w:val="bottom"/>
          </w:tcPr>
          <w:p>
            <w:pPr>
              <w:spacing w:after="0"/>
              <w:rPr>
                <w:sz w:val="1"/>
                <w:szCs w:val="1"/>
                <w:color w:val="auto"/>
              </w:rPr>
            </w:pP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Reclassifications from AOCI to income</w:t>
            </w:r>
          </w:p>
        </w:tc>
        <w:tc>
          <w:tcPr>
            <w:tcW w:w="180" w:type="dxa"/>
            <w:vAlign w:val="bottom"/>
            <w:shd w:val="clear" w:color="auto" w:fill="DBDBDB"/>
          </w:tcPr>
          <w:p>
            <w:pPr>
              <w:spacing w:after="0"/>
              <w:rPr>
                <w:sz w:val="19"/>
                <w:szCs w:val="19"/>
                <w:color w:val="auto"/>
              </w:rPr>
            </w:pPr>
          </w:p>
        </w:tc>
        <w:tc>
          <w:tcPr>
            <w:tcW w:w="1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2,937</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07"/>
        </w:trPr>
        <w:tc>
          <w:tcPr>
            <w:tcW w:w="566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(29,996)</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90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Foreign currency</w:t>
            </w:r>
          </w:p>
        </w:tc>
        <w:tc>
          <w:tcPr>
            <w:tcW w:w="188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420" w:type="dxa"/>
            <w:vAlign w:val="bottom"/>
            <w:shd w:val="clear" w:color="auto" w:fill="1D2758"/>
          </w:tcPr>
          <w:p>
            <w:pPr>
              <w:spacing w:after="0"/>
              <w:rPr>
                <w:sz w:val="16"/>
                <w:szCs w:val="16"/>
                <w:color w:val="auto"/>
              </w:rPr>
            </w:pPr>
          </w:p>
        </w:tc>
        <w:tc>
          <w:tcPr>
            <w:tcW w:w="1380" w:type="dxa"/>
            <w:vAlign w:val="bottom"/>
            <w:vMerge w:val="restart"/>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5660" w:type="dxa"/>
            <w:vAlign w:val="bottom"/>
            <w:vMerge w:val="continue"/>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560" w:type="dxa"/>
            <w:vAlign w:val="bottom"/>
            <w:gridSpan w:val="2"/>
            <w:shd w:val="clear" w:color="auto" w:fill="1D2758"/>
          </w:tcPr>
          <w:p>
            <w:pPr>
              <w:jc w:val="center"/>
              <w:ind w:right="440"/>
              <w:spacing w:after="0"/>
              <w:rPr>
                <w:sz w:val="20"/>
                <w:szCs w:val="20"/>
                <w:color w:val="auto"/>
              </w:rPr>
            </w:pPr>
            <w:r>
              <w:rPr>
                <w:rFonts w:ascii="Arial" w:cs="Arial" w:eastAsia="Arial" w:hAnsi="Arial"/>
                <w:sz w:val="16"/>
                <w:szCs w:val="16"/>
                <w:b w:val="1"/>
                <w:bCs w:val="1"/>
                <w:color w:val="FFFFFF"/>
              </w:rPr>
              <w:t>translation</w:t>
            </w:r>
          </w:p>
        </w:tc>
        <w:tc>
          <w:tcPr>
            <w:tcW w:w="160" w:type="dxa"/>
            <w:vAlign w:val="bottom"/>
            <w:shd w:val="clear" w:color="auto" w:fill="1D2758"/>
          </w:tcPr>
          <w:p>
            <w:pPr>
              <w:spacing w:after="0"/>
              <w:rPr>
                <w:sz w:val="18"/>
                <w:szCs w:val="18"/>
                <w:color w:val="auto"/>
              </w:rPr>
            </w:pPr>
          </w:p>
        </w:tc>
        <w:tc>
          <w:tcPr>
            <w:tcW w:w="172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hedging activities</w:t>
            </w:r>
          </w:p>
        </w:tc>
        <w:tc>
          <w:tcPr>
            <w:tcW w:w="420" w:type="dxa"/>
            <w:vAlign w:val="bottom"/>
            <w:shd w:val="clear" w:color="auto" w:fill="1D2758"/>
          </w:tcPr>
          <w:p>
            <w:pPr>
              <w:spacing w:after="0"/>
              <w:rPr>
                <w:sz w:val="18"/>
                <w:szCs w:val="18"/>
                <w:color w:val="auto"/>
              </w:rPr>
            </w:pPr>
          </w:p>
        </w:tc>
        <w:tc>
          <w:tcPr>
            <w:tcW w:w="13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at December 31, 2019</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(52,982)</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(9,793)</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(62,775)</w:t>
            </w:r>
          </w:p>
        </w:tc>
        <w:tc>
          <w:tcPr>
            <w:tcW w:w="0" w:type="dxa"/>
            <w:vAlign w:val="bottom"/>
          </w:tcPr>
          <w:p>
            <w:pPr>
              <w:spacing w:after="0"/>
              <w:rPr>
                <w:sz w:val="1"/>
                <w:szCs w:val="1"/>
                <w:color w:val="auto"/>
              </w:rPr>
            </w:pPr>
          </w:p>
        </w:tc>
      </w:tr>
      <w:tr>
        <w:trPr>
          <w:trHeight w:val="213"/>
        </w:trPr>
        <w:tc>
          <w:tcPr>
            <w:tcW w:w="5660" w:type="dxa"/>
            <w:vAlign w:val="bottom"/>
          </w:tcPr>
          <w:p>
            <w:pPr>
              <w:ind w:left="240"/>
              <w:spacing w:after="0"/>
              <w:rPr>
                <w:sz w:val="20"/>
                <w:szCs w:val="20"/>
                <w:color w:val="auto"/>
              </w:rPr>
            </w:pPr>
            <w:r>
              <w:rPr>
                <w:rFonts w:ascii="Arial" w:cs="Arial" w:eastAsia="Arial" w:hAnsi="Arial"/>
                <w:sz w:val="16"/>
                <w:szCs w:val="16"/>
                <w:color w:val="auto"/>
              </w:rPr>
              <w:t>Other comprehensive loss before reclassifications</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(31,474)</w:t>
            </w:r>
          </w:p>
        </w:tc>
        <w:tc>
          <w:tcPr>
            <w:tcW w:w="0" w:type="dxa"/>
            <w:vAlign w:val="bottom"/>
          </w:tcPr>
          <w:p>
            <w:pPr>
              <w:spacing w:after="0"/>
              <w:rPr>
                <w:sz w:val="1"/>
                <w:szCs w:val="1"/>
                <w:color w:val="auto"/>
              </w:rPr>
            </w:pPr>
          </w:p>
        </w:tc>
      </w:tr>
      <w:tr>
        <w:trPr>
          <w:trHeight w:val="219"/>
        </w:trPr>
        <w:tc>
          <w:tcPr>
            <w:tcW w:w="56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Reclassifications from AOCI to income</w:t>
            </w:r>
          </w:p>
        </w:tc>
        <w:tc>
          <w:tcPr>
            <w:tcW w:w="340" w:type="dxa"/>
            <w:vAlign w:val="bottom"/>
            <w:shd w:val="clear" w:color="auto" w:fill="DBDBDB"/>
          </w:tcPr>
          <w:p>
            <w:pPr>
              <w:spacing w:after="0"/>
              <w:rPr>
                <w:sz w:val="19"/>
                <w:szCs w:val="19"/>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Less other comprehensive loss attributable to non-controlling interest</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35"/>
        </w:trPr>
        <w:tc>
          <w:tcPr>
            <w:tcW w:w="5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Balance at March 31, 2020</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(72,213)</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(17,761)</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(89,974)</w:t>
            </w:r>
          </w:p>
        </w:tc>
        <w:tc>
          <w:tcPr>
            <w:tcW w:w="0" w:type="dxa"/>
            <w:vAlign w:val="bottom"/>
          </w:tcPr>
          <w:p>
            <w:pPr>
              <w:spacing w:after="0"/>
              <w:rPr>
                <w:sz w:val="1"/>
                <w:szCs w:val="1"/>
                <w:color w:val="auto"/>
              </w:rPr>
            </w:pPr>
          </w:p>
        </w:tc>
      </w:tr>
      <w:tr>
        <w:trPr>
          <w:trHeight w:val="20"/>
        </w:trPr>
        <w:tc>
          <w:tcPr>
            <w:tcW w:w="56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6000" w:type="dxa"/>
            <w:vAlign w:val="bottom"/>
            <w:gridSpan w:val="2"/>
          </w:tcPr>
          <w:p>
            <w:pPr>
              <w:ind w:left="660"/>
              <w:spacing w:after="0"/>
              <w:rPr>
                <w:sz w:val="20"/>
                <w:szCs w:val="20"/>
                <w:color w:val="auto"/>
              </w:rPr>
            </w:pPr>
            <w:r>
              <w:rPr>
                <w:rFonts w:ascii="Arial" w:cs="Arial" w:eastAsia="Arial" w:hAnsi="Arial"/>
                <w:sz w:val="16"/>
                <w:szCs w:val="16"/>
                <w:color w:val="auto"/>
              </w:rPr>
              <w:t>For the three months ended March 31, 2021 and 2020, $2.9 million and $</w:t>
            </w:r>
          </w:p>
        </w:tc>
        <w:tc>
          <w:tcPr>
            <w:tcW w:w="5240" w:type="dxa"/>
            <w:vAlign w:val="bottom"/>
            <w:gridSpan w:val="7"/>
          </w:tcPr>
          <w:p>
            <w:pPr>
              <w:jc w:val="right"/>
              <w:spacing w:after="0"/>
              <w:rPr>
                <w:sz w:val="20"/>
                <w:szCs w:val="20"/>
                <w:color w:val="auto"/>
              </w:rPr>
            </w:pPr>
            <w:r>
              <w:rPr>
                <w:rFonts w:ascii="Arial" w:cs="Arial" w:eastAsia="Arial" w:hAnsi="Arial"/>
                <w:sz w:val="16"/>
                <w:szCs w:val="16"/>
                <w:color w:val="auto"/>
              </w:rPr>
              <w:t>1.6 million, respectively, was reclassified from AOCI into the condensed</w:t>
            </w:r>
          </w:p>
        </w:tc>
        <w:tc>
          <w:tcPr>
            <w:tcW w:w="0" w:type="dxa"/>
            <w:vAlign w:val="bottom"/>
          </w:tcPr>
          <w:p>
            <w:pPr>
              <w:spacing w:after="0"/>
              <w:rPr>
                <w:sz w:val="1"/>
                <w:szCs w:val="1"/>
                <w:color w:val="auto"/>
              </w:rPr>
            </w:pPr>
          </w:p>
        </w:tc>
      </w:tr>
    </w:tbl>
    <w:p>
      <w:pPr>
        <w:jc w:val="both"/>
        <w:spacing w:after="0" w:line="260" w:lineRule="auto"/>
        <w:rPr>
          <w:sz w:val="20"/>
          <w:szCs w:val="20"/>
          <w:color w:val="auto"/>
        </w:rPr>
      </w:pPr>
      <w:r>
        <w:rPr>
          <w:rFonts w:ascii="Arial" w:cs="Arial" w:eastAsia="Arial" w:hAnsi="Arial"/>
          <w:sz w:val="16"/>
          <w:szCs w:val="16"/>
          <w:color w:val="auto"/>
        </w:rPr>
        <w:t>consolidated statements of operations within interest expense related to the interest rate swaps discussed in Note 16. Associated with these reclassifications, the Company recorded a tax expense of $0.7 million and $0.0 million for the three months ended March 31, 2021 and 2020,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NOTE 11 – Warrants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Warrants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2015 Public Warrants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was incorporated under the name Double Eagle Acquisition Corporation ("DEAC") on June 26, 2015. On November 29, 2017, DEAC acquired Williams Scotsman International, Inc. (“WSII”) from Algeco Scotsman Global S.à.r.l., which is majority owned by an investment fund managed by TDR Capital (the “Business Combination”). In connection with the Business Combination, DEAC domesticated to Delaware and changed its name to WillScot Corporation.</w:t>
      </w:r>
    </w:p>
    <w:p>
      <w:pPr>
        <w:spacing w:after="0" w:line="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part of its initial public offering, DEAC issued warrants (the “2015 Public Warrants”). Each 2015 Public Warrant entitled the holder to purchase one-half of one share of Common Stock at a price of $5.75 per half share (or $11.50 per whole share), subject to adjustment. On January 24, 2020, the Company delivered a notice (the "Redemption Notice") to redeem all of its 2015 Public Warrants that remained unexercised on February 24, 2020. As further described in the Redemption Notice and permitted under the Warrant Agreement, holders of these warrants who exercised them following the date of the Redemption Notice were required to do so on a cashless basis. From January 1, 2020 through January 24, 2020, 796,610 warrants were exercised for cash, resulting in the Company receiving cash proceeds of $4.6 million and the Company issuing 398,305 shares of the Company's Class A Common Stock. After January 24, 2020 through February 24, 2020, 5,836,048 warrants were exercised on a cashless basis. An aggregate of 1,097,162 shares of the Company's Class A Common Stock was issued in connection with these exercises. Thereafter, the Company completed the redemption of 38,509 remaining warrants under the Redemption Notice for $0.01 per warrant. At March 31, 2020, no Public Warrants were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2015 Private Warrants</w:t>
      </w:r>
    </w:p>
    <w:p>
      <w:pPr>
        <w:spacing w:after="0" w:line="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DEAC also issued warrants to purchase its Common Stock in a private placement concurrently with its initial public offering (the “2015 Private Warrants”). Each 2015 Private Warrant entitles the holder to purchase one-half of one share of Common Stock at a price of $5.75 per half share (or $11.50 per whole share), subject to adjustment. Additionally, if held by certain original investors (or their permitted assignees), the 2015 Private Warrants may be exercised on a cashless basis and are not subject to redemption. The 2015 Private Warrants expire on November 29, 2022. During the three months ended March 31, 2021, 630,000 2015 Private Warrants were repurchased for $4.8 million and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1D2758"/>
        </w:rPr>
        <w:t>2018 Warrants</w:t>
      </w:r>
    </w:p>
    <w:p>
      <w:pPr>
        <w:spacing w:after="0" w:line="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Modular Space Holdings ("ModSpace") acquisition in 2018, WillScot issued warrants to purchase approximately 10.0 million shares of Common Stock (the "2018 Warrants") to former shareholders of ModSpace. Each 2018 Warrant entitles the holder thereof to purchase one share of Common Stock at an exercise price of $15.50 per share, subject to potential adjustment. During the three months ended March 31, 2021, 203,161 2018 Warrants were repurchased for $2.0 million and cancelled.</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2021, the Company had 9,527,080 2018 Warrants and 12,080,000 2015 Private Warrants outstanding.</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accounted for its warrants in the following ways: (i) the 2015 Private Warrants as liabilities for all periods presented, (ii) the 2015 Public Warrants as liabilities through their final redemption in February 2020 and (iii) the 2018 Warrants as liabilities until June 30, 2020, the date all issued and outstanding shares of the Company's Class B Common Stock were cancelled. The Company determined the following fair values for the outstanding common stock warrants recorded as liabilities: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60" w:type="dxa"/>
            <w:vAlign w:val="bottom"/>
            <w:shd w:val="clear" w:color="auto" w:fill="1D2758"/>
          </w:tcPr>
          <w:p>
            <w:pPr>
              <w:spacing w:after="0"/>
              <w:rPr>
                <w:sz w:val="16"/>
                <w:szCs w:val="16"/>
                <w:color w:val="auto"/>
              </w:rPr>
            </w:pPr>
          </w:p>
        </w:tc>
        <w:tc>
          <w:tcPr>
            <w:tcW w:w="210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2160" w:type="dxa"/>
            <w:vAlign w:val="bottom"/>
            <w:shd w:val="clear" w:color="auto" w:fill="1D2758"/>
          </w:tcPr>
          <w:p>
            <w:pPr>
              <w:jc w:val="center"/>
              <w:ind w:right="219"/>
              <w:spacing w:after="0"/>
              <w:rPr>
                <w:sz w:val="20"/>
                <w:szCs w:val="20"/>
                <w:color w:val="auto"/>
              </w:rPr>
            </w:pPr>
            <w:r>
              <w:rPr>
                <w:rFonts w:ascii="Arial" w:cs="Arial" w:eastAsia="Arial" w:hAnsi="Arial"/>
                <w:sz w:val="16"/>
                <w:szCs w:val="16"/>
                <w:b w:val="1"/>
                <w:bCs w:val="1"/>
                <w:color w:val="FFFFFF"/>
              </w:rPr>
              <w:t>December 31, 2020</w:t>
            </w:r>
          </w:p>
        </w:tc>
        <w:tc>
          <w:tcPr>
            <w:tcW w:w="0" w:type="dxa"/>
            <w:vAlign w:val="bottom"/>
          </w:tcPr>
          <w:p>
            <w:pPr>
              <w:spacing w:after="0"/>
              <w:rPr>
                <w:sz w:val="1"/>
                <w:szCs w:val="1"/>
                <w:color w:val="auto"/>
              </w:rPr>
            </w:pPr>
          </w:p>
        </w:tc>
      </w:tr>
      <w:tr>
        <w:trPr>
          <w:trHeight w:val="116"/>
        </w:trPr>
        <w:tc>
          <w:tcPr>
            <w:tcW w:w="3940" w:type="dxa"/>
            <w:vAlign w:val="bottom"/>
            <w:vMerge w:val="continue"/>
            <w:shd w:val="clear" w:color="auto" w:fill="1D2758"/>
          </w:tcPr>
          <w:p>
            <w:pPr>
              <w:spacing w:after="0"/>
              <w:rPr>
                <w:sz w:val="10"/>
                <w:szCs w:val="10"/>
                <w:color w:val="auto"/>
              </w:rPr>
            </w:pPr>
          </w:p>
        </w:tc>
        <w:tc>
          <w:tcPr>
            <w:tcW w:w="2660" w:type="dxa"/>
            <w:vAlign w:val="bottom"/>
            <w:shd w:val="clear" w:color="auto" w:fill="1D2758"/>
          </w:tcPr>
          <w:p>
            <w:pPr>
              <w:spacing w:after="0"/>
              <w:rPr>
                <w:sz w:val="10"/>
                <w:szCs w:val="10"/>
                <w:color w:val="auto"/>
              </w:rPr>
            </w:pPr>
          </w:p>
        </w:tc>
        <w:tc>
          <w:tcPr>
            <w:tcW w:w="2100" w:type="dxa"/>
            <w:vAlign w:val="bottom"/>
            <w:vMerge w:val="restart"/>
            <w:shd w:val="clear" w:color="auto" w:fill="1D2758"/>
          </w:tcPr>
          <w:p>
            <w:pPr>
              <w:jc w:val="right"/>
              <w:ind w:right="599"/>
              <w:spacing w:after="0"/>
              <w:rPr>
                <w:sz w:val="20"/>
                <w:szCs w:val="20"/>
                <w:color w:val="auto"/>
              </w:rPr>
            </w:pPr>
            <w:r>
              <w:rPr>
                <w:rFonts w:ascii="Arial" w:cs="Arial" w:eastAsia="Arial" w:hAnsi="Arial"/>
                <w:sz w:val="16"/>
                <w:szCs w:val="16"/>
                <w:b w:val="1"/>
                <w:bCs w:val="1"/>
                <w:color w:val="FFFFFF"/>
              </w:rPr>
              <w:t>March 31, 2021</w:t>
            </w:r>
          </w:p>
        </w:tc>
        <w:tc>
          <w:tcPr>
            <w:tcW w:w="380" w:type="dxa"/>
            <w:vAlign w:val="bottom"/>
            <w:shd w:val="clear" w:color="auto" w:fill="1D2758"/>
          </w:tcPr>
          <w:p>
            <w:pPr>
              <w:spacing w:after="0"/>
              <w:rPr>
                <w:sz w:val="10"/>
                <w:szCs w:val="10"/>
                <w:color w:val="auto"/>
              </w:rPr>
            </w:pPr>
          </w:p>
        </w:tc>
        <w:tc>
          <w:tcPr>
            <w:tcW w:w="2160" w:type="dxa"/>
            <w:vAlign w:val="bottom"/>
            <w:vMerge w:val="restart"/>
            <w:shd w:val="clear" w:color="auto" w:fill="1D2758"/>
          </w:tcPr>
          <w:p>
            <w:pPr>
              <w:jc w:val="center"/>
              <w:ind w:right="23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101"/>
        </w:trPr>
        <w:tc>
          <w:tcPr>
            <w:tcW w:w="3940" w:type="dxa"/>
            <w:vAlign w:val="bottom"/>
            <w:shd w:val="clear" w:color="auto" w:fill="1D2758"/>
          </w:tcPr>
          <w:p>
            <w:pPr>
              <w:spacing w:after="0"/>
              <w:rPr>
                <w:sz w:val="8"/>
                <w:szCs w:val="8"/>
                <w:color w:val="auto"/>
              </w:rPr>
            </w:pPr>
          </w:p>
        </w:tc>
        <w:tc>
          <w:tcPr>
            <w:tcW w:w="2660" w:type="dxa"/>
            <w:vAlign w:val="bottom"/>
            <w:shd w:val="clear" w:color="auto" w:fill="1D2758"/>
          </w:tcPr>
          <w:p>
            <w:pPr>
              <w:spacing w:after="0"/>
              <w:rPr>
                <w:sz w:val="8"/>
                <w:szCs w:val="8"/>
                <w:color w:val="auto"/>
              </w:rPr>
            </w:pPr>
          </w:p>
        </w:tc>
        <w:tc>
          <w:tcPr>
            <w:tcW w:w="2100" w:type="dxa"/>
            <w:vAlign w:val="bottom"/>
            <w:vMerge w:val="continue"/>
            <w:shd w:val="clear" w:color="auto" w:fill="1D2758"/>
          </w:tcPr>
          <w:p>
            <w:pPr>
              <w:spacing w:after="0"/>
              <w:rPr>
                <w:sz w:val="8"/>
                <w:szCs w:val="8"/>
                <w:color w:val="auto"/>
              </w:rPr>
            </w:pPr>
          </w:p>
        </w:tc>
        <w:tc>
          <w:tcPr>
            <w:tcW w:w="380" w:type="dxa"/>
            <w:vAlign w:val="bottom"/>
            <w:shd w:val="clear" w:color="auto" w:fill="1D2758"/>
          </w:tcPr>
          <w:p>
            <w:pPr>
              <w:spacing w:after="0"/>
              <w:rPr>
                <w:sz w:val="8"/>
                <w:szCs w:val="8"/>
                <w:color w:val="auto"/>
              </w:rPr>
            </w:pPr>
          </w:p>
        </w:tc>
        <w:tc>
          <w:tcPr>
            <w:tcW w:w="216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2015 Private Warrants</w:t>
            </w:r>
          </w:p>
        </w:tc>
        <w:tc>
          <w:tcPr>
            <w:tcW w:w="266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99,781</w:t>
            </w:r>
          </w:p>
        </w:tc>
        <w:tc>
          <w:tcPr>
            <w:tcW w:w="3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77,404</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NOTE 12 – Income Taxes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income tax expense of $10.5 million and $0.8 million for the three months ended March 31, 2021 and 2020,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 for the three months ended March 31, 2021 and 2020 was 70.2% and 0.85%, respectively.</w:t>
      </w:r>
    </w:p>
    <w:p>
      <w:pPr>
        <w:spacing w:after="0" w:line="1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effective tax rate for the three months ended March 31, 2021 significantly differs from the US federal statutory rate of 21% primarily due to the permanent add-back related to the mark to market accounting on the Company’s warrants. The effective tax rate for the three months ended March 31, 2020 is significantly different form the US statutory rate of 21% primarily because the Company did not recognize benefits for its pre-tax losses due to valuation allowances.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color w:val="1D2758"/>
        </w:rPr>
        <w:t>NOTE 13 - Fair Value Measures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10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3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3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March 31, 2021 approximate their respective book values.</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their redemption, the Company’s 2015 Public Warrants traded in active markets. When classified as liabilities, warrants traded in active markets with sufficient trading volume represent Level 1 financial instruments as they are publicly traded in active markets and thus have observable market prices which are used to estimate the fair value adjustments for the related common stock warrant liabilities. When classified as liabilities, warrants not traded in active markets, or traded with insufficient volume, represent Level 3 financial instruments that are valued using a Black-Scholes option-pricing model to estimate the fair value adjustments for the related common stock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648"/>
        <w:spacing w:after="0" w:line="260" w:lineRule="auto"/>
        <w:rPr>
          <w:sz w:val="20"/>
          <w:szCs w:val="20"/>
          <w:color w:val="auto"/>
        </w:rPr>
      </w:pPr>
      <w:r>
        <w:rPr>
          <w:rFonts w:ascii="Arial" w:cs="Arial" w:eastAsia="Arial" w:hAnsi="Arial"/>
          <w:sz w:val="16"/>
          <w:szCs w:val="16"/>
          <w:color w:val="auto"/>
        </w:rPr>
        <w:t>The following table shows the carrying amounts and fair values of financial liabilities which are disclosed, but not measured, at fair value, including their levels 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2080" w:type="dxa"/>
            <w:vAlign w:val="bottom"/>
            <w:gridSpan w:val="2"/>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March 31, 2021</w:t>
            </w:r>
          </w:p>
        </w:tc>
        <w:tc>
          <w:tcPr>
            <w:tcW w:w="22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2060" w:type="dxa"/>
            <w:vAlign w:val="bottom"/>
            <w:gridSpan w:val="2"/>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December 31, 2020</w:t>
            </w:r>
          </w:p>
        </w:tc>
        <w:tc>
          <w:tcPr>
            <w:tcW w:w="20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2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000" w:type="dxa"/>
            <w:vAlign w:val="bottom"/>
            <w:shd w:val="clear" w:color="auto" w:fill="1D2758"/>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2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4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1000" w:type="dxa"/>
            <w:vAlign w:val="bottom"/>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w w:val="99"/>
              </w:rPr>
              <w:t>Fair Value</w:t>
            </w:r>
          </w:p>
        </w:tc>
        <w:tc>
          <w:tcPr>
            <w:tcW w:w="20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1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080" w:type="dxa"/>
            <w:vAlign w:val="bottom"/>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Level 1</w:t>
            </w:r>
          </w:p>
        </w:tc>
        <w:tc>
          <w:tcPr>
            <w:tcW w:w="100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20" w:type="dxa"/>
            <w:vAlign w:val="bottom"/>
            <w:shd w:val="clear" w:color="auto" w:fill="1D2758"/>
          </w:tcPr>
          <w:p>
            <w:pPr>
              <w:spacing w:after="0"/>
              <w:rPr>
                <w:sz w:val="8"/>
                <w:szCs w:val="8"/>
                <w:color w:val="auto"/>
              </w:rPr>
            </w:pPr>
          </w:p>
        </w:tc>
        <w:tc>
          <w:tcPr>
            <w:tcW w:w="110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3</w:t>
            </w:r>
          </w:p>
        </w:tc>
        <w:tc>
          <w:tcPr>
            <w:tcW w:w="96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06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1</w:t>
            </w:r>
          </w:p>
        </w:tc>
        <w:tc>
          <w:tcPr>
            <w:tcW w:w="100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1D2758"/>
          </w:tcPr>
          <w:p>
            <w:pPr>
              <w:spacing w:after="0"/>
              <w:rPr>
                <w:sz w:val="8"/>
                <w:szCs w:val="8"/>
                <w:color w:val="auto"/>
              </w:rPr>
            </w:pPr>
          </w:p>
        </w:tc>
        <w:tc>
          <w:tcPr>
            <w:tcW w:w="8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160" w:type="dxa"/>
            <w:vAlign w:val="bottom"/>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22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1000" w:type="dxa"/>
            <w:vAlign w:val="bottom"/>
            <w:vMerge w:val="continue"/>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6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240" w:type="dxa"/>
            <w:vAlign w:val="bottom"/>
            <w:shd w:val="clear" w:color="auto" w:fill="1D2758"/>
          </w:tcPr>
          <w:p>
            <w:pPr>
              <w:spacing w:after="0"/>
              <w:rPr>
                <w:sz w:val="18"/>
                <w:szCs w:val="18"/>
                <w:color w:val="auto"/>
              </w:rPr>
            </w:pPr>
          </w:p>
        </w:tc>
        <w:tc>
          <w:tcPr>
            <w:tcW w:w="1060" w:type="dxa"/>
            <w:vAlign w:val="bottom"/>
            <w:vMerge w:val="continue"/>
            <w:shd w:val="clear" w:color="auto" w:fill="1D2758"/>
          </w:tcPr>
          <w:p>
            <w:pPr>
              <w:spacing w:after="0"/>
              <w:rPr>
                <w:sz w:val="18"/>
                <w:szCs w:val="18"/>
                <w:color w:val="auto"/>
              </w:rPr>
            </w:pPr>
          </w:p>
        </w:tc>
        <w:tc>
          <w:tcPr>
            <w:tcW w:w="100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16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080" w:type="dxa"/>
            <w:vAlign w:val="bottom"/>
            <w:shd w:val="clear" w:color="auto" w:fill="1D2758"/>
          </w:tcPr>
          <w:p>
            <w:pPr>
              <w:spacing w:after="0"/>
              <w:rPr>
                <w:sz w:val="8"/>
                <w:szCs w:val="8"/>
                <w:color w:val="auto"/>
              </w:rPr>
            </w:pPr>
          </w:p>
        </w:tc>
        <w:tc>
          <w:tcPr>
            <w:tcW w:w="100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10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060" w:type="dxa"/>
            <w:vAlign w:val="bottom"/>
            <w:shd w:val="clear" w:color="auto" w:fill="1D2758"/>
          </w:tcPr>
          <w:p>
            <w:pPr>
              <w:spacing w:after="0"/>
              <w:rPr>
                <w:sz w:val="8"/>
                <w:szCs w:val="8"/>
                <w:color w:val="auto"/>
              </w:rPr>
            </w:pPr>
          </w:p>
        </w:tc>
        <w:tc>
          <w:tcPr>
            <w:tcW w:w="100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8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ABL Facilities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1,326,986</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ind w:left="70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1,365,500</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6"/>
                <w:szCs w:val="16"/>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1,263,833</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ind w:left="700"/>
              <w:spacing w:after="0"/>
              <w:rPr>
                <w:sz w:val="20"/>
                <w:szCs w:val="20"/>
                <w:color w:val="auto"/>
              </w:rPr>
            </w:pPr>
            <w:r>
              <w:rPr>
                <w:rFonts w:ascii="Arial" w:cs="Arial" w:eastAsia="Arial" w:hAnsi="Arial"/>
                <w:sz w:val="16"/>
                <w:szCs w:val="16"/>
                <w:color w:val="auto"/>
              </w:rPr>
              <w:t>— $</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1,304,612</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Arial" w:cs="Arial" w:eastAsia="Arial" w:hAnsi="Arial"/>
                <w:sz w:val="16"/>
                <w:szCs w:val="16"/>
                <w:color w:val="auto"/>
              </w:rPr>
              <w:t>2025 Secured Notes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573,930</w:t>
            </w:r>
          </w:p>
        </w:tc>
        <w:tc>
          <w:tcPr>
            <w:tcW w:w="220" w:type="dxa"/>
            <w:vAlign w:val="bottom"/>
          </w:tcPr>
          <w:p>
            <w:pPr>
              <w:spacing w:after="0"/>
              <w:rPr>
                <w:sz w:val="18"/>
                <w:szCs w:val="18"/>
                <w:color w:val="auto"/>
              </w:rPr>
            </w:pPr>
          </w:p>
        </w:tc>
        <w:tc>
          <w:tcPr>
            <w:tcW w:w="1080" w:type="dxa"/>
            <w:vAlign w:val="bottom"/>
          </w:tcPr>
          <w:p>
            <w:pPr>
              <w:ind w:left="7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621,873</w:t>
            </w:r>
          </w:p>
        </w:tc>
        <w:tc>
          <w:tcPr>
            <w:tcW w:w="220" w:type="dxa"/>
            <w:vAlign w:val="bottom"/>
          </w:tcPr>
          <w:p>
            <w:pPr>
              <w:spacing w:after="0"/>
              <w:rPr>
                <w:sz w:val="18"/>
                <w:szCs w:val="18"/>
                <w:color w:val="auto"/>
              </w:rPr>
            </w:pPr>
          </w:p>
        </w:tc>
        <w:tc>
          <w:tcPr>
            <w:tcW w:w="1100" w:type="dxa"/>
            <w:vAlign w:val="bottom"/>
          </w:tcPr>
          <w:p>
            <w:pPr>
              <w:ind w:left="7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637,068</w:t>
            </w:r>
          </w:p>
        </w:tc>
        <w:tc>
          <w:tcPr>
            <w:tcW w:w="240" w:type="dxa"/>
            <w:vAlign w:val="bottom"/>
          </w:tcPr>
          <w:p>
            <w:pPr>
              <w:spacing w:after="0"/>
              <w:rPr>
                <w:sz w:val="18"/>
                <w:szCs w:val="18"/>
                <w:color w:val="auto"/>
              </w:rPr>
            </w:pPr>
          </w:p>
        </w:tc>
        <w:tc>
          <w:tcPr>
            <w:tcW w:w="1060" w:type="dxa"/>
            <w:vAlign w:val="bottom"/>
          </w:tcPr>
          <w:p>
            <w:pPr>
              <w:ind w:left="7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694,876</w:t>
            </w:r>
          </w:p>
        </w:tc>
        <w:tc>
          <w:tcPr>
            <w:tcW w:w="20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2028 Secured Notes</w:t>
            </w: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491,784</w:t>
            </w: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508,395</w:t>
            </w:r>
          </w:p>
        </w:tc>
        <w:tc>
          <w:tcPr>
            <w:tcW w:w="2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491,555</w:t>
            </w:r>
          </w:p>
        </w:tc>
        <w:tc>
          <w:tcPr>
            <w:tcW w:w="24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518,820</w:t>
            </w:r>
          </w:p>
        </w:tc>
        <w:tc>
          <w:tcPr>
            <w:tcW w:w="20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2,392,700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2,495,768</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2,392,456</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2,518,308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March 31, 2021, the carrying values of the ABL Facilities, the 2025 Secured Notes, and the 2028 Secured Notes include $38.5 million, $11.1 million, and $8.2 million, respectively, of unamortized debt issuance costs, which are presented as a direct reduction of the corresponding liability. As of December 31, 2020, the carrying value of the ABL Facilities, the 2025 Secured Notes, and the 2028 Secured Notes includes $40.8 million, $12.9 million, and $8.4 million, respectively, of unamortized debt issuance costs, which are presented as a direct reduction of the corresponding liability.</w:t>
      </w:r>
    </w:p>
    <w:p>
      <w:pPr>
        <w:spacing w:after="0" w:line="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carrying value of the ABL Facilities, excluding debt issuance costs, approximates fair value as the interest rates are variable and reflective of market rates. The fair value of the 2025 Secured Notes and the 2028 Secured Notes is based on their last trading price at the end of each period obtained from a third party. The location and the fair value of derivative assets and liabilities designated as hedges in the condensed consolidated balance sheet are disclosed in Note 16.</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liabilities which are measured at fair value: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2260" w:type="dxa"/>
            <w:vAlign w:val="bottom"/>
            <w:gridSpan w:val="2"/>
            <w:shd w:val="clear" w:color="auto" w:fill="1D2758"/>
          </w:tcPr>
          <w:p>
            <w:pPr>
              <w:ind w:left="360"/>
              <w:spacing w:after="0"/>
              <w:rPr>
                <w:sz w:val="20"/>
                <w:szCs w:val="20"/>
                <w:color w:val="auto"/>
              </w:rPr>
            </w:pPr>
            <w:r>
              <w:rPr>
                <w:rFonts w:ascii="Arial" w:cs="Arial" w:eastAsia="Arial" w:hAnsi="Arial"/>
                <w:sz w:val="16"/>
                <w:szCs w:val="16"/>
                <w:b w:val="1"/>
                <w:bCs w:val="1"/>
                <w:color w:val="FFFFFF"/>
              </w:rPr>
              <w:t>March 31, 2021</w:t>
            </w:r>
          </w:p>
        </w:tc>
        <w:tc>
          <w:tcPr>
            <w:tcW w:w="92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2280" w:type="dxa"/>
            <w:vAlign w:val="bottom"/>
            <w:gridSpan w:val="2"/>
            <w:shd w:val="clear" w:color="auto" w:fill="1D2758"/>
          </w:tcPr>
          <w:p>
            <w:pPr>
              <w:jc w:val="center"/>
              <w:ind w:right="379"/>
              <w:spacing w:after="0"/>
              <w:rPr>
                <w:sz w:val="20"/>
                <w:szCs w:val="20"/>
                <w:color w:val="auto"/>
              </w:rPr>
            </w:pPr>
            <w:r>
              <w:rPr>
                <w:rFonts w:ascii="Arial" w:cs="Arial" w:eastAsia="Arial" w:hAnsi="Arial"/>
                <w:sz w:val="16"/>
                <w:szCs w:val="16"/>
                <w:b w:val="1"/>
                <w:bCs w:val="1"/>
                <w:color w:val="FFFFFF"/>
              </w:rPr>
              <w:t>December 31, 2020</w:t>
            </w: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18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2280" w:type="dxa"/>
            <w:vAlign w:val="bottom"/>
            <w:gridSpan w:val="2"/>
            <w:shd w:val="clear" w:color="auto" w:fill="1D2758"/>
          </w:tcPr>
          <w:p>
            <w:pPr>
              <w:jc w:val="center"/>
              <w:ind w:right="399"/>
              <w:spacing w:after="0"/>
              <w:rPr>
                <w:sz w:val="20"/>
                <w:szCs w:val="20"/>
                <w:color w:val="auto"/>
              </w:rPr>
            </w:pPr>
            <w:r>
              <w:rPr>
                <w:rFonts w:ascii="Arial" w:cs="Arial" w:eastAsia="Arial" w:hAnsi="Arial"/>
                <w:sz w:val="16"/>
                <w:szCs w:val="16"/>
                <w:b w:val="1"/>
                <w:bCs w:val="1"/>
                <w:color w:val="FFFFFF"/>
              </w:rPr>
              <w:t>(as restated)</w:t>
            </w: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vMerge w:val="restart"/>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180" w:type="dxa"/>
            <w:vAlign w:val="bottom"/>
            <w:shd w:val="clear" w:color="auto" w:fill="1D2758"/>
          </w:tcPr>
          <w:p>
            <w:pPr>
              <w:jc w:val="center"/>
              <w:ind w:right="259"/>
              <w:spacing w:after="0"/>
              <w:rPr>
                <w:sz w:val="20"/>
                <w:szCs w:val="20"/>
                <w:color w:val="auto"/>
              </w:rPr>
            </w:pPr>
            <w:r>
              <w:rPr>
                <w:rFonts w:ascii="Arial" w:cs="Arial" w:eastAsia="Arial" w:hAnsi="Arial"/>
                <w:sz w:val="16"/>
                <w:szCs w:val="16"/>
                <w:b w:val="1"/>
                <w:bCs w:val="1"/>
                <w:color w:val="FFFFFF"/>
                <w:w w:val="99"/>
              </w:rPr>
              <w:t>Fair Value</w:t>
            </w:r>
          </w:p>
        </w:tc>
        <w:tc>
          <w:tcPr>
            <w:tcW w:w="92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39"/>
              <w:spacing w:after="0"/>
              <w:rPr>
                <w:sz w:val="20"/>
                <w:szCs w:val="20"/>
                <w:color w:val="auto"/>
              </w:rPr>
            </w:pPr>
            <w:r>
              <w:rPr>
                <w:rFonts w:ascii="Arial" w:cs="Arial" w:eastAsia="Arial" w:hAnsi="Arial"/>
                <w:sz w:val="16"/>
                <w:szCs w:val="16"/>
                <w:b w:val="1"/>
                <w:bCs w:val="1"/>
                <w:color w:val="FFFFFF"/>
              </w:rPr>
              <w:t>Carrying</w:t>
            </w:r>
          </w:p>
        </w:tc>
        <w:tc>
          <w:tcPr>
            <w:tcW w:w="22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20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Fair Value</w:t>
            </w: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1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8"/>
                <w:szCs w:val="8"/>
                <w:color w:val="auto"/>
              </w:rPr>
            </w:pPr>
          </w:p>
        </w:tc>
        <w:tc>
          <w:tcPr>
            <w:tcW w:w="980" w:type="dxa"/>
            <w:vAlign w:val="bottom"/>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08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Level 1</w:t>
            </w:r>
          </w:p>
        </w:tc>
        <w:tc>
          <w:tcPr>
            <w:tcW w:w="1180" w:type="dxa"/>
            <w:vAlign w:val="bottom"/>
            <w:vMerge w:val="restart"/>
            <w:shd w:val="clear" w:color="auto" w:fill="1D2758"/>
          </w:tcPr>
          <w:p>
            <w:pPr>
              <w:jc w:val="center"/>
              <w:ind w:right="259"/>
              <w:spacing w:after="0"/>
              <w:rPr>
                <w:sz w:val="20"/>
                <w:szCs w:val="20"/>
                <w:color w:val="auto"/>
              </w:rPr>
            </w:pPr>
            <w:r>
              <w:rPr>
                <w:rFonts w:ascii="Arial" w:cs="Arial" w:eastAsia="Arial" w:hAnsi="Arial"/>
                <w:sz w:val="16"/>
                <w:szCs w:val="16"/>
                <w:b w:val="1"/>
                <w:bCs w:val="1"/>
                <w:color w:val="FFFFFF"/>
              </w:rPr>
              <w:t>Level 2</w:t>
            </w:r>
          </w:p>
        </w:tc>
        <w:tc>
          <w:tcPr>
            <w:tcW w:w="920" w:type="dxa"/>
            <w:vAlign w:val="bottom"/>
            <w:vMerge w:val="restart"/>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Level 3</w:t>
            </w:r>
          </w:p>
        </w:tc>
        <w:tc>
          <w:tcPr>
            <w:tcW w:w="200" w:type="dxa"/>
            <w:vAlign w:val="bottom"/>
            <w:shd w:val="clear" w:color="auto" w:fill="1D2758"/>
          </w:tcPr>
          <w:p>
            <w:pPr>
              <w:spacing w:after="0"/>
              <w:rPr>
                <w:sz w:val="8"/>
                <w:szCs w:val="8"/>
                <w:color w:val="auto"/>
              </w:rPr>
            </w:pPr>
          </w:p>
        </w:tc>
        <w:tc>
          <w:tcPr>
            <w:tcW w:w="960" w:type="dxa"/>
            <w:vAlign w:val="bottom"/>
            <w:vMerge w:val="continue"/>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080" w:type="dxa"/>
            <w:vAlign w:val="bottom"/>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Level 1</w:t>
            </w:r>
          </w:p>
        </w:tc>
        <w:tc>
          <w:tcPr>
            <w:tcW w:w="1200" w:type="dxa"/>
            <w:vAlign w:val="bottom"/>
            <w:vMerge w:val="restart"/>
            <w:shd w:val="clear" w:color="auto" w:fill="1D2758"/>
          </w:tcPr>
          <w:p>
            <w:pPr>
              <w:ind w:left="160"/>
              <w:spacing w:after="0"/>
              <w:rPr>
                <w:sz w:val="20"/>
                <w:szCs w:val="20"/>
                <w:color w:val="auto"/>
              </w:rPr>
            </w:pPr>
            <w:r>
              <w:rPr>
                <w:rFonts w:ascii="Arial" w:cs="Arial" w:eastAsia="Arial" w:hAnsi="Arial"/>
                <w:sz w:val="16"/>
                <w:szCs w:val="16"/>
                <w:b w:val="1"/>
                <w:bCs w:val="1"/>
                <w:color w:val="FFFFFF"/>
              </w:rPr>
              <w:t>Level 2</w:t>
            </w:r>
          </w:p>
        </w:tc>
        <w:tc>
          <w:tcPr>
            <w:tcW w:w="880" w:type="dxa"/>
            <w:vAlign w:val="bottom"/>
            <w:vMerge w:val="restart"/>
            <w:shd w:val="clear" w:color="auto" w:fill="1D2758"/>
          </w:tcPr>
          <w:p>
            <w:pPr>
              <w:jc w:val="right"/>
              <w:ind w:right="179"/>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15"/>
        </w:trPr>
        <w:tc>
          <w:tcPr>
            <w:tcW w:w="216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1180" w:type="dxa"/>
            <w:vAlign w:val="bottom"/>
            <w:vMerge w:val="continue"/>
            <w:shd w:val="clear" w:color="auto" w:fill="1D2758"/>
          </w:tcPr>
          <w:p>
            <w:pPr>
              <w:spacing w:after="0"/>
              <w:rPr>
                <w:sz w:val="18"/>
                <w:szCs w:val="18"/>
                <w:color w:val="auto"/>
              </w:rPr>
            </w:pPr>
          </w:p>
        </w:tc>
        <w:tc>
          <w:tcPr>
            <w:tcW w:w="920" w:type="dxa"/>
            <w:vAlign w:val="bottom"/>
            <w:vMerge w:val="continue"/>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220" w:type="dxa"/>
            <w:vAlign w:val="bottom"/>
            <w:shd w:val="clear" w:color="auto" w:fill="1D2758"/>
          </w:tcPr>
          <w:p>
            <w:pPr>
              <w:spacing w:after="0"/>
              <w:rPr>
                <w:sz w:val="18"/>
                <w:szCs w:val="18"/>
                <w:color w:val="auto"/>
              </w:rPr>
            </w:pPr>
          </w:p>
        </w:tc>
        <w:tc>
          <w:tcPr>
            <w:tcW w:w="1080" w:type="dxa"/>
            <w:vAlign w:val="bottom"/>
            <w:vMerge w:val="continue"/>
            <w:shd w:val="clear" w:color="auto" w:fill="1D2758"/>
          </w:tcPr>
          <w:p>
            <w:pPr>
              <w:spacing w:after="0"/>
              <w:rPr>
                <w:sz w:val="18"/>
                <w:szCs w:val="18"/>
                <w:color w:val="auto"/>
              </w:rPr>
            </w:pPr>
          </w:p>
        </w:tc>
        <w:tc>
          <w:tcPr>
            <w:tcW w:w="1200" w:type="dxa"/>
            <w:vAlign w:val="bottom"/>
            <w:vMerge w:val="continue"/>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16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98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080" w:type="dxa"/>
            <w:vAlign w:val="bottom"/>
            <w:shd w:val="clear" w:color="auto" w:fill="1D2758"/>
          </w:tcPr>
          <w:p>
            <w:pPr>
              <w:spacing w:after="0"/>
              <w:rPr>
                <w:sz w:val="8"/>
                <w:szCs w:val="8"/>
                <w:color w:val="auto"/>
              </w:rPr>
            </w:pPr>
          </w:p>
        </w:tc>
        <w:tc>
          <w:tcPr>
            <w:tcW w:w="1180" w:type="dxa"/>
            <w:vAlign w:val="bottom"/>
            <w:shd w:val="clear" w:color="auto" w:fill="1D2758"/>
          </w:tcPr>
          <w:p>
            <w:pPr>
              <w:spacing w:after="0"/>
              <w:rPr>
                <w:sz w:val="8"/>
                <w:szCs w:val="8"/>
                <w:color w:val="auto"/>
              </w:rPr>
            </w:pPr>
          </w:p>
        </w:tc>
        <w:tc>
          <w:tcPr>
            <w:tcW w:w="920" w:type="dxa"/>
            <w:vAlign w:val="bottom"/>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96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080" w:type="dxa"/>
            <w:vAlign w:val="bottom"/>
            <w:shd w:val="clear" w:color="auto" w:fill="1D2758"/>
          </w:tcPr>
          <w:p>
            <w:pPr>
              <w:spacing w:after="0"/>
              <w:rPr>
                <w:sz w:val="8"/>
                <w:szCs w:val="8"/>
                <w:color w:val="auto"/>
              </w:rPr>
            </w:pPr>
          </w:p>
        </w:tc>
        <w:tc>
          <w:tcPr>
            <w:tcW w:w="1200" w:type="dxa"/>
            <w:vAlign w:val="bottom"/>
            <w:shd w:val="clear" w:color="auto" w:fill="1D2758"/>
          </w:tcPr>
          <w:p>
            <w:pPr>
              <w:spacing w:after="0"/>
              <w:rPr>
                <w:sz w:val="8"/>
                <w:szCs w:val="8"/>
                <w:color w:val="auto"/>
              </w:rPr>
            </w:pPr>
          </w:p>
        </w:tc>
        <w:tc>
          <w:tcPr>
            <w:tcW w:w="88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2015 Private warrants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99,781</w:t>
            </w: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99,781</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77,404</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BDBDB"/>
          </w:tcPr>
          <w:p>
            <w:pPr>
              <w:jc w:val="center"/>
              <w:ind w:left="619"/>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77,404</w:t>
            </w:r>
          </w:p>
        </w:tc>
        <w:tc>
          <w:tcPr>
            <w:tcW w:w="0" w:type="dxa"/>
            <w:vAlign w:val="bottom"/>
          </w:tcPr>
          <w:p>
            <w:pPr>
              <w:spacing w:after="0"/>
              <w:rPr>
                <w:sz w:val="1"/>
                <w:szCs w:val="1"/>
                <w:color w:val="auto"/>
              </w:rPr>
            </w:pPr>
          </w:p>
        </w:tc>
      </w:tr>
      <w:tr>
        <w:trPr>
          <w:trHeight w:val="213"/>
        </w:trPr>
        <w:tc>
          <w:tcPr>
            <w:tcW w:w="216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Disclosures</w:t>
      </w:r>
    </w:p>
    <w:p>
      <w:pPr>
        <w:spacing w:after="0" w:line="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When the 2015 Private Warrants and 2018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are assumptions related to expected share-price volatility, expected life, risk-free interest rate and dividend yield. The Company estimated the volatility of its ordinary shares based on historical volatility that matched the expected remaining life of the warrants.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anticipates to remain at zero.</w:t>
      </w:r>
    </w:p>
    <w:p>
      <w:pPr>
        <w:spacing w:after="0" w:line="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2018 Warrants were reclassified to equity at June 30, 2020, the date all issued and outstanding shares of the Company's Class B Common Stock were cancelled. As such, they were not recorded at fair value at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6"/>
          <w:szCs w:val="16"/>
          <w:color w:val="auto"/>
        </w:rPr>
        <w:t>The following table provides quantitative information regarding Level 3 fair value measurements: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2020" w:type="dxa"/>
            <w:vAlign w:val="bottom"/>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March 31, 2021</w:t>
            </w:r>
          </w:p>
        </w:tc>
        <w:tc>
          <w:tcPr>
            <w:tcW w:w="280" w:type="dxa"/>
            <w:vAlign w:val="bottom"/>
            <w:shd w:val="clear" w:color="auto" w:fill="1D2758"/>
          </w:tcPr>
          <w:p>
            <w:pPr>
              <w:spacing w:after="0"/>
              <w:rPr>
                <w:sz w:val="18"/>
                <w:szCs w:val="18"/>
                <w:color w:val="auto"/>
              </w:rPr>
            </w:pPr>
          </w:p>
        </w:tc>
        <w:tc>
          <w:tcPr>
            <w:tcW w:w="266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March 31, 2020</w:t>
            </w:r>
          </w:p>
        </w:tc>
        <w:tc>
          <w:tcPr>
            <w:tcW w:w="1660" w:type="dxa"/>
            <w:vAlign w:val="bottom"/>
            <w:shd w:val="clear" w:color="auto" w:fill="1D2758"/>
          </w:tcPr>
          <w:p>
            <w:pPr>
              <w:spacing w:after="0"/>
              <w:rPr>
                <w:sz w:val="18"/>
                <w:szCs w:val="18"/>
                <w:color w:val="auto"/>
              </w:rPr>
            </w:pPr>
          </w:p>
        </w:tc>
      </w:tr>
      <w:tr>
        <w:trPr>
          <w:trHeight w:val="215"/>
        </w:trPr>
        <w:tc>
          <w:tcPr>
            <w:tcW w:w="4420" w:type="dxa"/>
            <w:vAlign w:val="bottom"/>
            <w:shd w:val="clear" w:color="auto" w:fill="1D2758"/>
          </w:tcPr>
          <w:p>
            <w:pPr>
              <w:spacing w:after="0"/>
              <w:rPr>
                <w:sz w:val="18"/>
                <w:szCs w:val="18"/>
                <w:color w:val="auto"/>
              </w:rPr>
            </w:pPr>
          </w:p>
        </w:tc>
        <w:tc>
          <w:tcPr>
            <w:tcW w:w="200" w:type="dxa"/>
            <w:vAlign w:val="bottom"/>
            <w:shd w:val="clear" w:color="auto" w:fill="1D2758"/>
          </w:tcPr>
          <w:p>
            <w:pPr>
              <w:spacing w:after="0"/>
              <w:rPr>
                <w:sz w:val="18"/>
                <w:szCs w:val="18"/>
                <w:color w:val="auto"/>
              </w:rPr>
            </w:pPr>
          </w:p>
        </w:tc>
        <w:tc>
          <w:tcPr>
            <w:tcW w:w="202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2660" w:type="dxa"/>
            <w:vAlign w:val="bottom"/>
            <w:gridSpan w:val="2"/>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(as restated)</w:t>
            </w:r>
          </w:p>
        </w:tc>
        <w:tc>
          <w:tcPr>
            <w:tcW w:w="1660" w:type="dxa"/>
            <w:vAlign w:val="bottom"/>
            <w:shd w:val="clear" w:color="auto" w:fill="1D2758"/>
          </w:tcPr>
          <w:p>
            <w:pPr>
              <w:spacing w:after="0"/>
              <w:rPr>
                <w:sz w:val="18"/>
                <w:szCs w:val="18"/>
                <w:color w:val="auto"/>
              </w:rPr>
            </w:pPr>
          </w:p>
        </w:tc>
      </w:tr>
      <w:tr>
        <w:trPr>
          <w:trHeight w:val="217"/>
        </w:trPr>
        <w:tc>
          <w:tcPr>
            <w:tcW w:w="44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1D2758"/>
          </w:tcPr>
          <w:p>
            <w:pPr>
              <w:spacing w:after="0"/>
              <w:rPr>
                <w:sz w:val="18"/>
                <w:szCs w:val="18"/>
                <w:color w:val="auto"/>
              </w:rPr>
            </w:pPr>
          </w:p>
        </w:tc>
        <w:tc>
          <w:tcPr>
            <w:tcW w:w="2020" w:type="dxa"/>
            <w:vAlign w:val="bottom"/>
            <w:shd w:val="clear" w:color="auto" w:fill="1D2758"/>
          </w:tcPr>
          <w:p>
            <w:pPr>
              <w:jc w:val="right"/>
              <w:ind w:right="159"/>
              <w:spacing w:after="0"/>
              <w:rPr>
                <w:sz w:val="20"/>
                <w:szCs w:val="20"/>
                <w:color w:val="auto"/>
              </w:rPr>
            </w:pPr>
            <w:r>
              <w:rPr>
                <w:rFonts w:ascii="Arial" w:cs="Arial" w:eastAsia="Arial" w:hAnsi="Arial"/>
                <w:sz w:val="16"/>
                <w:szCs w:val="16"/>
                <w:b w:val="1"/>
                <w:bCs w:val="1"/>
                <w:color w:val="FFFFFF"/>
              </w:rPr>
              <w:t>2015 Private Warrants</w:t>
            </w:r>
          </w:p>
        </w:tc>
        <w:tc>
          <w:tcPr>
            <w:tcW w:w="280" w:type="dxa"/>
            <w:vAlign w:val="bottom"/>
            <w:shd w:val="clear" w:color="auto" w:fill="1D2758"/>
          </w:tcPr>
          <w:p>
            <w:pPr>
              <w:spacing w:after="0"/>
              <w:rPr>
                <w:sz w:val="18"/>
                <w:szCs w:val="18"/>
                <w:color w:val="auto"/>
              </w:rPr>
            </w:pPr>
          </w:p>
        </w:tc>
        <w:tc>
          <w:tcPr>
            <w:tcW w:w="2080" w:type="dxa"/>
            <w:vAlign w:val="bottom"/>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2015 Private Warrants</w:t>
            </w:r>
          </w:p>
        </w:tc>
        <w:tc>
          <w:tcPr>
            <w:tcW w:w="580" w:type="dxa"/>
            <w:vAlign w:val="bottom"/>
            <w:shd w:val="clear" w:color="auto" w:fill="1D2758"/>
          </w:tcPr>
          <w:p>
            <w:pPr>
              <w:spacing w:after="0"/>
              <w:rPr>
                <w:sz w:val="18"/>
                <w:szCs w:val="18"/>
                <w:color w:val="auto"/>
              </w:rPr>
            </w:pPr>
          </w:p>
        </w:tc>
        <w:tc>
          <w:tcPr>
            <w:tcW w:w="1660" w:type="dxa"/>
            <w:vAlign w:val="bottom"/>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2018 Warrants</w:t>
            </w:r>
          </w:p>
        </w:tc>
      </w:tr>
      <w:tr>
        <w:trPr>
          <w:trHeight w:val="216"/>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 Price</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27.75</w:t>
            </w:r>
          </w:p>
        </w:tc>
        <w:tc>
          <w:tcPr>
            <w:tcW w:w="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10.13</w:t>
            </w:r>
          </w:p>
        </w:tc>
        <w:tc>
          <w:tcPr>
            <w:tcW w:w="58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10.13</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Strike Price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11.50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79"/>
              <w:spacing w:after="0"/>
              <w:rPr>
                <w:sz w:val="20"/>
                <w:szCs w:val="20"/>
                <w:color w:val="auto"/>
              </w:rPr>
            </w:pPr>
            <w:r>
              <w:rPr>
                <w:rFonts w:ascii="Arial" w:cs="Arial" w:eastAsia="Arial" w:hAnsi="Arial"/>
                <w:sz w:val="16"/>
                <w:szCs w:val="16"/>
                <w:color w:val="auto"/>
              </w:rPr>
              <w:t>11.50</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15.50</w:t>
            </w:r>
          </w:p>
        </w:tc>
      </w:tr>
      <w:tr>
        <w:trPr>
          <w:trHeight w:val="219"/>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Life</w:t>
            </w:r>
          </w:p>
        </w:tc>
        <w:tc>
          <w:tcPr>
            <w:tcW w:w="20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w:t>
            </w:r>
          </w:p>
        </w:tc>
        <w:tc>
          <w:tcPr>
            <w:tcW w:w="580" w:type="dxa"/>
            <w:vAlign w:val="bottom"/>
            <w:shd w:val="clear" w:color="auto" w:fill="DBDBDB"/>
          </w:tcPr>
          <w:p>
            <w:pPr>
              <w:spacing w:after="0"/>
              <w:rPr>
                <w:sz w:val="19"/>
                <w:szCs w:val="19"/>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43.62 %</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42.27 %</w:t>
            </w:r>
          </w:p>
        </w:tc>
        <w:tc>
          <w:tcPr>
            <w:tcW w:w="5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42.27 %</w:t>
            </w:r>
          </w:p>
        </w:tc>
      </w:tr>
      <w:tr>
        <w:trPr>
          <w:trHeight w:val="219"/>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 Free rate</w:t>
            </w:r>
          </w:p>
        </w:tc>
        <w:tc>
          <w:tcPr>
            <w:tcW w:w="20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0.13 %</w:t>
            </w:r>
          </w:p>
        </w:tc>
        <w:tc>
          <w:tcPr>
            <w:tcW w:w="28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0.27 %</w:t>
            </w:r>
          </w:p>
        </w:tc>
        <w:tc>
          <w:tcPr>
            <w:tcW w:w="580" w:type="dxa"/>
            <w:vAlign w:val="bottom"/>
            <w:shd w:val="clear" w:color="auto" w:fill="DBDBDB"/>
          </w:tcPr>
          <w:p>
            <w:pPr>
              <w:spacing w:after="0"/>
              <w:rPr>
                <w:sz w:val="19"/>
                <w:szCs w:val="19"/>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0.27 %</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00" w:type="dxa"/>
            <w:vAlign w:val="bottom"/>
          </w:tcPr>
          <w:p>
            <w:pPr>
              <w:spacing w:after="0"/>
              <w:rPr>
                <w:sz w:val="18"/>
                <w:szCs w:val="18"/>
                <w:color w:val="auto"/>
              </w:rPr>
            </w:pPr>
          </w:p>
        </w:tc>
        <w:tc>
          <w:tcPr>
            <w:tcW w:w="2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4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 of warrants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16.52</w:t>
            </w:r>
          </w:p>
        </w:tc>
        <w:tc>
          <w:tcPr>
            <w:tcW w:w="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2.31</w:t>
            </w:r>
          </w:p>
        </w:tc>
        <w:tc>
          <w:tcPr>
            <w:tcW w:w="58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1.39</w:t>
            </w:r>
          </w:p>
        </w:tc>
      </w:tr>
    </w:tbl>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changes in Level 3 liabilities measured at fair value for the three months ended March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78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2015 Private Warrants</w:t>
            </w:r>
          </w:p>
        </w:tc>
        <w:tc>
          <w:tcPr>
            <w:tcW w:w="660" w:type="dxa"/>
            <w:vAlign w:val="bottom"/>
            <w:shd w:val="clear" w:color="auto" w:fill="1D2758"/>
          </w:tcPr>
          <w:p>
            <w:pPr>
              <w:spacing w:after="0"/>
              <w:rPr>
                <w:sz w:val="18"/>
                <w:szCs w:val="18"/>
                <w:color w:val="auto"/>
              </w:rPr>
            </w:pPr>
          </w:p>
        </w:tc>
      </w:tr>
      <w:tr>
        <w:trPr>
          <w:trHeight w:val="216"/>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 December 31, 2020 (as restated)</w:t>
            </w:r>
          </w:p>
        </w:tc>
        <w:tc>
          <w:tcPr>
            <w:tcW w:w="1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77,404</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Repurchases</w:t>
            </w:r>
          </w:p>
        </w:tc>
        <w:tc>
          <w:tcPr>
            <w:tcW w:w="1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(4,679)</w:t>
            </w:r>
          </w:p>
        </w:tc>
      </w:tr>
      <w:tr>
        <w:trPr>
          <w:trHeight w:val="219"/>
        </w:trPr>
        <w:tc>
          <w:tcPr>
            <w:tcW w:w="8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Measurement adjustments</w:t>
            </w:r>
          </w:p>
        </w:tc>
        <w:tc>
          <w:tcPr>
            <w:tcW w:w="178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27,056</w:t>
            </w:r>
          </w:p>
        </w:tc>
      </w:tr>
      <w:tr>
        <w:trPr>
          <w:trHeight w:val="207"/>
        </w:trPr>
        <w:tc>
          <w:tcPr>
            <w:tcW w:w="8800" w:type="dxa"/>
            <w:vAlign w:val="bottom"/>
          </w:tcPr>
          <w:p>
            <w:pPr>
              <w:ind w:left="20"/>
              <w:spacing w:after="0"/>
              <w:rPr>
                <w:sz w:val="20"/>
                <w:szCs w:val="20"/>
                <w:color w:val="auto"/>
              </w:rPr>
            </w:pPr>
            <w:r>
              <w:rPr>
                <w:rFonts w:ascii="Arial" w:cs="Arial" w:eastAsia="Arial" w:hAnsi="Arial"/>
                <w:sz w:val="16"/>
                <w:szCs w:val="16"/>
                <w:color w:val="auto"/>
              </w:rPr>
              <w:t>Balance - March 31, 2021</w:t>
            </w: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99,781</w:t>
            </w:r>
          </w:p>
        </w:tc>
      </w:tr>
      <w:tr>
        <w:trPr>
          <w:trHeight w:val="23"/>
        </w:trPr>
        <w:tc>
          <w:tcPr>
            <w:tcW w:w="88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changes in Level 3 liabilities measured at fair value for the three months ended March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1D2758"/>
          </w:tcPr>
          <w:p>
            <w:pPr>
              <w:spacing w:after="0"/>
              <w:rPr>
                <w:sz w:val="16"/>
                <w:szCs w:val="16"/>
                <w:color w:val="auto"/>
              </w:rPr>
            </w:pPr>
          </w:p>
        </w:tc>
        <w:tc>
          <w:tcPr>
            <w:tcW w:w="2320" w:type="dxa"/>
            <w:vAlign w:val="bottom"/>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2015 Private Warrants</w:t>
            </w:r>
          </w:p>
        </w:tc>
        <w:tc>
          <w:tcPr>
            <w:tcW w:w="460" w:type="dxa"/>
            <w:vAlign w:val="bottom"/>
            <w:shd w:val="clear" w:color="auto" w:fill="1D2758"/>
          </w:tcPr>
          <w:p>
            <w:pPr>
              <w:spacing w:after="0"/>
              <w:rPr>
                <w:sz w:val="16"/>
                <w:szCs w:val="16"/>
                <w:color w:val="auto"/>
              </w:rPr>
            </w:pPr>
          </w:p>
        </w:tc>
        <w:tc>
          <w:tcPr>
            <w:tcW w:w="212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2018 Warrants</w:t>
            </w:r>
          </w:p>
        </w:tc>
        <w:tc>
          <w:tcPr>
            <w:tcW w:w="0" w:type="dxa"/>
            <w:vAlign w:val="bottom"/>
          </w:tcPr>
          <w:p>
            <w:pPr>
              <w:spacing w:after="0"/>
              <w:rPr>
                <w:sz w:val="1"/>
                <w:szCs w:val="1"/>
                <w:color w:val="auto"/>
              </w:rPr>
            </w:pPr>
          </w:p>
        </w:tc>
      </w:tr>
      <w:tr>
        <w:trPr>
          <w:trHeight w:val="216"/>
        </w:trPr>
        <w:tc>
          <w:tcPr>
            <w:tcW w:w="6080" w:type="dxa"/>
            <w:vAlign w:val="bottom"/>
            <w:vMerge w:val="continue"/>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2320" w:type="dxa"/>
            <w:vAlign w:val="bottom"/>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(as restated)</w:t>
            </w:r>
          </w:p>
        </w:tc>
        <w:tc>
          <w:tcPr>
            <w:tcW w:w="460" w:type="dxa"/>
            <w:vAlign w:val="bottom"/>
            <w:shd w:val="clear" w:color="auto" w:fill="1D2758"/>
          </w:tcPr>
          <w:p>
            <w:pPr>
              <w:spacing w:after="0"/>
              <w:rPr>
                <w:sz w:val="18"/>
                <w:szCs w:val="18"/>
                <w:color w:val="auto"/>
              </w:rPr>
            </w:pPr>
          </w:p>
        </w:tc>
        <w:tc>
          <w:tcPr>
            <w:tcW w:w="2120" w:type="dxa"/>
            <w:vAlign w:val="bottom"/>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216"/>
        </w:trPr>
        <w:tc>
          <w:tcPr>
            <w:tcW w:w="6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 December 31, 2019</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3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72,705</w:t>
            </w:r>
          </w:p>
        </w:tc>
        <w:tc>
          <w:tcPr>
            <w:tcW w:w="46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58,369</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Arial" w:cs="Arial" w:eastAsia="Arial" w:hAnsi="Arial"/>
                <w:sz w:val="16"/>
                <w:szCs w:val="16"/>
                <w:color w:val="auto"/>
              </w:rPr>
              <w:t>Exercises</w:t>
            </w:r>
          </w:p>
        </w:tc>
        <w:tc>
          <w:tcPr>
            <w:tcW w:w="260" w:type="dxa"/>
            <w:vAlign w:val="bottom"/>
          </w:tcPr>
          <w:p>
            <w:pPr>
              <w:spacing w:after="0"/>
              <w:rPr>
                <w:sz w:val="18"/>
                <w:szCs w:val="18"/>
                <w:color w:val="auto"/>
              </w:rPr>
            </w:pPr>
          </w:p>
        </w:tc>
        <w:tc>
          <w:tcPr>
            <w:tcW w:w="2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6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Measurement adjustments</w:t>
            </w:r>
          </w:p>
        </w:tc>
        <w:tc>
          <w:tcPr>
            <w:tcW w:w="260" w:type="dxa"/>
            <w:vAlign w:val="bottom"/>
            <w:tcBorders>
              <w:bottom w:val="single" w:sz="8" w:color="auto"/>
            </w:tcBorders>
            <w:shd w:val="clear" w:color="auto" w:fill="DBDBDB"/>
          </w:tcPr>
          <w:p>
            <w:pPr>
              <w:spacing w:after="0"/>
              <w:rPr>
                <w:sz w:val="19"/>
                <w:szCs w:val="19"/>
                <w:color w:val="auto"/>
              </w:rPr>
            </w:pP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(52,510)</w:t>
            </w:r>
          </w:p>
        </w:tc>
        <w:tc>
          <w:tcPr>
            <w:tcW w:w="460" w:type="dxa"/>
            <w:vAlign w:val="bottom"/>
            <w:tcBorders>
              <w:bottom w:val="single" w:sz="8" w:color="auto"/>
            </w:tcBorders>
            <w:shd w:val="clear" w:color="auto" w:fill="DBDBDB"/>
          </w:tcPr>
          <w:p>
            <w:pPr>
              <w:spacing w:after="0"/>
              <w:rPr>
                <w:sz w:val="19"/>
                <w:szCs w:val="19"/>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(44,475)</w:t>
            </w:r>
          </w:p>
        </w:tc>
        <w:tc>
          <w:tcPr>
            <w:tcW w:w="0" w:type="dxa"/>
            <w:vAlign w:val="bottom"/>
          </w:tcPr>
          <w:p>
            <w:pPr>
              <w:spacing w:after="0"/>
              <w:rPr>
                <w:sz w:val="1"/>
                <w:szCs w:val="1"/>
                <w:color w:val="auto"/>
              </w:rPr>
            </w:pPr>
          </w:p>
        </w:tc>
      </w:tr>
      <w:tr>
        <w:trPr>
          <w:trHeight w:val="206"/>
        </w:trPr>
        <w:tc>
          <w:tcPr>
            <w:tcW w:w="608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13,853</w:t>
            </w:r>
          </w:p>
        </w:tc>
        <w:tc>
          <w:tcPr>
            <w:tcW w:w="0" w:type="dxa"/>
            <w:vAlign w:val="bottom"/>
          </w:tcPr>
          <w:p>
            <w:pPr>
              <w:spacing w:after="0"/>
              <w:rPr>
                <w:sz w:val="1"/>
                <w:szCs w:val="1"/>
                <w:color w:val="auto"/>
              </w:rPr>
            </w:pPr>
          </w:p>
        </w:tc>
      </w:tr>
      <w:tr>
        <w:trPr>
          <w:trHeight w:val="24"/>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3"/>
          <w:szCs w:val="23"/>
          <w:color w:val="1D2758"/>
        </w:rPr>
        <w:t>NOTE 14 - Restructuring</w:t>
      </w:r>
    </w:p>
    <w:p>
      <w:pPr>
        <w:spacing w:after="0" w:line="1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Restructuring costs include charges associated with exit or disposal activities that meet the definition of restructuring under FASB ASC Topic 420, </w:t>
      </w:r>
      <w:r>
        <w:rPr>
          <w:rFonts w:ascii="Arial" w:cs="Arial" w:eastAsia="Arial" w:hAnsi="Arial"/>
          <w:sz w:val="16"/>
          <w:szCs w:val="16"/>
          <w:i w:val="1"/>
          <w:iCs w:val="1"/>
          <w:color w:val="auto"/>
        </w:rPr>
        <w:t xml:space="preserve">Exit or Disposal Cost Obligations </w:t>
      </w:r>
      <w:r>
        <w:rPr>
          <w:rFonts w:ascii="Arial" w:cs="Arial" w:eastAsia="Arial" w:hAnsi="Arial"/>
          <w:sz w:val="16"/>
          <w:szCs w:val="16"/>
          <w:color w:val="auto"/>
        </w:rPr>
        <w:t>(“ASC 420”). The Company's restructuring plans are generally country or region specific and are typically completed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 one-year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other than lease costs accounted for under ASC 842. Costs related to the integration of acquired businesses that do not meet the definition of restructuring under ASC 420, such as employee training costs, duplicate facility costs and professional services expenses, are included within SG&amp;A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The following is a summary of the activity in the Company’s restructuring accruals for the three months ended March 31,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2560" w:type="dxa"/>
            <w:vAlign w:val="bottom"/>
            <w:gridSpan w:val="5"/>
            <w:shd w:val="clear" w:color="auto" w:fill="1D2758"/>
          </w:tcPr>
          <w:p>
            <w:pPr>
              <w:spacing w:after="0"/>
              <w:rPr>
                <w:sz w:val="20"/>
                <w:szCs w:val="20"/>
                <w:color w:val="auto"/>
              </w:rPr>
            </w:pPr>
            <w:r>
              <w:rPr>
                <w:rFonts w:ascii="Arial" w:cs="Arial" w:eastAsia="Arial" w:hAnsi="Arial"/>
                <w:sz w:val="16"/>
                <w:szCs w:val="16"/>
                <w:b w:val="1"/>
                <w:bCs w:val="1"/>
                <w:color w:val="FFFFFF"/>
              </w:rPr>
              <w:t>Three Months Ended March 31,</w:t>
            </w:r>
          </w:p>
        </w:tc>
        <w:tc>
          <w:tcPr>
            <w:tcW w:w="16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0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00" w:type="dxa"/>
            <w:vAlign w:val="bottom"/>
            <w:shd w:val="clear" w:color="auto" w:fill="1D2758"/>
          </w:tcPr>
          <w:p>
            <w:pPr>
              <w:jc w:val="center"/>
              <w:ind w:right="9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9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1D2758"/>
          </w:tcPr>
          <w:p>
            <w:pPr>
              <w:spacing w:after="0"/>
              <w:rPr>
                <w:sz w:val="14"/>
                <w:szCs w:val="14"/>
                <w:color w:val="auto"/>
              </w:rPr>
            </w:pPr>
          </w:p>
        </w:tc>
        <w:tc>
          <w:tcPr>
            <w:tcW w:w="1160" w:type="dxa"/>
            <w:vAlign w:val="bottom"/>
            <w:gridSpan w:val="2"/>
            <w:shd w:val="clear" w:color="auto" w:fill="1D2758"/>
          </w:tcPr>
          <w:p>
            <w:pPr>
              <w:jc w:val="center"/>
              <w:ind w:right="280"/>
              <w:spacing w:after="0" w:line="167" w:lineRule="exact"/>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1D2758"/>
          </w:tcPr>
          <w:p>
            <w:pPr>
              <w:spacing w:after="0"/>
              <w:rPr>
                <w:sz w:val="14"/>
                <w:szCs w:val="14"/>
                <w:color w:val="auto"/>
              </w:rPr>
            </w:pPr>
          </w:p>
        </w:tc>
        <w:tc>
          <w:tcPr>
            <w:tcW w:w="1180" w:type="dxa"/>
            <w:vAlign w:val="bottom"/>
            <w:gridSpan w:val="2"/>
            <w:shd w:val="clear" w:color="auto" w:fill="1D2758"/>
          </w:tcPr>
          <w:p>
            <w:pPr>
              <w:jc w:val="center"/>
              <w:ind w:right="240"/>
              <w:spacing w:after="0" w:line="167" w:lineRule="exact"/>
              <w:rPr>
                <w:sz w:val="20"/>
                <w:szCs w:val="20"/>
                <w:color w:val="auto"/>
              </w:rPr>
            </w:pPr>
            <w:r>
              <w:rPr>
                <w:rFonts w:ascii="Arial" w:cs="Arial" w:eastAsia="Arial" w:hAnsi="Arial"/>
                <w:sz w:val="16"/>
                <w:szCs w:val="16"/>
                <w:b w:val="1"/>
                <w:bCs w:val="1"/>
                <w:color w:val="FFFFFF"/>
              </w:rPr>
              <w:t>Facility Exit</w:t>
            </w:r>
          </w:p>
        </w:tc>
        <w:tc>
          <w:tcPr>
            <w:tcW w:w="12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160" w:type="dxa"/>
            <w:vAlign w:val="bottom"/>
            <w:gridSpan w:val="2"/>
            <w:shd w:val="clear" w:color="auto" w:fill="1D2758"/>
          </w:tcPr>
          <w:p>
            <w:pPr>
              <w:jc w:val="center"/>
              <w:ind w:right="280"/>
              <w:spacing w:after="0" w:line="167" w:lineRule="exact"/>
              <w:rPr>
                <w:sz w:val="20"/>
                <w:szCs w:val="20"/>
                <w:color w:val="auto"/>
              </w:rPr>
            </w:pPr>
            <w:r>
              <w:rPr>
                <w:rFonts w:ascii="Arial" w:cs="Arial" w:eastAsia="Arial" w:hAnsi="Arial"/>
                <w:sz w:val="16"/>
                <w:szCs w:val="16"/>
                <w:b w:val="1"/>
                <w:bCs w:val="1"/>
                <w:color w:val="FFFFFF"/>
              </w:rPr>
              <w:t>Employee</w:t>
            </w:r>
          </w:p>
        </w:tc>
        <w:tc>
          <w:tcPr>
            <w:tcW w:w="160" w:type="dxa"/>
            <w:vAlign w:val="bottom"/>
            <w:shd w:val="clear" w:color="auto" w:fill="1D2758"/>
          </w:tcPr>
          <w:p>
            <w:pPr>
              <w:spacing w:after="0"/>
              <w:rPr>
                <w:sz w:val="14"/>
                <w:szCs w:val="14"/>
                <w:color w:val="auto"/>
              </w:rPr>
            </w:pPr>
          </w:p>
        </w:tc>
        <w:tc>
          <w:tcPr>
            <w:tcW w:w="1200" w:type="dxa"/>
            <w:vAlign w:val="bottom"/>
            <w:gridSpan w:val="2"/>
            <w:shd w:val="clear" w:color="auto" w:fill="1D2758"/>
          </w:tcPr>
          <w:p>
            <w:pPr>
              <w:jc w:val="center"/>
              <w:ind w:right="260"/>
              <w:spacing w:after="0" w:line="167" w:lineRule="exact"/>
              <w:rPr>
                <w:sz w:val="20"/>
                <w:szCs w:val="20"/>
                <w:color w:val="auto"/>
              </w:rPr>
            </w:pPr>
            <w:r>
              <w:rPr>
                <w:rFonts w:ascii="Arial" w:cs="Arial" w:eastAsia="Arial" w:hAnsi="Arial"/>
                <w:sz w:val="16"/>
                <w:szCs w:val="16"/>
                <w:b w:val="1"/>
                <w:bCs w:val="1"/>
                <w:color w:val="FFFFFF"/>
              </w:rPr>
              <w:t>Facility Exit</w:t>
            </w:r>
          </w:p>
        </w:tc>
        <w:tc>
          <w:tcPr>
            <w:tcW w:w="260" w:type="dxa"/>
            <w:vAlign w:val="bottom"/>
            <w:shd w:val="clear" w:color="auto" w:fill="1D2758"/>
          </w:tcPr>
          <w:p>
            <w:pPr>
              <w:spacing w:after="0"/>
              <w:rPr>
                <w:sz w:val="14"/>
                <w:szCs w:val="14"/>
                <w:color w:val="auto"/>
              </w:rPr>
            </w:pPr>
          </w:p>
        </w:tc>
        <w:tc>
          <w:tcPr>
            <w:tcW w:w="98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vMerge w:val="continue"/>
            <w:shd w:val="clear" w:color="auto" w:fill="1D2758"/>
          </w:tcPr>
          <w:p>
            <w:pPr>
              <w:spacing w:after="0"/>
              <w:rPr>
                <w:sz w:val="10"/>
                <w:szCs w:val="10"/>
                <w:color w:val="auto"/>
              </w:rPr>
            </w:pPr>
          </w:p>
        </w:tc>
        <w:tc>
          <w:tcPr>
            <w:tcW w:w="180" w:type="dxa"/>
            <w:vAlign w:val="bottom"/>
            <w:shd w:val="clear" w:color="auto" w:fill="1D2758"/>
          </w:tcPr>
          <w:p>
            <w:pPr>
              <w:spacing w:after="0"/>
              <w:rPr>
                <w:sz w:val="10"/>
                <w:szCs w:val="10"/>
                <w:color w:val="auto"/>
              </w:rPr>
            </w:pPr>
          </w:p>
        </w:tc>
        <w:tc>
          <w:tcPr>
            <w:tcW w:w="116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1D2758"/>
          </w:tcPr>
          <w:p>
            <w:pPr>
              <w:spacing w:after="0"/>
              <w:rPr>
                <w:sz w:val="10"/>
                <w:szCs w:val="10"/>
                <w:color w:val="auto"/>
              </w:rPr>
            </w:pPr>
          </w:p>
        </w:tc>
        <w:tc>
          <w:tcPr>
            <w:tcW w:w="118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Costs</w:t>
            </w:r>
          </w:p>
        </w:tc>
        <w:tc>
          <w:tcPr>
            <w:tcW w:w="120" w:type="dxa"/>
            <w:vAlign w:val="bottom"/>
            <w:shd w:val="clear" w:color="auto" w:fill="1D2758"/>
          </w:tcPr>
          <w:p>
            <w:pPr>
              <w:spacing w:after="0"/>
              <w:rPr>
                <w:sz w:val="10"/>
                <w:szCs w:val="10"/>
                <w:color w:val="auto"/>
              </w:rPr>
            </w:pPr>
          </w:p>
        </w:tc>
        <w:tc>
          <w:tcPr>
            <w:tcW w:w="1220" w:type="dxa"/>
            <w:vAlign w:val="bottom"/>
            <w:gridSpan w:val="2"/>
            <w:vMerge w:val="restart"/>
            <w:shd w:val="clear" w:color="auto" w:fill="1D2758"/>
          </w:tcPr>
          <w:p>
            <w:pPr>
              <w:ind w:left="32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1D2758"/>
          </w:tcPr>
          <w:p>
            <w:pPr>
              <w:spacing w:after="0"/>
              <w:rPr>
                <w:sz w:val="10"/>
                <w:szCs w:val="10"/>
                <w:color w:val="auto"/>
              </w:rPr>
            </w:pPr>
          </w:p>
        </w:tc>
        <w:tc>
          <w:tcPr>
            <w:tcW w:w="116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Costs</w:t>
            </w:r>
          </w:p>
        </w:tc>
        <w:tc>
          <w:tcPr>
            <w:tcW w:w="160" w:type="dxa"/>
            <w:vAlign w:val="bottom"/>
            <w:shd w:val="clear" w:color="auto" w:fill="1D2758"/>
          </w:tcPr>
          <w:p>
            <w:pPr>
              <w:spacing w:after="0"/>
              <w:rPr>
                <w:sz w:val="10"/>
                <w:szCs w:val="10"/>
                <w:color w:val="auto"/>
              </w:rPr>
            </w:pPr>
          </w:p>
        </w:tc>
        <w:tc>
          <w:tcPr>
            <w:tcW w:w="1200" w:type="dxa"/>
            <w:vAlign w:val="bottom"/>
            <w:gridSpan w:val="2"/>
            <w:vMerge w:val="restart"/>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w w:val="98"/>
              </w:rPr>
              <w:t>Costs</w:t>
            </w:r>
          </w:p>
        </w:tc>
        <w:tc>
          <w:tcPr>
            <w:tcW w:w="260" w:type="dxa"/>
            <w:vAlign w:val="bottom"/>
            <w:shd w:val="clear" w:color="auto" w:fill="1D2758"/>
          </w:tcPr>
          <w:p>
            <w:pPr>
              <w:spacing w:after="0"/>
              <w:rPr>
                <w:sz w:val="10"/>
                <w:szCs w:val="10"/>
                <w:color w:val="auto"/>
              </w:rPr>
            </w:pPr>
          </w:p>
        </w:tc>
        <w:tc>
          <w:tcPr>
            <w:tcW w:w="980" w:type="dxa"/>
            <w:vAlign w:val="bottom"/>
            <w:vMerge w:val="restart"/>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00"/>
        </w:trPr>
        <w:tc>
          <w:tcPr>
            <w:tcW w:w="330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160" w:type="dxa"/>
            <w:vAlign w:val="bottom"/>
            <w:gridSpan w:val="2"/>
            <w:vMerge w:val="continue"/>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180" w:type="dxa"/>
            <w:vAlign w:val="bottom"/>
            <w:gridSpan w:val="2"/>
            <w:vMerge w:val="continue"/>
            <w:shd w:val="clear" w:color="auto" w:fill="1D2758"/>
          </w:tcPr>
          <w:p>
            <w:pPr>
              <w:spacing w:after="0"/>
              <w:rPr>
                <w:sz w:val="8"/>
                <w:szCs w:val="8"/>
                <w:color w:val="auto"/>
              </w:rPr>
            </w:pPr>
          </w:p>
        </w:tc>
        <w:tc>
          <w:tcPr>
            <w:tcW w:w="120" w:type="dxa"/>
            <w:vAlign w:val="bottom"/>
            <w:shd w:val="clear" w:color="auto" w:fill="1D2758"/>
          </w:tcPr>
          <w:p>
            <w:pPr>
              <w:spacing w:after="0"/>
              <w:rPr>
                <w:sz w:val="8"/>
                <w:szCs w:val="8"/>
                <w:color w:val="auto"/>
              </w:rPr>
            </w:pPr>
          </w:p>
        </w:tc>
        <w:tc>
          <w:tcPr>
            <w:tcW w:w="1220" w:type="dxa"/>
            <w:vAlign w:val="bottom"/>
            <w:gridSpan w:val="2"/>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160" w:type="dxa"/>
            <w:vAlign w:val="bottom"/>
            <w:gridSpan w:val="2"/>
            <w:vMerge w:val="continue"/>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200" w:type="dxa"/>
            <w:vAlign w:val="bottom"/>
            <w:gridSpan w:val="2"/>
            <w:vMerge w:val="continue"/>
            <w:shd w:val="clear" w:color="auto" w:fill="1D2758"/>
          </w:tcPr>
          <w:p>
            <w:pPr>
              <w:spacing w:after="0"/>
              <w:rPr>
                <w:sz w:val="8"/>
                <w:szCs w:val="8"/>
                <w:color w:val="auto"/>
              </w:rPr>
            </w:pPr>
          </w:p>
        </w:tc>
        <w:tc>
          <w:tcPr>
            <w:tcW w:w="260" w:type="dxa"/>
            <w:vAlign w:val="bottom"/>
            <w:shd w:val="clear" w:color="auto" w:fill="1D2758"/>
          </w:tcPr>
          <w:p>
            <w:pPr>
              <w:spacing w:after="0"/>
              <w:rPr>
                <w:sz w:val="8"/>
                <w:szCs w:val="8"/>
                <w:color w:val="auto"/>
              </w:rPr>
            </w:pPr>
          </w:p>
        </w:tc>
        <w:tc>
          <w:tcPr>
            <w:tcW w:w="98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3300" w:type="dxa"/>
            <w:vAlign w:val="bottom"/>
          </w:tcPr>
          <w:p>
            <w:pPr>
              <w:ind w:left="24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33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Cash payments</w:t>
            </w:r>
          </w:p>
        </w:tc>
        <w:tc>
          <w:tcPr>
            <w:tcW w:w="1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Non-cash movements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3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3,318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33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restructuring charges for the three months ended March 31, 2021 are primarily driven by termination costs as a result of the elimination of positions due to the Merger. The restructuring charges for the three months ended March 31, 2020 primarily relate to the termination of employees in connection with ModSpace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w:t>
      </w:r>
      <w:r>
        <w:rPr>
          <w:rFonts w:ascii="Arial" w:cs="Arial" w:eastAsia="Arial" w:hAnsi="Arial"/>
          <w:sz w:val="16"/>
          <w:szCs w:val="16"/>
          <w:color w:val="auto"/>
        </w:rPr>
        <w:t>as defined in Note 18</w:t>
      </w:r>
      <w:r>
        <w:rPr>
          <w:rFonts w:ascii="Arial" w:cs="Arial" w:eastAsia="Arial" w:hAnsi="Arial"/>
          <w:sz w:val="18"/>
          <w:szCs w:val="18"/>
          <w:color w:val="auto"/>
        </w:rPr>
        <w:t>)</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$3.1 million of restructuring charges for the three months ended March 31, 2021 includes $1.0 million of charges related to the NA Modular segment, $0.7 million of charges related to the NA Storage segment, and $1.4 million of unallocated charges.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charges for the three months ended March 31, 2020 pertain to the NA Modular segment.</w:t>
      </w: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1D2758"/>
        </w:rPr>
        <w:t>NOTE 15 - Stock-Based Compensation</w:t>
      </w:r>
    </w:p>
    <w:p>
      <w:pPr>
        <w:spacing w:after="0" w:line="1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Prior to the Merger, stock awards were granted under the WillScot Corporation 2017 Incentive Award Plan (the "2017 Incentive Plan"), which included Restricted Stock Awards ("RSAs") and Restricted Stock Units ("RSUs"). On June 24, 2020, WillScot's stockholders approved the WillScot Mobile Mini 2020 Incentive Award Plan ("2020 Incentive Plan") to take effect pending completion of the Merger. The plan amended and restated in its entirety the 2017 Incentive Plan. As a result, all historical and future incentive awards to the Company's Board of Directors, executive officers and employees, as determined by the Company's Compensation Committee ("the Comp Committee"), are granted under the 2020 Incentive Plan. The 2020 Incentive Plan is administered by the Comp Committee. Under the 2020 Incentive Plan, the Comp Committee may grant an aggregate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spacing w:after="0" w:line="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Stock-based compensation expense includes grants of stock options, time-based RSUs ("Time-Based RSUs") and performance-based RSUs ("Performance-Based RSUs", together with Time-Based RSUs, the "RSUs"). The 2020 Incentive Plan continues the former Market-Based RSUs renamed as "Performance-Based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Restricted Stock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gridSpan w:val="6"/>
          </w:tcPr>
          <w:p>
            <w:pPr>
              <w:ind w:left="660"/>
              <w:spacing w:after="0"/>
              <w:rPr>
                <w:sz w:val="20"/>
                <w:szCs w:val="20"/>
                <w:color w:val="auto"/>
              </w:rPr>
            </w:pPr>
            <w:r>
              <w:rPr>
                <w:rFonts w:ascii="Arial" w:cs="Arial" w:eastAsia="Arial" w:hAnsi="Arial"/>
                <w:sz w:val="16"/>
                <w:szCs w:val="16"/>
                <w:color w:val="auto"/>
              </w:rPr>
              <w:t>The following table summarizes the Company's RSA activity for the three months ended March 31,:</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8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1D2758"/>
          </w:tcPr>
          <w:p>
            <w:pPr>
              <w:spacing w:after="0"/>
              <w:rPr>
                <w:sz w:val="18"/>
                <w:szCs w:val="18"/>
                <w:color w:val="auto"/>
              </w:rPr>
            </w:pPr>
          </w:p>
        </w:tc>
        <w:tc>
          <w:tcPr>
            <w:tcW w:w="2440" w:type="dxa"/>
            <w:vAlign w:val="bottom"/>
            <w:gridSpan w:val="3"/>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2021</w:t>
            </w:r>
          </w:p>
        </w:tc>
        <w:tc>
          <w:tcPr>
            <w:tcW w:w="10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440" w:type="dxa"/>
            <w:vAlign w:val="bottom"/>
            <w:gridSpan w:val="3"/>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2020</w:t>
            </w:r>
          </w:p>
        </w:tc>
        <w:tc>
          <w:tcPr>
            <w:tcW w:w="10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20" w:type="dxa"/>
            <w:vAlign w:val="bottom"/>
            <w:shd w:val="clear" w:color="auto" w:fill="1D2758"/>
          </w:tcPr>
          <w:p>
            <w:pPr>
              <w:spacing w:after="0"/>
              <w:rPr>
                <w:sz w:val="14"/>
                <w:szCs w:val="14"/>
                <w:color w:val="auto"/>
              </w:rPr>
            </w:pPr>
          </w:p>
        </w:tc>
        <w:tc>
          <w:tcPr>
            <w:tcW w:w="176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800" w:type="dxa"/>
            <w:vAlign w:val="bottom"/>
            <w:gridSpan w:val="3"/>
            <w:shd w:val="clear" w:color="auto" w:fill="1D2758"/>
          </w:tcPr>
          <w:p>
            <w:pPr>
              <w:ind w:left="140"/>
              <w:spacing w:after="0" w:line="164" w:lineRule="exact"/>
              <w:rPr>
                <w:sz w:val="20"/>
                <w:szCs w:val="20"/>
                <w:color w:val="auto"/>
              </w:rPr>
            </w:pPr>
            <w:r>
              <w:rPr>
                <w:rFonts w:ascii="Arial" w:cs="Arial" w:eastAsia="Arial" w:hAnsi="Arial"/>
                <w:sz w:val="16"/>
                <w:szCs w:val="16"/>
                <w:b w:val="1"/>
                <w:bCs w:val="1"/>
                <w:color w:val="FFFFFF"/>
              </w:rPr>
              <w:t>Weighted-Average</w:t>
            </w:r>
          </w:p>
        </w:tc>
        <w:tc>
          <w:tcPr>
            <w:tcW w:w="1760" w:type="dxa"/>
            <w:vAlign w:val="bottom"/>
            <w:gridSpan w:val="2"/>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Number of Shares</w:t>
            </w:r>
          </w:p>
        </w:tc>
        <w:tc>
          <w:tcPr>
            <w:tcW w:w="1700" w:type="dxa"/>
            <w:vAlign w:val="bottom"/>
            <w:gridSpan w:val="2"/>
            <w:shd w:val="clear" w:color="auto" w:fill="1D2758"/>
          </w:tcPr>
          <w:p>
            <w:pPr>
              <w:ind w:left="140"/>
              <w:spacing w:after="0" w:line="164" w:lineRule="exact"/>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760" w:type="dxa"/>
            <w:vAlign w:val="bottom"/>
            <w:gridSpan w:val="2"/>
            <w:vMerge w:val="continue"/>
            <w:shd w:val="clear" w:color="auto" w:fill="1D2758"/>
          </w:tcPr>
          <w:p>
            <w:pPr>
              <w:spacing w:after="0"/>
              <w:rPr>
                <w:sz w:val="18"/>
                <w:szCs w:val="18"/>
                <w:color w:val="auto"/>
              </w:rPr>
            </w:pPr>
          </w:p>
        </w:tc>
        <w:tc>
          <w:tcPr>
            <w:tcW w:w="1800" w:type="dxa"/>
            <w:vAlign w:val="bottom"/>
            <w:gridSpan w:val="3"/>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176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Balance December 31,</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57,448</w:t>
            </w:r>
          </w:p>
        </w:tc>
        <w:tc>
          <w:tcPr>
            <w:tcW w:w="80" w:type="dxa"/>
            <w:vAlign w:val="bottom"/>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DBDBDB"/>
          </w:tcPr>
          <w:p>
            <w:pPr>
              <w:spacing w:after="0"/>
              <w:rPr>
                <w:sz w:val="18"/>
                <w:szCs w:val="18"/>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52,755</w:t>
            </w:r>
          </w:p>
        </w:tc>
        <w:tc>
          <w:tcPr>
            <w:tcW w:w="100" w:type="dxa"/>
            <w:vAlign w:val="bottom"/>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Balance March 31,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57,448</w:t>
            </w:r>
          </w:p>
        </w:tc>
        <w:tc>
          <w:tcPr>
            <w:tcW w:w="80" w:type="dxa"/>
            <w:vAlign w:val="bottom"/>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52,755</w:t>
            </w:r>
          </w:p>
        </w:tc>
        <w:tc>
          <w:tcPr>
            <w:tcW w:w="100" w:type="dxa"/>
            <w:vAlign w:val="bottom"/>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4"/>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$0.2 million and $0.2 million for the three months ended March 31, 2021 and 2020, respectively. At March 31, 2021, there was $0.1 million of unrecognized compensation cost related to RSAs that is expected to be recognized over the remaining weighted average vesting period of 0.1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Time-Based RSU activity for the three months ended March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1D2758"/>
          </w:tcPr>
          <w:p>
            <w:pPr>
              <w:spacing w:after="0"/>
              <w:rPr>
                <w:sz w:val="18"/>
                <w:szCs w:val="18"/>
                <w:color w:val="auto"/>
              </w:rPr>
            </w:pPr>
          </w:p>
        </w:tc>
        <w:tc>
          <w:tcPr>
            <w:tcW w:w="3460" w:type="dxa"/>
            <w:vAlign w:val="bottom"/>
            <w:gridSpan w:val="4"/>
            <w:shd w:val="clear" w:color="auto" w:fill="1D2758"/>
          </w:tcPr>
          <w:p>
            <w:pPr>
              <w:jc w:val="right"/>
              <w:ind w:right="147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460" w:type="dxa"/>
            <w:vAlign w:val="bottom"/>
            <w:gridSpan w:val="4"/>
            <w:shd w:val="clear" w:color="auto" w:fill="1D2758"/>
          </w:tcPr>
          <w:p>
            <w:pPr>
              <w:jc w:val="right"/>
              <w:ind w:right="147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76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40" w:type="dxa"/>
            <w:vAlign w:val="bottom"/>
            <w:shd w:val="clear" w:color="auto" w:fill="1D2758"/>
          </w:tcPr>
          <w:p>
            <w:pPr>
              <w:spacing w:after="0"/>
              <w:rPr>
                <w:sz w:val="14"/>
                <w:szCs w:val="14"/>
                <w:color w:val="auto"/>
              </w:rPr>
            </w:pPr>
          </w:p>
        </w:tc>
        <w:tc>
          <w:tcPr>
            <w:tcW w:w="1660" w:type="dxa"/>
            <w:vAlign w:val="bottom"/>
            <w:gridSpan w:val="2"/>
            <w:shd w:val="clear" w:color="auto" w:fill="1D2758"/>
          </w:tcPr>
          <w:p>
            <w:pPr>
              <w:spacing w:after="0" w:line="162" w:lineRule="exact"/>
              <w:rPr>
                <w:sz w:val="20"/>
                <w:szCs w:val="20"/>
                <w:color w:val="auto"/>
              </w:rPr>
            </w:pPr>
            <w:r>
              <w:rPr>
                <w:rFonts w:ascii="Arial" w:cs="Arial" w:eastAsia="Arial" w:hAnsi="Arial"/>
                <w:sz w:val="16"/>
                <w:szCs w:val="16"/>
                <w:b w:val="1"/>
                <w:bCs w:val="1"/>
                <w:color w:val="FFFFFF"/>
              </w:rPr>
              <w:t>Weighted-Average</w:t>
            </w:r>
          </w:p>
        </w:tc>
        <w:tc>
          <w:tcPr>
            <w:tcW w:w="1760" w:type="dxa"/>
            <w:vAlign w:val="bottom"/>
            <w:gridSpan w:val="2"/>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1D2758"/>
          </w:tcPr>
          <w:p>
            <w:pPr>
              <w:spacing w:after="0"/>
              <w:rPr>
                <w:sz w:val="14"/>
                <w:szCs w:val="14"/>
                <w:color w:val="auto"/>
              </w:rPr>
            </w:pPr>
          </w:p>
        </w:tc>
        <w:tc>
          <w:tcPr>
            <w:tcW w:w="1580" w:type="dxa"/>
            <w:vAlign w:val="bottom"/>
            <w:shd w:val="clear" w:color="auto" w:fill="1D2758"/>
          </w:tcPr>
          <w:p>
            <w:pPr>
              <w:jc w:val="right"/>
              <w:ind w:right="59"/>
              <w:spacing w:after="0" w:line="162" w:lineRule="exact"/>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760" w:type="dxa"/>
            <w:vAlign w:val="bottom"/>
            <w:gridSpan w:val="2"/>
            <w:vMerge w:val="continue"/>
            <w:shd w:val="clear" w:color="auto" w:fill="1D2758"/>
          </w:tcPr>
          <w:p>
            <w:pPr>
              <w:spacing w:after="0"/>
              <w:rPr>
                <w:sz w:val="18"/>
                <w:szCs w:val="18"/>
                <w:color w:val="auto"/>
              </w:rPr>
            </w:pPr>
          </w:p>
        </w:tc>
        <w:tc>
          <w:tcPr>
            <w:tcW w:w="1800" w:type="dxa"/>
            <w:vAlign w:val="bottom"/>
            <w:gridSpan w:val="3"/>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176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1,125,766</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DDDDDD"/>
          </w:tcPr>
          <w:p>
            <w:pPr>
              <w:spacing w:after="0"/>
              <w:rPr>
                <w:sz w:val="18"/>
                <w:szCs w:val="18"/>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1,065,305</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3"/>
        </w:trPr>
        <w:tc>
          <w:tcPr>
            <w:tcW w:w="42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405,505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16.78</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(33,238)</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DDDDDD"/>
          </w:tcPr>
          <w:p>
            <w:pPr>
              <w:spacing w:after="0"/>
              <w:rPr>
                <w:sz w:val="19"/>
                <w:szCs w:val="19"/>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(15,106)</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DDDDDD"/>
            </w:tcBorders>
          </w:tcPr>
          <w:p>
            <w:pPr>
              <w:ind w:left="240"/>
              <w:spacing w:after="0"/>
              <w:rPr>
                <w:sz w:val="20"/>
                <w:szCs w:val="20"/>
                <w:color w:val="auto"/>
              </w:rPr>
            </w:pPr>
            <w:r>
              <w:rPr>
                <w:rFonts w:ascii="Arial" w:cs="Arial" w:eastAsia="Arial" w:hAnsi="Arial"/>
                <w:sz w:val="16"/>
                <w:szCs w:val="16"/>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(144,204)</w:t>
            </w:r>
          </w:p>
        </w:tc>
        <w:tc>
          <w:tcPr>
            <w:tcW w:w="80" w:type="dxa"/>
            <w:vAlign w:val="bottom"/>
            <w:tcBorders>
              <w:bottom w:val="single" w:sz="8" w:color="DDDDDD"/>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DDDDDD"/>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(323,678)</w:t>
            </w:r>
          </w:p>
        </w:tc>
        <w:tc>
          <w:tcPr>
            <w:tcW w:w="100" w:type="dxa"/>
            <w:vAlign w:val="bottom"/>
            <w:tcBorders>
              <w:bottom w:val="single" w:sz="8" w:color="DDDDDD"/>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6"/>
                <w:szCs w:val="16"/>
                <w:color w:val="auto"/>
              </w:rPr>
              <w:t>Balance March 31,</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1,353,829</w:t>
            </w:r>
          </w:p>
        </w:tc>
        <w:tc>
          <w:tcPr>
            <w:tcW w:w="80" w:type="dxa"/>
            <w:vAlign w:val="bottom"/>
            <w:tcBorders>
              <w:bottom w:val="single" w:sz="8" w:color="DDDDDD"/>
            </w:tcBorders>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Borders>
              <w:bottom w:val="single" w:sz="8" w:color="DDDDDD"/>
            </w:tcBorders>
            <w:shd w:val="clear" w:color="auto" w:fill="DDDDDD"/>
          </w:tcPr>
          <w:p>
            <w:pPr>
              <w:spacing w:after="0"/>
              <w:rPr>
                <w:sz w:val="19"/>
                <w:szCs w:val="19"/>
                <w:color w:val="auto"/>
              </w:rPr>
            </w:pP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900,541</w:t>
            </w:r>
          </w:p>
        </w:tc>
        <w:tc>
          <w:tcPr>
            <w:tcW w:w="10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58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$2.1 million and $1.0 million for the three months ended March 31, 2021 and 2020, respectively. At March 31, 2021, unrecognized compensation cost related to Time-Based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RSUs totaled $24.0 million and is expected to be recognized over the remaining weighted average vesting period of 2.9 years.</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Included in restructuring costs for the three months ended 2021 was expense of approximately $1.1 million recognized as a result of the modification of certain RSUs associated with the Transition, Separation and Release Agreement entered into on February 25, 2021 with the Company's President and Chief Operating Officer.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Performance-Based RSU award activity for the three months ended March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1D2758"/>
          </w:tcPr>
          <w:p>
            <w:pPr>
              <w:spacing w:after="0"/>
              <w:rPr>
                <w:sz w:val="18"/>
                <w:szCs w:val="18"/>
                <w:color w:val="auto"/>
              </w:rPr>
            </w:pPr>
          </w:p>
        </w:tc>
        <w:tc>
          <w:tcPr>
            <w:tcW w:w="3460" w:type="dxa"/>
            <w:vAlign w:val="bottom"/>
            <w:gridSpan w:val="4"/>
            <w:shd w:val="clear" w:color="auto" w:fill="1D2758"/>
          </w:tcPr>
          <w:p>
            <w:pPr>
              <w:jc w:val="right"/>
              <w:ind w:right="1479"/>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1D2758"/>
          </w:tcPr>
          <w:p>
            <w:pPr>
              <w:spacing w:after="0"/>
              <w:rPr>
                <w:sz w:val="18"/>
                <w:szCs w:val="18"/>
                <w:color w:val="auto"/>
              </w:rPr>
            </w:pPr>
          </w:p>
        </w:tc>
        <w:tc>
          <w:tcPr>
            <w:tcW w:w="3460" w:type="dxa"/>
            <w:vAlign w:val="bottom"/>
            <w:gridSpan w:val="4"/>
            <w:shd w:val="clear" w:color="auto" w:fill="1D2758"/>
          </w:tcPr>
          <w:p>
            <w:pPr>
              <w:jc w:val="right"/>
              <w:ind w:right="147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760" w:type="dxa"/>
            <w:vAlign w:val="bottom"/>
            <w:gridSpan w:val="2"/>
            <w:vMerge w:val="restart"/>
            <w:shd w:val="clear" w:color="auto" w:fill="1D2758"/>
          </w:tcPr>
          <w:p>
            <w:pPr>
              <w:ind w:left="140"/>
              <w:spacing w:after="0"/>
              <w:rPr>
                <w:sz w:val="20"/>
                <w:szCs w:val="20"/>
                <w:color w:val="auto"/>
              </w:rPr>
            </w:pPr>
            <w:r>
              <w:rPr>
                <w:rFonts w:ascii="Arial" w:cs="Arial" w:eastAsia="Arial" w:hAnsi="Arial"/>
                <w:sz w:val="16"/>
                <w:szCs w:val="16"/>
                <w:b w:val="1"/>
                <w:bCs w:val="1"/>
                <w:color w:val="FFFFFF"/>
              </w:rPr>
              <w:t>Number of Shares</w:t>
            </w:r>
          </w:p>
        </w:tc>
        <w:tc>
          <w:tcPr>
            <w:tcW w:w="140" w:type="dxa"/>
            <w:vAlign w:val="bottom"/>
            <w:shd w:val="clear" w:color="auto" w:fill="1D2758"/>
          </w:tcPr>
          <w:p>
            <w:pPr>
              <w:spacing w:after="0"/>
              <w:rPr>
                <w:sz w:val="14"/>
                <w:szCs w:val="14"/>
                <w:color w:val="auto"/>
              </w:rPr>
            </w:pPr>
          </w:p>
        </w:tc>
        <w:tc>
          <w:tcPr>
            <w:tcW w:w="1660" w:type="dxa"/>
            <w:vAlign w:val="bottom"/>
            <w:gridSpan w:val="2"/>
            <w:shd w:val="clear" w:color="auto" w:fill="1D2758"/>
          </w:tcPr>
          <w:p>
            <w:pPr>
              <w:spacing w:after="0" w:line="162" w:lineRule="exact"/>
              <w:rPr>
                <w:sz w:val="20"/>
                <w:szCs w:val="20"/>
                <w:color w:val="auto"/>
              </w:rPr>
            </w:pPr>
            <w:r>
              <w:rPr>
                <w:rFonts w:ascii="Arial" w:cs="Arial" w:eastAsia="Arial" w:hAnsi="Arial"/>
                <w:sz w:val="16"/>
                <w:szCs w:val="16"/>
                <w:b w:val="1"/>
                <w:bCs w:val="1"/>
                <w:color w:val="FFFFFF"/>
              </w:rPr>
              <w:t>Weighted-Average</w:t>
            </w:r>
          </w:p>
        </w:tc>
        <w:tc>
          <w:tcPr>
            <w:tcW w:w="1760" w:type="dxa"/>
            <w:vAlign w:val="bottom"/>
            <w:gridSpan w:val="2"/>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Number of Shares</w:t>
            </w:r>
          </w:p>
        </w:tc>
        <w:tc>
          <w:tcPr>
            <w:tcW w:w="120" w:type="dxa"/>
            <w:vAlign w:val="bottom"/>
            <w:shd w:val="clear" w:color="auto" w:fill="1D2758"/>
          </w:tcPr>
          <w:p>
            <w:pPr>
              <w:spacing w:after="0"/>
              <w:rPr>
                <w:sz w:val="14"/>
                <w:szCs w:val="14"/>
                <w:color w:val="auto"/>
              </w:rPr>
            </w:pPr>
          </w:p>
        </w:tc>
        <w:tc>
          <w:tcPr>
            <w:tcW w:w="1580" w:type="dxa"/>
            <w:vAlign w:val="bottom"/>
            <w:shd w:val="clear" w:color="auto" w:fill="1D2758"/>
          </w:tcPr>
          <w:p>
            <w:pPr>
              <w:jc w:val="right"/>
              <w:ind w:right="59"/>
              <w:spacing w:after="0" w:line="162" w:lineRule="exact"/>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760" w:type="dxa"/>
            <w:vAlign w:val="bottom"/>
            <w:gridSpan w:val="2"/>
            <w:vMerge w:val="continue"/>
            <w:shd w:val="clear" w:color="auto" w:fill="1D2758"/>
          </w:tcPr>
          <w:p>
            <w:pPr>
              <w:spacing w:after="0"/>
              <w:rPr>
                <w:sz w:val="18"/>
                <w:szCs w:val="18"/>
                <w:color w:val="auto"/>
              </w:rPr>
            </w:pPr>
          </w:p>
        </w:tc>
        <w:tc>
          <w:tcPr>
            <w:tcW w:w="1800" w:type="dxa"/>
            <w:vAlign w:val="bottom"/>
            <w:gridSpan w:val="3"/>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1760" w:type="dxa"/>
            <w:vAlign w:val="bottom"/>
            <w:gridSpan w:val="2"/>
            <w:vMerge w:val="continue"/>
            <w:shd w:val="clear" w:color="auto" w:fill="1D2758"/>
          </w:tcPr>
          <w:p>
            <w:pPr>
              <w:spacing w:after="0"/>
              <w:rPr>
                <w:sz w:val="18"/>
                <w:szCs w:val="18"/>
                <w:color w:val="auto"/>
              </w:rPr>
            </w:pPr>
          </w:p>
        </w:tc>
        <w:tc>
          <w:tcPr>
            <w:tcW w:w="1700" w:type="dxa"/>
            <w:vAlign w:val="bottom"/>
            <w:gridSpan w:val="2"/>
            <w:shd w:val="clear" w:color="auto" w:fill="1D2758"/>
          </w:tcPr>
          <w:p>
            <w:pPr>
              <w:ind w:left="40"/>
              <w:spacing w:after="0"/>
              <w:rPr>
                <w:sz w:val="20"/>
                <w:szCs w:val="20"/>
                <w:color w:val="auto"/>
              </w:rPr>
            </w:pPr>
            <w:r>
              <w:rPr>
                <w:rFonts w:ascii="Arial" w:cs="Arial" w:eastAsia="Arial" w:hAnsi="Arial"/>
                <w:sz w:val="16"/>
                <w:szCs w:val="16"/>
                <w:b w:val="1"/>
                <w:bCs w:val="1"/>
                <w:color w:val="FFFFFF"/>
              </w:rPr>
              <w:t>Grant Date Fair Value</w:t>
            </w: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593,388</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ind w:lef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14.88</w:t>
            </w:r>
          </w:p>
        </w:tc>
        <w:tc>
          <w:tcPr>
            <w:tcW w:w="100" w:type="dxa"/>
            <w:vAlign w:val="bottom"/>
            <w:shd w:val="clear" w:color="auto" w:fill="DDDDDD"/>
          </w:tcPr>
          <w:p>
            <w:pPr>
              <w:spacing w:after="0"/>
              <w:rPr>
                <w:sz w:val="18"/>
                <w:szCs w:val="18"/>
                <w:color w:val="auto"/>
              </w:rPr>
            </w:pPr>
          </w:p>
        </w:tc>
        <w:tc>
          <w:tcPr>
            <w:tcW w:w="166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288,281</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3"/>
        </w:trPr>
        <w:tc>
          <w:tcPr>
            <w:tcW w:w="42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680" w:type="dxa"/>
            <w:vAlign w:val="bottom"/>
          </w:tcPr>
          <w:p>
            <w:pPr>
              <w:jc w:val="right"/>
              <w:spacing w:after="0"/>
              <w:rPr>
                <w:sz w:val="20"/>
                <w:szCs w:val="20"/>
                <w:color w:val="auto"/>
              </w:rPr>
            </w:pPr>
            <w:r>
              <w:rPr>
                <w:rFonts w:ascii="Arial" w:cs="Arial" w:eastAsia="Arial" w:hAnsi="Arial"/>
                <w:sz w:val="16"/>
                <w:szCs w:val="16"/>
                <w:color w:val="auto"/>
              </w:rPr>
              <w:t>397,981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39.10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202,923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4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(10,886)</w:t>
            </w:r>
          </w:p>
        </w:tc>
        <w:tc>
          <w:tcPr>
            <w:tcW w:w="80" w:type="dxa"/>
            <w:vAlign w:val="bottom"/>
            <w:shd w:val="clear" w:color="auto" w:fill="DDDDDD"/>
          </w:tcPr>
          <w:p>
            <w:pPr>
              <w:spacing w:after="0"/>
              <w:rPr>
                <w:sz w:val="19"/>
                <w:szCs w:val="19"/>
                <w:color w:val="auto"/>
              </w:rPr>
            </w:pPr>
          </w:p>
        </w:tc>
        <w:tc>
          <w:tcPr>
            <w:tcW w:w="140" w:type="dxa"/>
            <w:vAlign w:val="bottom"/>
            <w:tcBorders>
              <w:bottom w:val="single" w:sz="8" w:color="auto"/>
            </w:tcBorders>
            <w:shd w:val="clear" w:color="auto" w:fill="DDDDDD"/>
          </w:tcPr>
          <w:p>
            <w:pPr>
              <w:spacing w:after="0"/>
              <w:rPr>
                <w:sz w:val="19"/>
                <w:szCs w:val="19"/>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DDDDDD"/>
          </w:tcPr>
          <w:p>
            <w:pPr>
              <w:spacing w:after="0"/>
              <w:rPr>
                <w:sz w:val="19"/>
                <w:szCs w:val="19"/>
                <w:color w:val="auto"/>
              </w:rPr>
            </w:pPr>
          </w:p>
        </w:tc>
        <w:tc>
          <w:tcPr>
            <w:tcW w:w="1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(12,700)</w:t>
            </w:r>
          </w:p>
        </w:tc>
        <w:tc>
          <w:tcPr>
            <w:tcW w:w="100" w:type="dxa"/>
            <w:vAlign w:val="bottom"/>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7"/>
        </w:trPr>
        <w:tc>
          <w:tcPr>
            <w:tcW w:w="4220" w:type="dxa"/>
            <w:vAlign w:val="bottom"/>
          </w:tcPr>
          <w:p>
            <w:pPr>
              <w:ind w:left="20"/>
              <w:spacing w:after="0"/>
              <w:rPr>
                <w:sz w:val="20"/>
                <w:szCs w:val="20"/>
                <w:color w:val="auto"/>
              </w:rPr>
            </w:pPr>
            <w:r>
              <w:rPr>
                <w:rFonts w:ascii="Arial" w:cs="Arial" w:eastAsia="Arial" w:hAnsi="Arial"/>
                <w:sz w:val="16"/>
                <w:szCs w:val="16"/>
                <w:color w:val="auto"/>
              </w:rPr>
              <w:t>Balance March 31,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980,483</w:t>
            </w:r>
          </w:p>
        </w:tc>
        <w:tc>
          <w:tcPr>
            <w:tcW w:w="8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478,504</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Performance-Based RSUs recognized in SG&amp;A on the condensed consolidated statements of operations was $1.0 million and $0.4 million for the three months ended March 31, 2021 and 2020, respectively. At March 31, 2021, unrecognized compensation cost related to Performance-Based RSUs totaled $19.5 million and is expected to be recognized over the remaining vesting period of 2.1 years.</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Included in restructuring costs for the three months ended 2021 was expense of approximately $0.3 million recognized as a result of the modification of certain Performance-Based RSUs associated with the Transition, Separation and Release Agreement entered into on February 25, 2021 with the Company's President and Chief Operating Officer.</w:t>
      </w:r>
    </w:p>
    <w:p>
      <w:pPr>
        <w:spacing w:after="0" w:line="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Performance-Based RSUs cliff vest based on achievement of the relative total stockholder return ("TSR") of the Company's Common Stock as compared to the TSR of the constituents in an index at the grant date over the performance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jc w:val="both"/>
        <w:ind w:firstLine="648"/>
        <w:spacing w:after="0" w:line="251" w:lineRule="auto"/>
        <w:rPr>
          <w:sz w:val="20"/>
          <w:szCs w:val="20"/>
          <w:color w:val="auto"/>
        </w:rPr>
      </w:pPr>
      <w:r>
        <w:rPr>
          <w:rFonts w:ascii="Arial" w:cs="Arial" w:eastAsia="Arial" w:hAnsi="Arial"/>
          <w:sz w:val="16"/>
          <w:szCs w:val="16"/>
          <w:color w:val="auto"/>
        </w:rPr>
        <w:t>For 2021 grants, the TSR of the Company's Common Stock is compared to the TSR of the constituents in the S&amp;P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grants in 2020 and prior, the TSR of the Company's Common Stock is compared to the TSR of constituents in the Russell 3000 Index. The target number of RSUs may be adjusted from 0% to 150% based on the TSR attainment levels defined by the Company's Compensation Committee. The 100% target payout is tied to performance at the 50% percentile, with a payout curve ranging from 0% (for performance less than the 25% percentile) to 150% (for performance at or above the 75% percentile).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stock option activity for the three months ended March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1D2758"/>
          </w:tcPr>
          <w:p>
            <w:pPr>
              <w:spacing w:after="0"/>
              <w:rPr>
                <w:sz w:val="16"/>
                <w:szCs w:val="16"/>
                <w:color w:val="auto"/>
              </w:rPr>
            </w:pPr>
          </w:p>
        </w:tc>
        <w:tc>
          <w:tcPr>
            <w:tcW w:w="1680" w:type="dxa"/>
            <w:vAlign w:val="bottom"/>
            <w:shd w:val="clear" w:color="auto" w:fill="1D2758"/>
          </w:tcPr>
          <w:p>
            <w:pPr>
              <w:spacing w:after="0"/>
              <w:rPr>
                <w:sz w:val="16"/>
                <w:szCs w:val="16"/>
                <w:color w:val="auto"/>
              </w:rPr>
            </w:pPr>
          </w:p>
        </w:tc>
        <w:tc>
          <w:tcPr>
            <w:tcW w:w="80" w:type="dxa"/>
            <w:vAlign w:val="bottom"/>
            <w:shd w:val="clear" w:color="auto" w:fill="1D2758"/>
          </w:tcPr>
          <w:p>
            <w:pPr>
              <w:spacing w:after="0"/>
              <w:rPr>
                <w:sz w:val="16"/>
                <w:szCs w:val="16"/>
                <w:color w:val="auto"/>
              </w:rPr>
            </w:pPr>
          </w:p>
        </w:tc>
        <w:tc>
          <w:tcPr>
            <w:tcW w:w="140" w:type="dxa"/>
            <w:vAlign w:val="bottom"/>
            <w:shd w:val="clear" w:color="auto" w:fill="1D2758"/>
          </w:tcPr>
          <w:p>
            <w:pPr>
              <w:spacing w:after="0"/>
              <w:rPr>
                <w:sz w:val="16"/>
                <w:szCs w:val="16"/>
                <w:color w:val="auto"/>
              </w:rPr>
            </w:pPr>
          </w:p>
        </w:tc>
        <w:tc>
          <w:tcPr>
            <w:tcW w:w="1660" w:type="dxa"/>
            <w:vAlign w:val="bottom"/>
            <w:gridSpan w:val="3"/>
            <w:shd w:val="clear" w:color="auto" w:fill="1D2758"/>
          </w:tcPr>
          <w:p>
            <w:pPr>
              <w:jc w:val="center"/>
              <w:ind w:right="240"/>
              <w:spacing w:after="0"/>
              <w:rPr>
                <w:sz w:val="20"/>
                <w:szCs w:val="20"/>
                <w:color w:val="auto"/>
              </w:rPr>
            </w:pPr>
            <w:r>
              <w:rPr>
                <w:rFonts w:ascii="Arial" w:cs="Arial" w:eastAsia="Arial" w:hAnsi="Arial"/>
                <w:sz w:val="16"/>
                <w:szCs w:val="16"/>
                <w:b w:val="1"/>
                <w:bCs w:val="1"/>
                <w:color w:val="FFFFFF"/>
              </w:rPr>
              <w:t>Weighted-Average</w:t>
            </w:r>
          </w:p>
        </w:tc>
        <w:tc>
          <w:tcPr>
            <w:tcW w:w="1760" w:type="dxa"/>
            <w:vAlign w:val="bottom"/>
            <w:gridSpan w:val="5"/>
            <w:vMerge w:val="restart"/>
            <w:shd w:val="clear" w:color="auto" w:fill="1D2758"/>
          </w:tcPr>
          <w:p>
            <w:pPr>
              <w:jc w:val="center"/>
              <w:ind w:right="120"/>
              <w:spacing w:after="0"/>
              <w:rPr>
                <w:sz w:val="20"/>
                <w:szCs w:val="20"/>
                <w:color w:val="auto"/>
              </w:rPr>
            </w:pPr>
            <w:r>
              <w:rPr>
                <w:rFonts w:ascii="Arial" w:cs="Arial" w:eastAsia="Arial" w:hAnsi="Arial"/>
                <w:sz w:val="16"/>
                <w:szCs w:val="16"/>
                <w:b w:val="1"/>
                <w:bCs w:val="1"/>
                <w:color w:val="FFFFFF"/>
              </w:rPr>
              <w:t>Converted</w:t>
            </w:r>
          </w:p>
        </w:tc>
        <w:tc>
          <w:tcPr>
            <w:tcW w:w="120" w:type="dxa"/>
            <w:vAlign w:val="bottom"/>
            <w:shd w:val="clear" w:color="auto" w:fill="1D2758"/>
          </w:tcPr>
          <w:p>
            <w:pPr>
              <w:spacing w:after="0"/>
              <w:rPr>
                <w:sz w:val="16"/>
                <w:szCs w:val="16"/>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Weighted-Average</w:t>
            </w: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760" w:type="dxa"/>
            <w:vAlign w:val="bottom"/>
            <w:gridSpan w:val="2"/>
            <w:vMerge w:val="restart"/>
            <w:shd w:val="clear" w:color="auto" w:fill="1D2758"/>
          </w:tcPr>
          <w:p>
            <w:pPr>
              <w:ind w:left="180"/>
              <w:spacing w:after="0"/>
              <w:rPr>
                <w:sz w:val="20"/>
                <w:szCs w:val="20"/>
                <w:color w:val="auto"/>
              </w:rPr>
            </w:pPr>
            <w:r>
              <w:rPr>
                <w:rFonts w:ascii="Arial" w:cs="Arial" w:eastAsia="Arial" w:hAnsi="Arial"/>
                <w:sz w:val="16"/>
                <w:szCs w:val="16"/>
                <w:b w:val="1"/>
                <w:bCs w:val="1"/>
                <w:color w:val="FFFFFF"/>
              </w:rPr>
              <w:t>WillScot Options</w:t>
            </w:r>
          </w:p>
        </w:tc>
        <w:tc>
          <w:tcPr>
            <w:tcW w:w="140" w:type="dxa"/>
            <w:vAlign w:val="bottom"/>
            <w:shd w:val="clear" w:color="auto" w:fill="1D2758"/>
          </w:tcPr>
          <w:p>
            <w:pPr>
              <w:spacing w:after="0"/>
              <w:rPr>
                <w:sz w:val="14"/>
                <w:szCs w:val="14"/>
                <w:color w:val="auto"/>
              </w:rPr>
            </w:pPr>
          </w:p>
        </w:tc>
        <w:tc>
          <w:tcPr>
            <w:tcW w:w="1660" w:type="dxa"/>
            <w:vAlign w:val="bottom"/>
            <w:gridSpan w:val="3"/>
            <w:shd w:val="clear" w:color="auto" w:fill="1D2758"/>
          </w:tcPr>
          <w:p>
            <w:pPr>
              <w:jc w:val="center"/>
              <w:ind w:right="240"/>
              <w:spacing w:after="0" w:line="162" w:lineRule="exact"/>
              <w:rPr>
                <w:sz w:val="20"/>
                <w:szCs w:val="20"/>
                <w:color w:val="auto"/>
              </w:rPr>
            </w:pPr>
            <w:r>
              <w:rPr>
                <w:rFonts w:ascii="Arial" w:cs="Arial" w:eastAsia="Arial" w:hAnsi="Arial"/>
                <w:sz w:val="16"/>
                <w:szCs w:val="16"/>
                <w:b w:val="1"/>
                <w:bCs w:val="1"/>
                <w:color w:val="FFFFFF"/>
              </w:rPr>
              <w:t>Exercise Price per</w:t>
            </w:r>
          </w:p>
        </w:tc>
        <w:tc>
          <w:tcPr>
            <w:tcW w:w="1760" w:type="dxa"/>
            <w:vAlign w:val="bottom"/>
            <w:gridSpan w:val="5"/>
            <w:vMerge w:val="continue"/>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580" w:type="dxa"/>
            <w:vAlign w:val="bottom"/>
            <w:shd w:val="clear" w:color="auto" w:fill="1D2758"/>
          </w:tcPr>
          <w:p>
            <w:pPr>
              <w:jc w:val="center"/>
              <w:ind w:right="39"/>
              <w:spacing w:after="0" w:line="162" w:lineRule="exact"/>
              <w:rPr>
                <w:sz w:val="20"/>
                <w:szCs w:val="20"/>
                <w:color w:val="auto"/>
              </w:rPr>
            </w:pPr>
            <w:r>
              <w:rPr>
                <w:rFonts w:ascii="Arial" w:cs="Arial" w:eastAsia="Arial" w:hAnsi="Arial"/>
                <w:sz w:val="16"/>
                <w:szCs w:val="16"/>
                <w:b w:val="1"/>
                <w:bCs w:val="1"/>
                <w:color w:val="FFFFFF"/>
              </w:rPr>
              <w:t>Exercise Price per</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760" w:type="dxa"/>
            <w:vAlign w:val="bottom"/>
            <w:gridSpan w:val="2"/>
            <w:vMerge w:val="continue"/>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560" w:type="dxa"/>
            <w:vAlign w:val="bottom"/>
            <w:gridSpan w:val="2"/>
            <w:shd w:val="clear" w:color="auto" w:fill="1D2758"/>
          </w:tcPr>
          <w:p>
            <w:pPr>
              <w:jc w:val="center"/>
              <w:ind w:right="340"/>
              <w:spacing w:after="0"/>
              <w:rPr>
                <w:sz w:val="20"/>
                <w:szCs w:val="20"/>
                <w:color w:val="auto"/>
              </w:rPr>
            </w:pPr>
            <w:r>
              <w:rPr>
                <w:rFonts w:ascii="Arial" w:cs="Arial" w:eastAsia="Arial" w:hAnsi="Arial"/>
                <w:sz w:val="16"/>
                <w:szCs w:val="16"/>
                <w:b w:val="1"/>
                <w:bCs w:val="1"/>
                <w:color w:val="FFFFFF"/>
              </w:rPr>
              <w:t>Share</w:t>
            </w:r>
          </w:p>
        </w:tc>
        <w:tc>
          <w:tcPr>
            <w:tcW w:w="1760" w:type="dxa"/>
            <w:vAlign w:val="bottom"/>
            <w:gridSpan w:val="5"/>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rPr>
              <w:t>Mobile Mini Options</w:t>
            </w: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jc w:val="center"/>
              <w:ind w:right="39"/>
              <w:spacing w:after="0"/>
              <w:rPr>
                <w:sz w:val="20"/>
                <w:szCs w:val="20"/>
                <w:color w:val="auto"/>
              </w:rPr>
            </w:pPr>
            <w:r>
              <w:rPr>
                <w:rFonts w:ascii="Arial" w:cs="Arial" w:eastAsia="Arial" w:hAnsi="Arial"/>
                <w:sz w:val="16"/>
                <w:szCs w:val="16"/>
                <w:b w:val="1"/>
                <w:bCs w:val="1"/>
                <w:color w:val="FFFFFF"/>
              </w:rPr>
              <w:t>Share</w:t>
            </w: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 , 2020</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534,188</w:t>
            </w: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DDDDDD"/>
          </w:tcPr>
          <w:p>
            <w:pPr>
              <w:spacing w:after="0"/>
              <w:rPr>
                <w:sz w:val="18"/>
                <w:szCs w:val="18"/>
                <w:color w:val="auto"/>
              </w:rPr>
            </w:pPr>
          </w:p>
        </w:tc>
        <w:tc>
          <w:tcPr>
            <w:tcW w:w="840" w:type="dxa"/>
            <w:vAlign w:val="bottom"/>
            <w:shd w:val="clear" w:color="auto" w:fill="DDDDDD"/>
          </w:tcPr>
          <w:p>
            <w:pPr>
              <w:spacing w:after="0"/>
              <w:rPr>
                <w:sz w:val="18"/>
                <w:szCs w:val="18"/>
                <w:color w:val="auto"/>
              </w:rPr>
            </w:pPr>
          </w:p>
        </w:tc>
        <w:tc>
          <w:tcPr>
            <w:tcW w:w="820" w:type="dxa"/>
            <w:vAlign w:val="bottom"/>
            <w:gridSpan w:val="3"/>
            <w:shd w:val="clear" w:color="auto" w:fill="DDDDDD"/>
          </w:tcPr>
          <w:p>
            <w:pPr>
              <w:jc w:val="right"/>
              <w:spacing w:after="0"/>
              <w:rPr>
                <w:sz w:val="20"/>
                <w:szCs w:val="20"/>
                <w:color w:val="auto"/>
              </w:rPr>
            </w:pPr>
            <w:r>
              <w:rPr>
                <w:rFonts w:ascii="Arial" w:cs="Arial" w:eastAsia="Arial" w:hAnsi="Arial"/>
                <w:sz w:val="16"/>
                <w:szCs w:val="16"/>
                <w:color w:val="auto"/>
              </w:rPr>
              <w:t>2,031,455</w:t>
            </w: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3"/>
        </w:trPr>
        <w:tc>
          <w:tcPr>
            <w:tcW w:w="4220" w:type="dxa"/>
            <w:vAlign w:val="bottom"/>
          </w:tcPr>
          <w:p>
            <w:pPr>
              <w:ind w:left="240"/>
              <w:spacing w:after="0"/>
              <w:rPr>
                <w:sz w:val="20"/>
                <w:szCs w:val="20"/>
                <w:color w:val="auto"/>
              </w:rPr>
            </w:pPr>
            <w:r>
              <w:rPr>
                <w:rFonts w:ascii="Arial" w:cs="Arial" w:eastAsia="Arial" w:hAnsi="Arial"/>
                <w:sz w:val="16"/>
                <w:szCs w:val="16"/>
                <w:color w:val="auto"/>
              </w:rPr>
              <w:t>Forfeited</w:t>
            </w: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40"/>
              <w:spacing w:after="0"/>
              <w:rPr>
                <w:sz w:val="20"/>
                <w:szCs w:val="20"/>
                <w:color w:val="auto"/>
              </w:rPr>
            </w:pPr>
            <w:r>
              <w:rPr>
                <w:rFonts w:ascii="Arial" w:cs="Arial" w:eastAsia="Arial" w:hAnsi="Arial"/>
                <w:sz w:val="16"/>
                <w:szCs w:val="16"/>
                <w:color w:val="auto"/>
              </w:rPr>
              <w:t>Exercised</w:t>
            </w:r>
          </w:p>
        </w:tc>
        <w:tc>
          <w:tcPr>
            <w:tcW w:w="1760" w:type="dxa"/>
            <w:vAlign w:val="bottom"/>
            <w:tcBorders>
              <w:bottom w:val="single" w:sz="8" w:color="auto"/>
            </w:tcBorders>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spacing w:after="0"/>
              <w:rPr>
                <w:sz w:val="19"/>
                <w:szCs w:val="19"/>
                <w:color w:val="auto"/>
              </w:rPr>
            </w:pPr>
          </w:p>
        </w:tc>
        <w:tc>
          <w:tcPr>
            <w:tcW w:w="820" w:type="dxa"/>
            <w:vAlign w:val="bottom"/>
            <w:tcBorders>
              <w:bottom w:val="single" w:sz="8" w:color="auto"/>
            </w:tcBorders>
            <w:gridSpan w:val="3"/>
            <w:shd w:val="clear" w:color="auto" w:fill="DDDDDD"/>
          </w:tcPr>
          <w:p>
            <w:pPr>
              <w:jc w:val="right"/>
              <w:spacing w:after="0"/>
              <w:rPr>
                <w:sz w:val="20"/>
                <w:szCs w:val="20"/>
                <w:color w:val="auto"/>
              </w:rPr>
            </w:pPr>
            <w:r>
              <w:rPr>
                <w:rFonts w:ascii="Arial" w:cs="Arial" w:eastAsia="Arial" w:hAnsi="Arial"/>
                <w:sz w:val="16"/>
                <w:szCs w:val="16"/>
                <w:color w:val="auto"/>
              </w:rPr>
              <w:t>(346,247)</w:t>
            </w:r>
          </w:p>
        </w:tc>
        <w:tc>
          <w:tcPr>
            <w:tcW w:w="10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Balance March 31, 2021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534,188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1,678,968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20" w:type="dxa"/>
            <w:vAlign w:val="bottom"/>
            <w:shd w:val="clear" w:color="auto" w:fill="DDDDDD"/>
          </w:tcPr>
          <w:p>
            <w:pPr>
              <w:spacing w:after="0"/>
              <w:rPr>
                <w:sz w:val="20"/>
                <w:szCs w:val="20"/>
                <w:color w:val="auto"/>
              </w:rPr>
            </w:pPr>
          </w:p>
        </w:tc>
        <w:tc>
          <w:tcPr>
            <w:tcW w:w="168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6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5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December 31, 2020</w:t>
            </w:r>
          </w:p>
        </w:tc>
        <w:tc>
          <w:tcPr>
            <w:tcW w:w="1680" w:type="dxa"/>
            <w:vAlign w:val="bottom"/>
          </w:tcPr>
          <w:p>
            <w:pPr>
              <w:jc w:val="right"/>
              <w:spacing w:after="0"/>
              <w:rPr>
                <w:sz w:val="20"/>
                <w:szCs w:val="20"/>
                <w:color w:val="auto"/>
              </w:rPr>
            </w:pPr>
            <w:r>
              <w:rPr>
                <w:rFonts w:ascii="Arial" w:cs="Arial" w:eastAsia="Arial" w:hAnsi="Arial"/>
                <w:sz w:val="16"/>
                <w:szCs w:val="16"/>
                <w:color w:val="auto"/>
              </w:rPr>
              <w:t>267,094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1,678,968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Vested</w:t>
            </w:r>
          </w:p>
        </w:tc>
        <w:tc>
          <w:tcPr>
            <w:tcW w:w="16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133,547</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DDDDDD"/>
          </w:tcPr>
          <w:p>
            <w:pPr>
              <w:jc w:val="right"/>
              <w:spacing w:after="0"/>
              <w:rPr>
                <w:sz w:val="20"/>
                <w:szCs w:val="20"/>
                <w:color w:val="auto"/>
              </w:rPr>
            </w:pPr>
            <w:r>
              <w:rPr>
                <w:rFonts w:ascii="Arial" w:cs="Arial" w:eastAsia="Arial" w:hAnsi="Arial"/>
                <w:sz w:val="16"/>
                <w:szCs w:val="16"/>
                <w:color w:val="auto"/>
              </w:rPr>
              <w:t>13.60</w:t>
            </w:r>
          </w:p>
        </w:tc>
        <w:tc>
          <w:tcPr>
            <w:tcW w:w="10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DDDD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March 31, 2021</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400,641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1,678,968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2"/>
        </w:trPr>
        <w:tc>
          <w:tcPr>
            <w:tcW w:w="5980" w:type="dxa"/>
            <w:vAlign w:val="bottom"/>
            <w:gridSpan w:val="3"/>
          </w:tcPr>
          <w:p>
            <w:pPr>
              <w:ind w:left="660"/>
              <w:spacing w:after="0"/>
              <w:rPr>
                <w:sz w:val="20"/>
                <w:szCs w:val="20"/>
                <w:color w:val="auto"/>
              </w:rPr>
            </w:pPr>
            <w:r>
              <w:rPr>
                <w:rFonts w:ascii="Arial" w:cs="Arial" w:eastAsia="Arial" w:hAnsi="Arial"/>
                <w:sz w:val="16"/>
                <w:szCs w:val="16"/>
                <w:color w:val="auto"/>
              </w:rPr>
              <w:t>The following table summarizes the Company's stock option activity: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20" w:type="dxa"/>
            <w:vAlign w:val="bottom"/>
            <w:shd w:val="clear" w:color="auto" w:fill="1D2758"/>
          </w:tcPr>
          <w:p>
            <w:pPr>
              <w:spacing w:after="0"/>
              <w:rPr>
                <w:sz w:val="14"/>
                <w:szCs w:val="14"/>
                <w:color w:val="auto"/>
              </w:rPr>
            </w:pPr>
          </w:p>
        </w:tc>
        <w:tc>
          <w:tcPr>
            <w:tcW w:w="168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4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00" w:type="dxa"/>
            <w:vAlign w:val="bottom"/>
            <w:gridSpan w:val="3"/>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WillScot Options</w:t>
            </w:r>
          </w:p>
        </w:tc>
        <w:tc>
          <w:tcPr>
            <w:tcW w:w="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480" w:type="dxa"/>
            <w:vAlign w:val="bottom"/>
            <w:gridSpan w:val="4"/>
            <w:shd w:val="clear" w:color="auto" w:fill="1D2758"/>
          </w:tcPr>
          <w:p>
            <w:pPr>
              <w:jc w:val="right"/>
              <w:ind w:right="99"/>
              <w:spacing w:after="0" w:line="162" w:lineRule="exact"/>
              <w:rPr>
                <w:sz w:val="20"/>
                <w:szCs w:val="20"/>
                <w:color w:val="auto"/>
              </w:rPr>
            </w:pPr>
            <w:r>
              <w:rPr>
                <w:rFonts w:ascii="Arial" w:cs="Arial" w:eastAsia="Arial" w:hAnsi="Arial"/>
                <w:sz w:val="16"/>
                <w:szCs w:val="16"/>
                <w:b w:val="1"/>
                <w:bCs w:val="1"/>
                <w:color w:val="FFFFFF"/>
              </w:rPr>
              <w:t>Weighted-Average Exercise</w:t>
            </w:r>
          </w:p>
        </w:tc>
        <w:tc>
          <w:tcPr>
            <w:tcW w:w="0" w:type="dxa"/>
            <w:vAlign w:val="bottom"/>
          </w:tcPr>
          <w:p>
            <w:pPr>
              <w:spacing w:after="0"/>
              <w:rPr>
                <w:sz w:val="1"/>
                <w:szCs w:val="1"/>
                <w:color w:val="auto"/>
              </w:rPr>
            </w:pPr>
          </w:p>
        </w:tc>
      </w:tr>
      <w:tr>
        <w:trPr>
          <w:trHeight w:val="216"/>
        </w:trPr>
        <w:tc>
          <w:tcPr>
            <w:tcW w:w="4220" w:type="dxa"/>
            <w:vAlign w:val="bottom"/>
            <w:shd w:val="clear" w:color="auto" w:fill="1D2758"/>
          </w:tcPr>
          <w:p>
            <w:pPr>
              <w:spacing w:after="0"/>
              <w:rPr>
                <w:sz w:val="18"/>
                <w:szCs w:val="18"/>
                <w:color w:val="auto"/>
              </w:rPr>
            </w:pPr>
          </w:p>
        </w:tc>
        <w:tc>
          <w:tcPr>
            <w:tcW w:w="16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400" w:type="dxa"/>
            <w:vAlign w:val="bottom"/>
            <w:gridSpan w:val="3"/>
            <w:vMerge w:val="continue"/>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2480" w:type="dxa"/>
            <w:vAlign w:val="bottom"/>
            <w:gridSpan w:val="4"/>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Price per Share</w:t>
            </w:r>
          </w:p>
        </w:tc>
        <w:tc>
          <w:tcPr>
            <w:tcW w:w="0" w:type="dxa"/>
            <w:vAlign w:val="bottom"/>
          </w:tcPr>
          <w:p>
            <w:pPr>
              <w:spacing w:after="0"/>
              <w:rPr>
                <w:sz w:val="1"/>
                <w:szCs w:val="1"/>
                <w:color w:val="auto"/>
              </w:rPr>
            </w:pPr>
          </w:p>
        </w:tc>
      </w:tr>
      <w:tr>
        <w:trPr>
          <w:trHeight w:val="216"/>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Balance, December 31, 2019</w:t>
            </w:r>
          </w:p>
        </w:tc>
        <w:tc>
          <w:tcPr>
            <w:tcW w:w="168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534,188</w:t>
            </w:r>
          </w:p>
        </w:tc>
        <w:tc>
          <w:tcPr>
            <w:tcW w:w="6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680" w:type="dxa"/>
            <w:vAlign w:val="bottom"/>
            <w:tcBorders>
              <w:bottom w:val="single" w:sz="8" w:color="auto"/>
            </w:tcBorders>
            <w:shd w:val="clear" w:color="auto" w:fill="DDDDDD"/>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Balance, March 31, 2020</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534,188</w:t>
            </w:r>
          </w:p>
        </w:tc>
        <w:tc>
          <w:tcPr>
            <w:tcW w:w="82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20" w:type="dxa"/>
            <w:vAlign w:val="bottom"/>
            <w:shd w:val="clear" w:color="auto" w:fill="DDDDDD"/>
          </w:tcPr>
          <w:p>
            <w:pPr>
              <w:spacing w:after="0"/>
              <w:rPr>
                <w:sz w:val="19"/>
                <w:szCs w:val="19"/>
                <w:color w:val="auto"/>
              </w:rPr>
            </w:pPr>
          </w:p>
        </w:tc>
        <w:tc>
          <w:tcPr>
            <w:tcW w:w="16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5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December 31, 2019</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133,547</w:t>
            </w:r>
          </w:p>
        </w:tc>
        <w:tc>
          <w:tcPr>
            <w:tcW w:w="82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9"/>
        </w:trPr>
        <w:tc>
          <w:tcPr>
            <w:tcW w:w="4220" w:type="dxa"/>
            <w:vAlign w:val="bottom"/>
            <w:shd w:val="clear" w:color="auto" w:fill="DDDDDD"/>
          </w:tcPr>
          <w:p>
            <w:pPr>
              <w:ind w:left="20"/>
              <w:spacing w:after="0"/>
              <w:rPr>
                <w:sz w:val="20"/>
                <w:szCs w:val="20"/>
                <w:color w:val="auto"/>
              </w:rPr>
            </w:pPr>
            <w:r>
              <w:rPr>
                <w:rFonts w:ascii="Arial" w:cs="Arial" w:eastAsia="Arial" w:hAnsi="Arial"/>
                <w:sz w:val="16"/>
                <w:szCs w:val="16"/>
                <w:color w:val="auto"/>
              </w:rPr>
              <w:t>Vested</w:t>
            </w:r>
          </w:p>
        </w:tc>
        <w:tc>
          <w:tcPr>
            <w:tcW w:w="16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60" w:type="dxa"/>
            <w:vAlign w:val="bottom"/>
            <w:tcBorders>
              <w:bottom w:val="single" w:sz="8" w:color="auto"/>
            </w:tcBorders>
            <w:shd w:val="clear" w:color="auto" w:fill="DDDDDD"/>
          </w:tcPr>
          <w:p>
            <w:pPr>
              <w:spacing w:after="0"/>
              <w:rPr>
                <w:sz w:val="19"/>
                <w:szCs w:val="19"/>
                <w:color w:val="auto"/>
              </w:rPr>
            </w:pPr>
          </w:p>
        </w:tc>
        <w:tc>
          <w:tcPr>
            <w:tcW w:w="100" w:type="dxa"/>
            <w:vAlign w:val="bottom"/>
            <w:tcBorders>
              <w:bottom w:val="single" w:sz="8" w:color="auto"/>
            </w:tcBorders>
            <w:shd w:val="clear" w:color="auto" w:fill="DDDDDD"/>
          </w:tcPr>
          <w:p>
            <w:pPr>
              <w:spacing w:after="0"/>
              <w:rPr>
                <w:sz w:val="19"/>
                <w:szCs w:val="19"/>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133,547</w:t>
            </w:r>
          </w:p>
        </w:tc>
        <w:tc>
          <w:tcPr>
            <w:tcW w:w="60" w:type="dxa"/>
            <w:vAlign w:val="bottom"/>
            <w:tcBorders>
              <w:bottom w:val="single" w:sz="8" w:color="auto"/>
            </w:tcBorders>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680" w:type="dxa"/>
            <w:vAlign w:val="bottom"/>
            <w:tcBorders>
              <w:bottom w:val="single" w:sz="8" w:color="auto"/>
            </w:tcBorders>
            <w:shd w:val="clear" w:color="auto" w:fill="DDDDDD"/>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DDDDDD"/>
          </w:tcPr>
          <w:p>
            <w:pPr>
              <w:spacing w:after="0"/>
              <w:rPr>
                <w:sz w:val="19"/>
                <w:szCs w:val="19"/>
                <w:color w:val="auto"/>
              </w:rPr>
            </w:pPr>
          </w:p>
        </w:tc>
        <w:tc>
          <w:tcPr>
            <w:tcW w:w="120" w:type="dxa"/>
            <w:vAlign w:val="bottom"/>
            <w:tcBorders>
              <w:bottom w:val="single" w:sz="8" w:color="auto"/>
            </w:tcBorders>
            <w:shd w:val="clear" w:color="auto" w:fill="DDDDDD"/>
          </w:tcPr>
          <w:p>
            <w:pPr>
              <w:spacing w:after="0"/>
              <w:rPr>
                <w:sz w:val="19"/>
                <w:szCs w:val="19"/>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06"/>
        </w:trPr>
        <w:tc>
          <w:tcPr>
            <w:tcW w:w="4220" w:type="dxa"/>
            <w:vAlign w:val="bottom"/>
          </w:tcPr>
          <w:p>
            <w:pPr>
              <w:ind w:left="20"/>
              <w:spacing w:after="0"/>
              <w:rPr>
                <w:sz w:val="20"/>
                <w:szCs w:val="20"/>
                <w:color w:val="auto"/>
              </w:rPr>
            </w:pPr>
            <w:r>
              <w:rPr>
                <w:rFonts w:ascii="Arial" w:cs="Arial" w:eastAsia="Arial" w:hAnsi="Arial"/>
                <w:sz w:val="16"/>
                <w:szCs w:val="16"/>
                <w:color w:val="auto"/>
              </w:rPr>
              <w:t>Fully vested and exercisable options, March 31, 2020</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267,094</w:t>
            </w:r>
          </w:p>
        </w:tc>
        <w:tc>
          <w:tcPr>
            <w:tcW w:w="82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WillScot Options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$0.2 million for the three months ended March 31, 2021 and 2020, respectively. At March 31, 2021, unrecognized compensation cost related to stock option awards totaled $0.7 million and is expected to be recognized over the remaining vesting period of 1.0 year.</w:t>
      </w:r>
    </w:p>
    <w:p>
      <w:pPr>
        <w:spacing w:after="0" w:line="339" w:lineRule="exact"/>
        <w:rPr>
          <w:sz w:val="20"/>
          <w:szCs w:val="20"/>
          <w:color w:val="auto"/>
        </w:rPr>
      </w:pPr>
    </w:p>
    <w:p>
      <w:pPr>
        <w:spacing w:after="0"/>
        <w:rPr>
          <w:sz w:val="20"/>
          <w:szCs w:val="20"/>
          <w:color w:val="auto"/>
        </w:rPr>
      </w:pPr>
      <w:r>
        <w:rPr>
          <w:rFonts w:ascii="Arial" w:cs="Arial" w:eastAsia="Arial" w:hAnsi="Arial"/>
          <w:sz w:val="23"/>
          <w:szCs w:val="23"/>
          <w:color w:val="1D2758"/>
        </w:rPr>
        <w:t>NOTE 16 - Derivatives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6, 2018, the Company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Under the terms of the Swap Agreement, the Company receives a floating rate equal to one-month LIBOR and makes payments based on a fixed rate of 3.06% on the notional amount. The receive rate under the terms of the Swap Agreement was 0.11% and 0.15% at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7" w:name="page28"/>
    <w:bookmarkEnd w:id="27"/>
    <w:p>
      <w:pPr>
        <w:jc w:val="both"/>
        <w:ind w:firstLine="648"/>
        <w:spacing w:after="0" w:line="260"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20" w:type="dxa"/>
            <w:vAlign w:val="bottom"/>
            <w:shd w:val="clear" w:color="auto" w:fill="1D2758"/>
          </w:tcPr>
          <w:p>
            <w:pPr>
              <w:ind w:left="1460"/>
              <w:spacing w:after="0"/>
              <w:rPr>
                <w:sz w:val="20"/>
                <w:szCs w:val="20"/>
                <w:color w:val="auto"/>
              </w:rPr>
            </w:pPr>
            <w:r>
              <w:rPr>
                <w:rFonts w:ascii="Arial" w:cs="Arial" w:eastAsia="Arial" w:hAnsi="Arial"/>
                <w:sz w:val="16"/>
                <w:szCs w:val="16"/>
                <w:b w:val="1"/>
                <w:bCs w:val="1"/>
                <w:color w:val="FFFFFF"/>
              </w:rPr>
              <w:t>Balance Sheet Account</w:t>
            </w:r>
          </w:p>
        </w:tc>
        <w:tc>
          <w:tcPr>
            <w:tcW w:w="700" w:type="dxa"/>
            <w:vAlign w:val="bottom"/>
            <w:shd w:val="clear" w:color="auto" w:fill="1D2758"/>
          </w:tcPr>
          <w:p>
            <w:pPr>
              <w:spacing w:after="0"/>
              <w:rPr>
                <w:sz w:val="19"/>
                <w:szCs w:val="19"/>
                <w:color w:val="auto"/>
              </w:rPr>
            </w:pPr>
          </w:p>
        </w:tc>
        <w:tc>
          <w:tcPr>
            <w:tcW w:w="2060" w:type="dxa"/>
            <w:vAlign w:val="bottom"/>
            <w:shd w:val="clear" w:color="auto" w:fill="1D2758"/>
          </w:tcPr>
          <w:p>
            <w:pPr>
              <w:jc w:val="right"/>
              <w:ind w:right="539"/>
              <w:spacing w:after="0"/>
              <w:rPr>
                <w:sz w:val="20"/>
                <w:szCs w:val="20"/>
                <w:color w:val="auto"/>
              </w:rPr>
            </w:pPr>
            <w:r>
              <w:rPr>
                <w:rFonts w:ascii="Arial" w:cs="Arial" w:eastAsia="Arial" w:hAnsi="Arial"/>
                <w:sz w:val="16"/>
                <w:szCs w:val="16"/>
                <w:b w:val="1"/>
                <w:bCs w:val="1"/>
                <w:color w:val="FFFFFF"/>
              </w:rPr>
              <w:t>March 31, 2021</w:t>
            </w:r>
          </w:p>
        </w:tc>
        <w:tc>
          <w:tcPr>
            <w:tcW w:w="340" w:type="dxa"/>
            <w:vAlign w:val="bottom"/>
            <w:shd w:val="clear" w:color="auto" w:fill="1D2758"/>
          </w:tcPr>
          <w:p>
            <w:pPr>
              <w:spacing w:after="0"/>
              <w:rPr>
                <w:sz w:val="19"/>
                <w:szCs w:val="19"/>
                <w:color w:val="auto"/>
              </w:rPr>
            </w:pPr>
          </w:p>
        </w:tc>
        <w:tc>
          <w:tcPr>
            <w:tcW w:w="216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December 31, 2020</w:t>
            </w:r>
          </w:p>
        </w:tc>
      </w:tr>
      <w:tr>
        <w:trPr>
          <w:trHeight w:val="216"/>
        </w:trPr>
        <w:tc>
          <w:tcPr>
            <w:tcW w:w="2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Flow Hedges:</w:t>
            </w:r>
          </w:p>
        </w:tc>
        <w:tc>
          <w:tcPr>
            <w:tcW w:w="362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20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160" w:type="dxa"/>
            <w:vAlign w:val="bottom"/>
            <w:shd w:val="clear" w:color="auto" w:fill="DBDBDB"/>
          </w:tcPr>
          <w:p>
            <w:pPr>
              <w:spacing w:after="0"/>
              <w:rPr>
                <w:sz w:val="18"/>
                <w:szCs w:val="18"/>
                <w:color w:val="auto"/>
              </w:rPr>
            </w:pPr>
          </w:p>
        </w:tc>
      </w:tr>
      <w:tr>
        <w:trPr>
          <w:trHeight w:val="213"/>
        </w:trPr>
        <w:tc>
          <w:tcPr>
            <w:tcW w:w="236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3620" w:type="dxa"/>
            <w:vAlign w:val="bottom"/>
          </w:tcPr>
          <w:p>
            <w:pPr>
              <w:ind w:left="820"/>
              <w:spacing w:after="0"/>
              <w:rPr>
                <w:sz w:val="20"/>
                <w:szCs w:val="20"/>
                <w:color w:val="auto"/>
              </w:rPr>
            </w:pPr>
            <w:r>
              <w:rPr>
                <w:rFonts w:ascii="Arial" w:cs="Arial" w:eastAsia="Arial" w:hAnsi="Arial"/>
                <w:sz w:val="16"/>
                <w:szCs w:val="16"/>
                <w:color w:val="auto"/>
              </w:rPr>
              <w:t>Accrued expenses</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11,645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tcPr>
          <w:p>
            <w:pPr>
              <w:jc w:val="right"/>
              <w:spacing w:after="0"/>
              <w:rPr>
                <w:sz w:val="20"/>
                <w:szCs w:val="20"/>
                <w:color w:val="auto"/>
              </w:rPr>
            </w:pPr>
            <w:r>
              <w:rPr>
                <w:rFonts w:ascii="Arial" w:cs="Arial" w:eastAsia="Arial" w:hAnsi="Arial"/>
                <w:sz w:val="16"/>
                <w:szCs w:val="16"/>
                <w:color w:val="auto"/>
              </w:rPr>
              <w:t>11,619</w:t>
            </w:r>
          </w:p>
        </w:tc>
      </w:tr>
      <w:tr>
        <w:trPr>
          <w:trHeight w:val="219"/>
        </w:trPr>
        <w:tc>
          <w:tcPr>
            <w:tcW w:w="23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rate swap</w:t>
            </w:r>
          </w:p>
        </w:tc>
        <w:tc>
          <w:tcPr>
            <w:tcW w:w="3620" w:type="dxa"/>
            <w:vAlign w:val="bottom"/>
            <w:shd w:val="clear" w:color="auto" w:fill="DBDBDB"/>
          </w:tcPr>
          <w:p>
            <w:pPr>
              <w:ind w:left="820"/>
              <w:spacing w:after="0"/>
              <w:rPr>
                <w:sz w:val="20"/>
                <w:szCs w:val="20"/>
                <w:color w:val="auto"/>
              </w:rPr>
            </w:pPr>
            <w:r>
              <w:rPr>
                <w:rFonts w:ascii="Arial" w:cs="Arial" w:eastAsia="Arial" w:hAnsi="Arial"/>
                <w:sz w:val="16"/>
                <w:szCs w:val="16"/>
                <w:color w:val="auto"/>
              </w:rPr>
              <w:t>Other non-current liabilities</w:t>
            </w:r>
          </w:p>
        </w:tc>
        <w:tc>
          <w:tcPr>
            <w:tcW w:w="7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2,414</w:t>
            </w:r>
          </w:p>
        </w:tc>
        <w:tc>
          <w:tcPr>
            <w:tcW w:w="3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5,308</w:t>
            </w:r>
          </w:p>
        </w:tc>
      </w:tr>
    </w:tbl>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March 31, 2021 and December 31, 2020, respectively, for contracts involving the same attributes and maturity dates.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AOCI and the Company’s statements of operations for the three months ended March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8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2021</w:t>
            </w:r>
          </w:p>
        </w:tc>
        <w:tc>
          <w:tcPr>
            <w:tcW w:w="5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10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Gain (loss) recognized in OCI</w:t>
            </w:r>
          </w:p>
        </w:tc>
        <w:tc>
          <w:tcPr>
            <w:tcW w:w="2680" w:type="dxa"/>
            <w:vAlign w:val="bottom"/>
            <w:shd w:val="clear" w:color="auto" w:fill="DBDBDB"/>
          </w:tcPr>
          <w:p>
            <w:pPr>
              <w:jc w:val="right"/>
              <w:ind w:right="17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2,844</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(8,758)</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Location of gain (loss) recognized in income</w:t>
            </w:r>
          </w:p>
        </w:tc>
        <w:tc>
          <w:tcPr>
            <w:tcW w:w="2680" w:type="dxa"/>
            <w:vAlign w:val="bottom"/>
          </w:tcPr>
          <w:p>
            <w:pPr>
              <w:jc w:val="right"/>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right"/>
              <w:ind w:right="559"/>
              <w:spacing w:after="0"/>
              <w:rPr>
                <w:sz w:val="20"/>
                <w:szCs w:val="20"/>
                <w:color w:val="auto"/>
              </w:rPr>
            </w:pPr>
            <w:r>
              <w:rPr>
                <w:rFonts w:ascii="Arial" w:cs="Arial" w:eastAsia="Arial" w:hAnsi="Arial"/>
                <w:sz w:val="16"/>
                <w:szCs w:val="16"/>
                <w:color w:val="auto"/>
              </w:rPr>
              <w:t>Interest expense</w:t>
            </w:r>
          </w:p>
        </w:tc>
      </w:tr>
      <w:tr>
        <w:trPr>
          <w:trHeight w:val="219"/>
        </w:trPr>
        <w:tc>
          <w:tcPr>
            <w:tcW w:w="5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Gain (loss) reclassified from AOCI into income (effective portion)</w:t>
            </w:r>
          </w:p>
        </w:tc>
        <w:tc>
          <w:tcPr>
            <w:tcW w:w="2680" w:type="dxa"/>
            <w:vAlign w:val="bottom"/>
            <w:shd w:val="clear" w:color="auto" w:fill="DBDBDB"/>
          </w:tcPr>
          <w:p>
            <w:pPr>
              <w:jc w:val="right"/>
              <w:ind w:right="1719"/>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2,937</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(1,572)</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23"/>
          <w:szCs w:val="23"/>
          <w:color w:val="1D2758"/>
        </w:rPr>
        <w:t>NOTE 17 - Commitments and Contingencies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8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At March 31, 2021 and December 31, 2020, commitments for the acquisition of rental equipment and property, plant and equipment were $9.9 million and $5.0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Legal Claims</w:t>
      </w:r>
    </w:p>
    <w:p>
      <w:pPr>
        <w:spacing w:after="0" w:line="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believes that there is no pending claim or lawsuit which, if adversely determined, would have a material effect on the Company’s financial condition, results of operations or cash flows.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1D2758"/>
        </w:rPr>
        <w:t>NOTE 18 - Segment Reporting</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operates in four reportable segments as follows: North America Modular Solutions ("NA Modular"), North America Storage Solutions ("NA Storage"), United Kingdom Storage Solutions ("UK Storage") and Tank and Pump Solutions ("Tank and Pump"). Total assets for each reportable segment are not available because the Company utilizes a centralized approach to working capital management. Transactions between reportable segments are not significant.</w:t>
      </w:r>
    </w:p>
    <w:p>
      <w:pPr>
        <w:spacing w:after="0" w:line="4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connection with the Merger, the Company determined its reportable segments as discussed above and retrospectively adjusted prior year's presentation to conform to the current presentation of reportable segments.</w:t>
      </w:r>
    </w:p>
    <w:p>
      <w:pPr>
        <w:spacing w:after="0" w:line="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business operations. The Chief Operating Decision Maker ("CODM") evaluates business segment performance utilizing Adjusted EBITDA as shown in the reconciliation of the Company’s consolidated net income (loss) to Adjusted EBITDA below. Management believes that evaluating segment performance excluding such items is meaningful because it provides insight with respect to the intrinsic operating results of the Company.</w:t>
      </w:r>
    </w:p>
    <w:p>
      <w:pPr>
        <w:spacing w:after="0" w:line="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months ended March 31, 2021 and 2020, respectively. Consistent with the financial statements, the segment results do not include Mobile Mini's operations for the three months ended March 31, 2020. Please refer to the Management Discussion &amp; Analysis of Financial Condition and Results of Operations included in this document, for pro forma results inclusive of Mobile Mini's financial results for periods prior to the Merger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8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940" w:type="dxa"/>
            <w:vAlign w:val="bottom"/>
            <w:shd w:val="clear" w:color="auto" w:fill="1D2758"/>
          </w:tcPr>
          <w:p>
            <w:pPr>
              <w:spacing w:after="0"/>
              <w:rPr>
                <w:sz w:val="18"/>
                <w:szCs w:val="18"/>
                <w:color w:val="auto"/>
              </w:rPr>
            </w:pPr>
          </w:p>
        </w:tc>
        <w:tc>
          <w:tcPr>
            <w:tcW w:w="3980" w:type="dxa"/>
            <w:vAlign w:val="bottom"/>
            <w:gridSpan w:val="9"/>
            <w:shd w:val="clear" w:color="auto" w:fill="1D2758"/>
          </w:tcPr>
          <w:p>
            <w:pPr>
              <w:jc w:val="center"/>
              <w:ind w:right="1059"/>
              <w:spacing w:after="0"/>
              <w:rPr>
                <w:sz w:val="20"/>
                <w:szCs w:val="20"/>
                <w:color w:val="auto"/>
              </w:rPr>
            </w:pPr>
            <w:r>
              <w:rPr>
                <w:rFonts w:ascii="Arial" w:cs="Arial" w:eastAsia="Arial" w:hAnsi="Arial"/>
                <w:sz w:val="16"/>
                <w:szCs w:val="16"/>
                <w:b w:val="1"/>
                <w:bCs w:val="1"/>
                <w:color w:val="FFFFFF"/>
              </w:rPr>
              <w:t>Three Months Ended March 31, 2021</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NA Modular</w:t>
            </w:r>
          </w:p>
        </w:tc>
        <w:tc>
          <w:tcPr>
            <w:tcW w:w="120" w:type="dxa"/>
            <w:vAlign w:val="bottom"/>
            <w:shd w:val="clear" w:color="auto" w:fill="1D2758"/>
          </w:tcPr>
          <w:p>
            <w:pPr>
              <w:spacing w:after="0"/>
              <w:rPr>
                <w:sz w:val="14"/>
                <w:szCs w:val="14"/>
                <w:color w:val="auto"/>
              </w:rPr>
            </w:pPr>
          </w:p>
        </w:tc>
        <w:tc>
          <w:tcPr>
            <w:tcW w:w="94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w w:val="98"/>
              </w:rPr>
              <w:t>NA Storage</w:t>
            </w:r>
          </w:p>
        </w:tc>
        <w:tc>
          <w:tcPr>
            <w:tcW w:w="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jc w:val="right"/>
              <w:ind w:right="139"/>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40" w:type="dxa"/>
            <w:vAlign w:val="bottom"/>
            <w:shd w:val="clear" w:color="auto" w:fill="1D2758"/>
          </w:tcPr>
          <w:p>
            <w:pPr>
              <w:jc w:val="right"/>
              <w:ind w:right="19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940" w:type="dxa"/>
            <w:vAlign w:val="bottom"/>
            <w:vMerge w:val="continue"/>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Leasing</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199,608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80,351</w:t>
            </w:r>
          </w:p>
        </w:tc>
        <w:tc>
          <w:tcPr>
            <w:tcW w:w="280" w:type="dxa"/>
            <w:vAlign w:val="bottom"/>
            <w:gridSpan w:val="3"/>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18,721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16,982</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315,662</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6,709</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83,504</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revenue:</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10,955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Rental units</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10,476</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3,848</w:t>
            </w: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213</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15,202</w:t>
            </w:r>
          </w:p>
        </w:tc>
        <w:tc>
          <w:tcPr>
            <w:tcW w:w="0" w:type="dxa"/>
            <w:vAlign w:val="bottom"/>
          </w:tcPr>
          <w:p>
            <w:pPr>
              <w:spacing w:after="0"/>
              <w:rPr>
                <w:sz w:val="1"/>
                <w:szCs w:val="1"/>
                <w:color w:val="auto"/>
              </w:rPr>
            </w:pPr>
          </w:p>
        </w:tc>
      </w:tr>
      <w:tr>
        <w:trPr>
          <w:trHeight w:val="207"/>
        </w:trPr>
        <w:tc>
          <w:tcPr>
            <w:tcW w:w="3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266,224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107,748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24,344</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425,323</w:t>
            </w:r>
          </w:p>
        </w:tc>
        <w:tc>
          <w:tcPr>
            <w:tcW w:w="0" w:type="dxa"/>
            <w:vAlign w:val="bottom"/>
          </w:tcPr>
          <w:p>
            <w:pPr>
              <w:spacing w:after="0"/>
              <w:rPr>
                <w:sz w:val="1"/>
                <w:szCs w:val="1"/>
                <w:color w:val="auto"/>
              </w:rPr>
            </w:pPr>
          </w:p>
        </w:tc>
      </w:tr>
      <w:tr>
        <w:trPr>
          <w:trHeight w:val="259"/>
        </w:trPr>
        <w:tc>
          <w:tcPr>
            <w:tcW w:w="3860" w:type="dxa"/>
            <w:vAlign w:val="bottom"/>
            <w:shd w:val="clear" w:color="auto" w:fill="DBDBDB"/>
          </w:tcPr>
          <w:p>
            <w:pPr>
              <w:spacing w:after="0"/>
              <w:rPr>
                <w:sz w:val="22"/>
                <w:szCs w:val="22"/>
                <w:color w:val="auto"/>
              </w:rPr>
            </w:pPr>
          </w:p>
        </w:tc>
        <w:tc>
          <w:tcPr>
            <w:tcW w:w="300" w:type="dxa"/>
            <w:vAlign w:val="bottom"/>
            <w:shd w:val="clear" w:color="auto" w:fill="DBDBDB"/>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leasing and services:</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3,791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69,895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Delivery and installation</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44,705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15,740</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5,600</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70,136</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New units</w:t>
            </w:r>
          </w:p>
        </w:tc>
        <w:tc>
          <w:tcPr>
            <w:tcW w:w="3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1,341</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305</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7,109</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9,105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Depreciation of rental equipment</w:t>
            </w:r>
          </w:p>
        </w:tc>
        <w:tc>
          <w:tcPr>
            <w:tcW w:w="30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46,720</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4,793</w:t>
            </w: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3,271</w:t>
            </w:r>
          </w:p>
        </w:tc>
        <w:tc>
          <w:tcPr>
            <w:tcW w:w="24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55,698</w:t>
            </w:r>
          </w:p>
        </w:tc>
        <w:tc>
          <w:tcPr>
            <w:tcW w:w="0" w:type="dxa"/>
            <w:vAlign w:val="bottom"/>
          </w:tcPr>
          <w:p>
            <w:pPr>
              <w:spacing w:after="0"/>
              <w:rPr>
                <w:sz w:val="1"/>
                <w:szCs w:val="1"/>
                <w:color w:val="auto"/>
              </w:rPr>
            </w:pPr>
          </w:p>
        </w:tc>
      </w:tr>
      <w:tr>
        <w:trPr>
          <w:trHeight w:val="207"/>
        </w:trPr>
        <w:tc>
          <w:tcPr>
            <w:tcW w:w="38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113,002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72,619</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16,493</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11,266</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213,380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4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shd w:val="clear" w:color="auto" w:fill="DBDBDB"/>
          </w:tcPr>
          <w:p>
            <w:pPr>
              <w:ind w:left="20"/>
              <w:spacing w:after="0" w:line="180" w:lineRule="exact"/>
              <w:rPr>
                <w:sz w:val="20"/>
                <w:szCs w:val="20"/>
                <w:color w:val="auto"/>
              </w:rPr>
            </w:pPr>
            <w:r>
              <w:rPr>
                <w:rFonts w:ascii="Arial" w:cs="Arial" w:eastAsia="Arial" w:hAnsi="Arial"/>
                <w:sz w:val="16"/>
                <w:szCs w:val="16"/>
                <w:color w:val="auto"/>
              </w:rPr>
              <w:t>Other selected data:</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97,371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46,322</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11,064</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163,585</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 expense (a)</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62,350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31,089</w:t>
            </w:r>
          </w:p>
        </w:tc>
        <w:tc>
          <w:tcPr>
            <w:tcW w:w="280" w:type="dxa"/>
            <w:vAlign w:val="bottom"/>
            <w:gridSpan w:val="3"/>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6,343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5,710</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11,837</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117,329</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Purchases of rental equipment and</w:t>
            </w:r>
          </w:p>
        </w:tc>
        <w:tc>
          <w:tcPr>
            <w:tcW w:w="300" w:type="dxa"/>
            <w:vAlign w:val="bottom"/>
          </w:tcPr>
          <w:p>
            <w:pPr>
              <w:jc w:val="right"/>
              <w:ind w:right="99"/>
              <w:spacing w:after="0" w:line="17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39,135</w:t>
            </w:r>
          </w:p>
        </w:tc>
        <w:tc>
          <w:tcPr>
            <w:tcW w:w="100" w:type="dxa"/>
            <w:vAlign w:val="bottom"/>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3,472</w:t>
            </w:r>
          </w:p>
        </w:tc>
        <w:tc>
          <w:tcPr>
            <w:tcW w:w="280" w:type="dxa"/>
            <w:vAlign w:val="bottom"/>
            <w:gridSpan w:val="3"/>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6,770</w:t>
            </w:r>
          </w:p>
        </w:tc>
        <w:tc>
          <w:tcPr>
            <w:tcW w:w="100" w:type="dxa"/>
            <w:vAlign w:val="bottom"/>
          </w:tcPr>
          <w:p>
            <w:pPr>
              <w:spacing w:after="0"/>
              <w:rPr>
                <w:sz w:val="15"/>
                <w:szCs w:val="15"/>
                <w:color w:val="auto"/>
              </w:rPr>
            </w:pPr>
          </w:p>
        </w:tc>
        <w:tc>
          <w:tcPr>
            <w:tcW w:w="160" w:type="dxa"/>
            <w:vAlign w:val="bottom"/>
          </w:tcPr>
          <w:p>
            <w:pPr>
              <w:jc w:val="center"/>
              <w:spacing w:after="0" w:line="178"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3,158</w:t>
            </w:r>
          </w:p>
        </w:tc>
        <w:tc>
          <w:tcPr>
            <w:tcW w:w="2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line="178" w:lineRule="exact"/>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line="178"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52,535</w:t>
            </w:r>
          </w:p>
        </w:tc>
        <w:tc>
          <w:tcPr>
            <w:tcW w:w="0" w:type="dxa"/>
            <w:vAlign w:val="bottom"/>
          </w:tcPr>
          <w:p>
            <w:pPr>
              <w:spacing w:after="0"/>
              <w:rPr>
                <w:sz w:val="1"/>
                <w:szCs w:val="1"/>
                <w:color w:val="auto"/>
              </w:rPr>
            </w:pPr>
          </w:p>
        </w:tc>
      </w:tr>
      <w:tr>
        <w:trPr>
          <w:trHeight w:val="195"/>
        </w:trPr>
        <w:tc>
          <w:tcPr>
            <w:tcW w:w="3860" w:type="dxa"/>
            <w:vAlign w:val="bottom"/>
          </w:tcPr>
          <w:p>
            <w:pPr>
              <w:ind w:left="240"/>
              <w:spacing w:after="0"/>
              <w:rPr>
                <w:sz w:val="20"/>
                <w:szCs w:val="20"/>
                <w:color w:val="auto"/>
              </w:rPr>
            </w:pPr>
            <w:r>
              <w:rPr>
                <w:rFonts w:ascii="Arial" w:cs="Arial" w:eastAsia="Arial" w:hAnsi="Arial"/>
                <w:sz w:val="16"/>
                <w:szCs w:val="16"/>
                <w:color w:val="auto"/>
              </w:rPr>
              <w:t>refurbishments</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 Includes both SG&amp;A expense and Transaction costs from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8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3980" w:type="dxa"/>
            <w:vAlign w:val="bottom"/>
            <w:gridSpan w:val="9"/>
            <w:shd w:val="clear" w:color="auto" w:fill="1D2758"/>
          </w:tcPr>
          <w:p>
            <w:pPr>
              <w:jc w:val="center"/>
              <w:ind w:right="1099"/>
              <w:spacing w:after="0"/>
              <w:rPr>
                <w:sz w:val="20"/>
                <w:szCs w:val="20"/>
                <w:color w:val="auto"/>
              </w:rPr>
            </w:pPr>
            <w:r>
              <w:rPr>
                <w:rFonts w:ascii="Arial" w:cs="Arial" w:eastAsia="Arial" w:hAnsi="Arial"/>
                <w:sz w:val="16"/>
                <w:szCs w:val="16"/>
                <w:b w:val="1"/>
                <w:bCs w:val="1"/>
                <w:color w:val="FFFFFF"/>
              </w:rPr>
              <w:t>Three Months Ended March 31, 2020</w:t>
            </w:r>
          </w:p>
        </w:tc>
        <w:tc>
          <w:tcPr>
            <w:tcW w:w="240" w:type="dxa"/>
            <w:vAlign w:val="bottom"/>
            <w:shd w:val="clear" w:color="auto" w:fill="1D2758"/>
          </w:tcPr>
          <w:p>
            <w:pPr>
              <w:spacing w:after="0"/>
              <w:rPr>
                <w:sz w:val="18"/>
                <w:szCs w:val="18"/>
                <w:color w:val="auto"/>
              </w:rPr>
            </w:pPr>
          </w:p>
        </w:tc>
        <w:tc>
          <w:tcPr>
            <w:tcW w:w="8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20" w:type="dxa"/>
            <w:vAlign w:val="bottom"/>
            <w:gridSpan w:val="3"/>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Modular</w:t>
            </w:r>
          </w:p>
        </w:tc>
        <w:tc>
          <w:tcPr>
            <w:tcW w:w="100" w:type="dxa"/>
            <w:vAlign w:val="bottom"/>
            <w:shd w:val="clear" w:color="auto" w:fill="1D2758"/>
          </w:tcPr>
          <w:p>
            <w:pPr>
              <w:spacing w:after="0"/>
              <w:rPr>
                <w:sz w:val="14"/>
                <w:szCs w:val="14"/>
                <w:color w:val="auto"/>
              </w:rPr>
            </w:pPr>
          </w:p>
        </w:tc>
        <w:tc>
          <w:tcPr>
            <w:tcW w:w="960" w:type="dxa"/>
            <w:vAlign w:val="bottom"/>
            <w:vMerge w:val="restart"/>
            <w:shd w:val="clear" w:color="auto" w:fill="1D2758"/>
          </w:tcPr>
          <w:p>
            <w:pPr>
              <w:spacing w:after="0"/>
              <w:rPr>
                <w:sz w:val="20"/>
                <w:szCs w:val="20"/>
                <w:color w:val="auto"/>
              </w:rPr>
            </w:pPr>
            <w:r>
              <w:rPr>
                <w:rFonts w:ascii="Arial" w:cs="Arial" w:eastAsia="Arial" w:hAnsi="Arial"/>
                <w:sz w:val="16"/>
                <w:szCs w:val="16"/>
                <w:b w:val="1"/>
                <w:bCs w:val="1"/>
                <w:color w:val="FFFFFF"/>
              </w:rPr>
              <w:t>NA Storage</w:t>
            </w:r>
          </w:p>
        </w:tc>
        <w:tc>
          <w:tcPr>
            <w:tcW w:w="6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120" w:type="dxa"/>
            <w:vAlign w:val="bottom"/>
            <w:shd w:val="clear" w:color="auto" w:fill="1D2758"/>
          </w:tcPr>
          <w:p>
            <w:pPr>
              <w:spacing w:after="0"/>
              <w:rPr>
                <w:sz w:val="14"/>
                <w:szCs w:val="14"/>
                <w:color w:val="auto"/>
              </w:rPr>
            </w:pPr>
          </w:p>
        </w:tc>
        <w:tc>
          <w:tcPr>
            <w:tcW w:w="1100" w:type="dxa"/>
            <w:vAlign w:val="bottom"/>
            <w:gridSpan w:val="2"/>
            <w:vMerge w:val="restart"/>
            <w:shd w:val="clear" w:color="auto" w:fill="1D2758"/>
          </w:tcPr>
          <w:p>
            <w:pPr>
              <w:spacing w:after="0"/>
              <w:rPr>
                <w:sz w:val="20"/>
                <w:szCs w:val="20"/>
                <w:color w:val="auto"/>
              </w:rPr>
            </w:pPr>
            <w:r>
              <w:rPr>
                <w:rFonts w:ascii="Arial" w:cs="Arial" w:eastAsia="Arial" w:hAnsi="Arial"/>
                <w:sz w:val="16"/>
                <w:szCs w:val="16"/>
                <w:b w:val="1"/>
                <w:bCs w:val="1"/>
                <w:color w:val="FFFFFF"/>
              </w:rPr>
              <w:t>UK Storage</w:t>
            </w:r>
          </w:p>
        </w:tc>
        <w:tc>
          <w:tcPr>
            <w:tcW w:w="160" w:type="dxa"/>
            <w:vAlign w:val="bottom"/>
            <w:shd w:val="clear" w:color="auto" w:fill="1D2758"/>
          </w:tcPr>
          <w:p>
            <w:pPr>
              <w:spacing w:after="0"/>
              <w:rPr>
                <w:sz w:val="14"/>
                <w:szCs w:val="14"/>
                <w:color w:val="auto"/>
              </w:rPr>
            </w:pPr>
          </w:p>
        </w:tc>
        <w:tc>
          <w:tcPr>
            <w:tcW w:w="960" w:type="dxa"/>
            <w:vAlign w:val="bottom"/>
            <w:shd w:val="clear" w:color="auto" w:fill="1D2758"/>
          </w:tcPr>
          <w:p>
            <w:pPr>
              <w:ind w:left="60"/>
              <w:spacing w:after="0" w:line="162" w:lineRule="exact"/>
              <w:rPr>
                <w:sz w:val="20"/>
                <w:szCs w:val="20"/>
                <w:color w:val="auto"/>
              </w:rPr>
            </w:pPr>
            <w:r>
              <w:rPr>
                <w:rFonts w:ascii="Arial" w:cs="Arial" w:eastAsia="Arial" w:hAnsi="Arial"/>
                <w:sz w:val="16"/>
                <w:szCs w:val="16"/>
                <w:b w:val="1"/>
                <w:bCs w:val="1"/>
                <w:color w:val="FFFFFF"/>
              </w:rPr>
              <w:t>Tank and</w:t>
            </w:r>
          </w:p>
        </w:tc>
        <w:tc>
          <w:tcPr>
            <w:tcW w:w="240" w:type="dxa"/>
            <w:vAlign w:val="bottom"/>
            <w:shd w:val="clear" w:color="auto" w:fill="1D2758"/>
          </w:tcPr>
          <w:p>
            <w:pPr>
              <w:spacing w:after="0"/>
              <w:rPr>
                <w:sz w:val="14"/>
                <w:szCs w:val="14"/>
                <w:color w:val="auto"/>
              </w:rPr>
            </w:pPr>
          </w:p>
        </w:tc>
        <w:tc>
          <w:tcPr>
            <w:tcW w:w="1260" w:type="dxa"/>
            <w:vAlign w:val="bottom"/>
            <w:shd w:val="clear" w:color="auto" w:fill="1D2758"/>
          </w:tcPr>
          <w:p>
            <w:pPr>
              <w:jc w:val="right"/>
              <w:ind w:right="219"/>
              <w:spacing w:after="0" w:line="162" w:lineRule="exact"/>
              <w:rPr>
                <w:sz w:val="20"/>
                <w:szCs w:val="20"/>
                <w:color w:val="auto"/>
              </w:rPr>
            </w:pPr>
            <w:r>
              <w:rPr>
                <w:rFonts w:ascii="Arial" w:cs="Arial" w:eastAsia="Arial" w:hAnsi="Arial"/>
                <w:sz w:val="16"/>
                <w:szCs w:val="16"/>
                <w:b w:val="1"/>
                <w:bCs w:val="1"/>
                <w:color w:val="FFFFFF"/>
              </w:rPr>
              <w:t>Unallocated</w:t>
            </w:r>
          </w:p>
        </w:tc>
        <w:tc>
          <w:tcPr>
            <w:tcW w:w="240" w:type="dxa"/>
            <w:vAlign w:val="bottom"/>
            <w:shd w:val="clear" w:color="auto" w:fill="1D2758"/>
          </w:tcPr>
          <w:p>
            <w:pPr>
              <w:spacing w:after="0"/>
              <w:rPr>
                <w:sz w:val="14"/>
                <w:szCs w:val="14"/>
                <w:color w:val="auto"/>
              </w:rPr>
            </w:pPr>
          </w:p>
        </w:tc>
        <w:tc>
          <w:tcPr>
            <w:tcW w:w="880" w:type="dxa"/>
            <w:vAlign w:val="bottom"/>
            <w:vMerge w:val="restart"/>
            <w:shd w:val="clear" w:color="auto" w:fill="1D2758"/>
          </w:tcPr>
          <w:p>
            <w:pPr>
              <w:jc w:val="right"/>
              <w:ind w:right="2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860" w:type="dxa"/>
            <w:vAlign w:val="bottom"/>
            <w:vMerge w:val="continue"/>
            <w:shd w:val="clear" w:color="auto" w:fill="1D2758"/>
          </w:tcPr>
          <w:p>
            <w:pPr>
              <w:spacing w:after="0"/>
              <w:rPr>
                <w:sz w:val="18"/>
                <w:szCs w:val="18"/>
                <w:color w:val="auto"/>
              </w:rPr>
            </w:pPr>
          </w:p>
        </w:tc>
        <w:tc>
          <w:tcPr>
            <w:tcW w:w="1220" w:type="dxa"/>
            <w:vAlign w:val="bottom"/>
            <w:gridSpan w:val="3"/>
            <w:vMerge w:val="continue"/>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6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100" w:type="dxa"/>
            <w:vAlign w:val="bottom"/>
            <w:gridSpan w:val="2"/>
            <w:vMerge w:val="continue"/>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960" w:type="dxa"/>
            <w:vAlign w:val="bottom"/>
            <w:shd w:val="clear" w:color="auto" w:fill="1D2758"/>
          </w:tcPr>
          <w:p>
            <w:pPr>
              <w:ind w:left="180"/>
              <w:spacing w:after="0"/>
              <w:rPr>
                <w:sz w:val="20"/>
                <w:szCs w:val="20"/>
                <w:color w:val="auto"/>
              </w:rPr>
            </w:pPr>
            <w:r>
              <w:rPr>
                <w:rFonts w:ascii="Arial" w:cs="Arial" w:eastAsia="Arial" w:hAnsi="Arial"/>
                <w:sz w:val="16"/>
                <w:szCs w:val="16"/>
                <w:b w:val="1"/>
                <w:bCs w:val="1"/>
                <w:color w:val="FFFFFF"/>
              </w:rPr>
              <w:t>Pump</w:t>
            </w:r>
          </w:p>
        </w:tc>
        <w:tc>
          <w:tcPr>
            <w:tcW w:w="240" w:type="dxa"/>
            <w:vAlign w:val="bottom"/>
            <w:shd w:val="clear" w:color="auto" w:fill="1D2758"/>
          </w:tcPr>
          <w:p>
            <w:pPr>
              <w:spacing w:after="0"/>
              <w:rPr>
                <w:sz w:val="18"/>
                <w:szCs w:val="18"/>
                <w:color w:val="auto"/>
              </w:rPr>
            </w:pPr>
          </w:p>
        </w:tc>
        <w:tc>
          <w:tcPr>
            <w:tcW w:w="1260" w:type="dxa"/>
            <w:vAlign w:val="bottom"/>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Costs</w:t>
            </w:r>
          </w:p>
        </w:tc>
        <w:tc>
          <w:tcPr>
            <w:tcW w:w="240" w:type="dxa"/>
            <w:vAlign w:val="bottom"/>
            <w:shd w:val="clear" w:color="auto" w:fill="1D2758"/>
          </w:tcPr>
          <w:p>
            <w:pPr>
              <w:spacing w:after="0"/>
              <w:rPr>
                <w:sz w:val="18"/>
                <w:szCs w:val="18"/>
                <w:color w:val="auto"/>
              </w:rPr>
            </w:pPr>
          </w:p>
        </w:tc>
        <w:tc>
          <w:tcPr>
            <w:tcW w:w="88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Leasing</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188,352</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188,352</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Delivery and installation</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51,070</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revenue:</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Rental units</w:t>
            </w:r>
          </w:p>
        </w:tc>
        <w:tc>
          <w:tcPr>
            <w:tcW w:w="2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0" w:type="dxa"/>
            <w:vAlign w:val="bottom"/>
          </w:tcPr>
          <w:p>
            <w:pPr>
              <w:spacing w:after="0"/>
              <w:rPr>
                <w:sz w:val="1"/>
                <w:szCs w:val="1"/>
                <w:color w:val="auto"/>
              </w:rPr>
            </w:pPr>
          </w:p>
        </w:tc>
      </w:tr>
      <w:tr>
        <w:trPr>
          <w:trHeight w:val="206"/>
        </w:trPr>
        <w:tc>
          <w:tcPr>
            <w:tcW w:w="38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255,821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255,821</w:t>
            </w:r>
          </w:p>
        </w:tc>
        <w:tc>
          <w:tcPr>
            <w:tcW w:w="0" w:type="dxa"/>
            <w:vAlign w:val="bottom"/>
          </w:tcPr>
          <w:p>
            <w:pPr>
              <w:spacing w:after="0"/>
              <w:rPr>
                <w:sz w:val="1"/>
                <w:szCs w:val="1"/>
                <w:color w:val="auto"/>
              </w:rPr>
            </w:pPr>
          </w:p>
        </w:tc>
      </w:tr>
      <w:tr>
        <w:trPr>
          <w:trHeight w:val="260"/>
        </w:trPr>
        <w:tc>
          <w:tcPr>
            <w:tcW w:w="386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8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leasing and services:</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Leasing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49,809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49,809</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Delivery and installation</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43,865</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43,865</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New units</w:t>
            </w:r>
          </w:p>
        </w:tc>
        <w:tc>
          <w:tcPr>
            <w:tcW w:w="2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6,203</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60" w:type="dxa"/>
            <w:vAlign w:val="bottom"/>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9"/>
                <w:szCs w:val="19"/>
                <w:color w:val="auto"/>
              </w:rPr>
            </w:pP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3,806</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of rental equipment</w:t>
            </w:r>
          </w:p>
        </w:tc>
        <w:tc>
          <w:tcPr>
            <w:tcW w:w="28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45,948</w:t>
            </w:r>
          </w:p>
        </w:tc>
        <w:tc>
          <w:tcPr>
            <w:tcW w:w="10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45,948</w:t>
            </w:r>
          </w:p>
        </w:tc>
        <w:tc>
          <w:tcPr>
            <w:tcW w:w="0" w:type="dxa"/>
            <w:vAlign w:val="bottom"/>
          </w:tcPr>
          <w:p>
            <w:pPr>
              <w:spacing w:after="0"/>
              <w:rPr>
                <w:sz w:val="1"/>
                <w:szCs w:val="1"/>
                <w:color w:val="auto"/>
              </w:rPr>
            </w:pPr>
          </w:p>
        </w:tc>
      </w:tr>
      <w:tr>
        <w:trPr>
          <w:trHeight w:val="207"/>
        </w:trPr>
        <w:tc>
          <w:tcPr>
            <w:tcW w:w="38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106,190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106,190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shd w:val="clear" w:color="auto" w:fill="DBDBDB"/>
          </w:tcPr>
          <w:p>
            <w:pPr>
              <w:ind w:left="20"/>
              <w:spacing w:after="0" w:line="180" w:lineRule="exact"/>
              <w:rPr>
                <w:sz w:val="20"/>
                <w:szCs w:val="20"/>
                <w:color w:val="auto"/>
              </w:rPr>
            </w:pPr>
            <w:r>
              <w:rPr>
                <w:rFonts w:ascii="Arial" w:cs="Arial" w:eastAsia="Arial" w:hAnsi="Arial"/>
                <w:sz w:val="16"/>
                <w:szCs w:val="16"/>
                <w:color w:val="auto"/>
              </w:rPr>
              <w:t>Other selected data:</w:t>
            </w: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89,544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89,544</w:t>
            </w:r>
          </w:p>
        </w:tc>
        <w:tc>
          <w:tcPr>
            <w:tcW w:w="0" w:type="dxa"/>
            <w:vAlign w:val="bottom"/>
          </w:tcPr>
          <w:p>
            <w:pPr>
              <w:spacing w:after="0"/>
              <w:rPr>
                <w:sz w:val="1"/>
                <w:szCs w:val="1"/>
                <w:color w:val="auto"/>
              </w:rPr>
            </w:pPr>
          </w:p>
        </w:tc>
      </w:tr>
      <w:tr>
        <w:trPr>
          <w:trHeight w:val="219"/>
        </w:trPr>
        <w:tc>
          <w:tcPr>
            <w:tcW w:w="38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 expense (a)</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62,572</w:t>
            </w: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80"/>
              <w:spacing w:after="0"/>
              <w:rPr>
                <w:sz w:val="20"/>
                <w:szCs w:val="20"/>
                <w:color w:val="auto"/>
              </w:rPr>
            </w:pPr>
            <w:r>
              <w:rPr>
                <w:rFonts w:ascii="Arial" w:cs="Arial" w:eastAsia="Arial" w:hAnsi="Arial"/>
                <w:sz w:val="16"/>
                <w:szCs w:val="16"/>
                <w:color w:val="auto"/>
                <w:w w:val="99"/>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12,396</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74,968</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Purchases of rental equipment and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40"/>
              <w:spacing w:after="0"/>
              <w:rPr>
                <w:sz w:val="20"/>
                <w:szCs w:val="20"/>
                <w:color w:val="auto"/>
              </w:rPr>
            </w:pPr>
            <w:r>
              <w:rPr>
                <w:rFonts w:ascii="Arial" w:cs="Arial" w:eastAsia="Arial" w:hAnsi="Arial"/>
                <w:sz w:val="16"/>
                <w:szCs w:val="16"/>
                <w:color w:val="auto"/>
              </w:rPr>
              <w:t>refurbishments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39,648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39,648</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 Includes both SG&amp;A expense and Transaction costs from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color w:val="auto"/>
        </w:rPr>
        <w:t>The following tables present a reconciliation of the Company’s income (loss) from operations to Adjusted EBITDA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31, 2021 and 2020,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444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5"/>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7"/>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(as restated)</w:t>
            </w: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4,447</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91,655</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3,185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10,481</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790</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29,964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28,257</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74,022</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49,022</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Fair value loss (gain) on common stock warrant liabilities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27,207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(95,329)</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net</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4,395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Transaction costs</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844</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9,431</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1,685</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3,514</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1,787</w:t>
            </w:r>
          </w:p>
        </w:tc>
      </w:tr>
      <w:tr>
        <w:trPr>
          <w:trHeight w:val="213"/>
        </w:trPr>
        <w:tc>
          <w:tcPr>
            <w:tcW w:w="62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32"/>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163,585</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89,544</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NOTE 19 - Earnings (Loss) Per Share</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Basic earnings (loss) per share (“EPS”) is calculated by dividing net income (loss) attributable to WillScot Mobile Mini by the weighted average number of shares of Common Stock outstanding during the period. The shares of Common Stock issued as a result of the vesting of RSUs and RSAs as well as the exercise of stock options or redemption of warrants were included in EPS based on the weighted average number of days in which they were vested and outstanding during the period.</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June 30, 2020, the Company had shares of Class B Common Stock which had no rights to dividends or distributions made by the Company and, in turn, were excluded from the EPS calculation. On June 30, 2020, the Sapphire Exchange was completed, and all shares of Class B Common Stock were cancelled, and Sapphire Holdings received 10,641,182 shares of Common Stock.</w:t>
      </w:r>
    </w:p>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Diluted EPS is computed similarly to basic EPS, except that it includes the potential dilution that would occur if dilutive securities were exercised. Effects of potentially dilutive securities are presented only in periods in which they are dilutive. When liability-classified warrants are in the money and the impact of their inclusion on diluted EPS is dilutive, diluted EPS also assumes share settlement of such instruments through an adjustment to net income available to common stockholders for the fair value (gain) loss on common stock warrant liabilities and inclusion of the number of dilutive shares in the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1" w:name="page32"/>
    <w:bookmarkEnd w:id="31"/>
    <w:p>
      <w:pPr>
        <w:jc w:val="both"/>
        <w:ind w:firstLine="648"/>
        <w:spacing w:after="0" w:line="260" w:lineRule="auto"/>
        <w:rPr>
          <w:sz w:val="20"/>
          <w:szCs w:val="20"/>
          <w:color w:val="auto"/>
        </w:rPr>
      </w:pPr>
      <w:r>
        <w:rPr>
          <w:rFonts w:ascii="Arial" w:cs="Arial" w:eastAsia="Arial" w:hAnsi="Arial"/>
          <w:sz w:val="16"/>
          <w:szCs w:val="16"/>
          <w:color w:val="auto"/>
        </w:rPr>
        <w:t>The following table reconciles net income attributable to WillScot Mobile Mini common shareholders and the weighted average shares outstanding for the basic calculation to the weighted average shares outstanding for the diluted calculation.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4640" w:type="dxa"/>
            <w:vAlign w:val="bottom"/>
            <w:gridSpan w:val="4"/>
            <w:shd w:val="clear" w:color="auto" w:fill="1D2758"/>
          </w:tcPr>
          <w:p>
            <w:pPr>
              <w:jc w:val="right"/>
              <w:ind w:right="161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162"/>
        </w:trPr>
        <w:tc>
          <w:tcPr>
            <w:tcW w:w="62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4"/>
                <w:szCs w:val="14"/>
                <w:color w:val="auto"/>
              </w:rPr>
            </w:pPr>
          </w:p>
        </w:tc>
        <w:tc>
          <w:tcPr>
            <w:tcW w:w="2160" w:type="dxa"/>
            <w:vAlign w:val="bottom"/>
            <w:gridSpan w:val="2"/>
            <w:vMerge w:val="restart"/>
            <w:shd w:val="clear" w:color="auto" w:fill="1D2758"/>
          </w:tcPr>
          <w:p>
            <w:pPr>
              <w:ind w:left="280"/>
              <w:spacing w:after="0"/>
              <w:rPr>
                <w:sz w:val="20"/>
                <w:szCs w:val="20"/>
                <w:color w:val="auto"/>
              </w:rPr>
            </w:pPr>
            <w:r>
              <w:rPr>
                <w:rFonts w:ascii="Arial" w:cs="Arial" w:eastAsia="Arial" w:hAnsi="Arial"/>
                <w:sz w:val="16"/>
                <w:szCs w:val="16"/>
                <w:b w:val="1"/>
                <w:bCs w:val="1"/>
                <w:color w:val="FFFFFF"/>
              </w:rPr>
              <w:t>March 31, 2021</w:t>
            </w:r>
          </w:p>
        </w:tc>
        <w:tc>
          <w:tcPr>
            <w:tcW w:w="400" w:type="dxa"/>
            <w:vAlign w:val="bottom"/>
            <w:shd w:val="clear" w:color="auto" w:fill="1D2758"/>
          </w:tcPr>
          <w:p>
            <w:pPr>
              <w:spacing w:after="0"/>
              <w:rPr>
                <w:sz w:val="14"/>
                <w:szCs w:val="14"/>
                <w:color w:val="auto"/>
              </w:rPr>
            </w:pPr>
          </w:p>
        </w:tc>
        <w:tc>
          <w:tcPr>
            <w:tcW w:w="2080" w:type="dxa"/>
            <w:vAlign w:val="bottom"/>
            <w:shd w:val="clear" w:color="auto" w:fill="1D2758"/>
          </w:tcPr>
          <w:p>
            <w:pPr>
              <w:jc w:val="right"/>
              <w:ind w:right="579"/>
              <w:spacing w:after="0" w:line="162" w:lineRule="exact"/>
              <w:rPr>
                <w:sz w:val="20"/>
                <w:szCs w:val="20"/>
                <w:color w:val="auto"/>
              </w:rPr>
            </w:pPr>
            <w:r>
              <w:rPr>
                <w:rFonts w:ascii="Arial" w:cs="Arial" w:eastAsia="Arial" w:hAnsi="Arial"/>
                <w:sz w:val="16"/>
                <w:szCs w:val="16"/>
                <w:b w:val="1"/>
                <w:bCs w:val="1"/>
                <w:color w:val="FFFFFF"/>
              </w:rPr>
              <w:t>March 31, 2020</w:t>
            </w:r>
          </w:p>
        </w:tc>
        <w:tc>
          <w:tcPr>
            <w:tcW w:w="0" w:type="dxa"/>
            <w:vAlign w:val="bottom"/>
          </w:tcPr>
          <w:p>
            <w:pPr>
              <w:spacing w:after="0"/>
              <w:rPr>
                <w:sz w:val="1"/>
                <w:szCs w:val="1"/>
                <w:color w:val="auto"/>
              </w:rPr>
            </w:pPr>
          </w:p>
        </w:tc>
      </w:tr>
      <w:tr>
        <w:trPr>
          <w:trHeight w:val="216"/>
        </w:trPr>
        <w:tc>
          <w:tcPr>
            <w:tcW w:w="622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2160" w:type="dxa"/>
            <w:vAlign w:val="bottom"/>
            <w:gridSpan w:val="2"/>
            <w:vMerge w:val="continue"/>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208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Numerator:</w:t>
            </w:r>
          </w:p>
        </w:tc>
        <w:tc>
          <w:tcPr>
            <w:tcW w:w="380" w:type="dxa"/>
            <w:vAlign w:val="bottom"/>
            <w:shd w:val="clear" w:color="auto" w:fill="DBDBDB"/>
          </w:tcPr>
          <w:p>
            <w:pPr>
              <w:spacing w:after="0"/>
              <w:rPr>
                <w:sz w:val="18"/>
                <w:szCs w:val="18"/>
                <w:color w:val="auto"/>
              </w:rPr>
            </w:pPr>
          </w:p>
        </w:tc>
        <w:tc>
          <w:tcPr>
            <w:tcW w:w="2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Net income attributable to common shareholders - basic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4,447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16"/>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Fair value gain on common stock warrant liabilities</w:t>
            </w:r>
          </w:p>
        </w:tc>
        <w:tc>
          <w:tcPr>
            <w:tcW w:w="380" w:type="dxa"/>
            <w:vAlign w:val="bottom"/>
            <w:shd w:val="clear" w:color="auto" w:fill="DBDBDB"/>
          </w:tcPr>
          <w:p>
            <w:pPr>
              <w:spacing w:after="0"/>
              <w:rPr>
                <w:sz w:val="18"/>
                <w:szCs w:val="18"/>
                <w:color w:val="auto"/>
              </w:rPr>
            </w:pPr>
          </w:p>
        </w:tc>
        <w:tc>
          <w:tcPr>
            <w:tcW w:w="2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(96,984)</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shareholders - dilutive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4,447</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20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20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228,293</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109,657</w:t>
            </w:r>
          </w:p>
        </w:tc>
        <w:tc>
          <w:tcPr>
            <w:tcW w:w="0" w:type="dxa"/>
            <w:vAlign w:val="bottom"/>
          </w:tcPr>
          <w:p>
            <w:pPr>
              <w:spacing w:after="0"/>
              <w:rPr>
                <w:sz w:val="1"/>
                <w:szCs w:val="1"/>
                <w:color w:val="auto"/>
              </w:rPr>
            </w:pP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Dilutive effect of shares outstanding</w:t>
            </w: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Warrants</w:t>
            </w:r>
          </w:p>
        </w:tc>
        <w:tc>
          <w:tcPr>
            <w:tcW w:w="38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3,927</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3,016</w:t>
            </w:r>
          </w:p>
        </w:tc>
        <w:tc>
          <w:tcPr>
            <w:tcW w:w="0" w:type="dxa"/>
            <w:vAlign w:val="bottom"/>
          </w:tcPr>
          <w:p>
            <w:pPr>
              <w:spacing w:after="0"/>
              <w:rPr>
                <w:sz w:val="1"/>
                <w:szCs w:val="1"/>
                <w:color w:val="auto"/>
              </w:rPr>
            </w:pPr>
          </w:p>
        </w:tc>
      </w:tr>
      <w:tr>
        <w:trPr>
          <w:trHeight w:val="213"/>
        </w:trPr>
        <w:tc>
          <w:tcPr>
            <w:tcW w:w="6220" w:type="dxa"/>
            <w:vAlign w:val="bottom"/>
          </w:tcPr>
          <w:p>
            <w:pPr>
              <w:ind w:left="360"/>
              <w:spacing w:after="0"/>
              <w:rPr>
                <w:sz w:val="20"/>
                <w:szCs w:val="20"/>
                <w:color w:val="auto"/>
              </w:rPr>
            </w:pPr>
            <w:r>
              <w:rPr>
                <w:rFonts w:ascii="Arial" w:cs="Arial" w:eastAsia="Arial" w:hAnsi="Arial"/>
                <w:sz w:val="16"/>
                <w:szCs w:val="16"/>
                <w:color w:val="auto"/>
              </w:rPr>
              <w:t>RSAs</w:t>
            </w:r>
          </w:p>
        </w:tc>
        <w:tc>
          <w:tcPr>
            <w:tcW w:w="3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Time-based RSUs</w:t>
            </w:r>
          </w:p>
        </w:tc>
        <w:tc>
          <w:tcPr>
            <w:tcW w:w="38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645</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20" w:type="dxa"/>
            <w:vAlign w:val="bottom"/>
          </w:tcPr>
          <w:p>
            <w:pPr>
              <w:ind w:left="360"/>
              <w:spacing w:after="0"/>
              <w:rPr>
                <w:sz w:val="20"/>
                <w:szCs w:val="20"/>
                <w:color w:val="auto"/>
              </w:rPr>
            </w:pPr>
            <w:r>
              <w:rPr>
                <w:rFonts w:ascii="Arial" w:cs="Arial" w:eastAsia="Arial" w:hAnsi="Arial"/>
                <w:sz w:val="16"/>
                <w:szCs w:val="16"/>
                <w:color w:val="auto"/>
              </w:rPr>
              <w:t>Performance-based RSUs</w:t>
            </w:r>
          </w:p>
        </w:tc>
        <w:tc>
          <w:tcPr>
            <w:tcW w:w="3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737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DBDBDB"/>
          </w:tcPr>
          <w:p>
            <w:pPr>
              <w:ind w:left="360"/>
              <w:spacing w:after="0"/>
              <w:rPr>
                <w:sz w:val="20"/>
                <w:szCs w:val="20"/>
                <w:color w:val="auto"/>
              </w:rPr>
            </w:pPr>
            <w:r>
              <w:rPr>
                <w:rFonts w:ascii="Arial" w:cs="Arial" w:eastAsia="Arial" w:hAnsi="Arial"/>
                <w:sz w:val="16"/>
                <w:szCs w:val="16"/>
                <w:color w:val="auto"/>
              </w:rPr>
              <w:t>Stock Options</w:t>
            </w:r>
          </w:p>
        </w:tc>
        <w:tc>
          <w:tcPr>
            <w:tcW w:w="38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1,067</w:t>
            </w:r>
          </w:p>
        </w:tc>
        <w:tc>
          <w:tcPr>
            <w:tcW w:w="80" w:type="dxa"/>
            <w:vAlign w:val="bottom"/>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dilutive</w:t>
            </w: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234,720</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112,673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For the three months ended March 31, 2021, warrants representing 3,513,763 shares of Common Stock were excluded from the computation of diluted EPS because their effect would have been anti-dilutive.</w:t>
      </w:r>
    </w:p>
    <w:p>
      <w:pPr>
        <w:spacing w:after="0" w:line="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three months ended March 31, 2020, Class B Common Shares, Time-Based RSUs, Market-Based RSU's, RSAs, and warrants representing 10,641,182, 213,692, 316,579, 36,350 and 476,897 shares of Common Stock, respectively, were excluded from the computation of diluted EPS because their effect would have been anti-dilutive.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3"/>
          <w:szCs w:val="23"/>
          <w:color w:val="1D2758"/>
        </w:rPr>
        <w:t>NOTE 20 - Related Parties</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Related party balances included in the Company’s condensed consolidated balance sheets at March 31, 2021 and December 31, 2020,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520" w:type="dxa"/>
            <w:vAlign w:val="bottom"/>
            <w:gridSpan w:val="2"/>
            <w:shd w:val="clear" w:color="auto" w:fill="1D2758"/>
          </w:tcPr>
          <w:p>
            <w:pPr>
              <w:ind w:left="1140"/>
              <w:spacing w:after="0"/>
              <w:rPr>
                <w:sz w:val="20"/>
                <w:szCs w:val="20"/>
                <w:color w:val="auto"/>
              </w:rPr>
            </w:pPr>
            <w:r>
              <w:rPr>
                <w:rFonts w:ascii="Arial" w:cs="Arial" w:eastAsia="Arial" w:hAnsi="Arial"/>
                <w:sz w:val="16"/>
                <w:szCs w:val="16"/>
                <w:b w:val="1"/>
                <w:bCs w:val="1"/>
                <w:color w:val="FFFFFF"/>
              </w:rPr>
              <w:t>Financial Statement Line Item</w:t>
            </w:r>
          </w:p>
        </w:tc>
        <w:tc>
          <w:tcPr>
            <w:tcW w:w="1940" w:type="dxa"/>
            <w:vAlign w:val="bottom"/>
            <w:gridSpan w:val="2"/>
            <w:shd w:val="clear" w:color="auto" w:fill="1D2758"/>
          </w:tcPr>
          <w:p>
            <w:pPr>
              <w:ind w:left="200"/>
              <w:spacing w:after="0"/>
              <w:rPr>
                <w:sz w:val="20"/>
                <w:szCs w:val="20"/>
                <w:color w:val="auto"/>
              </w:rPr>
            </w:pPr>
            <w:r>
              <w:rPr>
                <w:rFonts w:ascii="Arial" w:cs="Arial" w:eastAsia="Arial" w:hAnsi="Arial"/>
                <w:sz w:val="16"/>
                <w:szCs w:val="16"/>
                <w:b w:val="1"/>
                <w:bCs w:val="1"/>
                <w:color w:val="FFFFFF"/>
              </w:rPr>
              <w:t>March 31, 2021</w:t>
            </w:r>
          </w:p>
        </w:tc>
        <w:tc>
          <w:tcPr>
            <w:tcW w:w="220" w:type="dxa"/>
            <w:vAlign w:val="bottom"/>
            <w:shd w:val="clear" w:color="auto" w:fill="1D2758"/>
          </w:tcPr>
          <w:p>
            <w:pPr>
              <w:spacing w:after="0"/>
              <w:rPr>
                <w:sz w:val="18"/>
                <w:szCs w:val="18"/>
                <w:color w:val="auto"/>
              </w:rPr>
            </w:pPr>
          </w:p>
        </w:tc>
        <w:tc>
          <w:tcPr>
            <w:tcW w:w="1920" w:type="dxa"/>
            <w:vAlign w:val="bottom"/>
            <w:shd w:val="clear" w:color="auto" w:fill="1D2758"/>
          </w:tcPr>
          <w:p>
            <w:pPr>
              <w:jc w:val="right"/>
              <w:ind w:right="259"/>
              <w:spacing w:after="0"/>
              <w:rPr>
                <w:sz w:val="20"/>
                <w:szCs w:val="20"/>
                <w:color w:val="auto"/>
              </w:rPr>
            </w:pPr>
            <w:r>
              <w:rPr>
                <w:rFonts w:ascii="Arial" w:cs="Arial" w:eastAsia="Arial" w:hAnsi="Arial"/>
                <w:sz w:val="16"/>
                <w:szCs w:val="16"/>
                <w:b w:val="1"/>
                <w:bCs w:val="1"/>
                <w:color w:val="FFFFFF"/>
              </w:rPr>
              <w:t>December 31, 2020</w:t>
            </w: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Receivables due from affiliates</w:t>
            </w:r>
          </w:p>
        </w:tc>
        <w:tc>
          <w:tcPr>
            <w:tcW w:w="452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Trade receivables, net of allowances for credit losses $</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Amounts due to affiliates</w:t>
            </w:r>
          </w:p>
        </w:tc>
        <w:tc>
          <w:tcPr>
            <w:tcW w:w="4220" w:type="dxa"/>
            <w:vAlign w:val="bottom"/>
            <w:tcBorders>
              <w:bottom w:val="single" w:sz="8" w:color="DBDBDB"/>
            </w:tcBorders>
          </w:tcPr>
          <w:p>
            <w:pPr>
              <w:ind w:left="36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r>
      <w:tr>
        <w:trPr>
          <w:trHeight w:val="233"/>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related party liabilities, net</w:t>
            </w:r>
          </w:p>
        </w:tc>
        <w:tc>
          <w:tcPr>
            <w:tcW w:w="4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(431)</w:t>
            </w:r>
          </w:p>
        </w:tc>
      </w:tr>
      <w:tr>
        <w:trPr>
          <w:trHeight w:val="20"/>
        </w:trPr>
        <w:tc>
          <w:tcPr>
            <w:tcW w:w="2640" w:type="dxa"/>
            <w:vAlign w:val="bottom"/>
            <w:tcBorders>
              <w:top w:val="single" w:sz="8" w:color="DBDBDB"/>
            </w:tcBorders>
          </w:tcPr>
          <w:p>
            <w:pPr>
              <w:spacing w:after="0" w:line="20" w:lineRule="exact"/>
              <w:rPr>
                <w:sz w:val="1"/>
                <w:szCs w:val="1"/>
                <w:color w:val="auto"/>
              </w:rPr>
            </w:pPr>
          </w:p>
        </w:tc>
        <w:tc>
          <w:tcPr>
            <w:tcW w:w="42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Related party transactions included in the Company’s condensed consolidated statements of operations for the three months ended March 31, 2021 and 2020, respectively,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1D2758"/>
          </w:tcPr>
          <w:p>
            <w:pPr>
              <w:spacing w:after="0"/>
              <w:rPr>
                <w:sz w:val="18"/>
                <w:szCs w:val="18"/>
                <w:color w:val="auto"/>
              </w:rPr>
            </w:pPr>
          </w:p>
        </w:tc>
        <w:tc>
          <w:tcPr>
            <w:tcW w:w="38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3860" w:type="dxa"/>
            <w:vAlign w:val="bottom"/>
            <w:gridSpan w:val="4"/>
            <w:shd w:val="clear" w:color="auto" w:fill="1D2758"/>
          </w:tcPr>
          <w:p>
            <w:pPr>
              <w:jc w:val="right"/>
              <w:ind w:right="89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30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80" w:type="dxa"/>
            <w:vAlign w:val="bottom"/>
            <w:shd w:val="clear" w:color="auto" w:fill="1D2758"/>
          </w:tcPr>
          <w:p>
            <w:pPr>
              <w:ind w:left="800"/>
              <w:spacing w:after="0"/>
              <w:rPr>
                <w:sz w:val="20"/>
                <w:szCs w:val="20"/>
                <w:color w:val="auto"/>
              </w:rPr>
            </w:pPr>
            <w:r>
              <w:rPr>
                <w:rFonts w:ascii="Arial" w:cs="Arial" w:eastAsia="Arial" w:hAnsi="Arial"/>
                <w:sz w:val="16"/>
                <w:szCs w:val="16"/>
                <w:b w:val="1"/>
                <w:bCs w:val="1"/>
                <w:color w:val="FFFFFF"/>
              </w:rPr>
              <w:t>Financial Statement Line Item</w:t>
            </w:r>
          </w:p>
        </w:tc>
        <w:tc>
          <w:tcPr>
            <w:tcW w:w="50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81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1640" w:type="dxa"/>
            <w:vAlign w:val="bottom"/>
            <w:shd w:val="clear" w:color="auto" w:fill="1D2758"/>
          </w:tcPr>
          <w:p>
            <w:pPr>
              <w:jc w:val="right"/>
              <w:ind w:right="799"/>
              <w:spacing w:after="0"/>
              <w:rPr>
                <w:sz w:val="20"/>
                <w:szCs w:val="20"/>
                <w:color w:val="auto"/>
              </w:rPr>
            </w:pPr>
            <w:r>
              <w:rPr>
                <w:rFonts w:ascii="Arial" w:cs="Arial" w:eastAsia="Arial" w:hAnsi="Arial"/>
                <w:sz w:val="16"/>
                <w:szCs w:val="16"/>
                <w:b w:val="1"/>
                <w:bCs w:val="1"/>
                <w:color w:val="FFFFFF"/>
              </w:rPr>
              <w:t>2020</w:t>
            </w:r>
          </w:p>
        </w:tc>
      </w:tr>
      <w:tr>
        <w:trPr>
          <w:trHeight w:val="216"/>
        </w:trPr>
        <w:tc>
          <w:tcPr>
            <w:tcW w:w="3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Leasing revenue from related parties</w:t>
            </w:r>
          </w:p>
        </w:tc>
        <w:tc>
          <w:tcPr>
            <w:tcW w:w="3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Leasing revenue</w:t>
            </w:r>
          </w:p>
        </w:tc>
        <w:tc>
          <w:tcPr>
            <w:tcW w:w="50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jc w:val="center"/>
              <w:ind w:left="1139"/>
              <w:spacing w:after="0"/>
              <w:rPr>
                <w:sz w:val="20"/>
                <w:szCs w:val="20"/>
                <w:color w:val="auto"/>
              </w:rPr>
            </w:pPr>
            <w:r>
              <w:rPr>
                <w:rFonts w:ascii="Arial" w:cs="Arial" w:eastAsia="Arial" w:hAnsi="Arial"/>
                <w:sz w:val="16"/>
                <w:szCs w:val="16"/>
                <w:color w:val="auto"/>
                <w:w w:val="97"/>
              </w:rPr>
              <w:t>417</w:t>
            </w:r>
          </w:p>
        </w:tc>
      </w:tr>
      <w:tr>
        <w:trPr>
          <w:trHeight w:val="213"/>
        </w:trPr>
        <w:tc>
          <w:tcPr>
            <w:tcW w:w="30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Consulting expense to related party</w:t>
            </w:r>
          </w:p>
        </w:tc>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Selling, general &amp; administrative expense</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8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(838)</w:t>
            </w:r>
          </w:p>
        </w:tc>
      </w:tr>
      <w:tr>
        <w:trPr>
          <w:trHeight w:val="238"/>
        </w:trPr>
        <w:tc>
          <w:tcPr>
            <w:tcW w:w="3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related party expense, net</w:t>
            </w:r>
          </w:p>
        </w:tc>
        <w:tc>
          <w:tcPr>
            <w:tcW w:w="3880" w:type="dxa"/>
            <w:vAlign w:val="bottom"/>
            <w:tcBorders>
              <w:bottom w:val="single" w:sz="8" w:color="DBDBDB"/>
            </w:tcBorders>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(1,795)</w:t>
            </w:r>
          </w:p>
        </w:tc>
        <w:tc>
          <w:tcPr>
            <w:tcW w:w="80" w:type="dxa"/>
            <w:vAlign w:val="bottom"/>
            <w:tcBorders>
              <w:bottom w:val="single" w:sz="8" w:color="DBDBDB"/>
            </w:tcBorders>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DBDBDB"/>
          </w:tcPr>
          <w:p>
            <w:pPr>
              <w:jc w:val="center"/>
              <w:ind w:left="1139"/>
              <w:spacing w:after="0"/>
              <w:rPr>
                <w:sz w:val="20"/>
                <w:szCs w:val="20"/>
                <w:color w:val="auto"/>
              </w:rPr>
            </w:pPr>
            <w:r>
              <w:rPr>
                <w:rFonts w:ascii="Arial" w:cs="Arial" w:eastAsia="Arial" w:hAnsi="Arial"/>
                <w:sz w:val="16"/>
                <w:szCs w:val="16"/>
                <w:color w:val="auto"/>
              </w:rPr>
              <w:t>(421)</w:t>
            </w:r>
          </w:p>
        </w:tc>
      </w:tr>
      <w:tr>
        <w:trPr>
          <w:trHeight w:val="20"/>
        </w:trPr>
        <w:tc>
          <w:tcPr>
            <w:tcW w:w="3000" w:type="dxa"/>
            <w:vAlign w:val="bottom"/>
            <w:tcBorders>
              <w:top w:val="single" w:sz="8" w:color="DBDBDB"/>
            </w:tcBorders>
          </w:tcPr>
          <w:p>
            <w:pPr>
              <w:spacing w:after="0" w:line="20" w:lineRule="exact"/>
              <w:rPr>
                <w:sz w:val="1"/>
                <w:szCs w:val="1"/>
                <w:color w:val="auto"/>
              </w:rPr>
            </w:pPr>
          </w:p>
        </w:tc>
        <w:tc>
          <w:tcPr>
            <w:tcW w:w="38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r>
        <w:trPr>
          <w:trHeight w:val="1169"/>
        </w:trPr>
        <w:tc>
          <w:tcPr>
            <w:tcW w:w="30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2" w:name="page33"/>
    <w:bookmarkEnd w:id="32"/>
    <w:p>
      <w:pPr>
        <w:jc w:val="both"/>
        <w:ind w:firstLine="648"/>
        <w:spacing w:after="0" w:line="253" w:lineRule="auto"/>
        <w:rPr>
          <w:sz w:val="20"/>
          <w:szCs w:val="20"/>
          <w:color w:val="auto"/>
        </w:rPr>
      </w:pPr>
      <w:r>
        <w:rPr>
          <w:rFonts w:ascii="Arial" w:cs="Arial" w:eastAsia="Arial" w:hAnsi="Arial"/>
          <w:sz w:val="16"/>
          <w:szCs w:val="16"/>
          <w:color w:val="auto"/>
        </w:rPr>
        <w:t>On June 30, 2020, the Company completed the Sapphire Exchange, whereby Sapphire Holdings, an affiliate of TDR Capital, exchanged shares of Class B Common Stock for 10,641,182 shares of Class A Common Stock. As a result of the Sapphire Exchange, all issued and outstanding shares of WillScot’s Class B Common Stock were automatically canceled for no consideration and the existing exchange agreement was automatically terminated.</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August 22, 2018, WillScot’s majority stockholder, Sapphire Holdings, entered into a margin loan (the "Margin Loan"), which expires August 29, 2022, under which all of its shares of WillScot Mobile Mini Common Stock are pledged to secure borrowings of up to $125.0 million under the loan agreement. WillScot Mobile Mini is not a party to the loan agreement and has no obligations thereunder, but WillScot Mobile Mini delivered an issuer agreement to the lenders under which the Company has agreed to certain customary obligations relating to the shares pledged by Sapphire Holdings and, subject to applicable law and stock exchange rules, not to take any actions that are intended to materially hinder or delay the exercise of any remedies with respect to the pledged shares. As of March 31, 2021, 42,263,208 shares of WillScot Mobile Mini Common Stock, representing approximately 19% of WillScot Mobile Mini’s issued and outstanding Common Stock, were pledged by Sapphire Holdings under the Margin Loan.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 2021, the Company repurchased and cancelled 2,750,000 shares of its Common Stock from Sapphire Holdings.</w:t>
      </w:r>
    </w:p>
    <w:p>
      <w:pPr>
        <w:spacing w:after="0" w:line="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purchased rental equipment from related party affiliates of $1.8 million and $0.2 million for the three months ended March 31, 2021 and 2020, respectively.</w:t>
      </w:r>
    </w:p>
    <w:p>
      <w:pPr>
        <w:spacing w:after="0" w:line="352" w:lineRule="exact"/>
        <w:rPr>
          <w:sz w:val="20"/>
          <w:szCs w:val="20"/>
          <w:color w:val="auto"/>
        </w:rPr>
      </w:pPr>
    </w:p>
    <w:p>
      <w:pPr>
        <w:ind w:left="1840" w:right="580" w:hanging="1943"/>
        <w:spacing w:after="0" w:line="281" w:lineRule="auto"/>
        <w:tabs>
          <w:tab w:leader="none" w:pos="1820" w:val="left"/>
        </w:tabs>
        <w:rPr>
          <w:sz w:val="20"/>
          <w:szCs w:val="20"/>
          <w:color w:val="auto"/>
        </w:rPr>
      </w:pPr>
      <w:r>
        <w:rPr>
          <w:rFonts w:ascii="Arial" w:cs="Arial" w:eastAsia="Arial" w:hAnsi="Arial"/>
          <w:sz w:val="40"/>
          <w:szCs w:val="40"/>
          <w:b w:val="1"/>
          <w:bCs w:val="1"/>
          <w:color w:val="auto"/>
        </w:rPr>
        <w:t>ITEM 2.</w:t>
        <w:tab/>
        <w:t>Management’s Discussion and Analysis of Financial Condition and Results of Operations</w:t>
      </w:r>
    </w:p>
    <w:p>
      <w:pPr>
        <w:spacing w:after="0" w:line="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Mobile Mini Holdings Corp. ("WillScot Mobile Mini"), formerly known as WillScot Corporation ("WillScot"),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months ended March 31, 2021 or prior periods. On July 1, 2020, WillScot and Mobile Mini, Inc. (“Mobile Mini”) merged (the “Merger”). As the Merger was completed on July 1, 2020, unless the context otherwise requires, the terms “we”, “us”, “our” “Company” and “WillScot Mobile Mini” as used in these financial statements mean WillScot Corporation and its subsidiaries when referring to periods prior to July 1, 2020 (prior to the Merger) and to WillScot Mobile Mini when referring to periods on or after July 1, 2020 (after the Merger).</w:t>
      </w:r>
    </w:p>
    <w:p>
      <w:pPr>
        <w:spacing w:after="0" w:line="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US (“GAAP”).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the Other Non-GAAP Financial Data and Reconciliations section.</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1D2758"/>
        </w:rPr>
        <w:t>Executive Summary and Outlook</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over 12,600 tank and pump units in our fleet. As of March 31, 2021, our branch network included approximately 270 branch locations and additional drop lots to service over 85,000 customers. We offer our customers an extensive selection of “Ready to Work” modular space and portable storage solutions with over 157,000 modular space units and over 195,000 portable storage units in our fleet.</w:t>
      </w:r>
    </w:p>
    <w:p>
      <w:pPr>
        <w:spacing w:after="0" w:line="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However, given that our customers value flexibility, they consistently extend their leases or renew on a month-to-month basis such that the average effective duration of our lease portfolio excluding seasonal portable storage units is approximately 31 months. We complement our core leasing business by selling both new and used units, allowing us to leverage scale, achieve purchasing benefits and redeploy capital employed in our lease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3" w:name="page34"/>
    <w:bookmarkEnd w:id="33"/>
    <w:p>
      <w:pPr>
        <w:jc w:val="both"/>
        <w:ind w:firstLine="648"/>
        <w:spacing w:after="0" w:line="250" w:lineRule="auto"/>
        <w:rPr>
          <w:sz w:val="20"/>
          <w:szCs w:val="20"/>
          <w:color w:val="auto"/>
        </w:rPr>
      </w:pPr>
      <w:r>
        <w:rPr>
          <w:rFonts w:ascii="Arial" w:cs="Arial" w:eastAsia="Arial" w:hAnsi="Arial"/>
          <w:sz w:val="16"/>
          <w:szCs w:val="16"/>
          <w:color w:val="auto"/>
        </w:rPr>
        <w:t>Our customers operate in a diversified set of end markets, including construction, commercial and industrial, retail and wholesale trade, education, energy and natural resources, government, and healthcare. Core to our operating model is the ability to redeploy standardized assets across end markets, and we have recently serviced emerging demand in the healthcare and government sectors related to COVID-19, as well as expanded space requirements related to social distancing. We track several market leading indicators including those related to our two largest end markets, the commercial and industrial segment and the construction segment, which collectively accounted for over 85% of our revenues for the three months ended March 31, 2021.</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Mobile Mini Merger</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1, 2020, we closed the Merger at which time Mobile Mini became a wholly-owned subsidiary of WillScot. Concurrent with the closing of the Merger, we changed our name to WillScot Mobile Mini Holdings Corp. We believe that the Merger is resulting in strategic and financial benefits by combining the two industry leaders in the complementary modular space and portable storage solutions markets. We are executing the integration of the two companies' operating and financial systems, with a significant portion of these efforts being focused currently on the conversion of the combined company onto a single enterprise resource planning system, which is expected to take place in the second quarter of 2021.</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Reportable Segments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Following the Merger, we operate in four reporting segments: NA Modular, NA Storage, UK Storage, and Tank and Pump. Prior to the Merger, WillScot had two reporting segments, US Modular and Other North America Modular. These two segments were combined to create the new NA Modular segment, which represents the legacy WillScot operations. The other segments, NA Storage, UK Storage, and Tank and Pump align to the legacy operations and segments reported by Mobile Mini. The new reporting segments are aligned with how we operate and analyze our business results.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Financing Activities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March 26, 2021, we redeemed $65.0 million of our of 6.125% senior secured notes due 2025 (the “2025 Secured Notes”) at a redemption price of 103.0% plus accrued and unpaid interest. This repayment was funded by cash on hand and borrowings under the 2020 ABL facility. Upon redemption in the first quarter of 2021, we recorded a loss on extinguishment of debt in the condensed consolidated statement of operations of $3.2 million comprised of a redemption premium of $1.9 million and write off of unamortized deferred financing fees of $1.3 million.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Share Repurchase</w:t>
      </w:r>
    </w:p>
    <w:p>
      <w:pPr>
        <w:spacing w:after="0" w:line="1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March 1, 2021, we repurchased 2,750,000 shares of our Common Stock directly from Sapphire Holding S.à r.l. (“Sapphire Holdings”), our largest shareholder, which is controlled by TDR Capital LLP (“TDR Capital”) for $73.7 million. At March 31, 2021, we had $133.9 million remaining of a $250.0 million share repurchase authorization and believe that repurchases will be a reoccurring capital allocation priority given the predictability of our free cash flow.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COVID-19 Impact on Business</w:t>
      </w:r>
    </w:p>
    <w:p>
      <w:pPr>
        <w:spacing w:after="0" w:line="133" w:lineRule="exact"/>
        <w:rPr>
          <w:sz w:val="20"/>
          <w:szCs w:val="20"/>
          <w:color w:val="auto"/>
        </w:rPr>
      </w:pPr>
    </w:p>
    <w:p>
      <w:pPr>
        <w:jc w:val="both"/>
        <w:ind w:firstLine="648"/>
        <w:spacing w:after="0" w:line="190" w:lineRule="exact"/>
        <w:rPr>
          <w:sz w:val="20"/>
          <w:szCs w:val="20"/>
          <w:color w:val="auto"/>
        </w:rPr>
      </w:pPr>
      <w:r>
        <w:rPr>
          <w:rFonts w:ascii="Arial" w:cs="Arial" w:eastAsia="Arial" w:hAnsi="Arial"/>
          <w:sz w:val="16"/>
          <w:szCs w:val="16"/>
          <w:color w:val="auto"/>
        </w:rPr>
        <w:t>Since the outbreak of COVID</w:t>
      </w:r>
      <w:r>
        <w:rPr>
          <w:rFonts w:ascii="MS PGothic" w:cs="MS PGothic" w:eastAsia="MS PGothic" w:hAnsi="MS PGothic"/>
          <w:sz w:val="16"/>
          <w:szCs w:val="16"/>
          <w:color w:val="auto"/>
        </w:rPr>
        <w:t>‑</w:t>
      </w:r>
      <w:r>
        <w:rPr>
          <w:rFonts w:ascii="Arial" w:cs="Arial" w:eastAsia="Arial" w:hAnsi="Arial"/>
          <w:sz w:val="16"/>
          <w:szCs w:val="16"/>
          <w:color w:val="auto"/>
        </w:rPr>
        <w:t>19 was designated as a global pandemic by the World Health Organization (the “WHO”) in March 2020, our operations have generally continued to operate normally with additional safety protocols in place as we have been considered an essential business in most jurisdictions. However, there have been significant changes to the global economic situation as a consequence of the COVID</w:t>
      </w:r>
      <w:r>
        <w:rPr>
          <w:rFonts w:ascii="MS PGothic" w:cs="MS PGothic" w:eastAsia="MS PGothic" w:hAnsi="MS PGothic"/>
          <w:sz w:val="16"/>
          <w:szCs w:val="16"/>
          <w:color w:val="auto"/>
        </w:rPr>
        <w:t>‑</w:t>
      </w:r>
      <w:r>
        <w:rPr>
          <w:rFonts w:ascii="Arial" w:cs="Arial" w:eastAsia="Arial" w:hAnsi="Arial"/>
          <w:sz w:val="16"/>
          <w:szCs w:val="16"/>
          <w:color w:val="auto"/>
        </w:rPr>
        <w:t>19 pandemic. The global pandemic has resulted in significant global social and business disruption, which has driven significantly lower activity levels in our business and has impacted our financial results. On a pro forma basis, our deliveries were down 25% in the second quarter of 2020 year over year and 13% in the third quarter of 2020 year over year due to reduced demand primarily attributable to the current global economic situation as a consequence of the COVID</w:t>
      </w:r>
      <w:r>
        <w:rPr>
          <w:rFonts w:ascii="MS PGothic" w:cs="MS PGothic" w:eastAsia="MS PGothic" w:hAnsi="MS PGothic"/>
          <w:sz w:val="16"/>
          <w:szCs w:val="16"/>
          <w:color w:val="auto"/>
        </w:rPr>
        <w:t>‑</w:t>
      </w:r>
      <w:r>
        <w:rPr>
          <w:rFonts w:ascii="Arial" w:cs="Arial" w:eastAsia="Arial" w:hAnsi="Arial"/>
          <w:sz w:val="16"/>
          <w:szCs w:val="16"/>
          <w:color w:val="auto"/>
        </w:rPr>
        <w:t>19 pandemic. This reduced delivery demand slowed the growth of our leasing revenues as well as our delivery and installation revenues, however we implemented significant actions to reduce variable costs and capital spending to help offset the financial impact of these reduced activity levels. Despite this unprecedented demand shock, because of our long lease durations, the majority of our gross profit in any given period is from units already out on rent. This gives us significant forward visibility into our future cash flows, which allows us to plan ahead and adjust our capital expenditures and cost structure for varying demand levels. Activity levels in the fourth quarter of 2020 and the first quarter of 2021 have since stabilized and we expect modest activity growth in the second and third quarter of 2021 as economic activity continues to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First Quarter Highlights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2021, key drivers of our financial performance included:</w:t>
      </w:r>
    </w:p>
    <w:p>
      <w:pPr>
        <w:spacing w:after="0" w:line="113" w:lineRule="exact"/>
        <w:rPr>
          <w:sz w:val="20"/>
          <w:szCs w:val="20"/>
          <w:color w:val="auto"/>
        </w:rPr>
      </w:pPr>
    </w:p>
    <w:p>
      <w:pPr>
        <w:jc w:val="both"/>
        <w:ind w:left="660" w:right="20" w:hanging="328"/>
        <w:spacing w:after="0" w:line="253" w:lineRule="auto"/>
        <w:tabs>
          <w:tab w:leader="none" w:pos="649"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Total revenues increased by $169.5 million, or 66.3%, driven primarily by the addition of Mobile Mini's revenues to our consolidated results, as well as increased leasing revenues in the NA Modular segment. The Merger closed on July 1, 2020, and drove $159.1 million of the year over year increase.</w:t>
      </w:r>
    </w:p>
    <w:p>
      <w:pPr>
        <w:spacing w:after="0" w:line="93" w:lineRule="exact"/>
        <w:rPr>
          <w:rFonts w:ascii="Arial" w:cs="Arial" w:eastAsia="Arial" w:hAnsi="Arial"/>
          <w:sz w:val="16"/>
          <w:szCs w:val="16"/>
          <w:b w:val="1"/>
          <w:bCs w:val="1"/>
          <w:i w:val="1"/>
          <w:iCs w:val="1"/>
          <w:color w:val="auto"/>
        </w:rPr>
      </w:pPr>
    </w:p>
    <w:p>
      <w:pPr>
        <w:ind w:left="660" w:hanging="328"/>
        <w:spacing w:after="0" w:line="260"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Leasing revenue increased $127.3 million, or 67.6%, delivery and installation revenue increased $32.4 million, or 63.4%, rental unit sales increased $8.4 million, or 123.5%, and new sales revenue increased $1.3 million, or 13.5%.</w:t>
      </w:r>
    </w:p>
    <w:p>
      <w:pPr>
        <w:spacing w:after="0" w:line="8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Key leasing revenue drivers include:</w:t>
      </w:r>
    </w:p>
    <w:p>
      <w:pPr>
        <w:spacing w:after="0" w:line="113"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22,360 units, or 25.4%, and average portable storage units on rent increased 129,014 units, or 789.3%. Both increases were driven by the Mobile Mini Merger.</w:t>
      </w:r>
    </w:p>
    <w:p>
      <w:pPr>
        <w:spacing w:after="0" w:line="87"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increased $26, or 4.0%, to $679 driven by an $84, or 12.9%, increase in the NA Modular segment, partially offset by the dilutive impact of lower rates due to mix on the Mobile Mini modular space units.</w:t>
      </w:r>
    </w:p>
    <w:p>
      <w:pPr>
        <w:spacing w:after="0" w:line="87" w:lineRule="exact"/>
        <w:rPr>
          <w:rFonts w:ascii="Arial" w:cs="Arial" w:eastAsia="Arial" w:hAnsi="Arial"/>
          <w:sz w:val="16"/>
          <w:szCs w:val="16"/>
          <w:color w:val="auto"/>
        </w:rPr>
      </w:pPr>
    </w:p>
    <w:p>
      <w:pPr>
        <w:ind w:left="130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portable storage monthly rental rate increased $16, or 13.4%, to $135 driven by the accretive impact of higher rates from the Mobile Mini portable storage fleet.</w:t>
      </w:r>
    </w:p>
    <w:p>
      <w:pPr>
        <w:spacing w:after="0" w:line="87" w:lineRule="exact"/>
        <w:rPr>
          <w:rFonts w:ascii="Arial" w:cs="Arial" w:eastAsia="Arial" w:hAnsi="Arial"/>
          <w:sz w:val="16"/>
          <w:szCs w:val="16"/>
          <w:color w:val="auto"/>
        </w:rPr>
      </w:pPr>
    </w:p>
    <w:p>
      <w:pPr>
        <w:ind w:left="130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utilization for modular space units increased 110 basis points ("bps") to 70.3% and utilization for portable storage units increased to 74.4% from 64.1% for the same period in 2020 driven by higher utilization of the Mobile Mini units.</w:t>
      </w:r>
    </w:p>
    <w:p>
      <w:pPr>
        <w:spacing w:after="0" w:line="100" w:lineRule="exact"/>
        <w:rPr>
          <w:rFonts w:ascii="Arial" w:cs="Arial" w:eastAsia="Arial" w:hAnsi="Arial"/>
          <w:sz w:val="16"/>
          <w:szCs w:val="16"/>
          <w:color w:val="auto"/>
        </w:rPr>
      </w:pPr>
    </w:p>
    <w:p>
      <w:pPr>
        <w:jc w:val="both"/>
        <w:ind w:left="660" w:hanging="328"/>
        <w:spacing w:after="0" w:line="246"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6"/>
          <w:szCs w:val="16"/>
          <w:color w:val="auto"/>
        </w:rPr>
        <w:t>NA Modular segment revenue, which represents the activities of WillScot prior to the Merger with Mobile Mini and represented 62.6% of consolidated revenue for the three months ended March 31, 2021, increased $10.4 million, or 4.1%, to $266.2 million driven by an increase to leasing revenue of $11.3 million, or 6.0%, due to continued growth of pricing and value added products, and an increase in rental unit sales of $3.7 million, or 54.4%. The increase in leasing and rental unit revenues was partially offset by a reduction in delivery and installation revenues of $2.4 million, or 4.7%, driven by reductions in demand for new project deliveries, and a reduction of new unit sales of $2.2 million, or 22.9%. NA Modular revenue drivers for the three months ended March 31, 2021 include:</w:t>
      </w:r>
    </w:p>
    <w:p>
      <w:pPr>
        <w:spacing w:after="0" w:line="100" w:lineRule="exact"/>
        <w:rPr>
          <w:rFonts w:ascii="Arial" w:cs="Arial" w:eastAsia="Arial" w:hAnsi="Arial"/>
          <w:sz w:val="18"/>
          <w:szCs w:val="18"/>
          <w:i w:val="1"/>
          <w:iCs w:val="1"/>
          <w:color w:val="auto"/>
        </w:rPr>
      </w:pPr>
    </w:p>
    <w:p>
      <w:pPr>
        <w:ind w:left="1300" w:right="2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Modular space average monthly rental rate of $737, increased 12.9% year over year representing a continuation of the long-term price optimization and VAPS penetration opportunities across our portfolio.</w:t>
      </w:r>
    </w:p>
    <w:p>
      <w:pPr>
        <w:spacing w:after="0" w:line="87"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units on rent decreased 3,194, or 3.6%, year over year driven by lower deliveries, including reduced demand for new project deliveries as a result of the COVID-19 pandemic primarily in the second and third quarter of 2020.</w:t>
      </w:r>
    </w:p>
    <w:p>
      <w:pPr>
        <w:spacing w:after="0" w:line="87" w:lineRule="exact"/>
        <w:rPr>
          <w:rFonts w:ascii="Arial" w:cs="Arial" w:eastAsia="Arial" w:hAnsi="Arial"/>
          <w:sz w:val="18"/>
          <w:szCs w:val="18"/>
          <w:i w:val="1"/>
          <w:iCs w:val="1"/>
          <w:color w:val="auto"/>
        </w:rPr>
      </w:pPr>
    </w:p>
    <w:p>
      <w:pPr>
        <w:ind w:left="1300" w:hanging="324"/>
        <w:spacing w:after="0" w:line="260" w:lineRule="auto"/>
        <w:rPr>
          <w:rFonts w:ascii="Arial" w:cs="Arial" w:eastAsia="Arial" w:hAnsi="Arial"/>
          <w:sz w:val="18"/>
          <w:szCs w:val="18"/>
          <w:i w:val="1"/>
          <w:iCs w:val="1"/>
          <w:color w:val="auto"/>
        </w:rPr>
      </w:pPr>
      <w:r>
        <w:rPr>
          <w:rFonts w:ascii="Arial" w:cs="Arial" w:eastAsia="Arial" w:hAnsi="Arial"/>
          <w:sz w:val="16"/>
          <w:szCs w:val="16"/>
          <w:color w:val="auto"/>
        </w:rPr>
        <w:t>– Average modular space monthly utilization decreased 160 bps to 67.6% for the three months ended March 31, 2021, as compared to the three months ended March 31, 2020.</w:t>
      </w:r>
    </w:p>
    <w:p>
      <w:pPr>
        <w:spacing w:after="0" w:line="87" w:lineRule="exact"/>
        <w:rPr>
          <w:rFonts w:ascii="Arial" w:cs="Arial" w:eastAsia="Arial" w:hAnsi="Arial"/>
          <w:sz w:val="18"/>
          <w:szCs w:val="18"/>
          <w:i w:val="1"/>
          <w:iCs w:val="1"/>
          <w:color w:val="auto"/>
        </w:rPr>
      </w:pPr>
    </w:p>
    <w:p>
      <w:pPr>
        <w:jc w:val="both"/>
        <w:ind w:left="660" w:hanging="328"/>
        <w:spacing w:after="0" w:line="249" w:lineRule="auto"/>
        <w:tabs>
          <w:tab w:leader="none" w:pos="649"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consolidated net income of $4.4 million for the three months ended March 31, 2021, including a $27.2 million loss on the change in fair value of common stock warrant liabilities. Net Income Excluding Gain/Loss from Warrants of $31.7 for the three months ended March 31, 2021 represented an increase of $35.4 million, and included a $3.2 million loss on extinguishment of debt related to the partial redemption of the 2025 Secured Notes and $12.5 million of discrete costs expensed in the period related to transaction and integration activities. Discrete costs in the period included $0.8 million of transaction costs, $7.3 million of integration costs, and $4.4 million of restructuring costs, lease impairment expense and other related charges.</w:t>
      </w:r>
    </w:p>
    <w:p>
      <w:pPr>
        <w:spacing w:after="0" w:line="96" w:lineRule="exact"/>
        <w:rPr>
          <w:rFonts w:ascii="Arial" w:cs="Arial" w:eastAsia="Arial" w:hAnsi="Arial"/>
          <w:sz w:val="16"/>
          <w:szCs w:val="16"/>
          <w:b w:val="1"/>
          <w:bCs w:val="1"/>
          <w:i w:val="1"/>
          <w:iCs w:val="1"/>
          <w:color w:val="auto"/>
        </w:rPr>
      </w:pPr>
    </w:p>
    <w:p>
      <w:pPr>
        <w:jc w:val="both"/>
        <w:ind w:left="660" w:hanging="328"/>
        <w:spacing w:after="0" w:line="253" w:lineRule="auto"/>
        <w:tabs>
          <w:tab w:leader="none" w:pos="649"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color w:val="auto"/>
        </w:rPr>
        <w:t>Generated Adjusted EBITDA of $163.6 million for the three months ended March 31, 2021, representing an increase of $74.1 million, or 82.8%, as compared to the same period in 2020. Of this increase, $66.2 million was driven by the addition of Mobile Mini to our consolidated results and the remainder was driven by strong organic growth in our NA Modular segment.</w:t>
      </w:r>
    </w:p>
    <w:p>
      <w:pPr>
        <w:spacing w:after="0" w:line="93" w:lineRule="exact"/>
        <w:rPr>
          <w:rFonts w:ascii="Arial" w:cs="Arial" w:eastAsia="Arial" w:hAnsi="Arial"/>
          <w:sz w:val="16"/>
          <w:szCs w:val="16"/>
          <w:b w:val="1"/>
          <w:bCs w:val="1"/>
          <w:i w:val="1"/>
          <w:iCs w:val="1"/>
          <w:color w:val="auto"/>
        </w:rPr>
      </w:pPr>
    </w:p>
    <w:p>
      <w:pPr>
        <w:ind w:left="130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color w:val="auto"/>
        </w:rPr>
        <w:t>– Adjusted EBITDA in our NA Modular segment, which represents the activities of WillScot prior to the Merger, increased $7.9 million, or 8.8%, primarily driven by increases in leasing gross profit driven by increased pricing, including VAPS.</w:t>
      </w:r>
    </w:p>
    <w:p>
      <w:pPr>
        <w:spacing w:after="0" w:line="75" w:lineRule="exact"/>
        <w:rPr>
          <w:rFonts w:ascii="Arial" w:cs="Arial" w:eastAsia="Arial" w:hAnsi="Arial"/>
          <w:sz w:val="16"/>
          <w:szCs w:val="16"/>
          <w:b w:val="1"/>
          <w:bCs w:val="1"/>
          <w:i w:val="1"/>
          <w:iCs w:val="1"/>
          <w:color w:val="auto"/>
        </w:rPr>
      </w:pPr>
    </w:p>
    <w:p>
      <w:pPr>
        <w:ind w:left="1300" w:right="20" w:hanging="324"/>
        <w:spacing w:after="0" w:line="260"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t>
      </w:r>
      <w:r>
        <w:rPr>
          <w:rFonts w:ascii="Arial" w:cs="Arial" w:eastAsia="Arial" w:hAnsi="Arial"/>
          <w:sz w:val="16"/>
          <w:szCs w:val="16"/>
          <w:color w:val="auto"/>
        </w:rPr>
        <w:t>Consolidated Adjusted EBITDA Margin was 38.5% in the first quarter and increased 350 bps versus prior year driven by a 160 bps increased in the NA Modular segment, as well as the addition of the higher margin Mobile Mini operations</w:t>
      </w:r>
    </w:p>
    <w:p>
      <w:pPr>
        <w:spacing w:after="0" w:line="112" w:lineRule="exact"/>
        <w:rPr>
          <w:rFonts w:ascii="Arial" w:cs="Arial" w:eastAsia="Arial" w:hAnsi="Arial"/>
          <w:sz w:val="16"/>
          <w:szCs w:val="16"/>
          <w:b w:val="1"/>
          <w:bCs w:val="1"/>
          <w:i w:val="1"/>
          <w:iCs w:val="1"/>
          <w:color w:val="auto"/>
        </w:rPr>
      </w:pPr>
    </w:p>
    <w:p>
      <w:pPr>
        <w:jc w:val="both"/>
        <w:ind w:left="660" w:hanging="328"/>
        <w:spacing w:after="0" w:line="246"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6"/>
          <w:szCs w:val="16"/>
          <w:color w:val="auto"/>
        </w:rPr>
        <w:t>Generated Free Cash Flow of $91.2 million for the three months ended March 31, 2021, representing an increase of $83.4 million as compared to the same period in 2020. Net cash provided by operating activities increased $83.8 million to $122.1 million. Net cash used in investing activities increased slightly by $0.4 million. Of the $91.2 million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16"/>
          <w:szCs w:val="16"/>
          <w:color w:val="auto"/>
        </w:rPr>
        <w:t>free cash flow that we generated during the three months ended March 31, 2021, we used the majority to return $81.6 million to shareholders through stock and warrant repurchases and cancellations, including 2,750,000 shares for $73.7 million from our largest shareholder Sapphire Holdings.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854075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13" w:right="339" w:bottom="1440" w:gutter="0" w:footer="0" w:header="0"/>
        </w:sectPr>
      </w:pPr>
    </w:p>
    <w:bookmarkStart w:id="36" w:name="page37"/>
    <w:bookmarkEnd w:id="36"/>
    <w:p>
      <w:pPr>
        <w:spacing w:after="0"/>
        <w:rPr>
          <w:sz w:val="20"/>
          <w:szCs w:val="20"/>
          <w:color w:val="auto"/>
        </w:rPr>
      </w:pPr>
      <w:r>
        <w:rPr>
          <w:rFonts w:ascii="Arial" w:cs="Arial" w:eastAsia="Arial" w:hAnsi="Arial"/>
          <w:sz w:val="23"/>
          <w:szCs w:val="23"/>
          <w:color w:val="1D2758"/>
        </w:rPr>
        <w:t>Consolidated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the Three Months Ended March 31, 2020</w:t>
      </w:r>
    </w:p>
    <w:p>
      <w:pPr>
        <w:spacing w:after="0" w:line="14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Our condensed consolidated statements of operations for the three months ended March 31, 2021 and 2020 are presented below. The below results only include Mobile Mini for the periods subsequent to the Merger: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020" w:type="dxa"/>
            <w:vAlign w:val="bottom"/>
            <w:shd w:val="clear" w:color="auto" w:fill="1D2758"/>
          </w:tcPr>
          <w:p>
            <w:pPr>
              <w:spacing w:after="0"/>
              <w:rPr>
                <w:sz w:val="21"/>
                <w:szCs w:val="21"/>
                <w:color w:val="auto"/>
              </w:rPr>
            </w:pPr>
          </w:p>
        </w:tc>
        <w:tc>
          <w:tcPr>
            <w:tcW w:w="4200" w:type="dxa"/>
            <w:vAlign w:val="bottom"/>
            <w:gridSpan w:val="6"/>
            <w:shd w:val="clear" w:color="auto" w:fill="1D2758"/>
          </w:tcPr>
          <w:p>
            <w:pPr>
              <w:ind w:left="900"/>
              <w:spacing w:after="0"/>
              <w:rPr>
                <w:sz w:val="20"/>
                <w:szCs w:val="20"/>
                <w:color w:val="auto"/>
              </w:rPr>
            </w:pPr>
            <w:r>
              <w:rPr>
                <w:rFonts w:ascii="Arial" w:cs="Arial" w:eastAsia="Arial" w:hAnsi="Arial"/>
                <w:sz w:val="16"/>
                <w:szCs w:val="16"/>
                <w:b w:val="1"/>
                <w:bCs w:val="1"/>
                <w:color w:val="FFFFFF"/>
              </w:rPr>
              <w:t>Three Months Ended March 31,</w:t>
            </w:r>
          </w:p>
        </w:tc>
        <w:tc>
          <w:tcPr>
            <w:tcW w:w="1160" w:type="dxa"/>
            <w:vAlign w:val="bottom"/>
            <w:shd w:val="clear" w:color="auto" w:fill="1D2758"/>
          </w:tcPr>
          <w:p>
            <w:pPr>
              <w:spacing w:after="0"/>
              <w:rPr>
                <w:sz w:val="21"/>
                <w:szCs w:val="21"/>
                <w:color w:val="auto"/>
              </w:rPr>
            </w:pPr>
          </w:p>
        </w:tc>
        <w:tc>
          <w:tcPr>
            <w:tcW w:w="86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60" w:type="dxa"/>
            <w:vAlign w:val="bottom"/>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2021</w:t>
            </w:r>
          </w:p>
        </w:tc>
        <w:tc>
          <w:tcPr>
            <w:tcW w:w="74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700" w:type="dxa"/>
            <w:vAlign w:val="bottom"/>
            <w:vMerge w:val="restart"/>
            <w:shd w:val="clear" w:color="auto" w:fill="1D2758"/>
          </w:tcPr>
          <w:p>
            <w:pPr>
              <w:jc w:val="right"/>
              <w:ind w:right="759"/>
              <w:spacing w:after="0"/>
              <w:rPr>
                <w:sz w:val="20"/>
                <w:szCs w:val="20"/>
                <w:color w:val="auto"/>
              </w:rPr>
            </w:pPr>
            <w:r>
              <w:rPr>
                <w:rFonts w:ascii="Arial" w:cs="Arial" w:eastAsia="Arial" w:hAnsi="Arial"/>
                <w:sz w:val="16"/>
                <w:szCs w:val="16"/>
                <w:b w:val="1"/>
                <w:bCs w:val="1"/>
                <w:color w:val="FFFFFF"/>
              </w:rPr>
              <w:t>2020</w:t>
            </w:r>
          </w:p>
        </w:tc>
        <w:tc>
          <w:tcPr>
            <w:tcW w:w="80" w:type="dxa"/>
            <w:vAlign w:val="bottom"/>
            <w:shd w:val="clear" w:color="auto" w:fill="1D2758"/>
          </w:tcPr>
          <w:p>
            <w:pPr>
              <w:spacing w:after="0"/>
              <w:rPr>
                <w:sz w:val="18"/>
                <w:szCs w:val="18"/>
                <w:color w:val="auto"/>
              </w:rPr>
            </w:pPr>
          </w:p>
        </w:tc>
        <w:tc>
          <w:tcPr>
            <w:tcW w:w="1160" w:type="dxa"/>
            <w:vAlign w:val="bottom"/>
            <w:shd w:val="clear" w:color="auto" w:fill="1D2758"/>
          </w:tcPr>
          <w:p>
            <w:pPr>
              <w:jc w:val="right"/>
              <w:spacing w:after="0"/>
              <w:rPr>
                <w:sz w:val="20"/>
                <w:szCs w:val="20"/>
                <w:color w:val="auto"/>
              </w:rPr>
            </w:pPr>
            <w:r>
              <w:rPr>
                <w:rFonts w:ascii="Arial" w:cs="Arial" w:eastAsia="Arial" w:hAnsi="Arial"/>
                <w:sz w:val="16"/>
                <w:szCs w:val="16"/>
                <w:b w:val="1"/>
                <w:bCs w:val="1"/>
                <w:color w:val="FFFFFF"/>
              </w:rPr>
              <w:t>2021 vs. 2020</w:t>
            </w:r>
          </w:p>
        </w:tc>
        <w:tc>
          <w:tcPr>
            <w:tcW w:w="860" w:type="dxa"/>
            <w:vAlign w:val="bottom"/>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94"/>
        </w:trPr>
        <w:tc>
          <w:tcPr>
            <w:tcW w:w="502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7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320" w:type="dxa"/>
            <w:vAlign w:val="bottom"/>
            <w:shd w:val="clear" w:color="auto" w:fill="1D2758"/>
          </w:tcPr>
          <w:p>
            <w:pPr>
              <w:spacing w:after="0"/>
              <w:rPr>
                <w:sz w:val="8"/>
                <w:szCs w:val="8"/>
                <w:color w:val="auto"/>
              </w:rPr>
            </w:pPr>
          </w:p>
        </w:tc>
        <w:tc>
          <w:tcPr>
            <w:tcW w:w="170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1160" w:type="dxa"/>
            <w:vAlign w:val="bottom"/>
            <w:shd w:val="clear" w:color="auto" w:fill="1D2758"/>
          </w:tcPr>
          <w:p>
            <w:pPr>
              <w:spacing w:after="0"/>
              <w:rPr>
                <w:sz w:val="8"/>
                <w:szCs w:val="8"/>
                <w:color w:val="auto"/>
              </w:rPr>
            </w:pPr>
          </w:p>
        </w:tc>
        <w:tc>
          <w:tcPr>
            <w:tcW w:w="86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020" w:type="dxa"/>
            <w:vAlign w:val="bottom"/>
            <w:shd w:val="clear" w:color="auto" w:fill="1D2758"/>
          </w:tcPr>
          <w:p>
            <w:pPr>
              <w:spacing w:after="0"/>
              <w:rPr>
                <w:sz w:val="19"/>
                <w:szCs w:val="19"/>
                <w:color w:val="auto"/>
              </w:rPr>
            </w:pPr>
          </w:p>
        </w:tc>
        <w:tc>
          <w:tcPr>
            <w:tcW w:w="1260" w:type="dxa"/>
            <w:vAlign w:val="bottom"/>
            <w:shd w:val="clear" w:color="auto" w:fill="1D2758"/>
          </w:tcPr>
          <w:p>
            <w:pPr>
              <w:spacing w:after="0"/>
              <w:rPr>
                <w:sz w:val="19"/>
                <w:szCs w:val="19"/>
                <w:color w:val="auto"/>
              </w:rPr>
            </w:pPr>
          </w:p>
        </w:tc>
        <w:tc>
          <w:tcPr>
            <w:tcW w:w="740" w:type="dxa"/>
            <w:vAlign w:val="bottom"/>
            <w:shd w:val="clear" w:color="auto" w:fill="1D2758"/>
          </w:tcPr>
          <w:p>
            <w:pPr>
              <w:spacing w:after="0"/>
              <w:rPr>
                <w:sz w:val="19"/>
                <w:szCs w:val="19"/>
                <w:color w:val="auto"/>
              </w:rPr>
            </w:pPr>
          </w:p>
        </w:tc>
        <w:tc>
          <w:tcPr>
            <w:tcW w:w="100" w:type="dxa"/>
            <w:vAlign w:val="bottom"/>
            <w:shd w:val="clear" w:color="auto" w:fill="1D2758"/>
          </w:tcPr>
          <w:p>
            <w:pPr>
              <w:spacing w:after="0"/>
              <w:rPr>
                <w:sz w:val="19"/>
                <w:szCs w:val="19"/>
                <w:color w:val="auto"/>
              </w:rPr>
            </w:pPr>
          </w:p>
        </w:tc>
        <w:tc>
          <w:tcPr>
            <w:tcW w:w="320" w:type="dxa"/>
            <w:vAlign w:val="bottom"/>
            <w:shd w:val="clear" w:color="auto" w:fill="1D2758"/>
          </w:tcPr>
          <w:p>
            <w:pPr>
              <w:spacing w:after="0"/>
              <w:rPr>
                <w:sz w:val="19"/>
                <w:szCs w:val="19"/>
                <w:color w:val="auto"/>
              </w:rPr>
            </w:pPr>
          </w:p>
        </w:tc>
        <w:tc>
          <w:tcPr>
            <w:tcW w:w="1780" w:type="dxa"/>
            <w:vAlign w:val="bottom"/>
            <w:gridSpan w:val="2"/>
            <w:shd w:val="clear" w:color="auto" w:fill="1D2758"/>
          </w:tcPr>
          <w:p>
            <w:pPr>
              <w:ind w:left="200"/>
              <w:spacing w:after="0"/>
              <w:rPr>
                <w:sz w:val="20"/>
                <w:szCs w:val="20"/>
                <w:color w:val="auto"/>
              </w:rPr>
            </w:pPr>
            <w:r>
              <w:rPr>
                <w:rFonts w:ascii="Arial" w:cs="Arial" w:eastAsia="Arial" w:hAnsi="Arial"/>
                <w:sz w:val="16"/>
                <w:szCs w:val="16"/>
                <w:b w:val="1"/>
                <w:bCs w:val="1"/>
                <w:color w:val="FFFFFF"/>
              </w:rPr>
              <w:t>(as restated)</w:t>
            </w:r>
          </w:p>
        </w:tc>
        <w:tc>
          <w:tcPr>
            <w:tcW w:w="1160" w:type="dxa"/>
            <w:vAlign w:val="bottom"/>
            <w:shd w:val="clear" w:color="auto" w:fill="1D2758"/>
          </w:tcPr>
          <w:p>
            <w:pPr>
              <w:spacing w:after="0"/>
              <w:rPr>
                <w:sz w:val="19"/>
                <w:szCs w:val="19"/>
                <w:color w:val="auto"/>
              </w:rPr>
            </w:pPr>
          </w:p>
        </w:tc>
        <w:tc>
          <w:tcPr>
            <w:tcW w:w="860" w:type="dxa"/>
            <w:vAlign w:val="bottom"/>
            <w:shd w:val="clear" w:color="auto" w:fill="1D275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2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7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260" w:type="dxa"/>
            <w:vAlign w:val="bottom"/>
            <w:shd w:val="clear" w:color="auto" w:fill="DBDBDB"/>
          </w:tcPr>
          <w:p>
            <w:pPr>
              <w:jc w:val="right"/>
              <w:ind w:right="10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315,662</w:t>
            </w:r>
          </w:p>
        </w:tc>
        <w:tc>
          <w:tcPr>
            <w:tcW w:w="420" w:type="dxa"/>
            <w:vAlign w:val="bottom"/>
            <w:gridSpan w:val="2"/>
            <w:shd w:val="clear" w:color="auto" w:fill="DBDBDB"/>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188,352</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127,310</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51,070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32,434</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9,613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2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15,202</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8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8,416</w:t>
            </w:r>
          </w:p>
        </w:tc>
        <w:tc>
          <w:tcPr>
            <w:tcW w:w="0" w:type="dxa"/>
            <w:vAlign w:val="bottom"/>
          </w:tcPr>
          <w:p>
            <w:pPr>
              <w:spacing w:after="0"/>
              <w:rPr>
                <w:sz w:val="1"/>
                <w:szCs w:val="1"/>
                <w:color w:val="auto"/>
              </w:rPr>
            </w:pPr>
          </w:p>
        </w:tc>
      </w:tr>
      <w:tr>
        <w:trPr>
          <w:trHeight w:val="207"/>
        </w:trPr>
        <w:tc>
          <w:tcPr>
            <w:tcW w:w="502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425,323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255,821</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169,502</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69,895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49,809</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20,086</w:t>
            </w: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43,865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26,271</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6,203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9,105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3,806</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1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55,698</w:t>
            </w:r>
          </w:p>
        </w:tc>
        <w:tc>
          <w:tcPr>
            <w:tcW w:w="1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45,948</w:t>
            </w:r>
          </w:p>
        </w:tc>
        <w:tc>
          <w:tcPr>
            <w:tcW w:w="80" w:type="dxa"/>
            <w:vAlign w:val="bottom"/>
            <w:tcBorders>
              <w:bottom w:val="single" w:sz="8" w:color="DBDBDB"/>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9,750</w:t>
            </w:r>
          </w:p>
        </w:tc>
        <w:tc>
          <w:tcPr>
            <w:tcW w:w="0" w:type="dxa"/>
            <w:vAlign w:val="bottom"/>
          </w:tcPr>
          <w:p>
            <w:pPr>
              <w:spacing w:after="0"/>
              <w:rPr>
                <w:sz w:val="1"/>
                <w:szCs w:val="1"/>
                <w:color w:val="auto"/>
              </w:rPr>
            </w:pPr>
          </w:p>
        </w:tc>
      </w:tr>
      <w:tr>
        <w:trPr>
          <w:trHeight w:val="212"/>
        </w:trPr>
        <w:tc>
          <w:tcPr>
            <w:tcW w:w="5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126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213,380</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106,190</w:t>
            </w:r>
          </w:p>
        </w:tc>
        <w:tc>
          <w:tcPr>
            <w:tcW w:w="8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107,190</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116,485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65,537</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50,948</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Transaction costs</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9,431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depreciation and amortization</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18,324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3,074</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15,250</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1,661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3,142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898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Other (income) expense, net</w:t>
            </w:r>
          </w:p>
        </w:tc>
        <w:tc>
          <w:tcPr>
            <w:tcW w:w="12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276</w:t>
            </w:r>
          </w:p>
        </w:tc>
        <w:tc>
          <w:tcPr>
            <w:tcW w:w="8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7"/>
        </w:trPr>
        <w:tc>
          <w:tcPr>
            <w:tcW w:w="5020" w:type="dxa"/>
            <w:vAlign w:val="bottom"/>
          </w:tcPr>
          <w:p>
            <w:pPr>
              <w:ind w:left="460"/>
              <w:spacing w:after="0"/>
              <w:rPr>
                <w:sz w:val="20"/>
                <w:szCs w:val="20"/>
                <w:color w:val="auto"/>
              </w:rPr>
            </w:pPr>
            <w:r>
              <w:rPr>
                <w:rFonts w:ascii="Arial" w:cs="Arial" w:eastAsia="Arial" w:hAnsi="Arial"/>
                <w:sz w:val="16"/>
                <w:szCs w:val="16"/>
                <w:color w:val="auto"/>
              </w:rPr>
              <w:t>Operating income</w:t>
            </w:r>
          </w:p>
        </w:tc>
        <w:tc>
          <w:tcPr>
            <w:tcW w:w="1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75,284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25,373</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49,911</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29,964</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28,257</w:t>
            </w:r>
          </w:p>
        </w:tc>
        <w:tc>
          <w:tcPr>
            <w:tcW w:w="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Fair value loss (gain) on common stock warrant liabilities</w:t>
            </w:r>
          </w:p>
        </w:tc>
        <w:tc>
          <w:tcPr>
            <w:tcW w:w="1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(95,329)</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122,536</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60"/>
              <w:spacing w:after="0"/>
              <w:rPr>
                <w:sz w:val="20"/>
                <w:szCs w:val="20"/>
                <w:color w:val="auto"/>
              </w:rPr>
            </w:pPr>
            <w:r>
              <w:rPr>
                <w:rFonts w:ascii="Arial" w:cs="Arial" w:eastAsia="Arial" w:hAnsi="Arial"/>
                <w:sz w:val="16"/>
                <w:szCs w:val="16"/>
                <w:color w:val="auto"/>
              </w:rPr>
              <w:t>Loss on extinguishment of debt</w:t>
            </w:r>
          </w:p>
        </w:tc>
        <w:tc>
          <w:tcPr>
            <w:tcW w:w="12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3,185</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Income before income tax</w:t>
            </w:r>
          </w:p>
        </w:tc>
        <w:tc>
          <w:tcPr>
            <w:tcW w:w="1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14,928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92,445</w:t>
            </w:r>
          </w:p>
        </w:tc>
        <w:tc>
          <w:tcPr>
            <w:tcW w:w="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(77,517)</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12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10,481</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790</w:t>
            </w:r>
          </w:p>
        </w:tc>
        <w:tc>
          <w:tcPr>
            <w:tcW w:w="8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9,691</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91,655</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(87,208)</w:t>
            </w:r>
          </w:p>
        </w:tc>
        <w:tc>
          <w:tcPr>
            <w:tcW w:w="0" w:type="dxa"/>
            <w:vAlign w:val="bottom"/>
          </w:tcPr>
          <w:p>
            <w:pPr>
              <w:spacing w:after="0"/>
              <w:rPr>
                <w:sz w:val="1"/>
                <w:szCs w:val="1"/>
                <w:color w:val="auto"/>
              </w:rPr>
            </w:pPr>
          </w:p>
        </w:tc>
      </w:tr>
      <w:tr>
        <w:trPr>
          <w:trHeight w:val="219"/>
        </w:trPr>
        <w:tc>
          <w:tcPr>
            <w:tcW w:w="5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126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Arial" w:cs="Arial" w:eastAsia="Arial" w:hAnsi="Arial"/>
                <w:sz w:val="16"/>
                <w:szCs w:val="16"/>
                <w:color w:val="auto"/>
              </w:rPr>
              <w:t>Net income attributable to WillScot Mobile Mini</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4,447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91,785</w:t>
            </w:r>
          </w:p>
        </w:tc>
        <w:tc>
          <w:tcPr>
            <w:tcW w:w="80" w:type="dxa"/>
            <w:vAlign w:val="bottom"/>
          </w:tcPr>
          <w:p>
            <w:pPr>
              <w:spacing w:after="0"/>
              <w:rPr>
                <w:sz w:val="17"/>
                <w:szCs w:val="17"/>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(87,338)</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9"/>
        </w:trPr>
        <w:tc>
          <w:tcPr>
            <w:tcW w:w="50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$169.5 million, or 66.3%, to $425.3 million for the three months ended March 31, 2021 from $255.8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2020. The increase was driven primarily by the addition of Mobile Mini's revenues to our consolidated results. The Merger closed on July 1, 2020, and drove $159.1 million of the year over year increase. Leasing revenue increased $127.3 million, or 67.6%, as compared to the same period in 2020 driven by an increase of 151,374 average modular space and portable storage units on rent as a result of the Merger, and improved pricing and value-added products in our NA Modular segment. Rental unit sales increased $8.4 million, or 123.5%, new unit sales increased $1.3 million, or 13.5%, and delivery and installation revenues increased $32.4 million, or 63.4%, due to increased overall activity as a result of the Merger. These increases were partially offset by delivery and installation revenue decreases in our NA Modular segment for the three months ended March 31, 2021 as compared to the same period in 2020. The decline in NA Modular delivery and installation revenues was primarily a result of lower delivery and return volumes during the quarter in end markets of our business that have been more heavily impacted by the COVID-19 pandemic.</w:t>
      </w:r>
    </w:p>
    <w:p>
      <w:pPr>
        <w:spacing w:after="0" w:line="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Total average units on rent for the three months ended March 31, 2021 and 2020 were 255,709 and 104,335, respectively. The increase was due to units acquired as part of the Merger, partially offset by lower units on rent in the NA Modular segment. In total, modular space average units on rent increased 22,360 units, or 25.4%, for the three months ended March 31, 2021 as compared to the three months ended March 31, 2020. Modular space average monthly rental rates increased 4.0% to $679 for the three months ended March 31, 2021. Improved pricing was driven by an $84, or 12.9%, increase in the NA Modular segment, offset by the dilutive impact of lower rates on the Mobile Mini modular space units due to product mix. NA Modular segment increases were driven by a continuation of the long-term price optimization and VAPS penetration opportunities across our portfolio. Portable storage average units on rent increased by 129,014 units, or 789.3%, for the three months ended March 31, 2021 driven by units acquired as part of the Merger. Average portable storage monthly rental rates increased 13.4% to $135 for the three months ended March 31, 2021 driven by the accretive impact of higher rates from the Mobile Mini portable storage fleet. The average modular space unit utilization rate during the three months ended March 31, 2021 was 70.3%, as compared to 69.2% during the same period in 2020. This increase was driven by higher utilization on units acquired as part of the Merger. The average portable storage unit utilization rate during the three months ended March 31, 2021 was 74.4%, as compared to 64.1% during the same period in 2020. The increase in average portable storage utilization rate was driven by higher utilization on the acquired Mobile Mini units.</w:t>
      </w:r>
    </w:p>
    <w:p>
      <w:pPr>
        <w:spacing w:after="0" w:line="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50.2% and 41.5% for the three months ended March 31, 2021 and 2020, respectively. Our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 percentage, excluding the effects of depreciation, was 63.3% and 59.5% for the three months ended March 31, 2021 and 2020, respectively.</w:t>
      </w:r>
    </w:p>
    <w:p>
      <w:pPr>
        <w:spacing w:after="0" w:line="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Gross profit increased $107.2 million, or 100.9%, to $213.4 million for the three months ended March 31, 2021 from $106.2 million for the three months ended March 31, 2020. The increase in gross profit is a result of a $107.2 million increase in leasing gross profit, increased delivery and installation gross profit of $6.2 million, and increased new and rental unit sale margins of $3.5 million. Increases in all were primarily a result of increased revenues due to the Merger and due to favorable average monthly rental rates in the NA Modular segment on modular space units. Increased delivery and installation margins were also driven by higher margins achieved in the NA Storage segment as compared to the NA Modular segment. These increases were offset partially by lower delivery and installation activity volumes in the NA Modular segment due to reduced delivery and return activity and by increased depreciation of $9.8 million as a result of fleet acquired in the Merger and capital investments made over the past twelve months in our existing rental equipment.</w:t>
      </w:r>
    </w:p>
    <w:p>
      <w:pPr>
        <w:spacing w:after="0" w:line="2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Selling, general and administrative ("SG&amp;A") increased $51.0 million, or 77.9%, to $116.5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compared to $65.5 million for the three months ended March 31, 2020. The primary driver of the increase is related to additional SG&amp;A costs related to operating a larger business as a result of the Merger. SG&amp;A costs for the NA Storage, UK Storage, and Tank and Pump segments totaled $43.1 million for the three months ended March 31, 2021. Additionally, as a result of the Merger and the related integration, integration costs increased $5.7 million to $7.3 million for the three months ended March 31, 2021, compared to $1.7 million for the three months ended March 31, 2020.</w:t>
      </w:r>
    </w:p>
    <w:p>
      <w:pPr>
        <w:spacing w:after="0" w:line="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Transaction Costs: </w:t>
      </w:r>
      <w:r>
        <w:rPr>
          <w:rFonts w:ascii="Arial" w:cs="Arial" w:eastAsia="Arial" w:hAnsi="Arial"/>
          <w:sz w:val="16"/>
          <w:szCs w:val="16"/>
          <w:color w:val="auto"/>
        </w:rPr>
        <w:t>Transaction costs decreased $8.6 million to $0.8 million for the three months ended March 31, 2021 compared to $9.4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2020. Transaction costs were related to the Merger which closed on July 1, 2020.</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$15.2 million to $18.3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compared to $3.1 million for the three months ended March 31, 2020. $8.5 million of the increase was driven by increased depreciation as a result of the inclusion of Mobile Mini subsequent to the Merger and $6.6 million was driven by the amortization of the customer relationship intangible assets acquired in the Merger.</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Lease Impairment expense and Other Related Charges: </w:t>
      </w:r>
      <w:r>
        <w:rPr>
          <w:rFonts w:ascii="Arial" w:cs="Arial" w:eastAsia="Arial" w:hAnsi="Arial"/>
          <w:sz w:val="16"/>
          <w:szCs w:val="16"/>
          <w:color w:val="auto"/>
        </w:rPr>
        <w:t>Lease impairment expense and other related charges was $1.3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2021 as compared to $1.7 million for the three months ended March 31, 2020.</w:t>
      </w:r>
    </w:p>
    <w:p>
      <w:pPr>
        <w:spacing w:after="0" w:line="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In the three months ended March 31, 2021, the Company had $3.1 million of restructuring costs primarily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termination costs resulting from the Merger. In the three months ended March 31, 2020, $0.1 million of restructuring costs was recorded for a reversal of restructuring costs attributable to adjustments to previously recorded employee termination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net decreased by $0.9 million to a $0.0 million loss for the three months ended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 $0.9 million loss for the three months ended March 31, 2020. This decrease was primarily attributable to the impact of foreign currency exchanges rate changes on intercompany receivables and payables denominated in a currency other than the subsidiary's functional currency.</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$2.0 million for the three months ended March 31, 2021 compared to expense of $0.3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2020. Other income, net of $2.0 million for the three months ended March 31, 2021 was primarily the result of gains recorded on the sale of real estate during the period.</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$1.7 million, or 6.0%, to $30.0 million for the three months ended March 31, 2021 from $28.3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2020. The increase in interest expense is a result of the Merger which increased debt outstanding at March 31, 2021 by approximately $828 million compared to March 31, 2020, offset by lower overall weighted average interest rates as a result of our refinancing activities over the past 12 months. See Note 9 to the condensed consolidated financial statements for further discussion of our debt.</w:t>
      </w:r>
    </w:p>
    <w:p>
      <w:pPr>
        <w:spacing w:after="0" w:line="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b w:val="1"/>
          <w:bCs w:val="1"/>
          <w:i w:val="1"/>
          <w:iCs w:val="1"/>
          <w:color w:val="auto"/>
        </w:rPr>
        <w:t xml:space="preserve">Fair Value (Gain) Loss on Common Stock Warrant Liabilities: </w:t>
      </w:r>
      <w:r>
        <w:rPr>
          <w:rFonts w:ascii="Arial" w:cs="Arial" w:eastAsia="Arial" w:hAnsi="Arial"/>
          <w:sz w:val="16"/>
          <w:szCs w:val="16"/>
          <w:color w:val="auto"/>
        </w:rPr>
        <w:t>The change in fair value of common stock warrant liabilities decreased $122.5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to a $27.2 million loss for the three months ended March 31, 2021 from a $95.3 million gain for the three months ended March 31, 2020. The decrease was primarily attributable to the change in estimated fair value of common stock warrant liabilities.</w:t>
      </w:r>
    </w:p>
    <w:p>
      <w:pPr>
        <w:spacing w:after="0" w:line="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Loss on Extinguishment of Debt: </w:t>
      </w:r>
      <w:r>
        <w:rPr>
          <w:rFonts w:ascii="Arial" w:cs="Arial" w:eastAsia="Arial" w:hAnsi="Arial"/>
          <w:sz w:val="16"/>
          <w:szCs w:val="16"/>
          <w:color w:val="auto"/>
        </w:rPr>
        <w:t>During the three months ended March 31, 2021, using cash on hand and borrowings on the 2020 ABL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redeemed 10% of the outstanding principal, $65.0 million, of its 2025 Secured Notes and recorded a loss on extinguishment of debt of $3.2 million comprised of a redemption premium of $1.9 million and write off of unamortized deferred financing fees of $1.3 million.</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increased $9.7 million to $10.5 million for the three months ended March 31, 2021 compared to $0.8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2020. The increase was driven by increases to income during the period.</w:t>
      </w:r>
    </w:p>
    <w:p>
      <w:pPr>
        <w:spacing w:after="0" w:line="259" w:lineRule="exact"/>
        <w:rPr>
          <w:sz w:val="20"/>
          <w:szCs w:val="20"/>
          <w:color w:val="auto"/>
        </w:rPr>
      </w:pPr>
    </w:p>
    <w:p>
      <w:pPr>
        <w:spacing w:after="0"/>
        <w:rPr>
          <w:sz w:val="20"/>
          <w:szCs w:val="20"/>
          <w:color w:val="auto"/>
        </w:rPr>
      </w:pPr>
      <w:r>
        <w:rPr>
          <w:rFonts w:ascii="Arial" w:cs="Arial" w:eastAsia="Arial" w:hAnsi="Arial"/>
          <w:sz w:val="23"/>
          <w:szCs w:val="23"/>
          <w:color w:val="1D2758"/>
        </w:rPr>
        <w:t>Business Segment Results</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w:t>
      </w:r>
    </w:p>
    <w:p>
      <w:pPr>
        <w:spacing w:after="0" w:line="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tables and discussion summarize our reportable segment financial information for the three months ended March 31, 2021 and 2020. The below results only include Mobile Mini for the periods subsequent to the Merger. A Summary Business Segment Supplemental Unaudited Pro Forma Financial Information section has been included in this MD&amp;A in order to provide period over period comparable financial information for the NA Storage, UK Storage and Tank and Pump reporting segments as these segments were not included in our reported results for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480" w:type="dxa"/>
            <w:vAlign w:val="bottom"/>
            <w:gridSpan w:val="4"/>
            <w:shd w:val="clear" w:color="auto" w:fill="1D2758"/>
          </w:tcPr>
          <w:p>
            <w:pPr>
              <w:jc w:val="center"/>
              <w:ind w:left="479"/>
              <w:spacing w:after="0"/>
              <w:rPr>
                <w:sz w:val="20"/>
                <w:szCs w:val="20"/>
                <w:color w:val="auto"/>
              </w:rPr>
            </w:pPr>
            <w:r>
              <w:rPr>
                <w:rFonts w:ascii="Arial" w:cs="Arial" w:eastAsia="Arial" w:hAnsi="Arial"/>
                <w:sz w:val="16"/>
                <w:szCs w:val="16"/>
                <w:b w:val="1"/>
                <w:bCs w:val="1"/>
                <w:color w:val="FFFFFF"/>
              </w:rPr>
              <w:t>Three Months Ended March 31, 2021</w:t>
            </w:r>
          </w:p>
        </w:tc>
        <w:tc>
          <w:tcPr>
            <w:tcW w:w="8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1D2758"/>
          </w:tcPr>
          <w:p>
            <w:pPr>
              <w:ind w:left="20"/>
              <w:spacing w:after="0" w:line="162"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2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2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1260" w:type="dxa"/>
            <w:vAlign w:val="bottom"/>
            <w:shd w:val="clear" w:color="auto" w:fill="1D2758"/>
          </w:tcPr>
          <w:p>
            <w:pPr>
              <w:spacing w:after="0"/>
              <w:rPr>
                <w:sz w:val="14"/>
                <w:szCs w:val="14"/>
                <w:color w:val="auto"/>
              </w:rPr>
            </w:pPr>
          </w:p>
        </w:tc>
        <w:tc>
          <w:tcPr>
            <w:tcW w:w="700" w:type="dxa"/>
            <w:vAlign w:val="bottom"/>
            <w:shd w:val="clear" w:color="auto" w:fill="1D2758"/>
          </w:tcPr>
          <w:p>
            <w:pPr>
              <w:spacing w:after="0"/>
              <w:rPr>
                <w:sz w:val="14"/>
                <w:szCs w:val="14"/>
                <w:color w:val="auto"/>
              </w:rPr>
            </w:pPr>
          </w:p>
        </w:tc>
        <w:tc>
          <w:tcPr>
            <w:tcW w:w="800" w:type="dxa"/>
            <w:vAlign w:val="bottom"/>
            <w:shd w:val="clear" w:color="auto" w:fill="1D2758"/>
          </w:tcPr>
          <w:p>
            <w:pPr>
              <w:spacing w:after="0"/>
              <w:rPr>
                <w:sz w:val="14"/>
                <w:szCs w:val="14"/>
                <w:color w:val="auto"/>
              </w:rPr>
            </w:pPr>
          </w:p>
        </w:tc>
        <w:tc>
          <w:tcPr>
            <w:tcW w:w="360" w:type="dxa"/>
            <w:vAlign w:val="bottom"/>
            <w:shd w:val="clear" w:color="auto" w:fill="1D2758"/>
          </w:tcPr>
          <w:p>
            <w:pPr>
              <w:spacing w:after="0"/>
              <w:rPr>
                <w:sz w:val="14"/>
                <w:szCs w:val="14"/>
                <w:color w:val="auto"/>
              </w:rPr>
            </w:pPr>
          </w:p>
        </w:tc>
        <w:tc>
          <w:tcPr>
            <w:tcW w:w="11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2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3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center"/>
              <w:ind w:right="179"/>
              <w:spacing w:after="0"/>
              <w:rPr>
                <w:sz w:val="20"/>
                <w:szCs w:val="20"/>
                <w:color w:val="auto"/>
              </w:rPr>
            </w:pPr>
            <w:r>
              <w:rPr>
                <w:rFonts w:ascii="Arial" w:cs="Arial" w:eastAsia="Arial" w:hAnsi="Arial"/>
                <w:sz w:val="16"/>
                <w:szCs w:val="16"/>
                <w:b w:val="1"/>
                <w:bCs w:val="1"/>
                <w:color w:val="FFFFFF"/>
              </w:rPr>
              <w:t>UK Storage</w:t>
            </w:r>
          </w:p>
        </w:tc>
        <w:tc>
          <w:tcPr>
            <w:tcW w:w="1500" w:type="dxa"/>
            <w:vAlign w:val="bottom"/>
            <w:gridSpan w:val="2"/>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8"/>
                <w:szCs w:val="18"/>
                <w:color w:val="auto"/>
              </w:rPr>
            </w:pPr>
          </w:p>
        </w:tc>
        <w:tc>
          <w:tcPr>
            <w:tcW w:w="1120" w:type="dxa"/>
            <w:vAlign w:val="bottom"/>
            <w:vMerge w:val="restart"/>
            <w:shd w:val="clear" w:color="auto" w:fill="1D2758"/>
          </w:tcPr>
          <w:p>
            <w:pPr>
              <w:jc w:val="right"/>
              <w:ind w:right="43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96"/>
        </w:trPr>
        <w:tc>
          <w:tcPr>
            <w:tcW w:w="3740" w:type="dxa"/>
            <w:vAlign w:val="bottom"/>
            <w:shd w:val="clear" w:color="auto" w:fill="1D2758"/>
          </w:tcPr>
          <w:p>
            <w:pPr>
              <w:spacing w:after="0"/>
              <w:rPr>
                <w:sz w:val="8"/>
                <w:szCs w:val="8"/>
                <w:color w:val="auto"/>
              </w:rPr>
            </w:pPr>
          </w:p>
        </w:tc>
        <w:tc>
          <w:tcPr>
            <w:tcW w:w="22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280" w:type="dxa"/>
            <w:vAlign w:val="bottom"/>
            <w:vMerge w:val="continue"/>
            <w:shd w:val="clear" w:color="auto" w:fill="1D2758"/>
          </w:tcPr>
          <w:p>
            <w:pPr>
              <w:spacing w:after="0"/>
              <w:rPr>
                <w:sz w:val="8"/>
                <w:szCs w:val="8"/>
                <w:color w:val="auto"/>
              </w:rPr>
            </w:pPr>
          </w:p>
        </w:tc>
        <w:tc>
          <w:tcPr>
            <w:tcW w:w="24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1500" w:type="dxa"/>
            <w:vAlign w:val="bottom"/>
            <w:gridSpan w:val="2"/>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112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266,224</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107,748</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27,007</w:t>
            </w:r>
          </w:p>
        </w:tc>
        <w:tc>
          <w:tcPr>
            <w:tcW w:w="70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24,344</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425,323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113,002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72,619</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16,493</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11,266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213,380</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97,371</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46,322</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11,064</w:t>
            </w:r>
          </w:p>
        </w:tc>
        <w:tc>
          <w:tcPr>
            <w:tcW w:w="70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8,828</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163,585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39,135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3,472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6,770</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3,158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52,535</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2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84,795</w:t>
            </w:r>
          </w:p>
        </w:tc>
        <w:tc>
          <w:tcPr>
            <w:tcW w:w="24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16,439</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9,115</w:t>
            </w:r>
          </w:p>
        </w:tc>
        <w:tc>
          <w:tcPr>
            <w:tcW w:w="70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110,349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67.6 %</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79.4 %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83.8 %</w:t>
            </w:r>
          </w:p>
        </w:tc>
        <w:tc>
          <w:tcPr>
            <w:tcW w:w="7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70.3 %</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737</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535</w:t>
            </w:r>
          </w:p>
        </w:tc>
        <w:tc>
          <w:tcPr>
            <w:tcW w:w="24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404</w:t>
            </w:r>
          </w:p>
        </w:tc>
        <w:tc>
          <w:tcPr>
            <w:tcW w:w="700" w:type="dxa"/>
            <w:vAlign w:val="bottom"/>
            <w:shd w:val="clear" w:color="auto" w:fill="DBDBDB"/>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2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14,903</w:t>
            </w:r>
          </w:p>
        </w:tc>
        <w:tc>
          <w:tcPr>
            <w:tcW w:w="24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105,810</w:t>
            </w:r>
          </w:p>
        </w:tc>
        <w:tc>
          <w:tcPr>
            <w:tcW w:w="24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24,647</w:t>
            </w:r>
          </w:p>
        </w:tc>
        <w:tc>
          <w:tcPr>
            <w:tcW w:w="70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145,360</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2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60.3 %</w:t>
            </w:r>
          </w:p>
        </w:tc>
        <w:tc>
          <w:tcPr>
            <w:tcW w:w="2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73.9 %</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89.2 %</w:t>
            </w:r>
          </w:p>
        </w:tc>
        <w:tc>
          <w:tcPr>
            <w:tcW w:w="700" w:type="dxa"/>
            <w:vAlign w:val="bottom"/>
            <w:shd w:val="clear" w:color="auto" w:fill="DBDBDB"/>
          </w:tcPr>
          <w:p>
            <w:pPr>
              <w:spacing w:after="0"/>
              <w:rPr>
                <w:sz w:val="19"/>
                <w:szCs w:val="19"/>
                <w:color w:val="auto"/>
              </w:rPr>
            </w:pP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124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148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82</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0"/>
        </w:trPr>
        <w:tc>
          <w:tcPr>
            <w:tcW w:w="37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2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2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DBDBDB"/>
          </w:tcPr>
          <w:p>
            <w:pPr>
              <w:spacing w:after="0"/>
              <w:rPr>
                <w:sz w:val="17"/>
                <w:szCs w:val="17"/>
                <w:color w:val="auto"/>
              </w:rPr>
            </w:pPr>
          </w:p>
        </w:tc>
        <w:tc>
          <w:tcPr>
            <w:tcW w:w="1280" w:type="dxa"/>
            <w:vAlign w:val="bottom"/>
            <w:shd w:val="clear" w:color="auto" w:fill="DBDBDB"/>
          </w:tcPr>
          <w:p>
            <w:pPr>
              <w:ind w:left="860"/>
              <w:spacing w:after="0"/>
              <w:rPr>
                <w:sz w:val="20"/>
                <w:szCs w:val="20"/>
                <w:color w:val="auto"/>
              </w:rPr>
            </w:pPr>
            <w:r>
              <w:rPr>
                <w:rFonts w:ascii="Arial" w:cs="Arial" w:eastAsia="Arial" w:hAnsi="Arial"/>
                <w:sz w:val="16"/>
                <w:szCs w:val="16"/>
                <w:color w:val="auto"/>
              </w:rPr>
              <w:t>— %</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ind w:left="840"/>
              <w:spacing w:after="0"/>
              <w:rPr>
                <w:sz w:val="20"/>
                <w:szCs w:val="20"/>
                <w:color w:val="auto"/>
              </w:rPr>
            </w:pPr>
            <w:r>
              <w:rPr>
                <w:rFonts w:ascii="Arial" w:cs="Arial" w:eastAsia="Arial" w:hAnsi="Arial"/>
                <w:sz w:val="16"/>
                <w:szCs w:val="16"/>
                <w:color w:val="auto"/>
              </w:rPr>
              <w:t>— %</w:t>
            </w:r>
          </w:p>
        </w:tc>
        <w:tc>
          <w:tcPr>
            <w:tcW w:w="7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67.4 %</w:t>
            </w:r>
          </w:p>
        </w:tc>
        <w:tc>
          <w:tcPr>
            <w:tcW w:w="3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67.4 %</w:t>
            </w:r>
          </w:p>
        </w:tc>
        <w:tc>
          <w:tcPr>
            <w:tcW w:w="0" w:type="dxa"/>
            <w:vAlign w:val="bottom"/>
          </w:tcPr>
          <w:p>
            <w:pPr>
              <w:spacing w:after="0"/>
              <w:rPr>
                <w:sz w:val="1"/>
                <w:szCs w:val="1"/>
                <w:color w:val="auto"/>
              </w:rPr>
            </w:pPr>
          </w:p>
        </w:tc>
      </w:tr>
      <w:tr>
        <w:trPr>
          <w:trHeight w:val="486"/>
        </w:trPr>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1D2758"/>
          </w:tcPr>
          <w:p>
            <w:pPr>
              <w:spacing w:after="0"/>
              <w:rPr>
                <w:sz w:val="18"/>
                <w:szCs w:val="18"/>
                <w:color w:val="auto"/>
              </w:rPr>
            </w:pPr>
          </w:p>
        </w:tc>
        <w:tc>
          <w:tcPr>
            <w:tcW w:w="22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3480" w:type="dxa"/>
            <w:vAlign w:val="bottom"/>
            <w:gridSpan w:val="4"/>
            <w:shd w:val="clear" w:color="auto" w:fill="1D2758"/>
          </w:tcPr>
          <w:p>
            <w:pPr>
              <w:jc w:val="center"/>
              <w:ind w:left="519"/>
              <w:spacing w:after="0"/>
              <w:rPr>
                <w:sz w:val="20"/>
                <w:szCs w:val="20"/>
                <w:color w:val="auto"/>
              </w:rPr>
            </w:pPr>
            <w:r>
              <w:rPr>
                <w:rFonts w:ascii="Arial" w:cs="Arial" w:eastAsia="Arial" w:hAnsi="Arial"/>
                <w:sz w:val="16"/>
                <w:szCs w:val="16"/>
                <w:b w:val="1"/>
                <w:bCs w:val="1"/>
                <w:color w:val="FFFFFF"/>
              </w:rPr>
              <w:t>Three Months Ended March 31, 2020</w:t>
            </w:r>
          </w:p>
        </w:tc>
        <w:tc>
          <w:tcPr>
            <w:tcW w:w="8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1D2758"/>
          </w:tcPr>
          <w:p>
            <w:pPr>
              <w:ind w:left="20"/>
              <w:spacing w:after="0" w:line="164" w:lineRule="exact"/>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22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jc w:val="right"/>
              <w:ind w:right="199"/>
              <w:spacing w:after="0"/>
              <w:rPr>
                <w:sz w:val="20"/>
                <w:szCs w:val="20"/>
                <w:color w:val="auto"/>
              </w:rPr>
            </w:pPr>
            <w:r>
              <w:rPr>
                <w:rFonts w:ascii="Arial" w:cs="Arial" w:eastAsia="Arial" w:hAnsi="Arial"/>
                <w:sz w:val="16"/>
                <w:szCs w:val="16"/>
                <w:b w:val="1"/>
                <w:bCs w:val="1"/>
                <w:color w:val="FFFFFF"/>
              </w:rPr>
              <w:t>NA Modular</w:t>
            </w:r>
          </w:p>
        </w:tc>
        <w:tc>
          <w:tcPr>
            <w:tcW w:w="240" w:type="dxa"/>
            <w:vAlign w:val="bottom"/>
            <w:shd w:val="clear" w:color="auto" w:fill="1D2758"/>
          </w:tcPr>
          <w:p>
            <w:pPr>
              <w:spacing w:after="0"/>
              <w:rPr>
                <w:sz w:val="14"/>
                <w:szCs w:val="14"/>
                <w:color w:val="auto"/>
              </w:rPr>
            </w:pPr>
          </w:p>
        </w:tc>
        <w:tc>
          <w:tcPr>
            <w:tcW w:w="1280" w:type="dxa"/>
            <w:vAlign w:val="bottom"/>
            <w:vMerge w:val="restart"/>
            <w:shd w:val="clear" w:color="auto" w:fill="1D2758"/>
          </w:tcPr>
          <w:p>
            <w:pPr>
              <w:ind w:left="100"/>
              <w:spacing w:after="0"/>
              <w:rPr>
                <w:sz w:val="20"/>
                <w:szCs w:val="20"/>
                <w:color w:val="auto"/>
              </w:rPr>
            </w:pPr>
            <w:r>
              <w:rPr>
                <w:rFonts w:ascii="Arial" w:cs="Arial" w:eastAsia="Arial" w:hAnsi="Arial"/>
                <w:sz w:val="16"/>
                <w:szCs w:val="16"/>
                <w:b w:val="1"/>
                <w:bCs w:val="1"/>
                <w:color w:val="FFFFFF"/>
              </w:rPr>
              <w:t>NA Storage</w:t>
            </w:r>
          </w:p>
        </w:tc>
        <w:tc>
          <w:tcPr>
            <w:tcW w:w="240" w:type="dxa"/>
            <w:vAlign w:val="bottom"/>
            <w:shd w:val="clear" w:color="auto" w:fill="1D2758"/>
          </w:tcPr>
          <w:p>
            <w:pPr>
              <w:spacing w:after="0"/>
              <w:rPr>
                <w:sz w:val="14"/>
                <w:szCs w:val="14"/>
                <w:color w:val="auto"/>
              </w:rPr>
            </w:pPr>
          </w:p>
        </w:tc>
        <w:tc>
          <w:tcPr>
            <w:tcW w:w="1260" w:type="dxa"/>
            <w:vAlign w:val="bottom"/>
            <w:vMerge w:val="restart"/>
            <w:shd w:val="clear" w:color="auto" w:fill="1D2758"/>
          </w:tcPr>
          <w:p>
            <w:pPr>
              <w:ind w:left="80"/>
              <w:spacing w:after="0"/>
              <w:rPr>
                <w:sz w:val="20"/>
                <w:szCs w:val="20"/>
                <w:color w:val="auto"/>
              </w:rPr>
            </w:pPr>
            <w:r>
              <w:rPr>
                <w:rFonts w:ascii="Arial" w:cs="Arial" w:eastAsia="Arial" w:hAnsi="Arial"/>
                <w:sz w:val="16"/>
                <w:szCs w:val="16"/>
                <w:b w:val="1"/>
                <w:bCs w:val="1"/>
                <w:color w:val="FFFFFF"/>
              </w:rPr>
              <w:t>UK Storage</w:t>
            </w:r>
          </w:p>
        </w:tc>
        <w:tc>
          <w:tcPr>
            <w:tcW w:w="1500" w:type="dxa"/>
            <w:vAlign w:val="bottom"/>
            <w:gridSpan w:val="2"/>
            <w:vMerge w:val="restart"/>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Tank and Pump</w:t>
            </w:r>
          </w:p>
        </w:tc>
        <w:tc>
          <w:tcPr>
            <w:tcW w:w="360" w:type="dxa"/>
            <w:vAlign w:val="bottom"/>
            <w:shd w:val="clear" w:color="auto" w:fill="1D2758"/>
          </w:tcPr>
          <w:p>
            <w:pPr>
              <w:spacing w:after="0"/>
              <w:rPr>
                <w:sz w:val="14"/>
                <w:szCs w:val="14"/>
                <w:color w:val="auto"/>
              </w:rPr>
            </w:pPr>
          </w:p>
        </w:tc>
        <w:tc>
          <w:tcPr>
            <w:tcW w:w="1120" w:type="dxa"/>
            <w:vAlign w:val="bottom"/>
            <w:vMerge w:val="restart"/>
            <w:shd w:val="clear" w:color="auto" w:fill="1D2758"/>
          </w:tcPr>
          <w:p>
            <w:pPr>
              <w:jc w:val="right"/>
              <w:ind w:right="4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74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rates)</w:t>
            </w:r>
          </w:p>
        </w:tc>
        <w:tc>
          <w:tcPr>
            <w:tcW w:w="22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260" w:type="dxa"/>
            <w:vAlign w:val="bottom"/>
            <w:vMerge w:val="continue"/>
            <w:shd w:val="clear" w:color="auto" w:fill="1D2758"/>
          </w:tcPr>
          <w:p>
            <w:pPr>
              <w:spacing w:after="0"/>
              <w:rPr>
                <w:sz w:val="18"/>
                <w:szCs w:val="18"/>
                <w:color w:val="auto"/>
              </w:rPr>
            </w:pPr>
          </w:p>
        </w:tc>
        <w:tc>
          <w:tcPr>
            <w:tcW w:w="1500" w:type="dxa"/>
            <w:vAlign w:val="bottom"/>
            <w:gridSpan w:val="2"/>
            <w:vMerge w:val="continue"/>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255,821</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255,821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106,190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106,190</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89,544</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89,544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39,648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39,648</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22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87,989</w:t>
            </w:r>
          </w:p>
        </w:tc>
        <w:tc>
          <w:tcPr>
            <w:tcW w:w="240" w:type="dxa"/>
            <w:vAlign w:val="bottom"/>
            <w:shd w:val="clear" w:color="auto" w:fill="DBDBDB"/>
          </w:tcPr>
          <w:p>
            <w:pPr>
              <w:spacing w:after="0"/>
              <w:rPr>
                <w:sz w:val="19"/>
                <w:szCs w:val="19"/>
                <w:color w:val="auto"/>
              </w:rPr>
            </w:pP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spacing w:after="0"/>
              <w:rPr>
                <w:sz w:val="19"/>
                <w:szCs w:val="19"/>
                <w:color w:val="auto"/>
              </w:rPr>
            </w:pP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87,989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69.2 %</w:t>
            </w:r>
          </w:p>
        </w:tc>
        <w:tc>
          <w:tcPr>
            <w:tcW w:w="240" w:type="dxa"/>
            <w:vAlign w:val="bottom"/>
          </w:tcPr>
          <w:p>
            <w:pPr>
              <w:spacing w:after="0"/>
              <w:rPr>
                <w:sz w:val="18"/>
                <w:szCs w:val="18"/>
                <w:color w:val="auto"/>
              </w:rPr>
            </w:pPr>
          </w:p>
        </w:tc>
        <w:tc>
          <w:tcPr>
            <w:tcW w:w="1280" w:type="dxa"/>
            <w:vAlign w:val="bottom"/>
          </w:tcPr>
          <w:p>
            <w:pPr>
              <w:ind w:left="88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1260" w:type="dxa"/>
            <w:vAlign w:val="bottom"/>
          </w:tcPr>
          <w:p>
            <w:pPr>
              <w:ind w:left="860"/>
              <w:spacing w:after="0"/>
              <w:rPr>
                <w:sz w:val="20"/>
                <w:szCs w:val="20"/>
                <w:color w:val="auto"/>
              </w:rPr>
            </w:pPr>
            <w:r>
              <w:rPr>
                <w:rFonts w:ascii="Arial" w:cs="Arial" w:eastAsia="Arial" w:hAnsi="Arial"/>
                <w:sz w:val="16"/>
                <w:szCs w:val="16"/>
                <w:color w:val="auto"/>
              </w:rPr>
              <w:t>— %</w:t>
            </w:r>
          </w:p>
        </w:tc>
        <w:tc>
          <w:tcPr>
            <w:tcW w:w="7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69.2 %</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653</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22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16,346</w:t>
            </w:r>
          </w:p>
        </w:tc>
        <w:tc>
          <w:tcPr>
            <w:tcW w:w="240" w:type="dxa"/>
            <w:vAlign w:val="bottom"/>
          </w:tcPr>
          <w:p>
            <w:pPr>
              <w:spacing w:after="0"/>
              <w:rPr>
                <w:sz w:val="18"/>
                <w:szCs w:val="18"/>
                <w:color w:val="auto"/>
              </w:rPr>
            </w:pPr>
          </w:p>
        </w:tc>
        <w:tc>
          <w:tcPr>
            <w:tcW w:w="1280" w:type="dxa"/>
            <w:vAlign w:val="bottom"/>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ind w:left="8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16,346</w:t>
            </w:r>
          </w:p>
        </w:tc>
        <w:tc>
          <w:tcPr>
            <w:tcW w:w="0" w:type="dxa"/>
            <w:vAlign w:val="bottom"/>
          </w:tcPr>
          <w:p>
            <w:pPr>
              <w:spacing w:after="0"/>
              <w:rPr>
                <w:sz w:val="1"/>
                <w:szCs w:val="1"/>
                <w:color w:val="auto"/>
              </w:rPr>
            </w:pPr>
          </w:p>
        </w:tc>
      </w:tr>
      <w:tr>
        <w:trPr>
          <w:trHeight w:val="219"/>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2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64.1 %</w:t>
            </w:r>
          </w:p>
        </w:tc>
        <w:tc>
          <w:tcPr>
            <w:tcW w:w="240" w:type="dxa"/>
            <w:vAlign w:val="bottom"/>
            <w:shd w:val="clear" w:color="auto" w:fill="DBDBDB"/>
          </w:tcPr>
          <w:p>
            <w:pPr>
              <w:spacing w:after="0"/>
              <w:rPr>
                <w:sz w:val="19"/>
                <w:szCs w:val="19"/>
                <w:color w:val="auto"/>
              </w:rPr>
            </w:pP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 %</w:t>
            </w:r>
          </w:p>
        </w:tc>
        <w:tc>
          <w:tcPr>
            <w:tcW w:w="240" w:type="dxa"/>
            <w:vAlign w:val="bottom"/>
            <w:shd w:val="clear" w:color="auto" w:fill="DBDBDB"/>
          </w:tcPr>
          <w:p>
            <w:pPr>
              <w:spacing w:after="0"/>
              <w:rPr>
                <w:sz w:val="19"/>
                <w:szCs w:val="19"/>
                <w:color w:val="auto"/>
              </w:rPr>
            </w:pP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 %</w:t>
            </w:r>
          </w:p>
        </w:tc>
        <w:tc>
          <w:tcPr>
            <w:tcW w:w="700" w:type="dxa"/>
            <w:vAlign w:val="bottom"/>
            <w:shd w:val="clear" w:color="auto" w:fill="DBDBDB"/>
          </w:tcPr>
          <w:p>
            <w:pPr>
              <w:spacing w:after="0"/>
              <w:rPr>
                <w:sz w:val="19"/>
                <w:szCs w:val="19"/>
                <w:color w:val="auto"/>
              </w:rPr>
            </w:pP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64.1 %</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88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8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tcPr>
          <w:p>
            <w:pPr>
              <w:ind w:left="3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0"/>
        </w:trPr>
        <w:tc>
          <w:tcPr>
            <w:tcW w:w="374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Average tank and pump solutions rental fleet</w:t>
            </w:r>
          </w:p>
        </w:tc>
        <w:tc>
          <w:tcPr>
            <w:tcW w:w="22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utilization based on original equipment cost</w:t>
            </w:r>
          </w:p>
        </w:tc>
        <w:tc>
          <w:tcPr>
            <w:tcW w:w="22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240" w:type="dxa"/>
            <w:vAlign w:val="bottom"/>
            <w:shd w:val="clear" w:color="auto" w:fill="DBDBDB"/>
          </w:tcPr>
          <w:p>
            <w:pPr>
              <w:spacing w:after="0"/>
              <w:rPr>
                <w:sz w:val="17"/>
                <w:szCs w:val="17"/>
                <w:color w:val="auto"/>
              </w:rPr>
            </w:pPr>
          </w:p>
        </w:tc>
        <w:tc>
          <w:tcPr>
            <w:tcW w:w="1280" w:type="dxa"/>
            <w:vAlign w:val="bottom"/>
            <w:shd w:val="clear" w:color="auto" w:fill="DBDBDB"/>
          </w:tcPr>
          <w:p>
            <w:pPr>
              <w:ind w:left="880"/>
              <w:spacing w:after="0"/>
              <w:rPr>
                <w:sz w:val="20"/>
                <w:szCs w:val="20"/>
                <w:color w:val="auto"/>
              </w:rPr>
            </w:pPr>
            <w:r>
              <w:rPr>
                <w:rFonts w:ascii="Arial" w:cs="Arial" w:eastAsia="Arial" w:hAnsi="Arial"/>
                <w:sz w:val="16"/>
                <w:szCs w:val="16"/>
                <w:color w:val="auto"/>
              </w:rPr>
              <w:t>— %</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ind w:left="860"/>
              <w:spacing w:after="0"/>
              <w:rPr>
                <w:sz w:val="20"/>
                <w:szCs w:val="20"/>
                <w:color w:val="auto"/>
              </w:rPr>
            </w:pPr>
            <w:r>
              <w:rPr>
                <w:rFonts w:ascii="Arial" w:cs="Arial" w:eastAsia="Arial" w:hAnsi="Arial"/>
                <w:sz w:val="16"/>
                <w:szCs w:val="16"/>
                <w:color w:val="auto"/>
              </w:rPr>
              <w:t>— %</w:t>
            </w:r>
          </w:p>
        </w:tc>
        <w:tc>
          <w:tcPr>
            <w:tcW w:w="700" w:type="dxa"/>
            <w:vAlign w:val="bottom"/>
            <w:shd w:val="clear" w:color="auto" w:fill="DBDBDB"/>
          </w:tcPr>
          <w:p>
            <w:pPr>
              <w:spacing w:after="0"/>
              <w:rPr>
                <w:sz w:val="17"/>
                <w:szCs w:val="17"/>
                <w:color w:val="auto"/>
              </w:rPr>
            </w:pPr>
          </w:p>
        </w:tc>
        <w:tc>
          <w:tcPr>
            <w:tcW w:w="800" w:type="dxa"/>
            <w:vAlign w:val="bottom"/>
            <w:shd w:val="clear" w:color="auto" w:fill="DBDBDB"/>
          </w:tcPr>
          <w:p>
            <w:pPr>
              <w:ind w:left="380"/>
              <w:spacing w:after="0"/>
              <w:rPr>
                <w:sz w:val="20"/>
                <w:szCs w:val="20"/>
                <w:color w:val="auto"/>
              </w:rPr>
            </w:pPr>
            <w:r>
              <w:rPr>
                <w:rFonts w:ascii="Arial" w:cs="Arial" w:eastAsia="Arial" w:hAnsi="Arial"/>
                <w:sz w:val="16"/>
                <w:szCs w:val="16"/>
                <w:color w:val="auto"/>
              </w:rPr>
              <w:t>— %</w:t>
            </w:r>
          </w:p>
        </w:tc>
        <w:tc>
          <w:tcPr>
            <w:tcW w:w="36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Modular</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$10.4 million, or 4.1%, to $266.2 million for the three months ended March 31, 2021 from $255.8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2020. The increase was primarily the result of an $11.3 million, or 6.0%, increase in leasing revenue and a $3.7 million, or 54.4%, increase in rental unit sales revenue. This increase was partially offset by decreases in modular delivery and installation revenues of $2.4 million, or 4.7%, and a $2.2 million, or 22.9%, decrease in new unit sales. Average modular space monthly rental rates increased 12.9% for the three months ended March 31, 2021 to $737 driven by the continuation of the long-term price optimization and VAPS penetration opportunities across our portfolio. Improved pricing was partially offset by lower volumes as average modular space units on rent decreased by 3,194 units, or 3.6%, year over year. The decrease was driven primarily by lower deliveries, including reduced demand for new project deliveries as a result of the COVID-19 pandemic primarily in the second and third quarter of 2020.</w:t>
      </w:r>
    </w:p>
    <w:p>
      <w:pPr>
        <w:spacing w:after="0" w:line="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$6.8 million, or 6.4%, to $113.0 million for the three months ended March 31, 2021 from $106.2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2020. The increase in gross profit was driven by higher leasing gross profit, which increased $9.9 million, or 7.1%, driven from improved pricing including VAPS. The increase in gross profit from leasing for the three months ended March 31, 2021 was further complemented by a $1.7 million increase in rental unit sales gross profit. These increases were partially offset by a $3.2 million decrease in delivery and installation gross profit, a $0.8 million decrease in new sales gross profit, and a $0.8 million increase in depreciation of rental equipment related to capital investments made in our existing rental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$7.9 million, or 8.8%, to $97.4 million for the three months ended March 31, 2021 from $89.5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2020. The increase was driven by higher leasing gross profit discussed above. SG&amp;A, excluding discrete items, decreased $0.2 million, or 0.3%, for the three months ended March 31, 2021, as compared to the three months ended March 31, 2020.</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Purchases of rental equipment and refurbishments decreased $0.5 million, or 1.3%, to $39.1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2021 from $39.6 million for the three months ended March 31, 2020. Net CAPEX, as defined below in Item 2. Other Non-GAAP Financial Data and Reconciliations, also decreased $12.3 million, or 40.2%, to $18.3 million. The decrease for Net CAPEX was driven by increased proceeds from sales of rental units and plant, property and equipment, including real estate sold during the period.</w:t>
      </w:r>
    </w:p>
    <w:p>
      <w:pPr>
        <w:spacing w:after="0" w:line="389" w:lineRule="exact"/>
        <w:rPr>
          <w:sz w:val="20"/>
          <w:szCs w:val="20"/>
          <w:color w:val="auto"/>
        </w:rPr>
      </w:pPr>
    </w:p>
    <w:p>
      <w:pPr>
        <w:spacing w:after="0"/>
        <w:rPr>
          <w:sz w:val="20"/>
          <w:szCs w:val="20"/>
          <w:color w:val="auto"/>
        </w:rPr>
      </w:pPr>
      <w:r>
        <w:rPr>
          <w:rFonts w:ascii="Arial" w:cs="Arial" w:eastAsia="Arial" w:hAnsi="Arial"/>
          <w:sz w:val="23"/>
          <w:szCs w:val="23"/>
          <w:color w:val="1D2758"/>
        </w:rPr>
        <w:t>Other Non-GAAP Financial Data and Reconciliations</w:t>
      </w:r>
    </w:p>
    <w:p>
      <w:pPr>
        <w:spacing w:after="0" w:line="11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income (loss) to Adjusted EBITDA reconciliation below. We believe that evaluating segment performance excluding such items is meaningful because it provides insight with respect to the intrinsic operating results of the Company.</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93" w:lineRule="exact"/>
        <w:rPr>
          <w:sz w:val="20"/>
          <w:szCs w:val="20"/>
          <w:color w:val="auto"/>
        </w:rPr>
      </w:pPr>
    </w:p>
    <w:p>
      <w:pPr>
        <w:ind w:left="980" w:hanging="324"/>
        <w:spacing w:after="0" w:line="260"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87"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87"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87" w:lineRule="exact"/>
        <w:rPr>
          <w:rFonts w:ascii="Arial" w:cs="Arial" w:eastAsia="Arial" w:hAnsi="Arial"/>
          <w:sz w:val="16"/>
          <w:szCs w:val="16"/>
          <w:color w:val="auto"/>
        </w:rPr>
      </w:pPr>
    </w:p>
    <w:p>
      <w:pPr>
        <w:ind w:left="960" w:hanging="304"/>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113"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87" w:lineRule="exact"/>
        <w:rPr>
          <w:rFonts w:ascii="Arial" w:cs="Arial" w:eastAsia="Arial" w:hAnsi="Arial"/>
          <w:sz w:val="16"/>
          <w:szCs w:val="16"/>
          <w:color w:val="auto"/>
        </w:rPr>
      </w:pPr>
    </w:p>
    <w:p>
      <w:pPr>
        <w:ind w:left="960" w:hanging="304"/>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Gains and losses resulting from changes in fair value and extinguishment of common stock warrant liabilities.</w:t>
      </w:r>
    </w:p>
    <w:p>
      <w:pPr>
        <w:spacing w:after="0" w:line="113"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87"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87" w:lineRule="exact"/>
        <w:rPr>
          <w:sz w:val="20"/>
          <w:szCs w:val="20"/>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113"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spacing w:after="0" w:line="87" w:lineRule="exact"/>
        <w:rPr>
          <w:rFonts w:ascii="Arial" w:cs="Arial" w:eastAsia="Arial" w:hAnsi="Arial"/>
          <w:sz w:val="16"/>
          <w:szCs w:val="16"/>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113" w:lineRule="exact"/>
        <w:rPr>
          <w:rFonts w:ascii="Arial" w:cs="Arial" w:eastAsia="Arial" w:hAnsi="Arial"/>
          <w:sz w:val="16"/>
          <w:szCs w:val="16"/>
          <w:color w:val="auto"/>
        </w:rPr>
      </w:pPr>
    </w:p>
    <w:p>
      <w:pPr>
        <w:ind w:left="960" w:hanging="304"/>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80" w:hanging="324"/>
        <w:spacing w:after="0" w:line="260"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980" w:hanging="324"/>
        <w:spacing w:after="0" w:line="260" w:lineRule="auto"/>
        <w:tabs>
          <w:tab w:leader="none" w:pos="9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87" w:lineRule="exact"/>
        <w:rPr>
          <w:rFonts w:ascii="Arial" w:cs="Arial" w:eastAsia="Arial" w:hAnsi="Arial"/>
          <w:sz w:val="16"/>
          <w:szCs w:val="16"/>
          <w:color w:val="auto"/>
        </w:rPr>
      </w:pPr>
    </w:p>
    <w:p>
      <w:pPr>
        <w:ind w:left="960" w:hanging="304"/>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11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income (loss) to Adjusted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444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5"/>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7"/>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2040" w:type="dxa"/>
            <w:vAlign w:val="bottom"/>
            <w:shd w:val="clear" w:color="auto" w:fill="1D2758"/>
          </w:tcPr>
          <w:p>
            <w:pPr>
              <w:jc w:val="right"/>
              <w:ind w:right="679"/>
              <w:spacing w:after="0"/>
              <w:rPr>
                <w:sz w:val="20"/>
                <w:szCs w:val="20"/>
                <w:color w:val="auto"/>
              </w:rPr>
            </w:pPr>
            <w:r>
              <w:rPr>
                <w:rFonts w:ascii="Arial" w:cs="Arial" w:eastAsia="Arial" w:hAnsi="Arial"/>
                <w:sz w:val="16"/>
                <w:szCs w:val="16"/>
                <w:b w:val="1"/>
                <w:bCs w:val="1"/>
                <w:color w:val="FFFFFF"/>
              </w:rPr>
              <w:t>(as restated)</w:t>
            </w: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4,447</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91,655</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10,481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extinguishment of debt</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3,185</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29,964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28,257</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and amortization</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74,022</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49,022</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Fair value loss (gain) on common stock warrant liabilities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27,207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(95,329)</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net</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4,395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Merger transaction costs</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844</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9,431</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1,685</w:t>
            </w:r>
          </w:p>
        </w:tc>
      </w:tr>
      <w:tr>
        <w:trPr>
          <w:trHeight w:val="219"/>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5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3,514</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1,787</w:t>
            </w:r>
          </w:p>
        </w:tc>
      </w:tr>
      <w:tr>
        <w:trPr>
          <w:trHeight w:val="213"/>
        </w:trPr>
        <w:tc>
          <w:tcPr>
            <w:tcW w:w="62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33"/>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163,585</w:t>
            </w:r>
          </w:p>
        </w:tc>
        <w:tc>
          <w:tcPr>
            <w:tcW w:w="52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89,544</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Excluding Gain/Loss from Warrants</w:t>
      </w:r>
    </w:p>
    <w:p>
      <w:pPr>
        <w:spacing w:after="0" w:line="6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define Net Income Excluding Gain/Loss from Warrants as Net Income plus or minus the impact of the change in the fair value of the common stock warrant liability. Management believes that our financial statements that will include the impact of this mark-to-market expense or income may not be necessarily reflective of the actual financial performance of our business.</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Fair value loss (gain) on common stock warrant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Excluding Gain/Loss from Warrants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FFFFFF"/>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-113030</wp:posOffset>
            </wp:positionV>
            <wp:extent cx="713232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20" w:type="dxa"/>
            <w:vAlign w:val="bottom"/>
            <w:shd w:val="clear" w:color="auto" w:fill="1D2758"/>
          </w:tcPr>
          <w:p>
            <w:pPr>
              <w:spacing w:after="0"/>
              <w:rPr>
                <w:sz w:val="16"/>
                <w:szCs w:val="16"/>
                <w:color w:val="auto"/>
              </w:rPr>
            </w:pPr>
          </w:p>
        </w:tc>
        <w:tc>
          <w:tcPr>
            <w:tcW w:w="1720" w:type="dxa"/>
            <w:vAlign w:val="bottom"/>
            <w:vMerge w:val="restart"/>
            <w:shd w:val="clear" w:color="auto" w:fill="1D2758"/>
          </w:tcPr>
          <w:p>
            <w:pPr>
              <w:jc w:val="right"/>
              <w:ind w:right="859"/>
              <w:spacing w:after="0"/>
              <w:rPr>
                <w:sz w:val="20"/>
                <w:szCs w:val="20"/>
                <w:color w:val="auto"/>
              </w:rPr>
            </w:pPr>
            <w:r>
              <w:rPr>
                <w:rFonts w:ascii="Arial" w:cs="Arial" w:eastAsia="Arial" w:hAnsi="Arial"/>
                <w:sz w:val="16"/>
                <w:szCs w:val="16"/>
                <w:b w:val="1"/>
                <w:bCs w:val="1"/>
                <w:color w:val="FFFFFF"/>
              </w:rPr>
              <w:t>2021</w:t>
            </w:r>
          </w:p>
        </w:tc>
        <w:tc>
          <w:tcPr>
            <w:tcW w:w="440" w:type="dxa"/>
            <w:vAlign w:val="bottom"/>
            <w:shd w:val="clear" w:color="auto" w:fill="1D2758"/>
          </w:tcPr>
          <w:p>
            <w:pPr>
              <w:spacing w:after="0"/>
              <w:rPr>
                <w:sz w:val="16"/>
                <w:szCs w:val="16"/>
                <w:color w:val="auto"/>
              </w:rPr>
            </w:pPr>
          </w:p>
        </w:tc>
        <w:tc>
          <w:tcPr>
            <w:tcW w:w="1860" w:type="dxa"/>
            <w:vAlign w:val="bottom"/>
            <w:shd w:val="clear" w:color="auto" w:fill="1D2758"/>
          </w:tcPr>
          <w:p>
            <w:pPr>
              <w:jc w:val="right"/>
              <w:ind w:right="85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520" w:type="dxa"/>
            <w:vAlign w:val="bottom"/>
            <w:shd w:val="clear" w:color="auto" w:fill="1D2758"/>
          </w:tcPr>
          <w:p>
            <w:pPr>
              <w:spacing w:after="0"/>
              <w:rPr>
                <w:sz w:val="18"/>
                <w:szCs w:val="18"/>
                <w:color w:val="auto"/>
              </w:rPr>
            </w:pPr>
          </w:p>
        </w:tc>
        <w:tc>
          <w:tcPr>
            <w:tcW w:w="1720" w:type="dxa"/>
            <w:vAlign w:val="bottom"/>
            <w:vMerge w:val="continue"/>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86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(as restated)</w:t>
            </w:r>
          </w:p>
        </w:tc>
        <w:tc>
          <w:tcPr>
            <w:tcW w:w="0" w:type="dxa"/>
            <w:vAlign w:val="bottom"/>
          </w:tcPr>
          <w:p>
            <w:pPr>
              <w:spacing w:after="0"/>
              <w:rPr>
                <w:sz w:val="1"/>
                <w:szCs w:val="1"/>
                <w:color w:val="auto"/>
              </w:rPr>
            </w:pPr>
          </w:p>
        </w:tc>
      </w:tr>
      <w:tr>
        <w:trPr>
          <w:trHeight w:val="210"/>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4,447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91,655</w:t>
            </w:r>
          </w:p>
        </w:tc>
        <w:tc>
          <w:tcPr>
            <w:tcW w:w="0" w:type="dxa"/>
            <w:vAlign w:val="bottom"/>
          </w:tcPr>
          <w:p>
            <w:pPr>
              <w:spacing w:after="0"/>
              <w:rPr>
                <w:sz w:val="1"/>
                <w:szCs w:val="1"/>
                <w:color w:val="auto"/>
              </w:rPr>
            </w:pPr>
          </w:p>
        </w:tc>
      </w:tr>
      <w:tr>
        <w:trPr>
          <w:trHeight w:val="219"/>
        </w:trPr>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27,207</w:t>
            </w:r>
          </w:p>
        </w:tc>
        <w:tc>
          <w:tcPr>
            <w:tcW w:w="4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(95,329)</w:t>
            </w:r>
          </w:p>
        </w:tc>
        <w:tc>
          <w:tcPr>
            <w:tcW w:w="0" w:type="dxa"/>
            <w:vAlign w:val="bottom"/>
          </w:tcPr>
          <w:p>
            <w:pPr>
              <w:spacing w:after="0"/>
              <w:rPr>
                <w:sz w:val="1"/>
                <w:szCs w:val="1"/>
                <w:color w:val="auto"/>
              </w:rPr>
            </w:pPr>
          </w:p>
        </w:tc>
      </w:tr>
      <w:tr>
        <w:trPr>
          <w:trHeight w:val="21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31,654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4"/>
        </w:trPr>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-453390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-179070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540"/>
          </w:cols>
          <w:pgMar w:left="320" w:top="1113" w:right="33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42" w:name="page43"/>
    <w:bookmarkEnd w:id="42"/>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 on a historical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4580" w:type="dxa"/>
            <w:vAlign w:val="bottom"/>
            <w:gridSpan w:val="4"/>
            <w:shd w:val="clear" w:color="auto" w:fill="1D2758"/>
          </w:tcPr>
          <w:p>
            <w:pPr>
              <w:jc w:val="right"/>
              <w:ind w:right="131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60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600" w:type="dxa"/>
            <w:vAlign w:val="bottom"/>
            <w:shd w:val="clear" w:color="auto" w:fill="1D2758"/>
          </w:tcPr>
          <w:p>
            <w:pPr>
              <w:spacing w:after="0"/>
              <w:rPr>
                <w:sz w:val="18"/>
                <w:szCs w:val="18"/>
                <w:color w:val="auto"/>
              </w:rPr>
            </w:pPr>
          </w:p>
        </w:tc>
        <w:tc>
          <w:tcPr>
            <w:tcW w:w="194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620" w:type="dxa"/>
            <w:vAlign w:val="bottom"/>
            <w:shd w:val="clear" w:color="auto" w:fill="1D2758"/>
          </w:tcPr>
          <w:p>
            <w:pPr>
              <w:spacing w:after="0"/>
              <w:rPr>
                <w:sz w:val="18"/>
                <w:szCs w:val="18"/>
                <w:color w:val="auto"/>
              </w:rPr>
            </w:pPr>
          </w:p>
        </w:tc>
        <w:tc>
          <w:tcPr>
            <w:tcW w:w="1940" w:type="dxa"/>
            <w:vAlign w:val="bottom"/>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(A)</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425,323</w:t>
            </w:r>
          </w:p>
        </w:tc>
        <w:tc>
          <w:tcPr>
            <w:tcW w:w="80" w:type="dxa"/>
            <w:vAlign w:val="bottom"/>
            <w:shd w:val="clear" w:color="auto" w:fill="DBDBDB"/>
          </w:tcPr>
          <w:p>
            <w:pPr>
              <w:spacing w:after="0"/>
              <w:rPr>
                <w:sz w:val="18"/>
                <w:szCs w:val="18"/>
                <w:color w:val="auto"/>
              </w:rPr>
            </w:pPr>
          </w:p>
        </w:tc>
        <w:tc>
          <w:tcPr>
            <w:tcW w:w="62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255,821</w:t>
            </w:r>
          </w:p>
        </w:tc>
      </w:tr>
      <w:tr>
        <w:trPr>
          <w:trHeight w:val="257"/>
        </w:trPr>
        <w:tc>
          <w:tcPr>
            <w:tcW w:w="6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16"/>
        </w:trPr>
        <w:tc>
          <w:tcPr>
            <w:tcW w:w="6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(B)</w:t>
            </w:r>
          </w:p>
        </w:tc>
        <w:tc>
          <w:tcPr>
            <w:tcW w:w="60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213,380</w:t>
            </w:r>
          </w:p>
        </w:tc>
        <w:tc>
          <w:tcPr>
            <w:tcW w:w="80" w:type="dxa"/>
            <w:vAlign w:val="bottom"/>
            <w:shd w:val="clear" w:color="auto" w:fill="DBDBDB"/>
          </w:tcPr>
          <w:p>
            <w:pPr>
              <w:spacing w:after="0"/>
              <w:rPr>
                <w:sz w:val="18"/>
                <w:szCs w:val="18"/>
                <w:color w:val="auto"/>
              </w:rPr>
            </w:pPr>
          </w:p>
        </w:tc>
        <w:tc>
          <w:tcPr>
            <w:tcW w:w="62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106,190</w:t>
            </w:r>
          </w:p>
        </w:tc>
      </w:tr>
      <w:tr>
        <w:trPr>
          <w:trHeight w:val="213"/>
        </w:trPr>
        <w:tc>
          <w:tcPr>
            <w:tcW w:w="60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55,698</w:t>
            </w:r>
          </w:p>
        </w:tc>
        <w:tc>
          <w:tcPr>
            <w:tcW w:w="80" w:type="dxa"/>
            <w:vAlign w:val="bottom"/>
            <w:tcBorders>
              <w:bottom w:val="single" w:sz="8" w:color="DBDBDB"/>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45,948</w:t>
            </w:r>
          </w:p>
        </w:tc>
      </w:tr>
      <w:tr>
        <w:trPr>
          <w:trHeight w:val="234"/>
        </w:trPr>
        <w:tc>
          <w:tcPr>
            <w:tcW w:w="60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Gross Profit (C)</w:t>
            </w:r>
          </w:p>
        </w:tc>
        <w:tc>
          <w:tcPr>
            <w:tcW w:w="60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269,078</w:t>
            </w:r>
          </w:p>
        </w:tc>
        <w:tc>
          <w:tcPr>
            <w:tcW w:w="8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152,138</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r>
        <w:trPr>
          <w:trHeight w:val="207"/>
        </w:trPr>
        <w:tc>
          <w:tcPr>
            <w:tcW w:w="6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606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Percentage (B/A)</w:t>
            </w:r>
          </w:p>
        </w:tc>
        <w:tc>
          <w:tcPr>
            <w:tcW w:w="60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50.2 %</w:t>
            </w:r>
          </w:p>
        </w:tc>
        <w:tc>
          <w:tcPr>
            <w:tcW w:w="8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41.5 %</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Adjusted Gross Profit Percentage (C/A)</w:t>
            </w:r>
          </w:p>
        </w:tc>
        <w:tc>
          <w:tcPr>
            <w:tcW w:w="6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63.3 %</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59.5 %</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Net CAPEX as purchases of rental equipment and refurbishments and purchases of property, plant and equipment (collectively, "Total Capital Expenditures"), less proceeds from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unaudited reconciliations of Net CAPEX on a historical basis: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444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62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58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(52,535)</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(39,648)</w:t>
            </w:r>
          </w:p>
        </w:tc>
      </w:tr>
      <w:tr>
        <w:trPr>
          <w:trHeight w:val="213"/>
        </w:trPr>
        <w:tc>
          <w:tcPr>
            <w:tcW w:w="62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15,202</w:t>
            </w:r>
          </w:p>
        </w:tc>
        <w:tc>
          <w:tcPr>
            <w:tcW w:w="80" w:type="dxa"/>
            <w:vAlign w:val="bottom"/>
            <w:tcBorders>
              <w:bottom w:val="single" w:sz="8" w:color="DBDBDB"/>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6,786</w:t>
            </w:r>
          </w:p>
        </w:tc>
      </w:tr>
      <w:tr>
        <w:trPr>
          <w:trHeight w:val="213"/>
        </w:trPr>
        <w:tc>
          <w:tcPr>
            <w:tcW w:w="62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 for Rental Equipment</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(37,333)</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(32,862)</w:t>
            </w:r>
          </w:p>
        </w:tc>
      </w:tr>
      <w:tr>
        <w:trPr>
          <w:trHeight w:val="213"/>
        </w:trPr>
        <w:tc>
          <w:tcPr>
            <w:tcW w:w="6220" w:type="dxa"/>
            <w:vAlign w:val="bottom"/>
          </w:tcPr>
          <w:p>
            <w:pPr>
              <w:ind w:left="240"/>
              <w:spacing w:after="0"/>
              <w:rPr>
                <w:sz w:val="20"/>
                <w:szCs w:val="20"/>
                <w:color w:val="auto"/>
              </w:rPr>
            </w:pPr>
            <w:r>
              <w:rPr>
                <w:rFonts w:ascii="Arial" w:cs="Arial" w:eastAsia="Arial" w:hAnsi="Arial"/>
                <w:sz w:val="16"/>
                <w:szCs w:val="16"/>
                <w:color w:val="auto"/>
              </w:rPr>
              <w:t>Purchase of property, plant and equipment</w:t>
            </w:r>
          </w:p>
        </w:tc>
        <w:tc>
          <w:tcPr>
            <w:tcW w:w="5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9"/>
        </w:trPr>
        <w:tc>
          <w:tcPr>
            <w:tcW w:w="6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5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13,729</w:t>
            </w:r>
          </w:p>
        </w:tc>
        <w:tc>
          <w:tcPr>
            <w:tcW w:w="80" w:type="dxa"/>
            <w:vAlign w:val="bottom"/>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3,840</w:t>
            </w:r>
          </w:p>
        </w:tc>
      </w:tr>
      <w:tr>
        <w:trPr>
          <w:trHeight w:val="206"/>
        </w:trPr>
        <w:tc>
          <w:tcPr>
            <w:tcW w:w="6220" w:type="dxa"/>
            <w:vAlign w:val="bottom"/>
          </w:tcPr>
          <w:p>
            <w:pPr>
              <w:ind w:left="240"/>
              <w:spacing w:after="0"/>
              <w:rPr>
                <w:sz w:val="20"/>
                <w:szCs w:val="20"/>
                <w:color w:val="auto"/>
              </w:rPr>
            </w:pPr>
            <w:r>
              <w:rPr>
                <w:rFonts w:ascii="Arial" w:cs="Arial" w:eastAsia="Arial" w:hAnsi="Arial"/>
                <w:sz w:val="16"/>
                <w:szCs w:val="16"/>
                <w:color w:val="auto"/>
              </w:rPr>
              <w:t>Net CAPEX</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(30,911)</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(30,540)</w:t>
            </w:r>
          </w:p>
        </w:tc>
      </w:tr>
      <w:tr>
        <w:trPr>
          <w:trHeight w:val="24"/>
        </w:trPr>
        <w:tc>
          <w:tcPr>
            <w:tcW w:w="6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Summary Business Segment Supplemental Pro Forma Financial Information</w:t>
      </w:r>
    </w:p>
    <w:p>
      <w:pPr>
        <w:spacing w:after="0" w:line="1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a result of the Merger and the significant financing transactions, we believe presenting supplemental pro forma financial information is beneficial to the readers of the financial statements. The following table sets forth key metrics used by management to run the business on a pro forma basis as if the Merger and financing transactions had occurred on January 1, 2019. Refer to the Supplemental Pro Forma Financial Information section below for the full reconciliation of the statements of operations.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operates in four reportable segments as follows: NA Modular, NA Storage, UK Storage and Tank and Pump. The NA Modular segment represents the activities of WillScot prior to the Merger. The NA Storage, UK Storage, and Tank and Pump segments align to the three segments reported by Mobile Mini prior to the Merger. These reporting segments are aligned with how we operate and analyze our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shd w:val="clear" w:color="auto" w:fill="1D2758"/>
          </w:tcPr>
          <w:p>
            <w:pPr>
              <w:spacing w:after="0"/>
              <w:rPr>
                <w:sz w:val="16"/>
                <w:szCs w:val="16"/>
                <w:color w:val="auto"/>
              </w:rPr>
            </w:pPr>
          </w:p>
        </w:tc>
        <w:tc>
          <w:tcPr>
            <w:tcW w:w="120" w:type="dxa"/>
            <w:vAlign w:val="bottom"/>
            <w:shd w:val="clear" w:color="auto" w:fill="1D2758"/>
          </w:tcPr>
          <w:p>
            <w:pPr>
              <w:spacing w:after="0"/>
              <w:rPr>
                <w:sz w:val="16"/>
                <w:szCs w:val="16"/>
                <w:color w:val="auto"/>
              </w:rPr>
            </w:pPr>
          </w:p>
        </w:tc>
        <w:tc>
          <w:tcPr>
            <w:tcW w:w="3600" w:type="dxa"/>
            <w:vAlign w:val="bottom"/>
            <w:gridSpan w:val="6"/>
            <w:shd w:val="clear" w:color="auto" w:fill="1D2758"/>
          </w:tcPr>
          <w:p>
            <w:pPr>
              <w:ind w:left="20"/>
              <w:spacing w:after="0"/>
              <w:rPr>
                <w:sz w:val="20"/>
                <w:szCs w:val="20"/>
                <w:color w:val="auto"/>
              </w:rPr>
            </w:pPr>
            <w:r>
              <w:rPr>
                <w:rFonts w:ascii="Arial" w:cs="Arial" w:eastAsia="Arial" w:hAnsi="Arial"/>
                <w:sz w:val="16"/>
                <w:szCs w:val="16"/>
                <w:b w:val="1"/>
                <w:bCs w:val="1"/>
                <w:color w:val="FFFFFF"/>
              </w:rPr>
              <w:t>Pro Forma Combined Quarter Ended March</w:t>
            </w:r>
          </w:p>
        </w:tc>
        <w:tc>
          <w:tcPr>
            <w:tcW w:w="280" w:type="dxa"/>
            <w:vAlign w:val="bottom"/>
            <w:shd w:val="clear" w:color="auto" w:fill="1D2758"/>
          </w:tcPr>
          <w:p>
            <w:pPr>
              <w:spacing w:after="0"/>
              <w:rPr>
                <w:sz w:val="16"/>
                <w:szCs w:val="16"/>
                <w:color w:val="auto"/>
              </w:rPr>
            </w:pPr>
          </w:p>
        </w:tc>
        <w:tc>
          <w:tcPr>
            <w:tcW w:w="3260" w:type="dxa"/>
            <w:vAlign w:val="bottom"/>
            <w:gridSpan w:val="3"/>
            <w:vMerge w:val="restart"/>
            <w:shd w:val="clear" w:color="auto" w:fill="1D2758"/>
          </w:tcPr>
          <w:p>
            <w:pPr>
              <w:jc w:val="right"/>
              <w:ind w:right="1179"/>
              <w:spacing w:after="0"/>
              <w:rPr>
                <w:sz w:val="20"/>
                <w:szCs w:val="20"/>
                <w:color w:val="auto"/>
              </w:rPr>
            </w:pPr>
            <w:r>
              <w:rPr>
                <w:rFonts w:ascii="Arial" w:cs="Arial" w:eastAsia="Arial" w:hAnsi="Arial"/>
                <w:sz w:val="16"/>
                <w:szCs w:val="16"/>
                <w:b w:val="1"/>
                <w:bCs w:val="1"/>
                <w:color w:val="FFFFFF"/>
              </w:rPr>
              <w:t>2021 vs. 2020</w:t>
            </w:r>
          </w:p>
        </w:tc>
        <w:tc>
          <w:tcPr>
            <w:tcW w:w="0" w:type="dxa"/>
            <w:vAlign w:val="bottom"/>
          </w:tcPr>
          <w:p>
            <w:pPr>
              <w:spacing w:after="0"/>
              <w:rPr>
                <w:sz w:val="1"/>
                <w:szCs w:val="1"/>
                <w:color w:val="auto"/>
              </w:rPr>
            </w:pPr>
          </w:p>
        </w:tc>
      </w:tr>
      <w:tr>
        <w:trPr>
          <w:trHeight w:val="215"/>
        </w:trPr>
        <w:tc>
          <w:tcPr>
            <w:tcW w:w="3980" w:type="dxa"/>
            <w:vAlign w:val="bottom"/>
            <w:shd w:val="clear" w:color="auto" w:fill="1D2758"/>
          </w:tcPr>
          <w:p>
            <w:pPr>
              <w:spacing w:after="0"/>
              <w:rPr>
                <w:sz w:val="18"/>
                <w:szCs w:val="18"/>
                <w:color w:val="auto"/>
              </w:rPr>
            </w:pP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spacing w:after="0"/>
              <w:rPr>
                <w:sz w:val="18"/>
                <w:szCs w:val="18"/>
                <w:color w:val="auto"/>
              </w:rPr>
            </w:pPr>
          </w:p>
        </w:tc>
        <w:tc>
          <w:tcPr>
            <w:tcW w:w="560" w:type="dxa"/>
            <w:vAlign w:val="bottom"/>
            <w:gridSpan w:val="3"/>
            <w:shd w:val="clear" w:color="auto" w:fill="1D2758"/>
          </w:tcPr>
          <w:p>
            <w:pPr>
              <w:jc w:val="right"/>
              <w:ind w:right="340"/>
              <w:spacing w:after="0"/>
              <w:rPr>
                <w:sz w:val="20"/>
                <w:szCs w:val="20"/>
                <w:color w:val="auto"/>
              </w:rPr>
            </w:pPr>
            <w:r>
              <w:rPr>
                <w:rFonts w:ascii="Arial" w:cs="Arial" w:eastAsia="Arial" w:hAnsi="Arial"/>
                <w:sz w:val="16"/>
                <w:szCs w:val="16"/>
                <w:b w:val="1"/>
                <w:bCs w:val="1"/>
                <w:color w:val="FFFFFF"/>
                <w:w w:val="89"/>
              </w:rPr>
              <w:t>31,</w:t>
            </w:r>
          </w:p>
        </w:tc>
        <w:tc>
          <w:tcPr>
            <w:tcW w:w="13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260" w:type="dxa"/>
            <w:vAlign w:val="bottom"/>
            <w:gridSpan w:val="3"/>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1D2758"/>
          </w:tcPr>
          <w:p>
            <w:pPr>
              <w:spacing w:after="0"/>
              <w:rPr>
                <w:sz w:val="18"/>
                <w:szCs w:val="18"/>
                <w:color w:val="auto"/>
              </w:rPr>
            </w:pPr>
          </w:p>
        </w:tc>
        <w:tc>
          <w:tcPr>
            <w:tcW w:w="158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2021</w:t>
            </w:r>
          </w:p>
        </w:tc>
        <w:tc>
          <w:tcPr>
            <w:tcW w:w="6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400" w:type="dxa"/>
            <w:vAlign w:val="bottom"/>
            <w:shd w:val="clear" w:color="auto" w:fill="1D2758"/>
          </w:tcPr>
          <w:p>
            <w:pPr>
              <w:spacing w:after="0"/>
              <w:rPr>
                <w:sz w:val="18"/>
                <w:szCs w:val="18"/>
                <w:color w:val="auto"/>
              </w:rPr>
            </w:pPr>
          </w:p>
        </w:tc>
        <w:tc>
          <w:tcPr>
            <w:tcW w:w="136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2020</w:t>
            </w: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480" w:type="dxa"/>
            <w:vAlign w:val="bottom"/>
            <w:gridSpan w:val="2"/>
            <w:shd w:val="clear" w:color="auto" w:fill="1D2758"/>
          </w:tcPr>
          <w:p>
            <w:pPr>
              <w:ind w:left="180"/>
              <w:spacing w:after="0"/>
              <w:rPr>
                <w:sz w:val="20"/>
                <w:szCs w:val="20"/>
                <w:color w:val="auto"/>
              </w:rPr>
            </w:pPr>
            <w:r>
              <w:rPr>
                <w:rFonts w:ascii="Arial" w:cs="Arial" w:eastAsia="Arial" w:hAnsi="Arial"/>
                <w:sz w:val="16"/>
                <w:szCs w:val="16"/>
                <w:b w:val="1"/>
                <w:bCs w:val="1"/>
                <w:color w:val="FFFFFF"/>
              </w:rPr>
              <w:t>$ Change</w:t>
            </w:r>
          </w:p>
        </w:tc>
        <w:tc>
          <w:tcPr>
            <w:tcW w:w="1780" w:type="dxa"/>
            <w:vAlign w:val="bottom"/>
            <w:shd w:val="clear" w:color="auto" w:fill="1D2758"/>
          </w:tcPr>
          <w:p>
            <w:pPr>
              <w:jc w:val="right"/>
              <w:ind w:right="419"/>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216"/>
        </w:trPr>
        <w:tc>
          <w:tcPr>
            <w:tcW w:w="3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425,323</w:t>
            </w:r>
          </w:p>
        </w:tc>
        <w:tc>
          <w:tcPr>
            <w:tcW w:w="560" w:type="dxa"/>
            <w:vAlign w:val="bottom"/>
            <w:gridSpan w:val="3"/>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406,397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18,926</w:t>
            </w:r>
          </w:p>
        </w:tc>
        <w:tc>
          <w:tcPr>
            <w:tcW w:w="10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116,485</w:t>
            </w:r>
          </w:p>
        </w:tc>
        <w:tc>
          <w:tcPr>
            <w:tcW w:w="5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104,171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19"/>
        </w:trPr>
        <w:tc>
          <w:tcPr>
            <w:tcW w:w="3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(as restated for 2020)</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4,447</w:t>
            </w:r>
          </w:p>
        </w:tc>
        <w:tc>
          <w:tcPr>
            <w:tcW w:w="560" w:type="dxa"/>
            <w:vAlign w:val="bottom"/>
            <w:gridSpan w:val="3"/>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117,809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(113,362)</w:t>
            </w:r>
          </w:p>
        </w:tc>
        <w:tc>
          <w:tcPr>
            <w:tcW w:w="10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163,585</w:t>
            </w:r>
          </w:p>
        </w:tc>
        <w:tc>
          <w:tcPr>
            <w:tcW w:w="5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149,420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59"/>
        </w:trPr>
        <w:tc>
          <w:tcPr>
            <w:tcW w:w="39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58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400" w:type="dxa"/>
            <w:vAlign w:val="bottom"/>
            <w:shd w:val="clear" w:color="auto" w:fill="DBDBDB"/>
          </w:tcPr>
          <w:p>
            <w:pPr>
              <w:spacing w:after="0"/>
              <w:rPr>
                <w:sz w:val="22"/>
                <w:szCs w:val="22"/>
                <w:color w:val="auto"/>
              </w:rPr>
            </w:pPr>
          </w:p>
        </w:tc>
        <w:tc>
          <w:tcPr>
            <w:tcW w:w="13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38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78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Other Financial Data:</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 NA Modular</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97,371</w:t>
            </w:r>
          </w:p>
        </w:tc>
        <w:tc>
          <w:tcPr>
            <w:tcW w:w="560" w:type="dxa"/>
            <w:vAlign w:val="bottom"/>
            <w:gridSpan w:val="3"/>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89,544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7,827</w:t>
            </w:r>
          </w:p>
        </w:tc>
        <w:tc>
          <w:tcPr>
            <w:tcW w:w="10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3"/>
        </w:trPr>
        <w:tc>
          <w:tcPr>
            <w:tcW w:w="3980" w:type="dxa"/>
            <w:vAlign w:val="bottom"/>
          </w:tcPr>
          <w:p>
            <w:pPr>
              <w:ind w:left="240"/>
              <w:spacing w:after="0"/>
              <w:rPr>
                <w:sz w:val="20"/>
                <w:szCs w:val="20"/>
                <w:color w:val="auto"/>
              </w:rPr>
            </w:pPr>
            <w:r>
              <w:rPr>
                <w:rFonts w:ascii="Arial" w:cs="Arial" w:eastAsia="Arial" w:hAnsi="Arial"/>
                <w:sz w:val="16"/>
                <w:szCs w:val="16"/>
                <w:color w:val="auto"/>
              </w:rPr>
              <w:t>Adjusted EBITDA - NA Storage</w:t>
            </w:r>
          </w:p>
        </w:tc>
        <w:tc>
          <w:tcPr>
            <w:tcW w:w="1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46,322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9"/>
        </w:trPr>
        <w:tc>
          <w:tcPr>
            <w:tcW w:w="39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 UK Storage</w:t>
            </w: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11,064</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6,405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4,659</w:t>
            </w:r>
          </w:p>
        </w:tc>
        <w:tc>
          <w:tcPr>
            <w:tcW w:w="100" w:type="dxa"/>
            <w:vAlign w:val="bottom"/>
            <w:shd w:val="clear" w:color="auto" w:fill="DBDBDB"/>
          </w:tcPr>
          <w:p>
            <w:pPr>
              <w:spacing w:after="0"/>
              <w:rPr>
                <w:sz w:val="19"/>
                <w:szCs w:val="19"/>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72.7 %</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Adjusted EBITDA - Tank and Pump</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9,477</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DBDBDB"/>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2"/>
        </w:trPr>
        <w:tc>
          <w:tcPr>
            <w:tcW w:w="3980" w:type="dxa"/>
            <w:vAlign w:val="bottom"/>
            <w:shd w:val="clear" w:color="auto" w:fill="DBDBDB"/>
          </w:tcPr>
          <w:p>
            <w:pPr>
              <w:ind w:left="240"/>
              <w:spacing w:after="0" w:line="213" w:lineRule="exact"/>
              <w:rPr>
                <w:sz w:val="20"/>
                <w:szCs w:val="20"/>
                <w:color w:val="auto"/>
              </w:rPr>
            </w:pPr>
            <w:r>
              <w:rPr>
                <w:rFonts w:ascii="Arial" w:cs="Arial" w:eastAsia="Arial" w:hAnsi="Arial"/>
                <w:sz w:val="16"/>
                <w:szCs w:val="16"/>
                <w:color w:val="auto"/>
              </w:rPr>
              <w:t>Consolidated Adjusted EBITDA</w:t>
            </w:r>
            <w:r>
              <w:rPr>
                <w:rFonts w:ascii="Arial" w:cs="Arial" w:eastAsia="Arial" w:hAnsi="Arial"/>
                <w:sz w:val="21"/>
                <w:szCs w:val="21"/>
                <w:color w:val="auto"/>
                <w:vertAlign w:val="superscript"/>
              </w:rPr>
              <w:t>(a)</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163,585</w:t>
            </w:r>
          </w:p>
        </w:tc>
        <w:tc>
          <w:tcPr>
            <w:tcW w:w="560" w:type="dxa"/>
            <w:vAlign w:val="bottom"/>
            <w:gridSpan w:val="3"/>
            <w:shd w:val="clear" w:color="auto" w:fill="DBDBDB"/>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149,420</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14,165</w:t>
            </w:r>
          </w:p>
        </w:tc>
        <w:tc>
          <w:tcPr>
            <w:tcW w:w="100" w:type="dxa"/>
            <w:vAlign w:val="bottom"/>
            <w:shd w:val="clear" w:color="auto" w:fill="DBDBDB"/>
          </w:tcPr>
          <w:p>
            <w:pPr>
              <w:spacing w:after="0"/>
              <w:rPr>
                <w:sz w:val="20"/>
                <w:szCs w:val="20"/>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
        </w:trPr>
        <w:tc>
          <w:tcPr>
            <w:tcW w:w="39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480" w:right="20" w:hanging="454"/>
        <w:spacing w:after="0" w:line="229"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present Adjusted EBITDA, a measurement not calculated in accordance with GAAP, because it is a key metric used by management to assess financial performance. Our business is capital-intensive and these additional metrics allow management to further evaluate its operating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 Modular - Quarterly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960" w:type="dxa"/>
            <w:vAlign w:val="bottom"/>
            <w:shd w:val="clear" w:color="auto" w:fill="1D2758"/>
          </w:tcPr>
          <w:p>
            <w:pPr>
              <w:spacing w:after="0"/>
              <w:rPr>
                <w:sz w:val="16"/>
                <w:szCs w:val="16"/>
                <w:color w:val="auto"/>
              </w:rPr>
            </w:pPr>
          </w:p>
        </w:tc>
        <w:tc>
          <w:tcPr>
            <w:tcW w:w="2000" w:type="dxa"/>
            <w:vAlign w:val="bottom"/>
            <w:vMerge w:val="restart"/>
            <w:shd w:val="clear" w:color="auto" w:fill="1D2758"/>
          </w:tcPr>
          <w:p>
            <w:pPr>
              <w:jc w:val="right"/>
              <w:ind w:right="1059"/>
              <w:spacing w:after="0"/>
              <w:rPr>
                <w:sz w:val="20"/>
                <w:szCs w:val="20"/>
                <w:color w:val="auto"/>
              </w:rPr>
            </w:pPr>
            <w:r>
              <w:rPr>
                <w:rFonts w:ascii="Arial" w:cs="Arial" w:eastAsia="Arial" w:hAnsi="Arial"/>
                <w:sz w:val="16"/>
                <w:szCs w:val="16"/>
                <w:b w:val="1"/>
                <w:bCs w:val="1"/>
                <w:color w:val="FFFFFF"/>
              </w:rPr>
              <w:t>2021</w:t>
            </w:r>
          </w:p>
        </w:tc>
        <w:tc>
          <w:tcPr>
            <w:tcW w:w="660" w:type="dxa"/>
            <w:vAlign w:val="bottom"/>
            <w:shd w:val="clear" w:color="auto" w:fill="1D2758"/>
          </w:tcPr>
          <w:p>
            <w:pPr>
              <w:spacing w:after="0"/>
              <w:rPr>
                <w:sz w:val="16"/>
                <w:szCs w:val="16"/>
                <w:color w:val="auto"/>
              </w:rPr>
            </w:pPr>
          </w:p>
        </w:tc>
        <w:tc>
          <w:tcPr>
            <w:tcW w:w="1940" w:type="dxa"/>
            <w:vAlign w:val="bottom"/>
            <w:vMerge w:val="restart"/>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4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960" w:type="dxa"/>
            <w:vAlign w:val="bottom"/>
            <w:shd w:val="clear" w:color="auto" w:fill="1D2758"/>
          </w:tcPr>
          <w:p>
            <w:pPr>
              <w:spacing w:after="0"/>
              <w:rPr>
                <w:sz w:val="18"/>
                <w:szCs w:val="18"/>
                <w:color w:val="auto"/>
              </w:rPr>
            </w:pPr>
          </w:p>
        </w:tc>
        <w:tc>
          <w:tcPr>
            <w:tcW w:w="2000" w:type="dxa"/>
            <w:vAlign w:val="bottom"/>
            <w:vMerge w:val="continue"/>
            <w:shd w:val="clear" w:color="auto" w:fill="1D2758"/>
          </w:tcPr>
          <w:p>
            <w:pPr>
              <w:spacing w:after="0"/>
              <w:rPr>
                <w:sz w:val="18"/>
                <w:szCs w:val="18"/>
                <w:color w:val="auto"/>
              </w:rPr>
            </w:pPr>
          </w:p>
        </w:tc>
        <w:tc>
          <w:tcPr>
            <w:tcW w:w="660" w:type="dxa"/>
            <w:vAlign w:val="bottom"/>
            <w:shd w:val="clear" w:color="auto" w:fill="1D2758"/>
          </w:tcPr>
          <w:p>
            <w:pPr>
              <w:spacing w:after="0"/>
              <w:rPr>
                <w:sz w:val="18"/>
                <w:szCs w:val="18"/>
                <w:color w:val="auto"/>
              </w:rPr>
            </w:pPr>
          </w:p>
        </w:tc>
        <w:tc>
          <w:tcPr>
            <w:tcW w:w="19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266,224</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255,821</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113,002</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106,190</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97,371</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89,544</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39,135</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39,648</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1960" w:type="dxa"/>
            <w:vAlign w:val="bottom"/>
            <w:shd w:val="clear" w:color="auto" w:fill="DBDBDB"/>
          </w:tcPr>
          <w:p>
            <w:pPr>
              <w:spacing w:after="0"/>
              <w:rPr>
                <w:sz w:val="19"/>
                <w:szCs w:val="19"/>
                <w:color w:val="auto"/>
              </w:rPr>
            </w:pP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84,795</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87,989</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9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67.6 %</w:t>
            </w:r>
          </w:p>
        </w:tc>
        <w:tc>
          <w:tcPr>
            <w:tcW w:w="6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69.2 %</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737</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960" w:type="dxa"/>
            <w:vAlign w:val="bottom"/>
          </w:tcPr>
          <w:p>
            <w:pPr>
              <w:spacing w:after="0"/>
              <w:rPr>
                <w:sz w:val="18"/>
                <w:szCs w:val="18"/>
                <w:color w:val="auto"/>
              </w:rPr>
            </w:pP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14,903</w:t>
            </w:r>
          </w:p>
        </w:tc>
        <w:tc>
          <w:tcPr>
            <w:tcW w:w="66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16,346</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96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60.3 %</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64.1 %</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124</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NA Modular segment represents the activities of WillScot prior to the Merger. As a result, there are no differences between pro forma results and actual results on a reported basis. Please see comparison of results for the three months ended March 31, 2021 and 2020 within "Business Segment Results"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NA Storage - Quarterly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Three Months Ended March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960" w:type="dxa"/>
            <w:vAlign w:val="bottom"/>
            <w:shd w:val="clear" w:color="auto" w:fill="1D2758"/>
          </w:tcPr>
          <w:p>
            <w:pPr>
              <w:spacing w:after="0"/>
              <w:rPr>
                <w:sz w:val="16"/>
                <w:szCs w:val="16"/>
                <w:color w:val="auto"/>
              </w:rPr>
            </w:pPr>
          </w:p>
        </w:tc>
        <w:tc>
          <w:tcPr>
            <w:tcW w:w="2000" w:type="dxa"/>
            <w:vAlign w:val="bottom"/>
            <w:vMerge w:val="restart"/>
            <w:shd w:val="clear" w:color="auto" w:fill="1D2758"/>
          </w:tcPr>
          <w:p>
            <w:pPr>
              <w:jc w:val="right"/>
              <w:ind w:right="1059"/>
              <w:spacing w:after="0"/>
              <w:rPr>
                <w:sz w:val="20"/>
                <w:szCs w:val="20"/>
                <w:color w:val="auto"/>
              </w:rPr>
            </w:pPr>
            <w:r>
              <w:rPr>
                <w:rFonts w:ascii="Arial" w:cs="Arial" w:eastAsia="Arial" w:hAnsi="Arial"/>
                <w:sz w:val="16"/>
                <w:szCs w:val="16"/>
                <w:b w:val="1"/>
                <w:bCs w:val="1"/>
                <w:color w:val="FFFFFF"/>
              </w:rPr>
              <w:t>2021</w:t>
            </w:r>
          </w:p>
        </w:tc>
        <w:tc>
          <w:tcPr>
            <w:tcW w:w="660" w:type="dxa"/>
            <w:vAlign w:val="bottom"/>
            <w:shd w:val="clear" w:color="auto" w:fill="1D2758"/>
          </w:tcPr>
          <w:p>
            <w:pPr>
              <w:spacing w:after="0"/>
              <w:rPr>
                <w:sz w:val="16"/>
                <w:szCs w:val="16"/>
                <w:color w:val="auto"/>
              </w:rPr>
            </w:pPr>
          </w:p>
        </w:tc>
        <w:tc>
          <w:tcPr>
            <w:tcW w:w="1940" w:type="dxa"/>
            <w:vAlign w:val="bottom"/>
            <w:vMerge w:val="restart"/>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46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960" w:type="dxa"/>
            <w:vAlign w:val="bottom"/>
            <w:shd w:val="clear" w:color="auto" w:fill="1D2758"/>
          </w:tcPr>
          <w:p>
            <w:pPr>
              <w:spacing w:after="0"/>
              <w:rPr>
                <w:sz w:val="18"/>
                <w:szCs w:val="18"/>
                <w:color w:val="auto"/>
              </w:rPr>
            </w:pPr>
          </w:p>
        </w:tc>
        <w:tc>
          <w:tcPr>
            <w:tcW w:w="2000" w:type="dxa"/>
            <w:vAlign w:val="bottom"/>
            <w:vMerge w:val="continue"/>
            <w:shd w:val="clear" w:color="auto" w:fill="1D2758"/>
          </w:tcPr>
          <w:p>
            <w:pPr>
              <w:spacing w:after="0"/>
              <w:rPr>
                <w:sz w:val="18"/>
                <w:szCs w:val="18"/>
                <w:color w:val="auto"/>
              </w:rPr>
            </w:pPr>
          </w:p>
        </w:tc>
        <w:tc>
          <w:tcPr>
            <w:tcW w:w="660" w:type="dxa"/>
            <w:vAlign w:val="bottom"/>
            <w:shd w:val="clear" w:color="auto" w:fill="1D2758"/>
          </w:tcPr>
          <w:p>
            <w:pPr>
              <w:spacing w:after="0"/>
              <w:rPr>
                <w:sz w:val="18"/>
                <w:szCs w:val="18"/>
                <w:color w:val="auto"/>
              </w:rPr>
            </w:pPr>
          </w:p>
        </w:tc>
        <w:tc>
          <w:tcPr>
            <w:tcW w:w="19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107,748</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103,495</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72,619</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71,400</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46,322</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43,994</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3,472</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5,200</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1960" w:type="dxa"/>
            <w:vAlign w:val="bottom"/>
            <w:shd w:val="clear" w:color="auto" w:fill="DBDBDB"/>
          </w:tcPr>
          <w:p>
            <w:pPr>
              <w:spacing w:after="0"/>
              <w:rPr>
                <w:sz w:val="19"/>
                <w:szCs w:val="19"/>
                <w:color w:val="auto"/>
              </w:rPr>
            </w:pP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16,439</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15,509</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9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79.4 %</w:t>
            </w:r>
          </w:p>
        </w:tc>
        <w:tc>
          <w:tcPr>
            <w:tcW w:w="6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77.8 %</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96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535</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960" w:type="dxa"/>
            <w:vAlign w:val="bottom"/>
          </w:tcPr>
          <w:p>
            <w:pPr>
              <w:spacing w:after="0"/>
              <w:rPr>
                <w:sz w:val="18"/>
                <w:szCs w:val="18"/>
                <w:color w:val="auto"/>
              </w:rPr>
            </w:pP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105,810</w:t>
            </w:r>
          </w:p>
        </w:tc>
        <w:tc>
          <w:tcPr>
            <w:tcW w:w="66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105,441</w:t>
            </w:r>
          </w:p>
        </w:tc>
        <w:tc>
          <w:tcPr>
            <w:tcW w:w="0" w:type="dxa"/>
            <w:vAlign w:val="bottom"/>
          </w:tcPr>
          <w:p>
            <w:pPr>
              <w:spacing w:after="0"/>
              <w:rPr>
                <w:sz w:val="1"/>
                <w:szCs w:val="1"/>
                <w:color w:val="auto"/>
              </w:rPr>
            </w:pPr>
          </w:p>
        </w:tc>
      </w:tr>
      <w:tr>
        <w:trPr>
          <w:trHeight w:val="219"/>
        </w:trPr>
        <w:tc>
          <w:tcPr>
            <w:tcW w:w="4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96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73.9 %</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73.1 %</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9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79"/>
              <w:spacing w:after="0"/>
              <w:rPr>
                <w:sz w:val="20"/>
                <w:szCs w:val="20"/>
                <w:color w:val="auto"/>
              </w:rPr>
            </w:pPr>
            <w:r>
              <w:rPr>
                <w:rFonts w:ascii="Arial" w:cs="Arial" w:eastAsia="Arial" w:hAnsi="Arial"/>
                <w:sz w:val="16"/>
                <w:szCs w:val="16"/>
                <w:color w:val="auto"/>
              </w:rPr>
              <w:t>148</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NA Storage</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increased $4.2 million, or 4.1%, to $107.7 million for the three months ended March 31, 2021 from $103.5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Leasing revenues increased $4.1 million in the current quarter compared to the prior-year quarter. Modular space average units on rent increased 6.0% and average modular space monthly rental rates increased 7.6% year-over-year. Portable storage units on rent increased 0.3% and average portable storage monthly rental rates increased 1.4% year-over-year. Delivery and installation revenues decreased $0.5 million year-over-year. Sales revenues increased $0.7 million compared to the prior-year quarter.</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by $1.2 million, or 1.7%, to $72.6 million for the three months ended March 31, 2021 compared to $71.4</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compared to the three months ended March 31, 2020. Gross profit on leasing activity increased by $2.4 million year-over-year. For delivery and installation, gross profit decreased $1.2 million. Sales gross profit increased by $0.1 million to $2.2 million.</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$2.3 million, or 5.2%, to $46.3 million for the three months ended March 31, 2021 from $44.0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three months ended March 31, 2020 and the margin expanded to 43.0% from 42.5%. The increase in Adjusted EBITDA was driven by a reduction in SG&amp;A and the higher leasing gross profit discussed above. Excluding acquisition costs and stock-based compensation, SG&amp;A decreased $1.0 million in this segment. The decrease was comprised of reduced costs for personnel, curtailed travel, reduced professional fees and lower marketing costs.</w:t>
      </w:r>
    </w:p>
    <w:p>
      <w:pPr>
        <w:spacing w:after="0" w:line="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$3.5 million were $1.7 million lower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quarter. Rental fleet expenditures were reduced significantly in 2020 in response to COVID-19 and were primarily to meet demand for specific products, largely ground level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UK Storage - Quarterly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Three Months Ended March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960" w:type="dxa"/>
            <w:vAlign w:val="bottom"/>
            <w:shd w:val="clear" w:color="auto" w:fill="1D2758"/>
          </w:tcPr>
          <w:p>
            <w:pPr>
              <w:spacing w:after="0"/>
              <w:rPr>
                <w:sz w:val="16"/>
                <w:szCs w:val="16"/>
                <w:color w:val="auto"/>
              </w:rPr>
            </w:pPr>
          </w:p>
        </w:tc>
        <w:tc>
          <w:tcPr>
            <w:tcW w:w="1980" w:type="dxa"/>
            <w:vAlign w:val="bottom"/>
            <w:vMerge w:val="restart"/>
            <w:shd w:val="clear" w:color="auto" w:fill="1D2758"/>
          </w:tcPr>
          <w:p>
            <w:pPr>
              <w:jc w:val="right"/>
              <w:ind w:right="1059"/>
              <w:spacing w:after="0"/>
              <w:rPr>
                <w:sz w:val="20"/>
                <w:szCs w:val="20"/>
                <w:color w:val="auto"/>
              </w:rPr>
            </w:pPr>
            <w:r>
              <w:rPr>
                <w:rFonts w:ascii="Arial" w:cs="Arial" w:eastAsia="Arial" w:hAnsi="Arial"/>
                <w:sz w:val="16"/>
                <w:szCs w:val="16"/>
                <w:b w:val="1"/>
                <w:bCs w:val="1"/>
                <w:color w:val="FFFFFF"/>
              </w:rPr>
              <w:t>2021</w:t>
            </w:r>
          </w:p>
        </w:tc>
        <w:tc>
          <w:tcPr>
            <w:tcW w:w="660" w:type="dxa"/>
            <w:vAlign w:val="bottom"/>
            <w:shd w:val="clear" w:color="auto" w:fill="1D2758"/>
          </w:tcPr>
          <w:p>
            <w:pPr>
              <w:spacing w:after="0"/>
              <w:rPr>
                <w:sz w:val="16"/>
                <w:szCs w:val="16"/>
                <w:color w:val="auto"/>
              </w:rPr>
            </w:pPr>
          </w:p>
        </w:tc>
        <w:tc>
          <w:tcPr>
            <w:tcW w:w="1940" w:type="dxa"/>
            <w:vAlign w:val="bottom"/>
            <w:vMerge w:val="restart"/>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4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960" w:type="dxa"/>
            <w:vAlign w:val="bottom"/>
            <w:shd w:val="clear" w:color="auto" w:fill="1D2758"/>
          </w:tcPr>
          <w:p>
            <w:pPr>
              <w:spacing w:after="0"/>
              <w:rPr>
                <w:sz w:val="18"/>
                <w:szCs w:val="18"/>
                <w:color w:val="auto"/>
              </w:rPr>
            </w:pPr>
          </w:p>
        </w:tc>
        <w:tc>
          <w:tcPr>
            <w:tcW w:w="1980" w:type="dxa"/>
            <w:vAlign w:val="bottom"/>
            <w:vMerge w:val="continue"/>
            <w:shd w:val="clear" w:color="auto" w:fill="1D2758"/>
          </w:tcPr>
          <w:p>
            <w:pPr>
              <w:spacing w:after="0"/>
              <w:rPr>
                <w:sz w:val="18"/>
                <w:szCs w:val="18"/>
                <w:color w:val="auto"/>
              </w:rPr>
            </w:pPr>
          </w:p>
        </w:tc>
        <w:tc>
          <w:tcPr>
            <w:tcW w:w="660" w:type="dxa"/>
            <w:vAlign w:val="bottom"/>
            <w:shd w:val="clear" w:color="auto" w:fill="1D2758"/>
          </w:tcPr>
          <w:p>
            <w:pPr>
              <w:spacing w:after="0"/>
              <w:rPr>
                <w:sz w:val="18"/>
                <w:szCs w:val="18"/>
                <w:color w:val="auto"/>
              </w:rPr>
            </w:pPr>
          </w:p>
        </w:tc>
        <w:tc>
          <w:tcPr>
            <w:tcW w:w="19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19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27,007</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20,197</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16,493</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11,372</w:t>
            </w:r>
          </w:p>
        </w:tc>
        <w:tc>
          <w:tcPr>
            <w:tcW w:w="0" w:type="dxa"/>
            <w:vAlign w:val="bottom"/>
          </w:tcPr>
          <w:p>
            <w:pPr>
              <w:spacing w:after="0"/>
              <w:rPr>
                <w:sz w:val="1"/>
                <w:szCs w:val="1"/>
                <w:color w:val="auto"/>
              </w:rPr>
            </w:pP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19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11,064</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6,405</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6,770</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units on rent</w:t>
            </w:r>
          </w:p>
        </w:tc>
        <w:tc>
          <w:tcPr>
            <w:tcW w:w="1960" w:type="dxa"/>
            <w:vAlign w:val="bottom"/>
            <w:shd w:val="clear" w:color="auto" w:fill="DBDBDB"/>
          </w:tcPr>
          <w:p>
            <w:pPr>
              <w:spacing w:after="0"/>
              <w:rPr>
                <w:sz w:val="19"/>
                <w:szCs w:val="19"/>
                <w:color w:val="auto"/>
              </w:rPr>
            </w:pPr>
          </w:p>
        </w:tc>
        <w:tc>
          <w:tcPr>
            <w:tcW w:w="19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9,115</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19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83.8 %</w:t>
            </w:r>
          </w:p>
        </w:tc>
        <w:tc>
          <w:tcPr>
            <w:tcW w:w="6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74.2 %</w:t>
            </w:r>
          </w:p>
        </w:tc>
        <w:tc>
          <w:tcPr>
            <w:tcW w:w="0" w:type="dxa"/>
            <w:vAlign w:val="bottom"/>
          </w:tcPr>
          <w:p>
            <w:pPr>
              <w:spacing w:after="0"/>
              <w:rPr>
                <w:sz w:val="1"/>
                <w:szCs w:val="1"/>
                <w:color w:val="auto"/>
              </w:rPr>
            </w:pP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19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404</w:t>
            </w:r>
          </w:p>
        </w:tc>
        <w:tc>
          <w:tcPr>
            <w:tcW w:w="6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Average portable storage units on rent</w:t>
            </w:r>
          </w:p>
        </w:tc>
        <w:tc>
          <w:tcPr>
            <w:tcW w:w="196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24,647</w:t>
            </w:r>
          </w:p>
        </w:tc>
        <w:tc>
          <w:tcPr>
            <w:tcW w:w="660" w:type="dxa"/>
            <w:vAlign w:val="bottom"/>
          </w:tcPr>
          <w:p>
            <w:pPr>
              <w:spacing w:after="0"/>
              <w:rPr>
                <w:sz w:val="18"/>
                <w:szCs w:val="18"/>
                <w:color w:val="auto"/>
              </w:rPr>
            </w:pP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23,328</w:t>
            </w:r>
          </w:p>
        </w:tc>
        <w:tc>
          <w:tcPr>
            <w:tcW w:w="0" w:type="dxa"/>
            <w:vAlign w:val="bottom"/>
          </w:tcPr>
          <w:p>
            <w:pPr>
              <w:spacing w:after="0"/>
              <w:rPr>
                <w:sz w:val="1"/>
                <w:szCs w:val="1"/>
                <w:color w:val="auto"/>
              </w:rPr>
            </w:pP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1960" w:type="dxa"/>
            <w:vAlign w:val="bottom"/>
            <w:shd w:val="clear" w:color="auto" w:fill="DBDBDB"/>
          </w:tcPr>
          <w:p>
            <w:pPr>
              <w:spacing w:after="0"/>
              <w:rPr>
                <w:sz w:val="19"/>
                <w:szCs w:val="19"/>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89.2 %</w:t>
            </w:r>
          </w:p>
        </w:tc>
        <w:tc>
          <w:tcPr>
            <w:tcW w:w="66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83.7 %</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82</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UK Storage</w:t>
      </w:r>
    </w:p>
    <w:p>
      <w:pPr>
        <w:spacing w:after="0" w:line="1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increased $6.8 million, or 33.7%, to $27.0 million for the three months ended March 31, 2021 from $20.2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In local currency total revenues increased 24.3%. Within leasing revenues, modular space average units on rent increased 16.1%, while portable storage units on rent increased 5.7%. Monthly rental rates for modular space units and portable storage units increased 23.9% and 12.3% year-over-year, respectively, including the impacts of currency fluctuations. Sales revenues decreased $0.4 million compared to the prior-year quarter, due to higher year-over-year utilization rates.</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increased $5.1 million, or 44.7%, for the three months ended March 31, 2021 to $16.5 million from $11.4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In local currency, gross profit increased 34.7%. A significant increase in fleet utilization coupled with strong rental rate growth and strategic cost management laid the foundation for a strong quarter.</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increased $4.7 million, or 73.4%, to $11.1 million for three months ended March 31, 2021 from $6.4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three months ended March 31, 2020 and the margin expanded to 41.0% from 31.7%. The increase results primarily from the favorable gross profit discussed above.</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of $6.8 million were driving the $6.5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compared to the prior-year quarter. Rental fleet expenditures were reduced significantly in 2020 in response to COVID-19.</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Tank and Pump - Quarterly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D2758"/>
        </w:rPr>
        <w:t>Pro Forma Quarterly Results for the Three Months Ended March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w:t>
            </w:r>
          </w:p>
        </w:tc>
        <w:tc>
          <w:tcPr>
            <w:tcW w:w="1960" w:type="dxa"/>
            <w:vAlign w:val="bottom"/>
            <w:shd w:val="clear" w:color="auto" w:fill="1D2758"/>
          </w:tcPr>
          <w:p>
            <w:pPr>
              <w:spacing w:after="0"/>
              <w:rPr>
                <w:sz w:val="16"/>
                <w:szCs w:val="16"/>
                <w:color w:val="auto"/>
              </w:rPr>
            </w:pPr>
          </w:p>
        </w:tc>
        <w:tc>
          <w:tcPr>
            <w:tcW w:w="1880" w:type="dxa"/>
            <w:vAlign w:val="bottom"/>
            <w:vMerge w:val="restart"/>
            <w:shd w:val="clear" w:color="auto" w:fill="1D2758"/>
          </w:tcPr>
          <w:p>
            <w:pPr>
              <w:jc w:val="right"/>
              <w:ind w:right="959"/>
              <w:spacing w:after="0"/>
              <w:rPr>
                <w:sz w:val="20"/>
                <w:szCs w:val="20"/>
                <w:color w:val="auto"/>
              </w:rPr>
            </w:pPr>
            <w:r>
              <w:rPr>
                <w:rFonts w:ascii="Arial" w:cs="Arial" w:eastAsia="Arial" w:hAnsi="Arial"/>
                <w:sz w:val="16"/>
                <w:szCs w:val="16"/>
                <w:b w:val="1"/>
                <w:bCs w:val="1"/>
                <w:color w:val="FFFFFF"/>
              </w:rPr>
              <w:t>2021</w:t>
            </w:r>
          </w:p>
        </w:tc>
        <w:tc>
          <w:tcPr>
            <w:tcW w:w="760" w:type="dxa"/>
            <w:vAlign w:val="bottom"/>
            <w:shd w:val="clear" w:color="auto" w:fill="1D2758"/>
          </w:tcPr>
          <w:p>
            <w:pPr>
              <w:spacing w:after="0"/>
              <w:rPr>
                <w:sz w:val="16"/>
                <w:szCs w:val="16"/>
                <w:color w:val="auto"/>
              </w:rPr>
            </w:pPr>
          </w:p>
        </w:tc>
        <w:tc>
          <w:tcPr>
            <w:tcW w:w="1940" w:type="dxa"/>
            <w:vAlign w:val="bottom"/>
            <w:vMerge w:val="restart"/>
            <w:shd w:val="clear" w:color="auto" w:fill="1D2758"/>
          </w:tcPr>
          <w:p>
            <w:pPr>
              <w:jc w:val="right"/>
              <w:ind w:right="101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216"/>
        </w:trPr>
        <w:tc>
          <w:tcPr>
            <w:tcW w:w="47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monthly rental rate)</w:t>
            </w:r>
          </w:p>
        </w:tc>
        <w:tc>
          <w:tcPr>
            <w:tcW w:w="1960" w:type="dxa"/>
            <w:vAlign w:val="bottom"/>
            <w:shd w:val="clear" w:color="auto" w:fill="1D2758"/>
          </w:tcPr>
          <w:p>
            <w:pPr>
              <w:spacing w:after="0"/>
              <w:rPr>
                <w:sz w:val="18"/>
                <w:szCs w:val="18"/>
                <w:color w:val="auto"/>
              </w:rPr>
            </w:pPr>
          </w:p>
        </w:tc>
        <w:tc>
          <w:tcPr>
            <w:tcW w:w="1880" w:type="dxa"/>
            <w:vAlign w:val="bottom"/>
            <w:vMerge w:val="continue"/>
            <w:shd w:val="clear" w:color="auto" w:fill="1D2758"/>
          </w:tcPr>
          <w:p>
            <w:pPr>
              <w:spacing w:after="0"/>
              <w:rPr>
                <w:sz w:val="18"/>
                <w:szCs w:val="18"/>
                <w:color w:val="auto"/>
              </w:rPr>
            </w:pPr>
          </w:p>
        </w:tc>
        <w:tc>
          <w:tcPr>
            <w:tcW w:w="760" w:type="dxa"/>
            <w:vAlign w:val="bottom"/>
            <w:shd w:val="clear" w:color="auto" w:fill="1D2758"/>
          </w:tcPr>
          <w:p>
            <w:pPr>
              <w:spacing w:after="0"/>
              <w:rPr>
                <w:sz w:val="18"/>
                <w:szCs w:val="18"/>
                <w:color w:val="auto"/>
              </w:rPr>
            </w:pPr>
          </w:p>
        </w:tc>
        <w:tc>
          <w:tcPr>
            <w:tcW w:w="194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19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24,344</w:t>
            </w:r>
          </w:p>
        </w:tc>
        <w:tc>
          <w:tcPr>
            <w:tcW w:w="7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26,884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11,266</w:t>
            </w: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13,279</w:t>
            </w:r>
          </w:p>
        </w:tc>
        <w:tc>
          <w:tcPr>
            <w:tcW w:w="0" w:type="dxa"/>
            <w:vAlign w:val="bottom"/>
          </w:tcPr>
          <w:p>
            <w:pPr>
              <w:spacing w:after="0"/>
              <w:rPr>
                <w:sz w:val="1"/>
                <w:szCs w:val="1"/>
                <w:color w:val="auto"/>
              </w:rPr>
            </w:pPr>
          </w:p>
        </w:tc>
      </w:tr>
      <w:tr>
        <w:trPr>
          <w:trHeight w:val="219"/>
        </w:trPr>
        <w:tc>
          <w:tcPr>
            <w:tcW w:w="4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19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8,828</w:t>
            </w:r>
          </w:p>
        </w:tc>
        <w:tc>
          <w:tcPr>
            <w:tcW w:w="760" w:type="dxa"/>
            <w:vAlign w:val="bottom"/>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9,477</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3,158</w:t>
            </w: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19"/>
              <w:spacing w:after="0"/>
              <w:rPr>
                <w:sz w:val="20"/>
                <w:szCs w:val="20"/>
                <w:color w:val="auto"/>
              </w:rPr>
            </w:pPr>
            <w:r>
              <w:rPr>
                <w:rFonts w:ascii="Arial" w:cs="Arial" w:eastAsia="Arial" w:hAnsi="Arial"/>
                <w:sz w:val="16"/>
                <w:szCs w:val="16"/>
                <w:color w:val="auto"/>
              </w:rPr>
              <w:t>4,514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83"/>
        </w:trPr>
        <w:tc>
          <w:tcPr>
            <w:tcW w:w="7040" w:type="dxa"/>
            <w:vAlign w:val="bottom"/>
          </w:tcPr>
          <w:p>
            <w:pPr>
              <w:spacing w:after="0"/>
              <w:rPr>
                <w:sz w:val="20"/>
                <w:szCs w:val="20"/>
                <w:color w:val="auto"/>
              </w:rPr>
            </w:pPr>
            <w:r>
              <w:rPr>
                <w:rFonts w:ascii="Arial" w:cs="Arial" w:eastAsia="Arial" w:hAnsi="Arial"/>
                <w:sz w:val="16"/>
                <w:szCs w:val="16"/>
                <w:color w:val="auto"/>
              </w:rPr>
              <w:t>Average tank and pump solutions rental fleet utilization based on original equipment</w:t>
            </w:r>
          </w:p>
        </w:tc>
        <w:tc>
          <w:tcPr>
            <w:tcW w:w="25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5"/>
        </w:trPr>
        <w:tc>
          <w:tcPr>
            <w:tcW w:w="7040" w:type="dxa"/>
            <w:vAlign w:val="bottom"/>
          </w:tcPr>
          <w:p>
            <w:pPr>
              <w:spacing w:after="0"/>
              <w:rPr>
                <w:sz w:val="20"/>
                <w:szCs w:val="20"/>
                <w:color w:val="auto"/>
              </w:rPr>
            </w:pPr>
            <w:r>
              <w:rPr>
                <w:rFonts w:ascii="Arial" w:cs="Arial" w:eastAsia="Arial" w:hAnsi="Arial"/>
                <w:sz w:val="16"/>
                <w:szCs w:val="16"/>
                <w:color w:val="auto"/>
              </w:rPr>
              <w:t>cost</w:t>
            </w:r>
          </w:p>
        </w:tc>
        <w:tc>
          <w:tcPr>
            <w:tcW w:w="2580" w:type="dxa"/>
            <w:vAlign w:val="bottom"/>
          </w:tcPr>
          <w:p>
            <w:pPr>
              <w:jc w:val="right"/>
              <w:ind w:right="979"/>
              <w:spacing w:after="0"/>
              <w:rPr>
                <w:sz w:val="20"/>
                <w:szCs w:val="20"/>
                <w:color w:val="auto"/>
              </w:rPr>
            </w:pPr>
            <w:r>
              <w:rPr>
                <w:rFonts w:ascii="Arial" w:cs="Arial" w:eastAsia="Arial" w:hAnsi="Arial"/>
                <w:sz w:val="16"/>
                <w:szCs w:val="16"/>
                <w:color w:val="auto"/>
              </w:rPr>
              <w:t>67.4 %</w:t>
            </w:r>
          </w:p>
        </w:tc>
        <w:tc>
          <w:tcPr>
            <w:tcW w:w="1580" w:type="dxa"/>
            <w:vAlign w:val="bottom"/>
          </w:tcPr>
          <w:p>
            <w:pPr>
              <w:jc w:val="right"/>
              <w:spacing w:after="0"/>
              <w:rPr>
                <w:sz w:val="20"/>
                <w:szCs w:val="20"/>
                <w:color w:val="auto"/>
              </w:rPr>
            </w:pPr>
            <w:r>
              <w:rPr>
                <w:rFonts w:ascii="Arial" w:cs="Arial" w:eastAsia="Arial" w:hAnsi="Arial"/>
                <w:sz w:val="16"/>
                <w:szCs w:val="16"/>
                <w:color w:val="auto"/>
              </w:rPr>
              <w:t>66.4 %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Tank &amp; Pump</w:t>
      </w:r>
    </w:p>
    <w:p>
      <w:pPr>
        <w:spacing w:after="0" w:line="1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decreased $2.6 million, or 9.7%, to $24.3 million for the three months ended March 31, 2021 from $26.9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Lower mid- and down-stream oil and gas activity, petrochemical refining activity and specifically the lower demand for jet fuel resulting from COVID-19 all reduced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Gross Profit: </w:t>
      </w:r>
      <w:r>
        <w:rPr>
          <w:rFonts w:ascii="Arial" w:cs="Arial" w:eastAsia="Arial" w:hAnsi="Arial"/>
          <w:sz w:val="16"/>
          <w:szCs w:val="16"/>
          <w:color w:val="auto"/>
        </w:rPr>
        <w:t>Gross profit decreased $2.0 million, or 15.0%, for the three months ended March 31, 2021 to $11.3 million from $13.3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2020. Gross profit for leasing activity decreased $1.4 million driven by the decreased revenue as discussed above. Gross profit for delivery and installation activity decreased $0.5 million.</w:t>
      </w:r>
    </w:p>
    <w:p>
      <w:pPr>
        <w:spacing w:after="0" w:line="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decreased $0.7 million, or 7.4%, to $8.8 million for the three months ended March 31, 2021 from $9.5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three months ended March 31, 2020 and the margin contracted to 36.2% from 35.3%. The decrease in adjusted EBITDA was driven by the lower gross profit discussed above, offset by a $1.6 million reduction in SG&amp;A expense including personnel costs, provision for bad debt and travel.</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Capital Expenditures for Rental Equipment: </w:t>
      </w:r>
      <w:r>
        <w:rPr>
          <w:rFonts w:ascii="Arial" w:cs="Arial" w:eastAsia="Arial" w:hAnsi="Arial"/>
          <w:sz w:val="16"/>
          <w:szCs w:val="16"/>
          <w:color w:val="auto"/>
        </w:rPr>
        <w:t>Purchases of rental equipment and refurbishments were reduced significantly during the quarter due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unfavorable environment for this segment. Current quarter expenditures of $3.2 million were $1.3 million lower than the prior-year quarter.</w:t>
      </w:r>
    </w:p>
    <w:p>
      <w:pPr>
        <w:spacing w:after="0" w:line="313" w:lineRule="exact"/>
        <w:rPr>
          <w:sz w:val="20"/>
          <w:szCs w:val="20"/>
          <w:color w:val="auto"/>
        </w:rPr>
      </w:pPr>
    </w:p>
    <w:p>
      <w:pPr>
        <w:spacing w:after="0"/>
        <w:rPr>
          <w:sz w:val="20"/>
          <w:szCs w:val="20"/>
          <w:color w:val="auto"/>
        </w:rPr>
      </w:pPr>
      <w:r>
        <w:rPr>
          <w:rFonts w:ascii="Arial" w:cs="Arial" w:eastAsia="Arial" w:hAnsi="Arial"/>
          <w:sz w:val="23"/>
          <w:szCs w:val="23"/>
          <w:color w:val="1D2758"/>
        </w:rPr>
        <w:t>Liquidity and Capital Resources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WillScot Mobile Mini is a holding company that derives all of its operating cash flow from its operating subsidiaries. Our principal sources of liquidity include cash generated by operating activities from our subsidiaries, borrowings under the 2020 ABL Facility, and sales of equity and debt securities. We believe that our liquidity sources and operating cash flows are sufficient to address our operating, debt service and capital requirements over the next twelve months.</w:t>
      </w:r>
    </w:p>
    <w:p>
      <w:pPr>
        <w:spacing w:after="0" w:line="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been consistently engaged in both the debt and equity capital markets both opportunistically and as necessary to support the growth of our business, desired leverage levels, and other capital allocation priorities. Subsequent to the Merger, we believe we have ample liquidity in the 2020 ABL Facility to support both organic operations and other capital allocation priorities as they arise.</w:t>
      </w:r>
    </w:p>
    <w:p>
      <w:pPr>
        <w:spacing w:after="0" w:line="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options to improve our liquidity, such as the issuance of additional unsecured and secured debt, equity securities and/or equity-linked securities. There can be no assurance as to the timing of any such issuance.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 including as a result of any disruption the COVID-19 pandemic may have on the debt and capital markets. From time to time we may also seek to streamline our capital structure and improve our financial position through refinancing or restructuring our existing debt or retiring certain of our securities for cash or other consideration.</w:t>
      </w:r>
    </w:p>
    <w:p>
      <w:pPr>
        <w:spacing w:after="0" w:line="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2020, in connection with the completion of the Merger, Holdings,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available to WSII and certain of its subsidiaries (collectively, the “US Borrowers”), and (ii) a $400 million senior secured asset-based multicurrency revolving credit facility (the "Multicurrency Facility") together with the US Facility (collectively, the “2020 ABL Facility”), available to be drawn in US Dollars, Canadian Dollars, British Pounds Sterling or Euros by the US Borrowers, and certain of WSII’s wholly-owned subsidiaries organized in Canada and in the United Kingdom. Borrowing availability under the 2020 ABL Facility is equal to the lesser of $2.4 billion and the applicable borrowing bases. The borrowing bases are a function of, among other things, the value of the assets in the relevant collateral pool. At March 31, 2021, we had $1.02 billion of available borrowing capacity under the 2020 ABL Facility.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on Liquidity</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continue to monitor the impact that the global pandemic is having on our financial operations and liquidity; however, to date this impact has been immaterial, and we see the adverse impacts of COVID-19 diminishing as the global economy recovers. We regularly manage all aspects of our business including, but not limited to, monitoring the financial health of our customers, suppliers and other third-party relationships, actively managing our cost structure, reducing or delaying capital spending, and developing new opportunities for growth. We believe that the actions we have taken in recent years to increase our scale and competitive position and strengthen our balance sheet positioned us well to manage through this crisis and position us well for the subsequent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Cash Flow Comparison of the Three Months Ended March 31, 2021 and 2020</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shd w:val="clear" w:color="auto" w:fill="1D2758"/>
          </w:tcPr>
          <w:p>
            <w:pPr>
              <w:spacing w:after="0"/>
              <w:rPr>
                <w:sz w:val="16"/>
                <w:szCs w:val="16"/>
                <w:color w:val="auto"/>
              </w:rPr>
            </w:pPr>
          </w:p>
        </w:tc>
        <w:tc>
          <w:tcPr>
            <w:tcW w:w="580" w:type="dxa"/>
            <w:vAlign w:val="bottom"/>
            <w:shd w:val="clear" w:color="auto" w:fill="1D2758"/>
          </w:tcPr>
          <w:p>
            <w:pPr>
              <w:spacing w:after="0"/>
              <w:rPr>
                <w:sz w:val="16"/>
                <w:szCs w:val="16"/>
                <w:color w:val="auto"/>
              </w:rPr>
            </w:pPr>
          </w:p>
        </w:tc>
        <w:tc>
          <w:tcPr>
            <w:tcW w:w="290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Three Months Ended</w:t>
            </w:r>
          </w:p>
        </w:tc>
        <w:tc>
          <w:tcPr>
            <w:tcW w:w="156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2900" w:type="dxa"/>
            <w:vAlign w:val="bottom"/>
            <w:gridSpan w:val="3"/>
            <w:shd w:val="clear" w:color="auto" w:fill="1D2758"/>
          </w:tcPr>
          <w:p>
            <w:pPr>
              <w:jc w:val="right"/>
              <w:ind w:right="499"/>
              <w:spacing w:after="0"/>
              <w:rPr>
                <w:sz w:val="20"/>
                <w:szCs w:val="20"/>
                <w:color w:val="auto"/>
              </w:rPr>
            </w:pPr>
            <w:r>
              <w:rPr>
                <w:rFonts w:ascii="Arial" w:cs="Arial" w:eastAsia="Arial" w:hAnsi="Arial"/>
                <w:sz w:val="16"/>
                <w:szCs w:val="16"/>
                <w:b w:val="1"/>
                <w:bCs w:val="1"/>
                <w:color w:val="FFFFFF"/>
              </w:rPr>
              <w:t>March 31,</w:t>
            </w:r>
          </w:p>
        </w:tc>
        <w:tc>
          <w:tcPr>
            <w:tcW w:w="15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900" w:type="dxa"/>
            <w:vAlign w:val="bottom"/>
            <w:vMerge w:val="restart"/>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920" w:type="dxa"/>
            <w:vAlign w:val="bottom"/>
            <w:shd w:val="clear" w:color="auto" w:fill="1D2758"/>
          </w:tcPr>
          <w:p>
            <w:pPr>
              <w:spacing w:after="0"/>
              <w:rPr>
                <w:sz w:val="18"/>
                <w:szCs w:val="18"/>
                <w:color w:val="auto"/>
              </w:rPr>
            </w:pPr>
          </w:p>
        </w:tc>
        <w:tc>
          <w:tcPr>
            <w:tcW w:w="1560" w:type="dxa"/>
            <w:vAlign w:val="bottom"/>
            <w:vMerge w:val="restart"/>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c>
          <w:tcPr>
            <w:tcW w:w="0" w:type="dxa"/>
            <w:vAlign w:val="bottom"/>
          </w:tcPr>
          <w:p>
            <w:pPr>
              <w:spacing w:after="0"/>
              <w:rPr>
                <w:sz w:val="1"/>
                <w:szCs w:val="1"/>
                <w:color w:val="auto"/>
              </w:rPr>
            </w:pPr>
          </w:p>
        </w:tc>
      </w:tr>
      <w:tr>
        <w:trPr>
          <w:trHeight w:val="97"/>
        </w:trPr>
        <w:tc>
          <w:tcPr>
            <w:tcW w:w="6200" w:type="dxa"/>
            <w:vAlign w:val="bottom"/>
            <w:shd w:val="clear" w:color="auto" w:fill="1D2758"/>
          </w:tcPr>
          <w:p>
            <w:pPr>
              <w:spacing w:after="0"/>
              <w:rPr>
                <w:sz w:val="8"/>
                <w:szCs w:val="8"/>
                <w:color w:val="auto"/>
              </w:rPr>
            </w:pPr>
          </w:p>
        </w:tc>
        <w:tc>
          <w:tcPr>
            <w:tcW w:w="580" w:type="dxa"/>
            <w:vAlign w:val="bottom"/>
            <w:shd w:val="clear" w:color="auto" w:fill="1D2758"/>
          </w:tcPr>
          <w:p>
            <w:pPr>
              <w:spacing w:after="0"/>
              <w:rPr>
                <w:sz w:val="8"/>
                <w:szCs w:val="8"/>
                <w:color w:val="auto"/>
              </w:rPr>
            </w:pPr>
          </w:p>
        </w:tc>
        <w:tc>
          <w:tcPr>
            <w:tcW w:w="1900" w:type="dxa"/>
            <w:vAlign w:val="bottom"/>
            <w:vMerge w:val="continue"/>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920" w:type="dxa"/>
            <w:vAlign w:val="bottom"/>
            <w:shd w:val="clear" w:color="auto" w:fill="1D2758"/>
          </w:tcPr>
          <w:p>
            <w:pPr>
              <w:spacing w:after="0"/>
              <w:rPr>
                <w:sz w:val="8"/>
                <w:szCs w:val="8"/>
                <w:color w:val="auto"/>
              </w:rPr>
            </w:pPr>
          </w:p>
        </w:tc>
        <w:tc>
          <w:tcPr>
            <w:tcW w:w="1560" w:type="dxa"/>
            <w:vAlign w:val="bottom"/>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from operating activities</w:t>
            </w:r>
          </w:p>
        </w:tc>
        <w:tc>
          <w:tcPr>
            <w:tcW w:w="580" w:type="dxa"/>
            <w:vAlign w:val="bottom"/>
            <w:vMerge w:val="restart"/>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122,071</w:t>
            </w:r>
          </w:p>
        </w:tc>
        <w:tc>
          <w:tcPr>
            <w:tcW w:w="80" w:type="dxa"/>
            <w:vAlign w:val="bottom"/>
            <w:shd w:val="clear" w:color="auto" w:fill="DBDBDB"/>
          </w:tcPr>
          <w:p>
            <w:pPr>
              <w:spacing w:after="0"/>
              <w:rPr>
                <w:sz w:val="18"/>
                <w:szCs w:val="18"/>
                <w:color w:val="auto"/>
              </w:rPr>
            </w:pPr>
          </w:p>
        </w:tc>
        <w:tc>
          <w:tcPr>
            <w:tcW w:w="920" w:type="dxa"/>
            <w:vAlign w:val="bottom"/>
            <w:vMerge w:val="restart"/>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38,348</w:t>
            </w:r>
          </w:p>
        </w:tc>
        <w:tc>
          <w:tcPr>
            <w:tcW w:w="0" w:type="dxa"/>
            <w:vAlign w:val="bottom"/>
          </w:tcPr>
          <w:p>
            <w:pPr>
              <w:spacing w:after="0"/>
              <w:rPr>
                <w:sz w:val="1"/>
                <w:szCs w:val="1"/>
                <w:color w:val="auto"/>
              </w:rPr>
            </w:pPr>
          </w:p>
        </w:tc>
      </w:tr>
      <w:tr>
        <w:trPr>
          <w:trHeight w:val="101"/>
        </w:trPr>
        <w:tc>
          <w:tcPr>
            <w:tcW w:w="6200" w:type="dxa"/>
            <w:vAlign w:val="bottom"/>
            <w:shd w:val="clear" w:color="auto" w:fill="DBDBDB"/>
          </w:tcPr>
          <w:p>
            <w:pPr>
              <w:spacing w:after="0"/>
              <w:rPr>
                <w:sz w:val="8"/>
                <w:szCs w:val="8"/>
                <w:color w:val="auto"/>
              </w:rPr>
            </w:pPr>
          </w:p>
        </w:tc>
        <w:tc>
          <w:tcPr>
            <w:tcW w:w="580" w:type="dxa"/>
            <w:vAlign w:val="bottom"/>
            <w:vMerge w:val="continue"/>
            <w:shd w:val="clear" w:color="auto" w:fill="DBDBDB"/>
          </w:tcPr>
          <w:p>
            <w:pPr>
              <w:spacing w:after="0"/>
              <w:rPr>
                <w:sz w:val="8"/>
                <w:szCs w:val="8"/>
                <w:color w:val="auto"/>
              </w:rPr>
            </w:pPr>
          </w:p>
        </w:tc>
        <w:tc>
          <w:tcPr>
            <w:tcW w:w="190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20" w:type="dxa"/>
            <w:vAlign w:val="bottom"/>
            <w:vMerge w:val="continue"/>
            <w:shd w:val="clear" w:color="auto" w:fill="DBDBDB"/>
          </w:tcPr>
          <w:p>
            <w:pPr>
              <w:spacing w:after="0"/>
              <w:rPr>
                <w:sz w:val="8"/>
                <w:szCs w:val="8"/>
                <w:color w:val="auto"/>
              </w:rPr>
            </w:pPr>
          </w:p>
        </w:tc>
        <w:tc>
          <w:tcPr>
            <w:tcW w:w="15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580" w:type="dxa"/>
            <w:vAlign w:val="bottom"/>
          </w:tcPr>
          <w:p>
            <w:pPr>
              <w:spacing w:after="0"/>
              <w:rPr>
                <w:sz w:val="18"/>
                <w:szCs w:val="18"/>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(30,911)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(30,540)</w:t>
            </w:r>
          </w:p>
        </w:tc>
        <w:tc>
          <w:tcPr>
            <w:tcW w:w="0" w:type="dxa"/>
            <w:vAlign w:val="bottom"/>
          </w:tcPr>
          <w:p>
            <w:pPr>
              <w:spacing w:after="0"/>
              <w:rPr>
                <w:sz w:val="1"/>
                <w:szCs w:val="1"/>
                <w:color w:val="auto"/>
              </w:rPr>
            </w:pPr>
          </w:p>
        </w:tc>
      </w:tr>
      <w:tr>
        <w:trPr>
          <w:trHeight w:val="97"/>
        </w:trPr>
        <w:tc>
          <w:tcPr>
            <w:tcW w:w="6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from financing activities</w:t>
            </w:r>
          </w:p>
        </w:tc>
        <w:tc>
          <w:tcPr>
            <w:tcW w:w="580" w:type="dxa"/>
            <w:vAlign w:val="bottom"/>
            <w:shd w:val="clear" w:color="auto" w:fill="DBDBDB"/>
          </w:tcPr>
          <w:p>
            <w:pPr>
              <w:spacing w:after="0"/>
              <w:rPr>
                <w:sz w:val="18"/>
                <w:szCs w:val="18"/>
                <w:color w:val="auto"/>
              </w:rPr>
            </w:pP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(89,220)</w:t>
            </w:r>
          </w:p>
        </w:tc>
        <w:tc>
          <w:tcPr>
            <w:tcW w:w="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5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(5,582)</w:t>
            </w:r>
          </w:p>
        </w:tc>
        <w:tc>
          <w:tcPr>
            <w:tcW w:w="0" w:type="dxa"/>
            <w:vAlign w:val="bottom"/>
          </w:tcPr>
          <w:p>
            <w:pPr>
              <w:spacing w:after="0"/>
              <w:rPr>
                <w:sz w:val="1"/>
                <w:szCs w:val="1"/>
                <w:color w:val="auto"/>
              </w:rPr>
            </w:pPr>
          </w:p>
        </w:tc>
      </w:tr>
      <w:tr>
        <w:trPr>
          <w:trHeight w:val="101"/>
        </w:trPr>
        <w:tc>
          <w:tcPr>
            <w:tcW w:w="6200" w:type="dxa"/>
            <w:vAlign w:val="bottom"/>
            <w:shd w:val="clear" w:color="auto" w:fill="DBDBDB"/>
          </w:tcPr>
          <w:p>
            <w:pPr>
              <w:spacing w:after="0"/>
              <w:rPr>
                <w:sz w:val="8"/>
                <w:szCs w:val="8"/>
                <w:color w:val="auto"/>
              </w:rPr>
            </w:pPr>
          </w:p>
        </w:tc>
        <w:tc>
          <w:tcPr>
            <w:tcW w:w="580" w:type="dxa"/>
            <w:vAlign w:val="bottom"/>
            <w:shd w:val="clear" w:color="auto" w:fill="DBDBDB"/>
          </w:tcPr>
          <w:p>
            <w:pPr>
              <w:spacing w:after="0"/>
              <w:rPr>
                <w:sz w:val="8"/>
                <w:szCs w:val="8"/>
                <w:color w:val="auto"/>
              </w:rPr>
            </w:pPr>
          </w:p>
        </w:tc>
        <w:tc>
          <w:tcPr>
            <w:tcW w:w="190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920" w:type="dxa"/>
            <w:vAlign w:val="bottom"/>
            <w:shd w:val="clear" w:color="auto" w:fill="DBDBDB"/>
          </w:tcPr>
          <w:p>
            <w:pPr>
              <w:spacing w:after="0"/>
              <w:rPr>
                <w:sz w:val="8"/>
                <w:szCs w:val="8"/>
                <w:color w:val="auto"/>
              </w:rPr>
            </w:pPr>
          </w:p>
        </w:tc>
        <w:tc>
          <w:tcPr>
            <w:tcW w:w="15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580" w:type="dxa"/>
            <w:vAlign w:val="bottom"/>
          </w:tcPr>
          <w:p>
            <w:pPr>
              <w:spacing w:after="0"/>
              <w:rPr>
                <w:sz w:val="18"/>
                <w:szCs w:val="18"/>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98"/>
        </w:trPr>
        <w:tc>
          <w:tcPr>
            <w:tcW w:w="6200" w:type="dxa"/>
            <w:vAlign w:val="bottom"/>
            <w:tcBorders>
              <w:bottom w:val="single" w:sz="8" w:color="DBDBDB"/>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DBDBDB"/>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62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580" w:type="dxa"/>
            <w:vAlign w:val="bottom"/>
            <w:vMerge w:val="restart"/>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1,997</w:t>
            </w:r>
          </w:p>
        </w:tc>
        <w:tc>
          <w:tcPr>
            <w:tcW w:w="80" w:type="dxa"/>
            <w:vAlign w:val="bottom"/>
            <w:shd w:val="clear" w:color="auto" w:fill="DBDBDB"/>
          </w:tcPr>
          <w:p>
            <w:pPr>
              <w:spacing w:after="0"/>
              <w:rPr>
                <w:sz w:val="16"/>
                <w:szCs w:val="16"/>
                <w:color w:val="auto"/>
              </w:rPr>
            </w:pPr>
          </w:p>
        </w:tc>
        <w:tc>
          <w:tcPr>
            <w:tcW w:w="920" w:type="dxa"/>
            <w:vAlign w:val="bottom"/>
            <w:vMerge w:val="restart"/>
            <w:shd w:val="clear" w:color="auto" w:fill="DBDBDB"/>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90"/>
        </w:trPr>
        <w:tc>
          <w:tcPr>
            <w:tcW w:w="6200" w:type="dxa"/>
            <w:vAlign w:val="bottom"/>
            <w:tcBorders>
              <w:bottom w:val="single" w:sz="8" w:color="DBDBDB"/>
            </w:tcBorders>
            <w:shd w:val="clear" w:color="auto" w:fill="DBDBDB"/>
          </w:tcPr>
          <w:p>
            <w:pPr>
              <w:spacing w:after="0"/>
              <w:rPr>
                <w:sz w:val="7"/>
                <w:szCs w:val="7"/>
                <w:color w:val="auto"/>
              </w:rPr>
            </w:pPr>
          </w:p>
        </w:tc>
        <w:tc>
          <w:tcPr>
            <w:tcW w:w="580" w:type="dxa"/>
            <w:vAlign w:val="bottom"/>
            <w:tcBorders>
              <w:bottom w:val="single" w:sz="8" w:color="auto"/>
            </w:tcBorders>
            <w:vMerge w:val="continue"/>
            <w:shd w:val="clear" w:color="auto" w:fill="DBDBDB"/>
          </w:tcPr>
          <w:p>
            <w:pPr>
              <w:spacing w:after="0"/>
              <w:rPr>
                <w:sz w:val="7"/>
                <w:szCs w:val="7"/>
                <w:color w:val="auto"/>
              </w:rPr>
            </w:pPr>
          </w:p>
        </w:tc>
        <w:tc>
          <w:tcPr>
            <w:tcW w:w="1900" w:type="dxa"/>
            <w:vAlign w:val="bottom"/>
            <w:tcBorders>
              <w:bottom w:val="single" w:sz="8" w:color="auto"/>
            </w:tcBorders>
            <w:vMerge w:val="continue"/>
            <w:shd w:val="clear" w:color="auto" w:fill="DBDBDB"/>
          </w:tcPr>
          <w:p>
            <w:pPr>
              <w:spacing w:after="0"/>
              <w:rPr>
                <w:sz w:val="7"/>
                <w:szCs w:val="7"/>
                <w:color w:val="auto"/>
              </w:rPr>
            </w:pPr>
          </w:p>
        </w:tc>
        <w:tc>
          <w:tcPr>
            <w:tcW w:w="80" w:type="dxa"/>
            <w:vAlign w:val="bottom"/>
            <w:tcBorders>
              <w:bottom w:val="single" w:sz="8" w:color="DBDBDB"/>
            </w:tcBorders>
            <w:shd w:val="clear" w:color="auto" w:fill="DBDBDB"/>
          </w:tcPr>
          <w:p>
            <w:pPr>
              <w:spacing w:after="0"/>
              <w:rPr>
                <w:sz w:val="7"/>
                <w:szCs w:val="7"/>
                <w:color w:val="auto"/>
              </w:rPr>
            </w:pPr>
          </w:p>
        </w:tc>
        <w:tc>
          <w:tcPr>
            <w:tcW w:w="920" w:type="dxa"/>
            <w:vAlign w:val="bottom"/>
            <w:tcBorders>
              <w:bottom w:val="single" w:sz="8" w:color="auto"/>
            </w:tcBorders>
            <w:vMerge w:val="continue"/>
            <w:shd w:val="clear" w:color="auto" w:fill="DBDBDB"/>
          </w:tcPr>
          <w:p>
            <w:pPr>
              <w:spacing w:after="0"/>
              <w:rPr>
                <w:sz w:val="7"/>
                <w:szCs w:val="7"/>
                <w:color w:val="auto"/>
              </w:rPr>
            </w:pPr>
          </w:p>
        </w:tc>
        <w:tc>
          <w:tcPr>
            <w:tcW w:w="156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Operating Activities</w:t>
      </w:r>
    </w:p>
    <w:p>
      <w:pPr>
        <w:spacing w:after="0" w:line="1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by operating activities for the three months ended March 31, 2021 was $122.1 million as compared to $38.3 million for the three months ended March 31, 2020, an increase of $83.8 million. The increase was due to an increase of $73.8 million of net income, adjusted for non-cash items, in addition to an increase of $9.9 million in the net movements of the operating assets and liabilities. The increase related to the net movements of operating assets and liabilities was attributable to a decrease in prepaid and other assets in the three months ended March 31, 2021 compared to the same period in 2020, partially offset by a decrease in accounts payable and other accrued expenses in the three months ended March 31, 2021 compared to the same period in 2020.</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Investing Activities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Cash used in investing activities for the three months ended March 31, 2021 was $30.9 million as compared to $30.5 million for the three months ended March 31, 2020, an increase of $0.4 million. The increase in cash used in investing activities was driven by a $12.9 million increase in cash used for purchase of rental equipment and refurbishments and a $5.8 million increase in cash used for the purchase of property, plant and equipment. This was partially offset by a $9.9 million increase in proceeds from sale of property, plant and equipment, and an $8.4 million increase in proceeds from the sale of rental equipment.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Cash Flows from Financing Activities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used in financing activities for the three months ended March 31, 2021 was $89.2 million as compared to $5.6 million of cash used in financing activities for the three months ended March 31, 2020, an increase of $83.6 million. The increase is primarily due to an increase of $120.8 million in repayment of borrowings and an increase of $81.6 million in repurchase and cancellation of stock and warrants. This was partially offset by an increase of $126.2 million in receipts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Free Cash Flow</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1D2758"/>
          </w:tcPr>
          <w:p>
            <w:pPr>
              <w:spacing w:after="0"/>
              <w:rPr>
                <w:sz w:val="18"/>
                <w:szCs w:val="18"/>
                <w:color w:val="auto"/>
              </w:rPr>
            </w:pPr>
          </w:p>
        </w:tc>
        <w:tc>
          <w:tcPr>
            <w:tcW w:w="580" w:type="dxa"/>
            <w:vAlign w:val="bottom"/>
            <w:shd w:val="clear" w:color="auto" w:fill="1D2758"/>
          </w:tcPr>
          <w:p>
            <w:pPr>
              <w:spacing w:after="0"/>
              <w:rPr>
                <w:sz w:val="18"/>
                <w:szCs w:val="18"/>
                <w:color w:val="auto"/>
              </w:rPr>
            </w:pPr>
          </w:p>
        </w:tc>
        <w:tc>
          <w:tcPr>
            <w:tcW w:w="4460" w:type="dxa"/>
            <w:vAlign w:val="bottom"/>
            <w:gridSpan w:val="4"/>
            <w:shd w:val="clear" w:color="auto" w:fill="1D2758"/>
          </w:tcPr>
          <w:p>
            <w:pPr>
              <w:jc w:val="right"/>
              <w:ind w:right="123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62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1D2758"/>
          </w:tcPr>
          <w:p>
            <w:pPr>
              <w:spacing w:after="0"/>
              <w:rPr>
                <w:sz w:val="18"/>
                <w:szCs w:val="18"/>
                <w:color w:val="auto"/>
              </w:rPr>
            </w:pPr>
          </w:p>
        </w:tc>
        <w:tc>
          <w:tcPr>
            <w:tcW w:w="190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2021</w:t>
            </w:r>
          </w:p>
        </w:tc>
        <w:tc>
          <w:tcPr>
            <w:tcW w:w="80" w:type="dxa"/>
            <w:vAlign w:val="bottom"/>
            <w:shd w:val="clear" w:color="auto" w:fill="1D2758"/>
          </w:tcPr>
          <w:p>
            <w:pPr>
              <w:spacing w:after="0"/>
              <w:rPr>
                <w:sz w:val="18"/>
                <w:szCs w:val="18"/>
                <w:color w:val="auto"/>
              </w:rPr>
            </w:pPr>
          </w:p>
        </w:tc>
        <w:tc>
          <w:tcPr>
            <w:tcW w:w="600" w:type="dxa"/>
            <w:vAlign w:val="bottom"/>
            <w:shd w:val="clear" w:color="auto" w:fill="1D2758"/>
          </w:tcPr>
          <w:p>
            <w:pPr>
              <w:spacing w:after="0"/>
              <w:rPr>
                <w:sz w:val="18"/>
                <w:szCs w:val="18"/>
                <w:color w:val="auto"/>
              </w:rPr>
            </w:pPr>
          </w:p>
        </w:tc>
        <w:tc>
          <w:tcPr>
            <w:tcW w:w="1880" w:type="dxa"/>
            <w:vAlign w:val="bottom"/>
            <w:shd w:val="clear" w:color="auto" w:fill="1D2758"/>
          </w:tcPr>
          <w:p>
            <w:pPr>
              <w:jc w:val="right"/>
              <w:ind w:right="979"/>
              <w:spacing w:after="0"/>
              <w:rPr>
                <w:sz w:val="20"/>
                <w:szCs w:val="20"/>
                <w:color w:val="auto"/>
              </w:rPr>
            </w:pPr>
            <w:r>
              <w:rPr>
                <w:rFonts w:ascii="Arial" w:cs="Arial" w:eastAsia="Arial" w:hAnsi="Arial"/>
                <w:sz w:val="16"/>
                <w:szCs w:val="16"/>
                <w:b w:val="1"/>
                <w:bCs w:val="1"/>
                <w:color w:val="FFFFFF"/>
              </w:rPr>
              <w:t>2020</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8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122,071</w:t>
            </w:r>
          </w:p>
        </w:tc>
        <w:tc>
          <w:tcPr>
            <w:tcW w:w="8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38,348</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(52,535)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(39,648)</w:t>
            </w:r>
          </w:p>
        </w:tc>
      </w:tr>
      <w:tr>
        <w:trPr>
          <w:trHeight w:val="219"/>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w:t>
            </w:r>
          </w:p>
        </w:tc>
        <w:tc>
          <w:tcPr>
            <w:tcW w:w="5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15,202</w:t>
            </w:r>
          </w:p>
        </w:tc>
        <w:tc>
          <w:tcPr>
            <w:tcW w:w="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6,786</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(7,307)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6"/>
        </w:trPr>
        <w:tc>
          <w:tcPr>
            <w:tcW w:w="6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580" w:type="dxa"/>
            <w:vAlign w:val="bottom"/>
            <w:tcBorders>
              <w:bottom w:val="single" w:sz="8" w:color="auto"/>
            </w:tcBorders>
            <w:shd w:val="clear" w:color="auto" w:fill="DBDBDB"/>
          </w:tcPr>
          <w:p>
            <w:pPr>
              <w:spacing w:after="0"/>
              <w:rPr>
                <w:sz w:val="18"/>
                <w:szCs w:val="18"/>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13,729</w:t>
            </w:r>
          </w:p>
        </w:tc>
        <w:tc>
          <w:tcPr>
            <w:tcW w:w="80" w:type="dxa"/>
            <w:vAlign w:val="bottom"/>
            <w:shd w:val="clear" w:color="auto" w:fill="DBDBDB"/>
          </w:tcPr>
          <w:p>
            <w:pPr>
              <w:spacing w:after="0"/>
              <w:rPr>
                <w:sz w:val="18"/>
                <w:szCs w:val="18"/>
                <w:color w:val="auto"/>
              </w:rPr>
            </w:pPr>
          </w:p>
        </w:tc>
        <w:tc>
          <w:tcPr>
            <w:tcW w:w="600" w:type="dxa"/>
            <w:vAlign w:val="bottom"/>
            <w:tcBorders>
              <w:bottom w:val="single" w:sz="8" w:color="auto"/>
            </w:tcBorders>
            <w:shd w:val="clear" w:color="auto" w:fill="DBDBDB"/>
          </w:tcPr>
          <w:p>
            <w:pPr>
              <w:spacing w:after="0"/>
              <w:rPr>
                <w:sz w:val="18"/>
                <w:szCs w:val="18"/>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3,840</w:t>
            </w:r>
          </w:p>
        </w:tc>
      </w:tr>
      <w:tr>
        <w:trPr>
          <w:trHeight w:val="212"/>
        </w:trPr>
        <w:tc>
          <w:tcPr>
            <w:tcW w:w="6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91,160</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7,808</w:t>
            </w:r>
          </w:p>
        </w:tc>
      </w:tr>
      <w:tr>
        <w:trPr>
          <w:trHeight w:val="21"/>
        </w:trPr>
        <w:tc>
          <w:tcPr>
            <w:tcW w:w="6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Free Cash Flow for the three months ended March 31, 2021 was an inflow of $91.2 million as compared to an inflow of $7.8 million for the three months ended March 31, 2020, an increase in Free Cash Flow of $83.4 million. Free Cash Flow increased year over year principally as a result of the $83.8 million increase in cash provided by operating activities and partially offset by the $12.9 million increase in cash used in the purchase of rental equipment and refurbishments. The $122.1 million in cash provided by operating activities for the three months ended March 31, 2021 was returned to shareholders through stock and warrant repurchases and cancellations and reinvested into the business to support the purchase of rental equipment, including VAPS, and refurbishments.</w:t>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color w:val="1D2758"/>
        </w:rPr>
        <w:t>Contractual Obligations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March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1D2758"/>
          </w:tcPr>
          <w:p>
            <w:pPr>
              <w:spacing w:after="0"/>
              <w:rPr>
                <w:sz w:val="16"/>
                <w:szCs w:val="16"/>
                <w:color w:val="auto"/>
              </w:rPr>
            </w:pPr>
          </w:p>
        </w:tc>
        <w:tc>
          <w:tcPr>
            <w:tcW w:w="1120" w:type="dxa"/>
            <w:vAlign w:val="bottom"/>
            <w:gridSpan w:val="2"/>
            <w:vMerge w:val="restart"/>
            <w:shd w:val="clear" w:color="auto" w:fill="1D2758"/>
          </w:tcPr>
          <w:p>
            <w:pPr>
              <w:ind w:left="180"/>
              <w:spacing w:after="0"/>
              <w:rPr>
                <w:sz w:val="20"/>
                <w:szCs w:val="20"/>
                <w:color w:val="auto"/>
              </w:rPr>
            </w:pPr>
            <w:r>
              <w:rPr>
                <w:rFonts w:ascii="Arial" w:cs="Arial" w:eastAsia="Arial" w:hAnsi="Arial"/>
                <w:sz w:val="16"/>
                <w:szCs w:val="16"/>
                <w:b w:val="1"/>
                <w:bCs w:val="1"/>
                <w:color w:val="FFFFFF"/>
              </w:rPr>
              <w:t>Total</w:t>
            </w:r>
          </w:p>
        </w:tc>
        <w:tc>
          <w:tcPr>
            <w:tcW w:w="1420" w:type="dxa"/>
            <w:vAlign w:val="bottom"/>
            <w:gridSpan w:val="3"/>
            <w:vMerge w:val="restart"/>
            <w:shd w:val="clear" w:color="auto" w:fill="1D2758"/>
          </w:tcPr>
          <w:p>
            <w:pPr>
              <w:ind w:left="20"/>
              <w:spacing w:after="0"/>
              <w:rPr>
                <w:sz w:val="20"/>
                <w:szCs w:val="20"/>
                <w:color w:val="auto"/>
              </w:rPr>
            </w:pPr>
            <w:r>
              <w:rPr>
                <w:rFonts w:ascii="Arial" w:cs="Arial" w:eastAsia="Arial" w:hAnsi="Arial"/>
                <w:sz w:val="16"/>
                <w:szCs w:val="16"/>
                <w:b w:val="1"/>
                <w:bCs w:val="1"/>
                <w:color w:val="FFFFFF"/>
              </w:rPr>
              <w:t>Less than 1 year</w:t>
            </w:r>
          </w:p>
        </w:tc>
        <w:tc>
          <w:tcPr>
            <w:tcW w:w="1420" w:type="dxa"/>
            <w:vAlign w:val="bottom"/>
            <w:gridSpan w:val="3"/>
            <w:shd w:val="clear" w:color="auto" w:fill="1D2758"/>
          </w:tcPr>
          <w:p>
            <w:pPr>
              <w:jc w:val="center"/>
              <w:ind w:right="100"/>
              <w:spacing w:after="0"/>
              <w:rPr>
                <w:sz w:val="20"/>
                <w:szCs w:val="20"/>
                <w:color w:val="auto"/>
              </w:rPr>
            </w:pPr>
            <w:r>
              <w:rPr>
                <w:rFonts w:ascii="Arial" w:cs="Arial" w:eastAsia="Arial" w:hAnsi="Arial"/>
                <w:sz w:val="16"/>
                <w:szCs w:val="16"/>
                <w:b w:val="1"/>
                <w:bCs w:val="1"/>
                <w:color w:val="FFFFFF"/>
                <w:w w:val="99"/>
              </w:rPr>
              <w:t>Between 1 to 3</w:t>
            </w:r>
          </w:p>
        </w:tc>
        <w:tc>
          <w:tcPr>
            <w:tcW w:w="1340" w:type="dxa"/>
            <w:vAlign w:val="bottom"/>
            <w:gridSpan w:val="2"/>
            <w:shd w:val="clear" w:color="auto" w:fill="1D2758"/>
          </w:tcPr>
          <w:p>
            <w:pPr>
              <w:jc w:val="right"/>
              <w:ind w:right="19"/>
              <w:spacing w:after="0"/>
              <w:rPr>
                <w:sz w:val="20"/>
                <w:szCs w:val="20"/>
                <w:color w:val="auto"/>
              </w:rPr>
            </w:pPr>
            <w:r>
              <w:rPr>
                <w:rFonts w:ascii="Arial" w:cs="Arial" w:eastAsia="Arial" w:hAnsi="Arial"/>
                <w:sz w:val="16"/>
                <w:szCs w:val="16"/>
                <w:b w:val="1"/>
                <w:bCs w:val="1"/>
                <w:color w:val="FFFFFF"/>
              </w:rPr>
              <w:t>Between 3 to 5</w:t>
            </w:r>
          </w:p>
        </w:tc>
        <w:tc>
          <w:tcPr>
            <w:tcW w:w="240" w:type="dxa"/>
            <w:vAlign w:val="bottom"/>
            <w:shd w:val="clear" w:color="auto" w:fill="1D2758"/>
          </w:tcPr>
          <w:p>
            <w:pPr>
              <w:spacing w:after="0"/>
              <w:rPr>
                <w:sz w:val="16"/>
                <w:szCs w:val="16"/>
                <w:color w:val="auto"/>
              </w:rPr>
            </w:pPr>
          </w:p>
        </w:tc>
        <w:tc>
          <w:tcPr>
            <w:tcW w:w="160" w:type="dxa"/>
            <w:vAlign w:val="bottom"/>
            <w:shd w:val="clear" w:color="auto" w:fill="1D2758"/>
          </w:tcPr>
          <w:p>
            <w:pPr>
              <w:spacing w:after="0"/>
              <w:rPr>
                <w:sz w:val="16"/>
                <w:szCs w:val="16"/>
                <w:color w:val="auto"/>
              </w:rPr>
            </w:pPr>
          </w:p>
        </w:tc>
        <w:tc>
          <w:tcPr>
            <w:tcW w:w="1160" w:type="dxa"/>
            <w:vAlign w:val="bottom"/>
            <w:shd w:val="clear" w:color="auto" w:fill="1D2758"/>
          </w:tcPr>
          <w:p>
            <w:pPr>
              <w:jc w:val="right"/>
              <w:ind w:right="119"/>
              <w:spacing w:after="0"/>
              <w:rPr>
                <w:sz w:val="20"/>
                <w:szCs w:val="20"/>
                <w:color w:val="auto"/>
              </w:rPr>
            </w:pPr>
            <w:r>
              <w:rPr>
                <w:rFonts w:ascii="Arial" w:cs="Arial" w:eastAsia="Arial" w:hAnsi="Arial"/>
                <w:sz w:val="16"/>
                <w:szCs w:val="16"/>
                <w:b w:val="1"/>
                <w:bCs w:val="1"/>
                <w:color w:val="FFFFFF"/>
              </w:rPr>
              <w:t>More than 5</w:t>
            </w:r>
          </w:p>
        </w:tc>
        <w:tc>
          <w:tcPr>
            <w:tcW w:w="0" w:type="dxa"/>
            <w:vAlign w:val="bottom"/>
          </w:tcPr>
          <w:p>
            <w:pPr>
              <w:spacing w:after="0"/>
              <w:rPr>
                <w:sz w:val="1"/>
                <w:szCs w:val="1"/>
                <w:color w:val="auto"/>
              </w:rPr>
            </w:pPr>
          </w:p>
        </w:tc>
      </w:tr>
      <w:tr>
        <w:trPr>
          <w:trHeight w:val="216"/>
        </w:trPr>
        <w:tc>
          <w:tcPr>
            <w:tcW w:w="4080" w:type="dxa"/>
            <w:vAlign w:val="bottom"/>
            <w:vMerge w:val="continue"/>
            <w:shd w:val="clear" w:color="auto" w:fill="1D2758"/>
          </w:tcPr>
          <w:p>
            <w:pPr>
              <w:spacing w:after="0"/>
              <w:rPr>
                <w:sz w:val="18"/>
                <w:szCs w:val="18"/>
                <w:color w:val="auto"/>
              </w:rPr>
            </w:pPr>
          </w:p>
        </w:tc>
        <w:tc>
          <w:tcPr>
            <w:tcW w:w="300" w:type="dxa"/>
            <w:vAlign w:val="bottom"/>
            <w:shd w:val="clear" w:color="auto" w:fill="1D2758"/>
          </w:tcPr>
          <w:p>
            <w:pPr>
              <w:spacing w:after="0"/>
              <w:rPr>
                <w:sz w:val="18"/>
                <w:szCs w:val="18"/>
                <w:color w:val="auto"/>
              </w:rPr>
            </w:pPr>
          </w:p>
        </w:tc>
        <w:tc>
          <w:tcPr>
            <w:tcW w:w="1120" w:type="dxa"/>
            <w:vAlign w:val="bottom"/>
            <w:gridSpan w:val="2"/>
            <w:vMerge w:val="continue"/>
            <w:shd w:val="clear" w:color="auto" w:fill="1D2758"/>
          </w:tcPr>
          <w:p>
            <w:pPr>
              <w:spacing w:after="0"/>
              <w:rPr>
                <w:sz w:val="18"/>
                <w:szCs w:val="18"/>
                <w:color w:val="auto"/>
              </w:rPr>
            </w:pPr>
          </w:p>
        </w:tc>
        <w:tc>
          <w:tcPr>
            <w:tcW w:w="1420" w:type="dxa"/>
            <w:vAlign w:val="bottom"/>
            <w:gridSpan w:val="3"/>
            <w:vMerge w:val="continue"/>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1140" w:type="dxa"/>
            <w:vAlign w:val="bottom"/>
            <w:gridSpan w:val="2"/>
            <w:shd w:val="clear" w:color="auto" w:fill="1D2758"/>
          </w:tcPr>
          <w:p>
            <w:pPr>
              <w:jc w:val="center"/>
              <w:ind w:right="380"/>
              <w:spacing w:after="0"/>
              <w:rPr>
                <w:sz w:val="20"/>
                <w:szCs w:val="20"/>
                <w:color w:val="auto"/>
              </w:rPr>
            </w:pPr>
            <w:r>
              <w:rPr>
                <w:rFonts w:ascii="Arial" w:cs="Arial" w:eastAsia="Arial" w:hAnsi="Arial"/>
                <w:sz w:val="16"/>
                <w:szCs w:val="16"/>
                <w:b w:val="1"/>
                <w:bCs w:val="1"/>
                <w:color w:val="FFFFFF"/>
              </w:rPr>
              <w:t>years</w:t>
            </w:r>
          </w:p>
        </w:tc>
        <w:tc>
          <w:tcPr>
            <w:tcW w:w="28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379"/>
              <w:spacing w:after="0"/>
              <w:rPr>
                <w:sz w:val="20"/>
                <w:szCs w:val="20"/>
                <w:color w:val="auto"/>
              </w:rPr>
            </w:pPr>
            <w:r>
              <w:rPr>
                <w:rFonts w:ascii="Arial" w:cs="Arial" w:eastAsia="Arial" w:hAnsi="Arial"/>
                <w:sz w:val="16"/>
                <w:szCs w:val="16"/>
                <w:b w:val="1"/>
                <w:bCs w:val="1"/>
                <w:color w:val="FFFFFF"/>
              </w:rPr>
              <w:t>years</w:t>
            </w:r>
          </w:p>
        </w:tc>
        <w:tc>
          <w:tcPr>
            <w:tcW w:w="240" w:type="dxa"/>
            <w:vAlign w:val="bottom"/>
            <w:shd w:val="clear" w:color="auto" w:fill="1D2758"/>
          </w:tcPr>
          <w:p>
            <w:pPr>
              <w:spacing w:after="0"/>
              <w:rPr>
                <w:sz w:val="18"/>
                <w:szCs w:val="18"/>
                <w:color w:val="auto"/>
              </w:rPr>
            </w:pPr>
          </w:p>
        </w:tc>
        <w:tc>
          <w:tcPr>
            <w:tcW w:w="160" w:type="dxa"/>
            <w:vAlign w:val="bottom"/>
            <w:shd w:val="clear" w:color="auto" w:fill="1D2758"/>
          </w:tcPr>
          <w:p>
            <w:pPr>
              <w:spacing w:after="0"/>
              <w:rPr>
                <w:sz w:val="18"/>
                <w:szCs w:val="18"/>
                <w:color w:val="auto"/>
              </w:rPr>
            </w:pPr>
          </w:p>
        </w:tc>
        <w:tc>
          <w:tcPr>
            <w:tcW w:w="1160" w:type="dxa"/>
            <w:vAlign w:val="bottom"/>
            <w:shd w:val="clear" w:color="auto" w:fill="1D2758"/>
          </w:tcPr>
          <w:p>
            <w:pPr>
              <w:jc w:val="right"/>
              <w:ind w:right="359"/>
              <w:spacing w:after="0"/>
              <w:rPr>
                <w:sz w:val="20"/>
                <w:szCs w:val="20"/>
                <w:color w:val="auto"/>
              </w:rPr>
            </w:pPr>
            <w:r>
              <w:rPr>
                <w:rFonts w:ascii="Arial" w:cs="Arial" w:eastAsia="Arial" w:hAnsi="Arial"/>
                <w:sz w:val="16"/>
                <w:szCs w:val="16"/>
                <w:b w:val="1"/>
                <w:bCs w:val="1"/>
                <w:color w:val="FFFFFF"/>
              </w:rPr>
              <w:t>years</w:t>
            </w:r>
          </w:p>
        </w:tc>
        <w:tc>
          <w:tcPr>
            <w:tcW w:w="0" w:type="dxa"/>
            <w:vAlign w:val="bottom"/>
          </w:tcPr>
          <w:p>
            <w:pPr>
              <w:spacing w:after="0"/>
              <w:rPr>
                <w:sz w:val="1"/>
                <w:szCs w:val="1"/>
                <w:color w:val="auto"/>
              </w:rPr>
            </w:pPr>
          </w:p>
        </w:tc>
      </w:tr>
      <w:tr>
        <w:trPr>
          <w:trHeight w:val="177"/>
        </w:trPr>
        <w:tc>
          <w:tcPr>
            <w:tcW w:w="4080" w:type="dxa"/>
            <w:vAlign w:val="bottom"/>
            <w:shd w:val="clear" w:color="auto" w:fill="DBDBDB"/>
          </w:tcPr>
          <w:p>
            <w:pPr>
              <w:ind w:left="20"/>
              <w:spacing w:after="0" w:line="178" w:lineRule="exact"/>
              <w:rPr>
                <w:sz w:val="20"/>
                <w:szCs w:val="20"/>
                <w:color w:val="auto"/>
              </w:rPr>
            </w:pPr>
            <w:r>
              <w:rPr>
                <w:rFonts w:ascii="Arial" w:cs="Arial" w:eastAsia="Arial" w:hAnsi="Arial"/>
                <w:sz w:val="16"/>
                <w:szCs w:val="16"/>
                <w:color w:val="auto"/>
              </w:rPr>
              <w:t>Long-term indebtedness, including current portion and</w:t>
            </w:r>
          </w:p>
        </w:tc>
        <w:tc>
          <w:tcPr>
            <w:tcW w:w="3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(a)(b)</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2,893,908</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87,613</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175,226</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2,031,526</w:t>
            </w:r>
          </w:p>
        </w:tc>
        <w:tc>
          <w:tcPr>
            <w:tcW w:w="40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599,543</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Payroll tax withholding (c)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274,833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59,323</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91,555</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59,320</w:t>
            </w:r>
          </w:p>
        </w:tc>
        <w:tc>
          <w:tcPr>
            <w:tcW w:w="24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64,635</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3,179,091</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152,111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271,956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2,090,846</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664,178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480" w:right="20" w:hanging="454"/>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Long-term indebtedness includes borrowings and interest under the 2020 ABL Facility, the 2025 Senior Secured Notes, the 2028 Senior Secured Notes, and finance leases.</w:t>
      </w:r>
    </w:p>
    <w:p>
      <w:pPr>
        <w:spacing w:after="0" w:line="163"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obligations under our interest rate swap agreement that effectively convert $400 million in aggregate notional amount of variable-rate debt under the Company’s ABL Facility into fixed-rate debt. The future obligations under the interest rate swaps was calculated using the 1-month LIBOR rate as of March 31, 2021.</w:t>
      </w:r>
    </w:p>
    <w:p>
      <w:pPr>
        <w:spacing w:after="0" w:line="16"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relate to the opportunistic election to delay payment of employer payroll taxes on an interest-free basis in accordance with the Coronavirus Aid, Relief, and Economic Security Act of 2020 (the ‘‘CARES Act’’).</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March 31, 2021, in addition to the above contractual obligations, the Company has estimated $14.6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339" w:lineRule="exact"/>
        <w:rPr>
          <w:sz w:val="20"/>
          <w:szCs w:val="20"/>
          <w:color w:val="auto"/>
        </w:rPr>
      </w:pPr>
    </w:p>
    <w:p>
      <w:pPr>
        <w:spacing w:after="0"/>
        <w:rPr>
          <w:sz w:val="20"/>
          <w:szCs w:val="20"/>
          <w:color w:val="auto"/>
        </w:rPr>
      </w:pPr>
      <w:r>
        <w:rPr>
          <w:rFonts w:ascii="Arial" w:cs="Arial" w:eastAsia="Arial" w:hAnsi="Arial"/>
          <w:sz w:val="23"/>
          <w:szCs w:val="23"/>
          <w:color w:val="1D2758"/>
        </w:rPr>
        <w:t>Off-Balance Sheet Arrangements</w:t>
      </w:r>
    </w:p>
    <w:p>
      <w:pPr>
        <w:spacing w:after="0" w:line="11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spacing w:after="0"/>
        <w:rPr>
          <w:sz w:val="20"/>
          <w:szCs w:val="20"/>
          <w:color w:val="auto"/>
        </w:rPr>
      </w:pPr>
      <w:r>
        <w:rPr>
          <w:rFonts w:ascii="Arial" w:cs="Arial" w:eastAsia="Arial" w:hAnsi="Arial"/>
          <w:sz w:val="23"/>
          <w:szCs w:val="23"/>
          <w:color w:val="1D2758"/>
        </w:rPr>
        <w:t>Supplemental Pro Forma Information</w:t>
      </w:r>
    </w:p>
    <w:p>
      <w:pPr>
        <w:spacing w:after="0" w:line="1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pro forma financial information has been prepared for WillScot Mobile Mini for the three months ended March 31, 2020. These pro forma condensed combined statements of operations present the historical consolidated statements of operations of WillScot Mobile Mini, giving effect to the following items as if they had occurred on January 1, 2019:</w:t>
      </w:r>
    </w:p>
    <w:p>
      <w:pPr>
        <w:spacing w:after="0" w:line="93"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Merger with Mobile Mini;</w:t>
      </w:r>
    </w:p>
    <w:p>
      <w:pPr>
        <w:spacing w:after="0" w:line="113" w:lineRule="exact"/>
        <w:rPr>
          <w:rFonts w:ascii="Arial" w:cs="Arial" w:eastAsia="Arial" w:hAnsi="Arial"/>
          <w:sz w:val="16"/>
          <w:szCs w:val="16"/>
          <w:color w:val="auto"/>
        </w:rPr>
      </w:pPr>
    </w:p>
    <w:p>
      <w:pPr>
        <w:ind w:left="800" w:hanging="468"/>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borrowings under the Company’s 2025 Secured Notes and the 2020 ABL Facility;</w:t>
      </w:r>
    </w:p>
    <w:p>
      <w:pPr>
        <w:spacing w:after="0" w:line="113" w:lineRule="exact"/>
        <w:rPr>
          <w:rFonts w:ascii="Arial" w:cs="Arial" w:eastAsia="Arial" w:hAnsi="Arial"/>
          <w:sz w:val="16"/>
          <w:szCs w:val="16"/>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extinguishment of the Mobile Mini line of credit and senior notes assumed in the Merger and subsequently repaid;</w:t>
      </w:r>
    </w:p>
    <w:p>
      <w:pPr>
        <w:spacing w:after="0" w:line="113" w:lineRule="exact"/>
        <w:rPr>
          <w:rFonts w:ascii="Arial" w:cs="Arial" w:eastAsia="Arial" w:hAnsi="Arial"/>
          <w:sz w:val="16"/>
          <w:szCs w:val="16"/>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repayment of the 2017 ABL Facility and the 2022 Senior Notes repaid contemporaneously with the Merger;</w:t>
      </w:r>
    </w:p>
    <w:p>
      <w:pPr>
        <w:spacing w:after="0" w:line="113" w:lineRule="exact"/>
        <w:rPr>
          <w:rFonts w:ascii="Arial" w:cs="Arial" w:eastAsia="Arial" w:hAnsi="Arial"/>
          <w:sz w:val="16"/>
          <w:szCs w:val="16"/>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transaction costs incurred in connection with the Merger, and</w:t>
      </w:r>
    </w:p>
    <w:p>
      <w:pPr>
        <w:spacing w:after="0" w:line="113" w:lineRule="exact"/>
        <w:rPr>
          <w:rFonts w:ascii="Arial" w:cs="Arial" w:eastAsia="Arial" w:hAnsi="Arial"/>
          <w:sz w:val="16"/>
          <w:szCs w:val="16"/>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elimination of non-controlling interest in connection with the Sapphire Exchange as contemplated by the Merger.</w:t>
      </w:r>
    </w:p>
    <w:p>
      <w:pPr>
        <w:spacing w:after="0" w:line="1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adjustments presented on the pro forma financial statements have been identified and presented to provide relevant information necessary for an accurate understanding of the combined company following the transactions and events described above. The pro forma financial information set forth below is based upon available information and assumptions that we believe are reasonable and is for illustrative purposes only. The financial results may have been different if the transactions described above had actually been completed sooner. You should not rely on the pro forma financial information as being indicative of the historical results that would have been achieved if these transactions and events had been completed as of January 1, 2019. The pro forma combined financial information below should be read in conjunction with the condensed consolidated financial statements and related notes of the Company included elsewhere in this Form 10-Q. All pro forma adjustments and their underlying assumptions are described more fully in the notes below.</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Accounting Policies</w:t>
      </w:r>
    </w:p>
    <w:p>
      <w:pPr>
        <w:spacing w:after="0" w:line="1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preparation of these pro forma condensed combined financial statements, we assessed whether there were any material differences between the Company’s accounting policies and Mobile Mini’s accounting policies. The assessment performed did not identify any material differences and, as such, these pro forma condensed combined financial statements do not adjust for or assume any differences in accounting policies between WillScot and Mobile Mini.</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D2758"/>
        </w:rPr>
        <w:t>Pro forma Presentation</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pro forma condensed combined financial information and associated notes are based on the historical financial statements of WillScot and Mobile Mini as described below. In preparing the pro forma condensed combined statements of operations for the three months ended March 31, 2020, certain historical financial information for Mobile Mini was reclassified to align to the reporting classifications of WillScot.</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pro forma condensed combined statement of operations for the three months ended March 31, 2020 are based on, derived from, and should be read in conjunction with, WillScot’s historical financial statements.. The aforementioned pro forma financial statements are also based on, derived from, and should be read in conjunction with Mobile Mini’s historical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3100" w:type="dxa"/>
            <w:vAlign w:val="bottom"/>
            <w:gridSpan w:val="6"/>
            <w:shd w:val="clear" w:color="auto" w:fill="1D2758"/>
          </w:tcPr>
          <w:p>
            <w:pPr>
              <w:ind w:left="100"/>
              <w:spacing w:after="0"/>
              <w:rPr>
                <w:sz w:val="20"/>
                <w:szCs w:val="20"/>
                <w:color w:val="auto"/>
              </w:rPr>
            </w:pPr>
            <w:r>
              <w:rPr>
                <w:rFonts w:ascii="Arial" w:cs="Arial" w:eastAsia="Arial" w:hAnsi="Arial"/>
                <w:sz w:val="16"/>
                <w:szCs w:val="16"/>
                <w:b w:val="1"/>
                <w:bCs w:val="1"/>
                <w:color w:val="FFFFFF"/>
              </w:rPr>
              <w:t>Three Months Ended March 31, 2020</w:t>
            </w:r>
          </w:p>
        </w:tc>
        <w:tc>
          <w:tcPr>
            <w:tcW w:w="200" w:type="dxa"/>
            <w:vAlign w:val="bottom"/>
            <w:shd w:val="clear" w:color="auto" w:fill="1D2758"/>
          </w:tcPr>
          <w:p>
            <w:pPr>
              <w:spacing w:after="0"/>
              <w:rPr>
                <w:sz w:val="18"/>
                <w:szCs w:val="18"/>
                <w:color w:val="auto"/>
              </w:rPr>
            </w:pPr>
          </w:p>
        </w:tc>
        <w:tc>
          <w:tcPr>
            <w:tcW w:w="126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1D2758"/>
          </w:tcPr>
          <w:p>
            <w:pPr>
              <w:spacing w:after="0"/>
              <w:rPr>
                <w:sz w:val="14"/>
                <w:szCs w:val="14"/>
                <w:color w:val="auto"/>
              </w:rPr>
            </w:pPr>
          </w:p>
        </w:tc>
        <w:tc>
          <w:tcPr>
            <w:tcW w:w="1560" w:type="dxa"/>
            <w:vAlign w:val="bottom"/>
            <w:gridSpan w:val="3"/>
            <w:vMerge w:val="restart"/>
            <w:shd w:val="clear" w:color="auto" w:fill="1D2758"/>
          </w:tcPr>
          <w:p>
            <w:pPr>
              <w:ind w:left="20"/>
              <w:spacing w:after="0"/>
              <w:rPr>
                <w:sz w:val="20"/>
                <w:szCs w:val="20"/>
                <w:color w:val="auto"/>
              </w:rPr>
            </w:pPr>
            <w:r>
              <w:rPr>
                <w:rFonts w:ascii="Arial" w:cs="Arial" w:eastAsia="Arial" w:hAnsi="Arial"/>
                <w:sz w:val="16"/>
                <w:szCs w:val="16"/>
                <w:b w:val="1"/>
                <w:bCs w:val="1"/>
                <w:color w:val="FFFFFF"/>
              </w:rPr>
              <w:t>Historical WillScot</w:t>
            </w:r>
          </w:p>
        </w:tc>
        <w:tc>
          <w:tcPr>
            <w:tcW w:w="1540" w:type="dxa"/>
            <w:vAlign w:val="bottom"/>
            <w:gridSpan w:val="3"/>
            <w:shd w:val="clear" w:color="auto" w:fill="1D2758"/>
          </w:tcPr>
          <w:p>
            <w:pPr>
              <w:jc w:val="center"/>
              <w:ind w:right="100"/>
              <w:spacing w:after="0" w:line="162" w:lineRule="exact"/>
              <w:rPr>
                <w:sz w:val="20"/>
                <w:szCs w:val="20"/>
                <w:color w:val="auto"/>
              </w:rPr>
            </w:pPr>
            <w:r>
              <w:rPr>
                <w:rFonts w:ascii="Arial" w:cs="Arial" w:eastAsia="Arial" w:hAnsi="Arial"/>
                <w:sz w:val="16"/>
                <w:szCs w:val="16"/>
                <w:b w:val="1"/>
                <w:bCs w:val="1"/>
                <w:color w:val="FFFFFF"/>
                <w:w w:val="99"/>
              </w:rPr>
              <w:t>Historical Mobile</w:t>
            </w:r>
          </w:p>
        </w:tc>
        <w:tc>
          <w:tcPr>
            <w:tcW w:w="180" w:type="dxa"/>
            <w:vAlign w:val="bottom"/>
            <w:shd w:val="clear" w:color="auto" w:fill="1D2758"/>
          </w:tcPr>
          <w:p>
            <w:pPr>
              <w:spacing w:after="0"/>
              <w:rPr>
                <w:sz w:val="14"/>
                <w:szCs w:val="14"/>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Pro Forma</w:t>
            </w:r>
          </w:p>
        </w:tc>
        <w:tc>
          <w:tcPr>
            <w:tcW w:w="200" w:type="dxa"/>
            <w:vAlign w:val="bottom"/>
            <w:shd w:val="clear" w:color="auto" w:fill="1D2758"/>
          </w:tcPr>
          <w:p>
            <w:pPr>
              <w:spacing w:after="0"/>
              <w:rPr>
                <w:sz w:val="14"/>
                <w:szCs w:val="14"/>
                <w:color w:val="auto"/>
              </w:rPr>
            </w:pPr>
          </w:p>
        </w:tc>
        <w:tc>
          <w:tcPr>
            <w:tcW w:w="1260" w:type="dxa"/>
            <w:vAlign w:val="bottom"/>
            <w:shd w:val="clear" w:color="auto" w:fill="1D2758"/>
          </w:tcPr>
          <w:p>
            <w:pPr>
              <w:jc w:val="center"/>
              <w:ind w:right="119"/>
              <w:spacing w:after="0" w:line="162" w:lineRule="exact"/>
              <w:rPr>
                <w:sz w:val="20"/>
                <w:szCs w:val="20"/>
                <w:color w:val="auto"/>
              </w:rPr>
            </w:pPr>
            <w:r>
              <w:rPr>
                <w:rFonts w:ascii="Arial" w:cs="Arial" w:eastAsia="Arial" w:hAnsi="Arial"/>
                <w:sz w:val="16"/>
                <w:szCs w:val="16"/>
                <w:b w:val="1"/>
                <w:bCs w:val="1"/>
                <w:color w:val="FFFFFF"/>
              </w:rPr>
              <w:t>Pro Forma</w:t>
            </w:r>
          </w:p>
        </w:tc>
        <w:tc>
          <w:tcPr>
            <w:tcW w:w="3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560" w:type="dxa"/>
            <w:vAlign w:val="bottom"/>
            <w:gridSpan w:val="3"/>
            <w:vMerge w:val="continue"/>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360" w:type="dxa"/>
            <w:vAlign w:val="bottom"/>
            <w:gridSpan w:val="2"/>
            <w:shd w:val="clear" w:color="auto" w:fill="1D2758"/>
          </w:tcPr>
          <w:p>
            <w:pPr>
              <w:jc w:val="center"/>
              <w:ind w:right="280"/>
              <w:spacing w:after="0" w:line="162" w:lineRule="exact"/>
              <w:rPr>
                <w:sz w:val="20"/>
                <w:szCs w:val="20"/>
                <w:color w:val="auto"/>
              </w:rPr>
            </w:pPr>
            <w:r>
              <w:rPr>
                <w:rFonts w:ascii="Arial" w:cs="Arial" w:eastAsia="Arial" w:hAnsi="Arial"/>
                <w:sz w:val="16"/>
                <w:szCs w:val="16"/>
                <w:b w:val="1"/>
                <w:bCs w:val="1"/>
                <w:color w:val="FFFFFF"/>
              </w:rPr>
              <w:t>Mini (as</w:t>
            </w:r>
          </w:p>
        </w:tc>
        <w:tc>
          <w:tcPr>
            <w:tcW w:w="180" w:type="dxa"/>
            <w:vAlign w:val="bottom"/>
            <w:shd w:val="clear" w:color="auto" w:fill="1D2758"/>
          </w:tcPr>
          <w:p>
            <w:pPr>
              <w:spacing w:after="0"/>
              <w:rPr>
                <w:sz w:val="14"/>
                <w:szCs w:val="14"/>
                <w:color w:val="auto"/>
              </w:rPr>
            </w:pPr>
          </w:p>
        </w:tc>
        <w:tc>
          <w:tcPr>
            <w:tcW w:w="1380" w:type="dxa"/>
            <w:vAlign w:val="bottom"/>
            <w:gridSpan w:val="2"/>
            <w:vMerge w:val="continue"/>
            <w:shd w:val="clear" w:color="auto" w:fill="1D2758"/>
          </w:tcPr>
          <w:p>
            <w:pPr>
              <w:spacing w:after="0"/>
              <w:rPr>
                <w:sz w:val="14"/>
                <w:szCs w:val="14"/>
                <w:color w:val="auto"/>
              </w:rPr>
            </w:pPr>
          </w:p>
        </w:tc>
        <w:tc>
          <w:tcPr>
            <w:tcW w:w="200" w:type="dxa"/>
            <w:vAlign w:val="bottom"/>
            <w:shd w:val="clear" w:color="auto" w:fill="1D2758"/>
          </w:tcPr>
          <w:p>
            <w:pPr>
              <w:spacing w:after="0"/>
              <w:rPr>
                <w:sz w:val="14"/>
                <w:szCs w:val="14"/>
                <w:color w:val="auto"/>
              </w:rPr>
            </w:pPr>
          </w:p>
        </w:tc>
        <w:tc>
          <w:tcPr>
            <w:tcW w:w="1260" w:type="dxa"/>
            <w:vAlign w:val="bottom"/>
            <w:shd w:val="clear" w:color="auto" w:fill="1D2758"/>
          </w:tcPr>
          <w:p>
            <w:pPr>
              <w:jc w:val="center"/>
              <w:ind w:right="139"/>
              <w:spacing w:after="0" w:line="162" w:lineRule="exact"/>
              <w:rPr>
                <w:sz w:val="20"/>
                <w:szCs w:val="20"/>
                <w:color w:val="auto"/>
              </w:rPr>
            </w:pPr>
            <w:r>
              <w:rPr>
                <w:rFonts w:ascii="Arial" w:cs="Arial" w:eastAsia="Arial" w:hAnsi="Arial"/>
                <w:sz w:val="16"/>
                <w:szCs w:val="16"/>
                <w:b w:val="1"/>
                <w:bCs w:val="1"/>
                <w:color w:val="FFFFFF"/>
              </w:rPr>
              <w:t>Condensed</w:t>
            </w:r>
          </w:p>
        </w:tc>
        <w:tc>
          <w:tcPr>
            <w:tcW w:w="36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760" w:type="dxa"/>
            <w:vAlign w:val="bottom"/>
            <w:vMerge w:val="continue"/>
            <w:shd w:val="clear" w:color="auto" w:fill="1D2758"/>
          </w:tcPr>
          <w:p>
            <w:pPr>
              <w:spacing w:after="0"/>
              <w:rPr>
                <w:sz w:val="10"/>
                <w:szCs w:val="10"/>
                <w:color w:val="auto"/>
              </w:rPr>
            </w:pPr>
          </w:p>
        </w:tc>
        <w:tc>
          <w:tcPr>
            <w:tcW w:w="180" w:type="dxa"/>
            <w:vAlign w:val="bottom"/>
            <w:shd w:val="clear" w:color="auto" w:fill="1D2758"/>
          </w:tcPr>
          <w:p>
            <w:pPr>
              <w:spacing w:after="0"/>
              <w:rPr>
                <w:sz w:val="10"/>
                <w:szCs w:val="10"/>
                <w:color w:val="auto"/>
              </w:rPr>
            </w:pPr>
          </w:p>
        </w:tc>
        <w:tc>
          <w:tcPr>
            <w:tcW w:w="1380" w:type="dxa"/>
            <w:vAlign w:val="bottom"/>
            <w:gridSpan w:val="2"/>
            <w:vMerge w:val="restart"/>
            <w:shd w:val="clear" w:color="auto" w:fill="1D2758"/>
          </w:tcPr>
          <w:p>
            <w:pPr>
              <w:ind w:left="60"/>
              <w:spacing w:after="0"/>
              <w:rPr>
                <w:sz w:val="20"/>
                <w:szCs w:val="20"/>
                <w:color w:val="auto"/>
              </w:rPr>
            </w:pPr>
            <w:r>
              <w:rPr>
                <w:rFonts w:ascii="Arial" w:cs="Arial" w:eastAsia="Arial" w:hAnsi="Arial"/>
                <w:sz w:val="16"/>
                <w:szCs w:val="16"/>
                <w:b w:val="1"/>
                <w:bCs w:val="1"/>
                <w:color w:val="FFFFFF"/>
              </w:rPr>
              <w:t>(as restated)</w:t>
            </w:r>
          </w:p>
        </w:tc>
        <w:tc>
          <w:tcPr>
            <w:tcW w:w="180" w:type="dxa"/>
            <w:vAlign w:val="bottom"/>
            <w:shd w:val="clear" w:color="auto" w:fill="1D2758"/>
          </w:tcPr>
          <w:p>
            <w:pPr>
              <w:spacing w:after="0"/>
              <w:rPr>
                <w:sz w:val="10"/>
                <w:szCs w:val="10"/>
                <w:color w:val="auto"/>
              </w:rPr>
            </w:pPr>
          </w:p>
        </w:tc>
        <w:tc>
          <w:tcPr>
            <w:tcW w:w="136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reclassified)</w:t>
            </w:r>
          </w:p>
        </w:tc>
        <w:tc>
          <w:tcPr>
            <w:tcW w:w="180" w:type="dxa"/>
            <w:vAlign w:val="bottom"/>
            <w:shd w:val="clear" w:color="auto" w:fill="1D2758"/>
          </w:tcPr>
          <w:p>
            <w:pPr>
              <w:spacing w:after="0"/>
              <w:rPr>
                <w:sz w:val="10"/>
                <w:szCs w:val="10"/>
                <w:color w:val="auto"/>
              </w:rPr>
            </w:pPr>
          </w:p>
        </w:tc>
        <w:tc>
          <w:tcPr>
            <w:tcW w:w="1380" w:type="dxa"/>
            <w:vAlign w:val="bottom"/>
            <w:gridSpan w:val="2"/>
            <w:vMerge w:val="restart"/>
            <w:shd w:val="clear" w:color="auto" w:fill="1D2758"/>
          </w:tcPr>
          <w:p>
            <w:pPr>
              <w:jc w:val="center"/>
              <w:ind w:right="280"/>
              <w:spacing w:after="0"/>
              <w:rPr>
                <w:sz w:val="20"/>
                <w:szCs w:val="20"/>
                <w:color w:val="auto"/>
              </w:rPr>
            </w:pPr>
            <w:r>
              <w:rPr>
                <w:rFonts w:ascii="Arial" w:cs="Arial" w:eastAsia="Arial" w:hAnsi="Arial"/>
                <w:sz w:val="16"/>
                <w:szCs w:val="16"/>
                <w:b w:val="1"/>
                <w:bCs w:val="1"/>
                <w:color w:val="FFFFFF"/>
              </w:rPr>
              <w:t>Adjustments</w:t>
            </w:r>
          </w:p>
        </w:tc>
        <w:tc>
          <w:tcPr>
            <w:tcW w:w="200" w:type="dxa"/>
            <w:vAlign w:val="bottom"/>
            <w:shd w:val="clear" w:color="auto" w:fill="1D2758"/>
          </w:tcPr>
          <w:p>
            <w:pPr>
              <w:spacing w:after="0"/>
              <w:rPr>
                <w:sz w:val="10"/>
                <w:szCs w:val="10"/>
                <w:color w:val="auto"/>
              </w:rPr>
            </w:pPr>
          </w:p>
        </w:tc>
        <w:tc>
          <w:tcPr>
            <w:tcW w:w="1260" w:type="dxa"/>
            <w:vAlign w:val="bottom"/>
            <w:vMerge w:val="restart"/>
            <w:shd w:val="clear" w:color="auto" w:fill="1D2758"/>
          </w:tcPr>
          <w:p>
            <w:pPr>
              <w:jc w:val="center"/>
              <w:ind w:right="119"/>
              <w:spacing w:after="0"/>
              <w:rPr>
                <w:sz w:val="20"/>
                <w:szCs w:val="20"/>
                <w:color w:val="auto"/>
              </w:rPr>
            </w:pPr>
            <w:r>
              <w:rPr>
                <w:rFonts w:ascii="Arial" w:cs="Arial" w:eastAsia="Arial" w:hAnsi="Arial"/>
                <w:sz w:val="16"/>
                <w:szCs w:val="16"/>
                <w:b w:val="1"/>
                <w:bCs w:val="1"/>
                <w:color w:val="FFFFFF"/>
                <w:w w:val="99"/>
              </w:rPr>
              <w:t>Combined</w:t>
            </w:r>
          </w:p>
        </w:tc>
        <w:tc>
          <w:tcPr>
            <w:tcW w:w="360" w:type="dxa"/>
            <w:vAlign w:val="bottom"/>
            <w:shd w:val="clear" w:color="auto" w:fill="1D2758"/>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760" w:type="dxa"/>
            <w:vAlign w:val="bottom"/>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80" w:type="dxa"/>
            <w:vAlign w:val="bottom"/>
            <w:gridSpan w:val="2"/>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60" w:type="dxa"/>
            <w:vAlign w:val="bottom"/>
            <w:gridSpan w:val="2"/>
            <w:vMerge w:val="continue"/>
            <w:shd w:val="clear" w:color="auto" w:fill="1D2758"/>
          </w:tcPr>
          <w:p>
            <w:pPr>
              <w:spacing w:after="0"/>
              <w:rPr>
                <w:sz w:val="8"/>
                <w:szCs w:val="8"/>
                <w:color w:val="auto"/>
              </w:rPr>
            </w:pPr>
          </w:p>
        </w:tc>
        <w:tc>
          <w:tcPr>
            <w:tcW w:w="180" w:type="dxa"/>
            <w:vAlign w:val="bottom"/>
            <w:shd w:val="clear" w:color="auto" w:fill="1D2758"/>
          </w:tcPr>
          <w:p>
            <w:pPr>
              <w:spacing w:after="0"/>
              <w:rPr>
                <w:sz w:val="8"/>
                <w:szCs w:val="8"/>
                <w:color w:val="auto"/>
              </w:rPr>
            </w:pPr>
          </w:p>
        </w:tc>
        <w:tc>
          <w:tcPr>
            <w:tcW w:w="1380" w:type="dxa"/>
            <w:vAlign w:val="bottom"/>
            <w:gridSpan w:val="2"/>
            <w:vMerge w:val="continue"/>
            <w:shd w:val="clear" w:color="auto" w:fill="1D2758"/>
          </w:tcPr>
          <w:p>
            <w:pPr>
              <w:spacing w:after="0"/>
              <w:rPr>
                <w:sz w:val="8"/>
                <w:szCs w:val="8"/>
                <w:color w:val="auto"/>
              </w:rPr>
            </w:pPr>
          </w:p>
        </w:tc>
        <w:tc>
          <w:tcPr>
            <w:tcW w:w="200" w:type="dxa"/>
            <w:vAlign w:val="bottom"/>
            <w:shd w:val="clear" w:color="auto" w:fill="1D2758"/>
          </w:tcPr>
          <w:p>
            <w:pPr>
              <w:spacing w:after="0"/>
              <w:rPr>
                <w:sz w:val="8"/>
                <w:szCs w:val="8"/>
                <w:color w:val="auto"/>
              </w:rPr>
            </w:pPr>
          </w:p>
        </w:tc>
        <w:tc>
          <w:tcPr>
            <w:tcW w:w="1260" w:type="dxa"/>
            <w:vAlign w:val="bottom"/>
            <w:vMerge w:val="continue"/>
            <w:shd w:val="clear" w:color="auto" w:fill="1D2758"/>
          </w:tcPr>
          <w:p>
            <w:pPr>
              <w:spacing w:after="0"/>
              <w:rPr>
                <w:sz w:val="8"/>
                <w:szCs w:val="8"/>
                <w:color w:val="auto"/>
              </w:rPr>
            </w:pPr>
          </w:p>
        </w:tc>
        <w:tc>
          <w:tcPr>
            <w:tcW w:w="36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188,352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108,228</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296,580</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85,103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14,422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6,786</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3,506</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10,292</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150,576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406,397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49,809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15,878</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65,687</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68,387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9,267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2,137</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5,943</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45,948</w:t>
            </w:r>
          </w:p>
        </w:tc>
        <w:tc>
          <w:tcPr>
            <w:tcW w:w="10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7,756</w:t>
            </w:r>
          </w:p>
        </w:tc>
        <w:tc>
          <w:tcPr>
            <w:tcW w:w="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54,871</w:t>
            </w:r>
          </w:p>
        </w:tc>
        <w:tc>
          <w:tcPr>
            <w:tcW w:w="36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13"/>
        </w:trPr>
        <w:tc>
          <w:tcPr>
            <w:tcW w:w="476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106,190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97,219</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202,242</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65,537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63,285</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(24,651)</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104,171</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18,479</w:t>
            </w:r>
          </w:p>
        </w:tc>
        <w:tc>
          <w:tcPr>
            <w:tcW w:w="360" w:type="dxa"/>
            <w:vAlign w:val="bottom"/>
          </w:tcPr>
          <w:p>
            <w:pPr>
              <w:jc w:val="right"/>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Lease impairment expense and other related charges</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1,661</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net</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901</w:t>
            </w:r>
          </w:p>
        </w:tc>
        <w:tc>
          <w:tcPr>
            <w:tcW w:w="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Other expense,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Borders>
              <w:top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Operating income</w:t>
            </w:r>
          </w:p>
        </w:tc>
        <w:tc>
          <w:tcPr>
            <w:tcW w:w="18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25,373</w:t>
            </w: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24,168</w:t>
            </w:r>
          </w:p>
        </w:tc>
        <w:tc>
          <w:tcPr>
            <w:tcW w:w="8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17,815</w:t>
            </w: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67,356</w:t>
            </w:r>
          </w:p>
        </w:tc>
        <w:tc>
          <w:tcPr>
            <w:tcW w:w="360" w:type="dxa"/>
            <w:vAlign w:val="bottom"/>
            <w:tcBorders>
              <w:top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31,370</w:t>
            </w:r>
          </w:p>
        </w:tc>
        <w:tc>
          <w:tcPr>
            <w:tcW w:w="360" w:type="dxa"/>
            <w:vAlign w:val="bottom"/>
          </w:tcPr>
          <w:p>
            <w:pPr>
              <w:jc w:val="right"/>
              <w:spacing w:after="0"/>
              <w:rPr>
                <w:sz w:val="20"/>
                <w:szCs w:val="20"/>
                <w:color w:val="auto"/>
              </w:rPr>
            </w:pPr>
            <w:r>
              <w:rPr>
                <w:rFonts w:ascii="Arial" w:cs="Arial" w:eastAsia="Arial" w:hAnsi="Arial"/>
                <w:sz w:val="16"/>
                <w:szCs w:val="16"/>
                <w:color w:val="auto"/>
              </w:rPr>
              <w:t>(d)</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Fair value gain on common stock warrant liabilities</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(95,329)</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(95,329)</w:t>
            </w:r>
          </w:p>
        </w:tc>
        <w:tc>
          <w:tcPr>
            <w:tcW w:w="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460"/>
              <w:spacing w:after="0"/>
              <w:rPr>
                <w:sz w:val="20"/>
                <w:szCs w:val="20"/>
                <w:color w:val="auto"/>
              </w:rPr>
            </w:pPr>
            <w:r>
              <w:rPr>
                <w:rFonts w:ascii="Arial" w:cs="Arial" w:eastAsia="Arial" w:hAnsi="Arial"/>
                <w:sz w:val="16"/>
                <w:szCs w:val="16"/>
                <w:color w:val="auto"/>
              </w:rPr>
              <w:t>Income before income tax</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14,907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23,963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131,315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6,110</w:t>
            </w:r>
          </w:p>
        </w:tc>
        <w:tc>
          <w:tcPr>
            <w:tcW w:w="10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13,506</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(e)</w:t>
            </w:r>
          </w:p>
        </w:tc>
        <w:tc>
          <w:tcPr>
            <w:tcW w:w="0" w:type="dxa"/>
            <w:vAlign w:val="bottom"/>
          </w:tcPr>
          <w:p>
            <w:pPr>
              <w:spacing w:after="0"/>
              <w:rPr>
                <w:sz w:val="1"/>
                <w:szCs w:val="1"/>
                <w:color w:val="auto"/>
              </w:rPr>
            </w:pPr>
          </w:p>
        </w:tc>
      </w:tr>
      <w:tr>
        <w:trPr>
          <w:trHeight w:val="209"/>
        </w:trPr>
        <w:tc>
          <w:tcPr>
            <w:tcW w:w="4760" w:type="dxa"/>
            <w:vAlign w:val="bottom"/>
          </w:tcPr>
          <w:p>
            <w:pPr>
              <w:ind w:left="46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117,809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Net income attributable to WillScot Mobile Mini</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8,301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117,809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1"/>
        </w:trPr>
        <w:tc>
          <w:tcPr>
            <w:tcW w:w="4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Notes to Pro Forma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5"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elimination of non-recurring transaction costs incurred as a result of the Mobile Mini Merger.</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adjustment for depreciation of rental fleet relating to the estimated increase in fair value purchase accounting adjustments as a result of the Merger.</w:t>
      </w:r>
    </w:p>
    <w:p>
      <w:pPr>
        <w:spacing w:after="0" w:line="28"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differential in other depreciation and amortization expense related to the provisional fair value purchase accounting adjustments as a result of the Merger.er 30, 2019.</w:t>
      </w:r>
    </w:p>
    <w:p>
      <w:pPr>
        <w:spacing w:after="0" w:line="16" w:lineRule="exact"/>
        <w:rPr>
          <w:rFonts w:ascii="Arial" w:cs="Arial" w:eastAsia="Arial" w:hAnsi="Arial"/>
          <w:sz w:val="14"/>
          <w:szCs w:val="14"/>
          <w:color w:val="auto"/>
        </w:rPr>
      </w:pPr>
    </w:p>
    <w:p>
      <w:pPr>
        <w:jc w:val="both"/>
        <w:ind w:left="480" w:right="20" w:hanging="454"/>
        <w:spacing w:after="0" w:line="219"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incremental interest expense related to our debt structure after the Merger as though the following had occurred on January 1, 2019 (i) borrowings under the 2020 ABL Facility, (ii) borrowings under the 2025 Secured Notes, (iii) repayment of the 2017 ABL Facility, (iv) repayment of the 2022 Secured Notes and repayment of the Mobile Mini debt assumed at the Merger.</w:t>
      </w:r>
    </w:p>
    <w:p>
      <w:pPr>
        <w:spacing w:after="0" w:line="18" w:lineRule="exact"/>
        <w:rPr>
          <w:rFonts w:ascii="Arial" w:cs="Arial" w:eastAsia="Arial" w:hAnsi="Arial"/>
          <w:sz w:val="14"/>
          <w:szCs w:val="14"/>
          <w:color w:val="auto"/>
        </w:rPr>
      </w:pPr>
    </w:p>
    <w:p>
      <w:pPr>
        <w:ind w:left="480" w:right="20" w:hanging="454"/>
        <w:spacing w:after="0" w:line="229"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adjustment to recognize the income tax impacts of the unaudited pro forma adjustments for which a tax expense is recognized using a U.S. federal and state statutory tax rate of 25.5%. This rate may vary from the effective tax rates of the historical and combined businesses.</w:t>
      </w:r>
    </w:p>
    <w:p>
      <w:pPr>
        <w:spacing w:after="0" w:line="16" w:lineRule="exact"/>
        <w:rPr>
          <w:rFonts w:ascii="Arial" w:cs="Arial" w:eastAsia="Arial" w:hAnsi="Arial"/>
          <w:sz w:val="14"/>
          <w:szCs w:val="14"/>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the adjustment for the extinguishment of non-controlling interest as a result of the Sapphire Exchange on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ind w:left="660"/>
              <w:spacing w:after="0"/>
              <w:rPr>
                <w:sz w:val="20"/>
                <w:szCs w:val="20"/>
                <w:color w:val="auto"/>
              </w:rPr>
            </w:pPr>
            <w:r>
              <w:rPr>
                <w:rFonts w:ascii="Arial" w:cs="Arial" w:eastAsia="Arial" w:hAnsi="Arial"/>
                <w:sz w:val="16"/>
                <w:szCs w:val="16"/>
                <w:color w:val="auto"/>
              </w:rPr>
              <w:t>The pro forma adjustment to interest expense consists of the following:</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27"/>
        </w:trPr>
        <w:tc>
          <w:tcPr>
            <w:tcW w:w="7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60" w:type="dxa"/>
            <w:vAlign w:val="bottom"/>
          </w:tcPr>
          <w:p>
            <w:pPr>
              <w:spacing w:after="0"/>
              <w:rPr>
                <w:sz w:val="11"/>
                <w:szCs w:val="11"/>
                <w:color w:val="auto"/>
              </w:rPr>
            </w:pPr>
          </w:p>
        </w:tc>
      </w:tr>
      <w:tr>
        <w:trPr>
          <w:trHeight w:val="215"/>
        </w:trPr>
        <w:tc>
          <w:tcPr>
            <w:tcW w:w="78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060" w:type="dxa"/>
            <w:vAlign w:val="bottom"/>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Three Months Ended March 31,</w:t>
            </w:r>
          </w:p>
        </w:tc>
      </w:tr>
      <w:tr>
        <w:trPr>
          <w:trHeight w:val="217"/>
        </w:trPr>
        <w:tc>
          <w:tcPr>
            <w:tcW w:w="78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060" w:type="dxa"/>
            <w:vAlign w:val="bottom"/>
            <w:shd w:val="clear" w:color="auto" w:fill="1D2758"/>
          </w:tcPr>
          <w:p>
            <w:pPr>
              <w:jc w:val="right"/>
              <w:ind w:right="1419"/>
              <w:spacing w:after="0"/>
              <w:rPr>
                <w:sz w:val="20"/>
                <w:szCs w:val="20"/>
                <w:color w:val="auto"/>
              </w:rPr>
            </w:pPr>
            <w:r>
              <w:rPr>
                <w:rFonts w:ascii="Arial" w:cs="Arial" w:eastAsia="Arial" w:hAnsi="Arial"/>
                <w:sz w:val="16"/>
                <w:szCs w:val="16"/>
                <w:b w:val="1"/>
                <w:bCs w:val="1"/>
                <w:color w:val="FFFFFF"/>
              </w:rPr>
              <w:t>2020</w:t>
            </w:r>
          </w:p>
        </w:tc>
      </w:tr>
      <w:tr>
        <w:trPr>
          <w:trHeight w:val="216"/>
        </w:trPr>
        <w:tc>
          <w:tcPr>
            <w:tcW w:w="7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ABL Facility interest</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2022 Secured Notes interest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(5,316)</w:t>
            </w:r>
          </w:p>
        </w:tc>
      </w:tr>
      <w:tr>
        <w:trPr>
          <w:trHeight w:val="219"/>
        </w:trPr>
        <w:tc>
          <w:tcPr>
            <w:tcW w:w="7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2025 Secured Notes interest</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9,953</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Mobile Mini debt interest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(8,712)</w:t>
            </w:r>
          </w:p>
        </w:tc>
      </w:tr>
      <w:tr>
        <w:trPr>
          <w:trHeight w:val="216"/>
        </w:trPr>
        <w:tc>
          <w:tcPr>
            <w:tcW w:w="7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financing fee amortization</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3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531</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 forma adjustment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60" w:type="dxa"/>
            <w:vAlign w:val="bottom"/>
          </w:tcPr>
          <w:p>
            <w:pPr>
              <w:jc w:val="right"/>
              <w:spacing w:after="0"/>
              <w:rPr>
                <w:sz w:val="20"/>
                <w:szCs w:val="20"/>
                <w:color w:val="auto"/>
              </w:rPr>
            </w:pPr>
            <w:r>
              <w:rPr>
                <w:rFonts w:ascii="Arial" w:cs="Arial" w:eastAsia="Arial" w:hAnsi="Arial"/>
                <w:sz w:val="16"/>
                <w:szCs w:val="16"/>
                <w:color w:val="auto"/>
              </w:rPr>
              <w:t>(6,148)</w:t>
            </w:r>
          </w:p>
        </w:tc>
      </w:tr>
      <w:tr>
        <w:trPr>
          <w:trHeight w:val="20"/>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Reconciliation of Pro Forma Adjusted EBITDA</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table provides a reconciliation of Net income (loss) to pro forma unaudited adjusted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060" w:type="dxa"/>
            <w:vAlign w:val="bottom"/>
            <w:shd w:val="clear" w:color="auto" w:fill="1D2758"/>
          </w:tcPr>
          <w:p>
            <w:pPr>
              <w:jc w:val="right"/>
              <w:ind w:right="399"/>
              <w:spacing w:after="0"/>
              <w:rPr>
                <w:sz w:val="20"/>
                <w:szCs w:val="20"/>
                <w:color w:val="auto"/>
              </w:rPr>
            </w:pPr>
            <w:r>
              <w:rPr>
                <w:rFonts w:ascii="Arial" w:cs="Arial" w:eastAsia="Arial" w:hAnsi="Arial"/>
                <w:sz w:val="16"/>
                <w:szCs w:val="16"/>
                <w:b w:val="1"/>
                <w:bCs w:val="1"/>
                <w:color w:val="FFFFFF"/>
              </w:rPr>
              <w:t>Three Months Ended March 31,</w:t>
            </w:r>
          </w:p>
        </w:tc>
      </w:tr>
      <w:tr>
        <w:trPr>
          <w:trHeight w:val="216"/>
        </w:trPr>
        <w:tc>
          <w:tcPr>
            <w:tcW w:w="78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0" w:type="dxa"/>
            <w:vAlign w:val="bottom"/>
            <w:shd w:val="clear" w:color="auto" w:fill="1D2758"/>
          </w:tcPr>
          <w:p>
            <w:pPr>
              <w:spacing w:after="0"/>
              <w:rPr>
                <w:sz w:val="18"/>
                <w:szCs w:val="18"/>
                <w:color w:val="auto"/>
              </w:rPr>
            </w:pPr>
          </w:p>
        </w:tc>
        <w:tc>
          <w:tcPr>
            <w:tcW w:w="280" w:type="dxa"/>
            <w:vAlign w:val="bottom"/>
            <w:shd w:val="clear" w:color="auto" w:fill="1D2758"/>
          </w:tcPr>
          <w:p>
            <w:pPr>
              <w:spacing w:after="0"/>
              <w:rPr>
                <w:sz w:val="18"/>
                <w:szCs w:val="18"/>
                <w:color w:val="auto"/>
              </w:rPr>
            </w:pPr>
          </w:p>
        </w:tc>
        <w:tc>
          <w:tcPr>
            <w:tcW w:w="3060" w:type="dxa"/>
            <w:vAlign w:val="bottom"/>
            <w:shd w:val="clear" w:color="auto" w:fill="1D2758"/>
          </w:tcPr>
          <w:p>
            <w:pPr>
              <w:jc w:val="right"/>
              <w:ind w:right="1419"/>
              <w:spacing w:after="0"/>
              <w:rPr>
                <w:sz w:val="20"/>
                <w:szCs w:val="20"/>
                <w:color w:val="auto"/>
              </w:rPr>
            </w:pPr>
            <w:r>
              <w:rPr>
                <w:rFonts w:ascii="Arial" w:cs="Arial" w:eastAsia="Arial" w:hAnsi="Arial"/>
                <w:sz w:val="16"/>
                <w:szCs w:val="16"/>
                <w:b w:val="1"/>
                <w:bCs w:val="1"/>
                <w:color w:val="FFFFFF"/>
              </w:rPr>
              <w:t>2020</w:t>
            </w:r>
          </w:p>
        </w:tc>
      </w:tr>
      <w:tr>
        <w:trPr>
          <w:trHeight w:val="216"/>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 as restated</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117,809</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13,506</w:t>
            </w:r>
          </w:p>
        </w:tc>
      </w:tr>
      <w:tr>
        <w:trPr>
          <w:trHeight w:val="219"/>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31,370</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73,350</w:t>
            </w:r>
          </w:p>
        </w:tc>
      </w:tr>
      <w:tr>
        <w:trPr>
          <w:trHeight w:val="219"/>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Fair value gain on common stock warrant liabilities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(95,329)</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Currency losses,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19"/>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 lease impairment expense, other related charges</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1,601</w:t>
            </w: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Integration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1,685</w:t>
            </w:r>
          </w:p>
        </w:tc>
      </w:tr>
      <w:tr>
        <w:trPr>
          <w:trHeight w:val="219"/>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Stock compensation expense</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4,469</w:t>
            </w:r>
          </w:p>
        </w:tc>
      </w:tr>
      <w:tr>
        <w:trPr>
          <w:trHeight w:val="213"/>
        </w:trPr>
        <w:tc>
          <w:tcPr>
            <w:tcW w:w="78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33"/>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149,420</w:t>
            </w:r>
          </w:p>
        </w:tc>
      </w:tr>
      <w:tr>
        <w:trPr>
          <w:trHeight w:val="20"/>
        </w:trPr>
        <w:tc>
          <w:tcPr>
            <w:tcW w:w="78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1D2758"/>
        </w:rPr>
        <w:t>Critical Accounting Policies and Estimates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2" w:name="page53"/>
    <w:bookmarkEnd w:id="52"/>
    <w:p>
      <w:pPr>
        <w:jc w:val="both"/>
        <w:spacing w:after="0" w:line="260" w:lineRule="auto"/>
        <w:rPr>
          <w:sz w:val="20"/>
          <w:szCs w:val="20"/>
          <w:color w:val="auto"/>
        </w:rPr>
      </w:pPr>
      <w:r>
        <w:rPr>
          <w:rFonts w:ascii="Arial" w:cs="Arial" w:eastAsia="Arial" w:hAnsi="Arial"/>
          <w:sz w:val="16"/>
          <w:szCs w:val="16"/>
          <w:color w:val="auto"/>
        </w:rPr>
        <w:t>application. For a complete discussion of our significant critical accounting policies, see the “Critical Accounting Policies and Estimates” section in Part II, Item 7 of our Annual Report on Form 10-K/A for the year ended December 31, 2020.</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significant changes to our critical accounting policies during the three months ended March 31, 2021.</w:t>
      </w:r>
    </w:p>
    <w:p>
      <w:pPr>
        <w:spacing w:after="0" w:line="358" w:lineRule="exact"/>
        <w:rPr>
          <w:sz w:val="20"/>
          <w:szCs w:val="20"/>
          <w:color w:val="auto"/>
        </w:rPr>
      </w:pPr>
    </w:p>
    <w:p>
      <w:pPr>
        <w:spacing w:after="0"/>
        <w:rPr>
          <w:sz w:val="20"/>
          <w:szCs w:val="20"/>
          <w:color w:val="auto"/>
        </w:rPr>
      </w:pPr>
      <w:r>
        <w:rPr>
          <w:rFonts w:ascii="Arial" w:cs="Arial" w:eastAsia="Arial" w:hAnsi="Arial"/>
          <w:sz w:val="23"/>
          <w:szCs w:val="23"/>
          <w:color w:val="1D2758"/>
        </w:rPr>
        <w:t>Recently Issued Accounting Standards</w:t>
      </w:r>
    </w:p>
    <w:p>
      <w:pPr>
        <w:spacing w:after="0" w:line="5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Refer to Part I, Item 1, Note 1 of the notes to our financial statements included in this Quarterly Report on Form 10-Q for our assessment of recently issued and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3"/>
          <w:szCs w:val="23"/>
          <w:color w:val="1D2758"/>
        </w:rPr>
        <w:t>Cautionary Note Regarding Forward-Looking Statements</w:t>
      </w:r>
    </w:p>
    <w:p>
      <w:pPr>
        <w:spacing w:after="0" w:line="5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w:t>
      </w:r>
    </w:p>
    <w:p>
      <w:pPr>
        <w:spacing w:after="0" w:line="4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WillScot Mobile Mini believes that these forward-looking statements are based on reasonable assumptions, it can give no assurance that any such forward-looking statement will materialize.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Important factors that may affect actual results or outcomes include, among others:</w:t>
      </w:r>
    </w:p>
    <w:p>
      <w:pPr>
        <w:spacing w:after="0" w:line="59" w:lineRule="exact"/>
        <w:rPr>
          <w:sz w:val="20"/>
          <w:szCs w:val="20"/>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successfully acquire and integrate new operations, including Mobile Mini and our conversion to its enterprise resource planning system, and to realize anticipated synergies from the Merger with Mobile Mini;</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global or local economic conditions in the industries and markets in which the Company operates and any changes therein, including financial market conditions and levels of end market demand;</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the global pandemic related to COVID-19, including the financial condition of the Company’s customers and suppliers and employee health and safety;</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cybersecurity and IT systems disruptions, including our ability to manage the business in the event a disaster shuts down our management information systems;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trade policies and changes in trade policies, including the imposition of tariffs, their enforcement and downstream consequences;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portable storage and tank and pump industries;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and recover our rental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effectively launch operations into new geographic markets and/or add other business unit operations in existing markets;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interest rates and commodity prices;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significant increases in raw material and labor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fuel costs or oil prices, a reduction in fuel supplies, or a sustained decline in oil prices;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impairment of our goodwill, intangible assets and indefinite-life intangible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use our net operating loss carryforwards and other tax attributes;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unanticipated changes in our tax obligations, the adoption of a new tax legislation, or exposure to additional income tax liabilities;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various laws and regulations, including those governing government contracts, corruption and the environment;</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the competitive environment of our customer base as a result of the global, national or local economic climate in which they operate and/or economic or financial disruptions to their industry;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operational measures designed to increase revenue while continuing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3" w:name="page54"/>
    <w:bookmarkEnd w:id="53"/>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adequately protect our intellectual property and other proprietary rights that are material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natural disasters and other business disruptions such as pandemics, fires, floods, hurricanes, earthquakes and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casualty or other losses not covered by our insurance;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redeploy our units effectively should a significant number of our leased units be returned during a short period of time;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close our unit sales transactions;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the fair value of common stock warrant liabilities;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maintain an effective system of internal controls and accurately report our financial results and remediate material weaknesses;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requirements that may strain our resources and divert management's attention;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manage growth and execute our business plan;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supply and price of new and used products we lease;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unanticipated threats including market entry by a new competitor;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rising costs adversely affecting our profitability;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other risks and uncertainties described in the periodic reports we file with the SEC from time to time (including our Annual Report on Form 10-K/A for the year ended December 31, 2020), which are available through the SEC’s EDGAR system at www.sec.gov and on our website.</w:t>
      </w:r>
    </w:p>
    <w:p>
      <w:pPr>
        <w:spacing w:after="0" w:line="3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Any forward-looking statement speaks only at the date which it is made, and WillScot Mobile Mini undertakes no obligation, and disclaims any obligation, to update or revise any forward-looking statements, whether as a result of new information, future events or otherwise, except as required by law.</w:t>
      </w:r>
    </w:p>
    <w:p>
      <w:pPr>
        <w:spacing w:after="0" w:line="244" w:lineRule="exact"/>
        <w:rPr>
          <w:sz w:val="20"/>
          <w:szCs w:val="20"/>
          <w:color w:val="auto"/>
        </w:rPr>
      </w:pPr>
    </w:p>
    <w:p>
      <w:pPr>
        <w:ind w:left="1840" w:right="620" w:hanging="1943"/>
        <w:spacing w:after="0" w:line="281" w:lineRule="auto"/>
        <w:tabs>
          <w:tab w:leader="none" w:pos="1820" w:val="left"/>
        </w:tabs>
        <w:rPr>
          <w:sz w:val="20"/>
          <w:szCs w:val="20"/>
          <w:color w:val="auto"/>
        </w:rPr>
      </w:pPr>
      <w:r>
        <w:rPr>
          <w:rFonts w:ascii="Arial" w:cs="Arial" w:eastAsia="Arial" w:hAnsi="Arial"/>
          <w:sz w:val="40"/>
          <w:szCs w:val="40"/>
          <w:b w:val="1"/>
          <w:bCs w:val="1"/>
          <w:color w:val="auto"/>
        </w:rPr>
        <w:t>ITEM 3.</w:t>
        <w:tab/>
        <w:t>Quantitative and Qualitative Disclosures about Market Risk</w:t>
      </w:r>
    </w:p>
    <w:p>
      <w:pPr>
        <w:spacing w:after="0" w:line="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$1.4 billion in outstanding principal under the ABL Facility at March 31, 2021.</w:t>
      </w:r>
    </w:p>
    <w:p>
      <w:pPr>
        <w:spacing w:after="0" w:line="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 million in aggregate notional amount of variable-rate debt under our ABL Facility into fixed-rate debt. The swap agreement provides for WillScot Mobile Mini to pay a fixed rate of 3.06% per annum on the outstanding debt in exchange for receiving a variable interest rate based on 1-month LIBOR. The effect is a synthetically fixed rate of 4.93% on the $400 million notional amount, when including the current applicable margin.</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$2.2 million based on current outstanding borrowings.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However, we are exposed to currency risk principally through our operations in Canada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4" w:name="page55"/>
    <w:bookmarkEnd w:id="54"/>
    <w:p>
      <w:pPr>
        <w:spacing w:after="0"/>
        <w:tabs>
          <w:tab w:leader="none" w:pos="182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Controls and Procedures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March 31, 2021. Based upon that evaluation, our Chief Executive Officer and Chief Financial Officer concluded that our disclosure controls and procedures were effective as of March 31, 2021 and believe that the previously reported material weakness has been remediated.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Description of Material Weakness as of December 31, 2020</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disclosed in further detail in Part II, Item 9A, Controls and Procedures of the 2020 Annual Report on Form 10-K/A, we and our independent registered public accounting firm determined that a material weakness in our internal control over financial reporting, specifically, ineffective controls over the accounting for warrants existed. These control deficiencies resulted in adjustments and disclosures contained in the 2020 Annual Report on Form 10-K/A.</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Remediation Plan</w:t>
      </w:r>
    </w:p>
    <w:p>
      <w:pPr>
        <w:spacing w:after="0" w:line="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Subsequent to the SEC Staff Statement, we implemented a remediation plan that addressed the material weakness in internal control over financial reporting, which related to the accounting for our warrants. In connection with warrant restatement on Form 10-K/A, the Company has conformed its accounting for its warrants to the SEC Staff Statement. The Company has designed and implemented a new control to reassess the classification of liability-or equity-classified warrants consistent with the SEC Staff Statement, which will be executed at each reporting date by individuals with sufficient experience and training. The Company’s remediation plan has been implemented and as of April 30, 2021. We believe we have remediated this material weakness and will test the operational effectiveness of the control during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Other than the item discussed above, there were no changes in our internal control over financial reporting that occurred during our quarter ended March 31, 2021 that materially affected or are reasonably likely to materially affect, our internal control over financial reporting.</w:t>
      </w:r>
    </w:p>
    <w:p>
      <w:pPr>
        <w:spacing w:after="0" w:line="352" w:lineRule="exact"/>
        <w:rPr>
          <w:sz w:val="20"/>
          <w:szCs w:val="20"/>
          <w:color w:val="auto"/>
        </w:rPr>
      </w:pPr>
    </w:p>
    <w:p>
      <w:pPr>
        <w:ind w:left="4940"/>
        <w:spacing w:after="0"/>
        <w:rPr>
          <w:sz w:val="20"/>
          <w:szCs w:val="20"/>
          <w:color w:val="auto"/>
        </w:rPr>
      </w:pPr>
      <w:r>
        <w:rPr>
          <w:rFonts w:ascii="Arial" w:cs="Arial" w:eastAsia="Arial" w:hAnsi="Arial"/>
          <w:sz w:val="40"/>
          <w:szCs w:val="40"/>
          <w:b w:val="1"/>
          <w:bCs w:val="1"/>
          <w:color w:val="1D2758"/>
        </w:rPr>
        <w:t>PART II</w:t>
      </w:r>
    </w:p>
    <w:p>
      <w:pPr>
        <w:spacing w:after="0" w:line="107"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Legal Proceedings</w:t>
      </w:r>
    </w:p>
    <w:p>
      <w:pPr>
        <w:spacing w:after="0" w:line="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of March 31, 2021, there were no material pending legal proceedings in which we or any of our subsidiaries are a party or to which any of our property is subject.</w:t>
      </w:r>
    </w:p>
    <w:p>
      <w:pPr>
        <w:spacing w:after="0" w:line="244" w:lineRule="exact"/>
        <w:rPr>
          <w:sz w:val="20"/>
          <w:szCs w:val="20"/>
          <w:color w:val="auto"/>
        </w:rPr>
      </w:pPr>
    </w:p>
    <w:p>
      <w:pPr>
        <w:spacing w:after="0"/>
        <w:tabs>
          <w:tab w:leader="none" w:pos="2100" w:val="left"/>
        </w:tabs>
        <w:rPr>
          <w:sz w:val="20"/>
          <w:szCs w:val="20"/>
          <w:color w:val="auto"/>
        </w:rPr>
      </w:pPr>
      <w:r>
        <w:rPr>
          <w:rFonts w:ascii="Arial" w:cs="Arial" w:eastAsia="Arial" w:hAnsi="Arial"/>
          <w:sz w:val="40"/>
          <w:szCs w:val="40"/>
          <w:b w:val="1"/>
          <w:bCs w:val="1"/>
          <w:color w:val="auto"/>
        </w:rPr>
        <w:t>ITEM 1A.</w:t>
      </w:r>
      <w:r>
        <w:rPr>
          <w:sz w:val="20"/>
          <w:szCs w:val="20"/>
          <w:color w:val="auto"/>
        </w:rPr>
        <w:tab/>
      </w:r>
      <w:r>
        <w:rPr>
          <w:rFonts w:ascii="Arial" w:cs="Arial" w:eastAsia="Arial" w:hAnsi="Arial"/>
          <w:sz w:val="39"/>
          <w:szCs w:val="39"/>
          <w:b w:val="1"/>
          <w:bCs w:val="1"/>
          <w:color w:val="auto"/>
        </w:rPr>
        <w:t>Risk Factors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Annual Report on Form 10-K/A for the year ended December 31, 2020, which have not materially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526"/>
        </w:trPr>
        <w:tc>
          <w:tcPr>
            <w:tcW w:w="1520" w:type="dxa"/>
            <w:vAlign w:val="bottom"/>
          </w:tcPr>
          <w:p>
            <w:pPr>
              <w:spacing w:after="0"/>
              <w:rPr>
                <w:sz w:val="20"/>
                <w:szCs w:val="20"/>
                <w:color w:val="auto"/>
              </w:rPr>
            </w:pPr>
            <w:r>
              <w:rPr>
                <w:rFonts w:ascii="Arial" w:cs="Arial" w:eastAsia="Arial" w:hAnsi="Arial"/>
                <w:sz w:val="40"/>
                <w:szCs w:val="40"/>
                <w:b w:val="1"/>
                <w:bCs w:val="1"/>
                <w:color w:val="auto"/>
              </w:rPr>
              <w:t>ITEM 2.</w:t>
            </w:r>
          </w:p>
        </w:tc>
        <w:tc>
          <w:tcPr>
            <w:tcW w:w="7720" w:type="dxa"/>
            <w:vAlign w:val="bottom"/>
            <w:gridSpan w:val="6"/>
          </w:tcPr>
          <w:p>
            <w:pPr>
              <w:jc w:val="right"/>
              <w:spacing w:after="0"/>
              <w:rPr>
                <w:sz w:val="20"/>
                <w:szCs w:val="20"/>
                <w:color w:val="auto"/>
              </w:rPr>
            </w:pPr>
            <w:r>
              <w:rPr>
                <w:rFonts w:ascii="Arial" w:cs="Arial" w:eastAsia="Arial" w:hAnsi="Arial"/>
                <w:sz w:val="40"/>
                <w:szCs w:val="40"/>
                <w:b w:val="1"/>
                <w:bCs w:val="1"/>
                <w:color w:val="auto"/>
              </w:rPr>
              <w:t>Unregistered Sales of Equity Securities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020" w:type="dxa"/>
            <w:vAlign w:val="bottom"/>
            <w:gridSpan w:val="6"/>
          </w:tcPr>
          <w:p>
            <w:pPr>
              <w:ind w:left="660"/>
              <w:spacing w:after="0"/>
              <w:rPr>
                <w:sz w:val="20"/>
                <w:szCs w:val="20"/>
                <w:color w:val="auto"/>
              </w:rPr>
            </w:pPr>
            <w:r>
              <w:rPr>
                <w:rFonts w:ascii="Arial" w:cs="Arial" w:eastAsia="Arial" w:hAnsi="Arial"/>
                <w:sz w:val="16"/>
                <w:szCs w:val="16"/>
                <w:color w:val="auto"/>
              </w:rPr>
              <w:t>The following table summarizes our purchase of Common Stock during the first quarter of 2021:</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5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2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20" w:type="dxa"/>
            <w:vAlign w:val="bottom"/>
            <w:shd w:val="clear" w:color="auto" w:fill="1D2758"/>
          </w:tcPr>
          <w:p>
            <w:pPr>
              <w:spacing w:after="0"/>
              <w:rPr>
                <w:sz w:val="14"/>
                <w:szCs w:val="14"/>
                <w:color w:val="auto"/>
              </w:rPr>
            </w:pPr>
          </w:p>
        </w:tc>
        <w:tc>
          <w:tcPr>
            <w:tcW w:w="2240" w:type="dxa"/>
            <w:vAlign w:val="bottom"/>
            <w:shd w:val="clear" w:color="auto" w:fill="1D2758"/>
          </w:tcPr>
          <w:p>
            <w:pPr>
              <w:spacing w:after="0"/>
              <w:rPr>
                <w:sz w:val="14"/>
                <w:szCs w:val="14"/>
                <w:color w:val="auto"/>
              </w:rPr>
            </w:pPr>
          </w:p>
        </w:tc>
        <w:tc>
          <w:tcPr>
            <w:tcW w:w="14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Total Number of</w:t>
            </w:r>
          </w:p>
        </w:tc>
        <w:tc>
          <w:tcPr>
            <w:tcW w:w="260" w:type="dxa"/>
            <w:vAlign w:val="bottom"/>
            <w:shd w:val="clear" w:color="auto" w:fill="1D2758"/>
          </w:tcPr>
          <w:p>
            <w:pPr>
              <w:spacing w:after="0"/>
              <w:rPr>
                <w:sz w:val="14"/>
                <w:szCs w:val="14"/>
                <w:color w:val="auto"/>
              </w:rPr>
            </w:pPr>
          </w:p>
        </w:tc>
        <w:tc>
          <w:tcPr>
            <w:tcW w:w="1400" w:type="dxa"/>
            <w:vAlign w:val="bottom"/>
            <w:shd w:val="clear" w:color="auto" w:fill="1D2758"/>
          </w:tcPr>
          <w:p>
            <w:pPr>
              <w:spacing w:after="0"/>
              <w:rPr>
                <w:sz w:val="14"/>
                <w:szCs w:val="14"/>
                <w:color w:val="auto"/>
              </w:rPr>
            </w:pPr>
          </w:p>
        </w:tc>
        <w:tc>
          <w:tcPr>
            <w:tcW w:w="21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Total Number of Shares</w:t>
            </w:r>
          </w:p>
        </w:tc>
        <w:tc>
          <w:tcPr>
            <w:tcW w:w="2220" w:type="dxa"/>
            <w:vAlign w:val="bottom"/>
            <w:gridSpan w:val="2"/>
            <w:shd w:val="clear" w:color="auto" w:fill="1D2758"/>
          </w:tcPr>
          <w:p>
            <w:pPr>
              <w:jc w:val="center"/>
              <w:ind w:left="19"/>
              <w:spacing w:after="0" w:line="162" w:lineRule="exact"/>
              <w:rPr>
                <w:sz w:val="20"/>
                <w:szCs w:val="20"/>
                <w:color w:val="auto"/>
              </w:rPr>
            </w:pPr>
            <w:r>
              <w:rPr>
                <w:rFonts w:ascii="Arial" w:cs="Arial" w:eastAsia="Arial" w:hAnsi="Arial"/>
                <w:sz w:val="16"/>
                <w:szCs w:val="16"/>
                <w:b w:val="1"/>
                <w:bCs w:val="1"/>
                <w:color w:val="FFFFFF"/>
              </w:rPr>
              <w:t>Maximum Dollar Value of</w:t>
            </w:r>
          </w:p>
        </w:tc>
        <w:tc>
          <w:tcPr>
            <w:tcW w:w="0" w:type="dxa"/>
            <w:vAlign w:val="bottom"/>
          </w:tcPr>
          <w:p>
            <w:pPr>
              <w:spacing w:after="0"/>
              <w:rPr>
                <w:sz w:val="1"/>
                <w:szCs w:val="1"/>
                <w:color w:val="auto"/>
              </w:rPr>
            </w:pPr>
          </w:p>
        </w:tc>
      </w:tr>
      <w:tr>
        <w:trPr>
          <w:trHeight w:val="162"/>
        </w:trPr>
        <w:tc>
          <w:tcPr>
            <w:tcW w:w="1520" w:type="dxa"/>
            <w:vAlign w:val="bottom"/>
            <w:shd w:val="clear" w:color="auto" w:fill="1D2758"/>
          </w:tcPr>
          <w:p>
            <w:pPr>
              <w:spacing w:after="0"/>
              <w:rPr>
                <w:sz w:val="14"/>
                <w:szCs w:val="14"/>
                <w:color w:val="auto"/>
              </w:rPr>
            </w:pPr>
          </w:p>
        </w:tc>
        <w:tc>
          <w:tcPr>
            <w:tcW w:w="2240" w:type="dxa"/>
            <w:vAlign w:val="bottom"/>
            <w:shd w:val="clear" w:color="auto" w:fill="1D2758"/>
          </w:tcPr>
          <w:p>
            <w:pPr>
              <w:spacing w:after="0"/>
              <w:rPr>
                <w:sz w:val="14"/>
                <w:szCs w:val="14"/>
                <w:color w:val="auto"/>
              </w:rPr>
            </w:pPr>
          </w:p>
        </w:tc>
        <w:tc>
          <w:tcPr>
            <w:tcW w:w="14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Shares and</w:t>
            </w:r>
          </w:p>
        </w:tc>
        <w:tc>
          <w:tcPr>
            <w:tcW w:w="260" w:type="dxa"/>
            <w:vAlign w:val="bottom"/>
            <w:shd w:val="clear" w:color="auto" w:fill="1D2758"/>
          </w:tcPr>
          <w:p>
            <w:pPr>
              <w:spacing w:after="0"/>
              <w:rPr>
                <w:sz w:val="14"/>
                <w:szCs w:val="14"/>
                <w:color w:val="auto"/>
              </w:rPr>
            </w:pPr>
          </w:p>
        </w:tc>
        <w:tc>
          <w:tcPr>
            <w:tcW w:w="1400" w:type="dxa"/>
            <w:vAlign w:val="bottom"/>
            <w:vMerge w:val="restart"/>
            <w:shd w:val="clear" w:color="auto" w:fill="1D2758"/>
          </w:tcPr>
          <w:p>
            <w:pPr>
              <w:jc w:val="center"/>
              <w:ind w:right="179"/>
              <w:spacing w:after="0"/>
              <w:rPr>
                <w:sz w:val="20"/>
                <w:szCs w:val="20"/>
                <w:color w:val="auto"/>
              </w:rPr>
            </w:pPr>
            <w:r>
              <w:rPr>
                <w:rFonts w:ascii="Arial" w:cs="Arial" w:eastAsia="Arial" w:hAnsi="Arial"/>
                <w:sz w:val="16"/>
                <w:szCs w:val="16"/>
                <w:b w:val="1"/>
                <w:bCs w:val="1"/>
                <w:color w:val="FFFFFF"/>
                <w:w w:val="99"/>
              </w:rPr>
              <w:t>Average Price</w:t>
            </w:r>
          </w:p>
        </w:tc>
        <w:tc>
          <w:tcPr>
            <w:tcW w:w="21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and Equivalents</w:t>
            </w:r>
          </w:p>
        </w:tc>
        <w:tc>
          <w:tcPr>
            <w:tcW w:w="220" w:type="dxa"/>
            <w:vAlign w:val="bottom"/>
            <w:shd w:val="clear" w:color="auto" w:fill="1D2758"/>
          </w:tcPr>
          <w:p>
            <w:pPr>
              <w:spacing w:after="0"/>
              <w:rPr>
                <w:sz w:val="14"/>
                <w:szCs w:val="14"/>
                <w:color w:val="auto"/>
              </w:rPr>
            </w:pPr>
          </w:p>
        </w:tc>
        <w:tc>
          <w:tcPr>
            <w:tcW w:w="2000" w:type="dxa"/>
            <w:vAlign w:val="bottom"/>
            <w:shd w:val="clear" w:color="auto" w:fill="1D2758"/>
          </w:tcPr>
          <w:p>
            <w:pPr>
              <w:jc w:val="center"/>
              <w:ind w:right="59"/>
              <w:spacing w:after="0" w:line="162" w:lineRule="exact"/>
              <w:rPr>
                <w:sz w:val="20"/>
                <w:szCs w:val="20"/>
                <w:color w:val="auto"/>
              </w:rPr>
            </w:pPr>
            <w:r>
              <w:rPr>
                <w:rFonts w:ascii="Arial" w:cs="Arial" w:eastAsia="Arial" w:hAnsi="Arial"/>
                <w:sz w:val="16"/>
                <w:szCs w:val="16"/>
                <w:b w:val="1"/>
                <w:bCs w:val="1"/>
                <w:color w:val="FFFFFF"/>
              </w:rPr>
              <w:t>Shares and Equivalents</w:t>
            </w:r>
          </w:p>
        </w:tc>
        <w:tc>
          <w:tcPr>
            <w:tcW w:w="0" w:type="dxa"/>
            <w:vAlign w:val="bottom"/>
          </w:tcPr>
          <w:p>
            <w:pPr>
              <w:spacing w:after="0"/>
              <w:rPr>
                <w:sz w:val="1"/>
                <w:szCs w:val="1"/>
                <w:color w:val="auto"/>
              </w:rPr>
            </w:pPr>
          </w:p>
        </w:tc>
      </w:tr>
      <w:tr>
        <w:trPr>
          <w:trHeight w:val="162"/>
        </w:trPr>
        <w:tc>
          <w:tcPr>
            <w:tcW w:w="1520" w:type="dxa"/>
            <w:vAlign w:val="bottom"/>
            <w:shd w:val="clear" w:color="auto" w:fill="1D2758"/>
          </w:tcPr>
          <w:p>
            <w:pPr>
              <w:spacing w:after="0"/>
              <w:rPr>
                <w:sz w:val="14"/>
                <w:szCs w:val="14"/>
                <w:color w:val="auto"/>
              </w:rPr>
            </w:pPr>
          </w:p>
        </w:tc>
        <w:tc>
          <w:tcPr>
            <w:tcW w:w="2240" w:type="dxa"/>
            <w:vAlign w:val="bottom"/>
            <w:shd w:val="clear" w:color="auto" w:fill="1D2758"/>
          </w:tcPr>
          <w:p>
            <w:pPr>
              <w:spacing w:after="0"/>
              <w:rPr>
                <w:sz w:val="14"/>
                <w:szCs w:val="14"/>
                <w:color w:val="auto"/>
              </w:rPr>
            </w:pPr>
          </w:p>
        </w:tc>
        <w:tc>
          <w:tcPr>
            <w:tcW w:w="14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Equivalents</w:t>
            </w:r>
          </w:p>
        </w:tc>
        <w:tc>
          <w:tcPr>
            <w:tcW w:w="260" w:type="dxa"/>
            <w:vAlign w:val="bottom"/>
            <w:shd w:val="clear" w:color="auto" w:fill="1D2758"/>
          </w:tcPr>
          <w:p>
            <w:pPr>
              <w:spacing w:after="0"/>
              <w:rPr>
                <w:sz w:val="14"/>
                <w:szCs w:val="14"/>
                <w:color w:val="auto"/>
              </w:rPr>
            </w:pPr>
          </w:p>
        </w:tc>
        <w:tc>
          <w:tcPr>
            <w:tcW w:w="1400" w:type="dxa"/>
            <w:vAlign w:val="bottom"/>
            <w:vMerge w:val="continue"/>
            <w:shd w:val="clear" w:color="auto" w:fill="1D2758"/>
          </w:tcPr>
          <w:p>
            <w:pPr>
              <w:spacing w:after="0"/>
              <w:rPr>
                <w:sz w:val="14"/>
                <w:szCs w:val="14"/>
                <w:color w:val="auto"/>
              </w:rPr>
            </w:pPr>
          </w:p>
        </w:tc>
        <w:tc>
          <w:tcPr>
            <w:tcW w:w="21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Purchased as part of</w:t>
            </w:r>
          </w:p>
        </w:tc>
        <w:tc>
          <w:tcPr>
            <w:tcW w:w="2220" w:type="dxa"/>
            <w:vAlign w:val="bottom"/>
            <w:gridSpan w:val="2"/>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that May Yet Be Purchased</w:t>
            </w:r>
          </w:p>
        </w:tc>
        <w:tc>
          <w:tcPr>
            <w:tcW w:w="0" w:type="dxa"/>
            <w:vAlign w:val="bottom"/>
          </w:tcPr>
          <w:p>
            <w:pPr>
              <w:spacing w:after="0"/>
              <w:rPr>
                <w:sz w:val="1"/>
                <w:szCs w:val="1"/>
                <w:color w:val="auto"/>
              </w:rPr>
            </w:pPr>
          </w:p>
        </w:tc>
      </w:tr>
      <w:tr>
        <w:trPr>
          <w:trHeight w:val="162"/>
        </w:trPr>
        <w:tc>
          <w:tcPr>
            <w:tcW w:w="1520" w:type="dxa"/>
            <w:vAlign w:val="bottom"/>
            <w:shd w:val="clear" w:color="auto" w:fill="1D2758"/>
          </w:tcPr>
          <w:p>
            <w:pPr>
              <w:spacing w:after="0"/>
              <w:rPr>
                <w:sz w:val="14"/>
                <w:szCs w:val="14"/>
                <w:color w:val="auto"/>
              </w:rPr>
            </w:pPr>
          </w:p>
        </w:tc>
        <w:tc>
          <w:tcPr>
            <w:tcW w:w="2240" w:type="dxa"/>
            <w:vAlign w:val="bottom"/>
            <w:vMerge w:val="restart"/>
            <w:shd w:val="clear" w:color="auto" w:fill="1D2758"/>
          </w:tcPr>
          <w:p>
            <w:pPr>
              <w:ind w:left="120"/>
              <w:spacing w:after="0"/>
              <w:rPr>
                <w:sz w:val="20"/>
                <w:szCs w:val="20"/>
                <w:color w:val="auto"/>
              </w:rPr>
            </w:pPr>
            <w:r>
              <w:rPr>
                <w:rFonts w:ascii="Arial" w:cs="Arial" w:eastAsia="Arial" w:hAnsi="Arial"/>
                <w:sz w:val="16"/>
                <w:szCs w:val="16"/>
                <w:b w:val="1"/>
                <w:bCs w:val="1"/>
                <w:color w:val="FFFFFF"/>
              </w:rPr>
              <w:t>Period</w:t>
            </w:r>
          </w:p>
        </w:tc>
        <w:tc>
          <w:tcPr>
            <w:tcW w:w="148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Purchased (in</w:t>
            </w:r>
          </w:p>
        </w:tc>
        <w:tc>
          <w:tcPr>
            <w:tcW w:w="260" w:type="dxa"/>
            <w:vAlign w:val="bottom"/>
            <w:shd w:val="clear" w:color="auto" w:fill="1D2758"/>
          </w:tcPr>
          <w:p>
            <w:pPr>
              <w:spacing w:after="0"/>
              <w:rPr>
                <w:sz w:val="14"/>
                <w:szCs w:val="14"/>
                <w:color w:val="auto"/>
              </w:rPr>
            </w:pPr>
          </w:p>
        </w:tc>
        <w:tc>
          <w:tcPr>
            <w:tcW w:w="1400" w:type="dxa"/>
            <w:vAlign w:val="bottom"/>
            <w:shd w:val="clear" w:color="auto" w:fill="1D2758"/>
          </w:tcPr>
          <w:p>
            <w:pPr>
              <w:jc w:val="center"/>
              <w:ind w:right="219"/>
              <w:spacing w:after="0" w:line="162" w:lineRule="exact"/>
              <w:rPr>
                <w:sz w:val="20"/>
                <w:szCs w:val="20"/>
                <w:color w:val="auto"/>
              </w:rPr>
            </w:pPr>
            <w:r>
              <w:rPr>
                <w:rFonts w:ascii="Arial" w:cs="Arial" w:eastAsia="Arial" w:hAnsi="Arial"/>
                <w:sz w:val="16"/>
                <w:szCs w:val="16"/>
                <w:b w:val="1"/>
                <w:bCs w:val="1"/>
                <w:color w:val="FFFFFF"/>
              </w:rPr>
              <w:t>Paid</w:t>
            </w:r>
          </w:p>
        </w:tc>
        <w:tc>
          <w:tcPr>
            <w:tcW w:w="2120" w:type="dxa"/>
            <w:vAlign w:val="bottom"/>
            <w:shd w:val="clear" w:color="auto" w:fill="1D2758"/>
          </w:tcPr>
          <w:p>
            <w:pPr>
              <w:jc w:val="center"/>
              <w:spacing w:after="0" w:line="162" w:lineRule="exact"/>
              <w:rPr>
                <w:sz w:val="20"/>
                <w:szCs w:val="20"/>
                <w:color w:val="auto"/>
              </w:rPr>
            </w:pPr>
            <w:r>
              <w:rPr>
                <w:rFonts w:ascii="Arial" w:cs="Arial" w:eastAsia="Arial" w:hAnsi="Arial"/>
                <w:sz w:val="16"/>
                <w:szCs w:val="16"/>
                <w:b w:val="1"/>
                <w:bCs w:val="1"/>
                <w:color w:val="FFFFFF"/>
              </w:rPr>
              <w:t>Publically Announced Plan</w:t>
            </w:r>
          </w:p>
        </w:tc>
        <w:tc>
          <w:tcPr>
            <w:tcW w:w="220" w:type="dxa"/>
            <w:vAlign w:val="bottom"/>
            <w:shd w:val="clear" w:color="auto" w:fill="1D2758"/>
          </w:tcPr>
          <w:p>
            <w:pPr>
              <w:spacing w:after="0"/>
              <w:rPr>
                <w:sz w:val="14"/>
                <w:szCs w:val="14"/>
                <w:color w:val="auto"/>
              </w:rPr>
            </w:pPr>
          </w:p>
        </w:tc>
        <w:tc>
          <w:tcPr>
            <w:tcW w:w="2000" w:type="dxa"/>
            <w:vAlign w:val="bottom"/>
            <w:shd w:val="clear" w:color="auto" w:fill="1D2758"/>
          </w:tcPr>
          <w:p>
            <w:pPr>
              <w:jc w:val="center"/>
              <w:ind w:right="39"/>
              <w:spacing w:after="0" w:line="162" w:lineRule="exact"/>
              <w:rPr>
                <w:sz w:val="20"/>
                <w:szCs w:val="20"/>
                <w:color w:val="auto"/>
              </w:rPr>
            </w:pPr>
            <w:r>
              <w:rPr>
                <w:rFonts w:ascii="Arial" w:cs="Arial" w:eastAsia="Arial" w:hAnsi="Arial"/>
                <w:sz w:val="16"/>
                <w:szCs w:val="16"/>
                <w:b w:val="1"/>
                <w:bCs w:val="1"/>
                <w:color w:val="FFFFFF"/>
              </w:rPr>
              <w:t>Under the Plans (in</w:t>
            </w:r>
          </w:p>
        </w:tc>
        <w:tc>
          <w:tcPr>
            <w:tcW w:w="0" w:type="dxa"/>
            <w:vAlign w:val="bottom"/>
          </w:tcPr>
          <w:p>
            <w:pPr>
              <w:spacing w:after="0"/>
              <w:rPr>
                <w:sz w:val="1"/>
                <w:szCs w:val="1"/>
                <w:color w:val="auto"/>
              </w:rPr>
            </w:pPr>
          </w:p>
        </w:tc>
      </w:tr>
      <w:tr>
        <w:trPr>
          <w:trHeight w:val="116"/>
        </w:trPr>
        <w:tc>
          <w:tcPr>
            <w:tcW w:w="1520" w:type="dxa"/>
            <w:vAlign w:val="bottom"/>
            <w:shd w:val="clear" w:color="auto" w:fill="1D2758"/>
          </w:tcPr>
          <w:p>
            <w:pPr>
              <w:spacing w:after="0"/>
              <w:rPr>
                <w:sz w:val="10"/>
                <w:szCs w:val="10"/>
                <w:color w:val="auto"/>
              </w:rPr>
            </w:pPr>
          </w:p>
        </w:tc>
        <w:tc>
          <w:tcPr>
            <w:tcW w:w="2240" w:type="dxa"/>
            <w:vAlign w:val="bottom"/>
            <w:vMerge w:val="continue"/>
            <w:shd w:val="clear" w:color="auto" w:fill="1D2758"/>
          </w:tcPr>
          <w:p>
            <w:pPr>
              <w:spacing w:after="0"/>
              <w:rPr>
                <w:sz w:val="10"/>
                <w:szCs w:val="10"/>
                <w:color w:val="auto"/>
              </w:rPr>
            </w:pPr>
          </w:p>
        </w:tc>
        <w:tc>
          <w:tcPr>
            <w:tcW w:w="148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millions)</w:t>
            </w:r>
          </w:p>
        </w:tc>
        <w:tc>
          <w:tcPr>
            <w:tcW w:w="260" w:type="dxa"/>
            <w:vAlign w:val="bottom"/>
            <w:shd w:val="clear" w:color="auto" w:fill="1D2758"/>
          </w:tcPr>
          <w:p>
            <w:pPr>
              <w:spacing w:after="0"/>
              <w:rPr>
                <w:sz w:val="10"/>
                <w:szCs w:val="10"/>
                <w:color w:val="auto"/>
              </w:rPr>
            </w:pPr>
          </w:p>
        </w:tc>
        <w:tc>
          <w:tcPr>
            <w:tcW w:w="1400" w:type="dxa"/>
            <w:vAlign w:val="bottom"/>
            <w:vMerge w:val="restart"/>
            <w:shd w:val="clear" w:color="auto" w:fill="1D2758"/>
          </w:tcPr>
          <w:p>
            <w:pPr>
              <w:jc w:val="center"/>
              <w:ind w:right="179"/>
              <w:spacing w:after="0"/>
              <w:rPr>
                <w:sz w:val="20"/>
                <w:szCs w:val="20"/>
                <w:color w:val="auto"/>
              </w:rPr>
            </w:pPr>
            <w:r>
              <w:rPr>
                <w:rFonts w:ascii="Arial" w:cs="Arial" w:eastAsia="Arial" w:hAnsi="Arial"/>
                <w:sz w:val="16"/>
                <w:szCs w:val="16"/>
                <w:b w:val="1"/>
                <w:bCs w:val="1"/>
                <w:color w:val="FFFFFF"/>
              </w:rPr>
              <w:t>per Share</w:t>
            </w:r>
          </w:p>
        </w:tc>
        <w:tc>
          <w:tcPr>
            <w:tcW w:w="2120" w:type="dxa"/>
            <w:vAlign w:val="bottom"/>
            <w:vMerge w:val="restart"/>
            <w:shd w:val="clear" w:color="auto" w:fill="1D2758"/>
          </w:tcPr>
          <w:p>
            <w:pPr>
              <w:jc w:val="center"/>
              <w:spacing w:after="0"/>
              <w:rPr>
                <w:sz w:val="20"/>
                <w:szCs w:val="20"/>
                <w:color w:val="auto"/>
              </w:rPr>
            </w:pPr>
            <w:r>
              <w:rPr>
                <w:rFonts w:ascii="Arial" w:cs="Arial" w:eastAsia="Arial" w:hAnsi="Arial"/>
                <w:sz w:val="16"/>
                <w:szCs w:val="16"/>
                <w:b w:val="1"/>
                <w:bCs w:val="1"/>
                <w:color w:val="FFFFFF"/>
              </w:rPr>
              <w:t>(in millions)</w:t>
            </w:r>
          </w:p>
        </w:tc>
        <w:tc>
          <w:tcPr>
            <w:tcW w:w="220" w:type="dxa"/>
            <w:vAlign w:val="bottom"/>
            <w:shd w:val="clear" w:color="auto" w:fill="1D2758"/>
          </w:tcPr>
          <w:p>
            <w:pPr>
              <w:spacing w:after="0"/>
              <w:rPr>
                <w:sz w:val="10"/>
                <w:szCs w:val="10"/>
                <w:color w:val="auto"/>
              </w:rPr>
            </w:pPr>
          </w:p>
        </w:tc>
        <w:tc>
          <w:tcPr>
            <w:tcW w:w="2000" w:type="dxa"/>
            <w:vAlign w:val="bottom"/>
            <w:vMerge w:val="restart"/>
            <w:shd w:val="clear" w:color="auto" w:fill="1D2758"/>
          </w:tcPr>
          <w:p>
            <w:pPr>
              <w:jc w:val="center"/>
              <w:ind w:right="59"/>
              <w:spacing w:after="0"/>
              <w:rPr>
                <w:sz w:val="20"/>
                <w:szCs w:val="20"/>
                <w:color w:val="auto"/>
              </w:rPr>
            </w:pPr>
            <w:r>
              <w:rPr>
                <w:rFonts w:ascii="Arial" w:cs="Arial" w:eastAsia="Arial" w:hAnsi="Arial"/>
                <w:sz w:val="16"/>
                <w:szCs w:val="16"/>
                <w:b w:val="1"/>
                <w:bCs w:val="1"/>
                <w:color w:val="FFFFFF"/>
              </w:rPr>
              <w:t>millions)</w:t>
            </w:r>
          </w:p>
        </w:tc>
        <w:tc>
          <w:tcPr>
            <w:tcW w:w="0" w:type="dxa"/>
            <w:vAlign w:val="bottom"/>
          </w:tcPr>
          <w:p>
            <w:pPr>
              <w:spacing w:after="0"/>
              <w:rPr>
                <w:sz w:val="1"/>
                <w:szCs w:val="1"/>
                <w:color w:val="auto"/>
              </w:rPr>
            </w:pPr>
          </w:p>
        </w:tc>
      </w:tr>
      <w:tr>
        <w:trPr>
          <w:trHeight w:val="100"/>
        </w:trPr>
        <w:tc>
          <w:tcPr>
            <w:tcW w:w="1520" w:type="dxa"/>
            <w:vAlign w:val="bottom"/>
            <w:tcBorders>
              <w:bottom w:val="single" w:sz="8" w:color="DBDBDB"/>
            </w:tcBorders>
            <w:shd w:val="clear" w:color="auto" w:fill="1D2758"/>
          </w:tcPr>
          <w:p>
            <w:pPr>
              <w:spacing w:after="0"/>
              <w:rPr>
                <w:sz w:val="8"/>
                <w:szCs w:val="8"/>
                <w:color w:val="auto"/>
              </w:rPr>
            </w:pPr>
          </w:p>
        </w:tc>
        <w:tc>
          <w:tcPr>
            <w:tcW w:w="2240" w:type="dxa"/>
            <w:vAlign w:val="bottom"/>
            <w:tcBorders>
              <w:bottom w:val="single" w:sz="8" w:color="DBDBDB"/>
            </w:tcBorders>
            <w:shd w:val="clear" w:color="auto" w:fill="1D2758"/>
          </w:tcPr>
          <w:p>
            <w:pPr>
              <w:spacing w:after="0"/>
              <w:rPr>
                <w:sz w:val="8"/>
                <w:szCs w:val="8"/>
                <w:color w:val="auto"/>
              </w:rPr>
            </w:pPr>
          </w:p>
        </w:tc>
        <w:tc>
          <w:tcPr>
            <w:tcW w:w="1480" w:type="dxa"/>
            <w:vAlign w:val="bottom"/>
            <w:tcBorders>
              <w:bottom w:val="single" w:sz="8" w:color="DBDBDB"/>
            </w:tcBorders>
            <w:vMerge w:val="continue"/>
            <w:shd w:val="clear" w:color="auto" w:fill="1D2758"/>
          </w:tcPr>
          <w:p>
            <w:pPr>
              <w:spacing w:after="0"/>
              <w:rPr>
                <w:sz w:val="8"/>
                <w:szCs w:val="8"/>
                <w:color w:val="auto"/>
              </w:rPr>
            </w:pPr>
          </w:p>
        </w:tc>
        <w:tc>
          <w:tcPr>
            <w:tcW w:w="260" w:type="dxa"/>
            <w:vAlign w:val="bottom"/>
            <w:tcBorders>
              <w:bottom w:val="single" w:sz="8" w:color="DBDBDB"/>
            </w:tcBorders>
            <w:shd w:val="clear" w:color="auto" w:fill="1D2758"/>
          </w:tcPr>
          <w:p>
            <w:pPr>
              <w:spacing w:after="0"/>
              <w:rPr>
                <w:sz w:val="8"/>
                <w:szCs w:val="8"/>
                <w:color w:val="auto"/>
              </w:rPr>
            </w:pPr>
          </w:p>
        </w:tc>
        <w:tc>
          <w:tcPr>
            <w:tcW w:w="1400" w:type="dxa"/>
            <w:vAlign w:val="bottom"/>
            <w:tcBorders>
              <w:bottom w:val="single" w:sz="8" w:color="DBDBDB"/>
            </w:tcBorders>
            <w:vMerge w:val="continue"/>
            <w:shd w:val="clear" w:color="auto" w:fill="1D2758"/>
          </w:tcPr>
          <w:p>
            <w:pPr>
              <w:spacing w:after="0"/>
              <w:rPr>
                <w:sz w:val="8"/>
                <w:szCs w:val="8"/>
                <w:color w:val="auto"/>
              </w:rPr>
            </w:pPr>
          </w:p>
        </w:tc>
        <w:tc>
          <w:tcPr>
            <w:tcW w:w="2120" w:type="dxa"/>
            <w:vAlign w:val="bottom"/>
            <w:tcBorders>
              <w:bottom w:val="single" w:sz="8" w:color="auto"/>
            </w:tcBorders>
            <w:vMerge w:val="continue"/>
            <w:shd w:val="clear" w:color="auto" w:fill="1D2758"/>
          </w:tcPr>
          <w:p>
            <w:pPr>
              <w:spacing w:after="0"/>
              <w:rPr>
                <w:sz w:val="8"/>
                <w:szCs w:val="8"/>
                <w:color w:val="auto"/>
              </w:rPr>
            </w:pPr>
          </w:p>
        </w:tc>
        <w:tc>
          <w:tcPr>
            <w:tcW w:w="220" w:type="dxa"/>
            <w:vAlign w:val="bottom"/>
            <w:tcBorders>
              <w:bottom w:val="single" w:sz="8" w:color="DBDBDB"/>
            </w:tcBorders>
            <w:shd w:val="clear" w:color="auto" w:fill="1D2758"/>
          </w:tcPr>
          <w:p>
            <w:pPr>
              <w:spacing w:after="0"/>
              <w:rPr>
                <w:sz w:val="8"/>
                <w:szCs w:val="8"/>
                <w:color w:val="auto"/>
              </w:rPr>
            </w:pPr>
          </w:p>
        </w:tc>
        <w:tc>
          <w:tcPr>
            <w:tcW w:w="2000" w:type="dxa"/>
            <w:vAlign w:val="bottom"/>
            <w:tcBorders>
              <w:bottom w:val="single" w:sz="8" w:color="DBDBDB"/>
            </w:tcBorders>
            <w:vMerge w:val="continue"/>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January 1, 2021 to January 31, 2021</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February 1, 2021 to February 28, 2021</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Pr>
          <w:p>
            <w:pPr>
              <w:jc w:val="right"/>
              <w:spacing w:after="0"/>
              <w:rPr>
                <w:sz w:val="20"/>
                <w:szCs w:val="20"/>
                <w:color w:val="auto"/>
              </w:rPr>
            </w:pPr>
            <w:r>
              <w:rPr>
                <w:rFonts w:ascii="Arial" w:cs="Arial" w:eastAsia="Arial" w:hAnsi="Arial"/>
                <w:sz w:val="16"/>
                <w:szCs w:val="16"/>
                <w:color w:val="auto"/>
              </w:rPr>
              <w:t>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March 1, 2021 to March 31, 2021</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26.00</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3"/>
        </w:trPr>
        <w:tc>
          <w:tcPr>
            <w:tcW w:w="1520" w:type="dxa"/>
            <w:vAlign w:val="bottom"/>
          </w:tcPr>
          <w:p>
            <w:pPr>
              <w:ind w:left="240"/>
              <w:spacing w:after="0"/>
              <w:rPr>
                <w:sz w:val="20"/>
                <w:szCs w:val="20"/>
                <w:color w:val="auto"/>
              </w:rPr>
            </w:pPr>
            <w:r>
              <w:rPr>
                <w:rFonts w:ascii="Arial" w:cs="Arial" w:eastAsia="Arial" w:hAnsi="Arial"/>
                <w:sz w:val="16"/>
                <w:szCs w:val="16"/>
                <w:color w:val="auto"/>
              </w:rPr>
              <w:t>Total</w:t>
            </w:r>
          </w:p>
        </w:tc>
        <w:tc>
          <w:tcPr>
            <w:tcW w:w="22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26.00</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7, 2020, the Company's Board of Directors approved a stock repurchase program that authorizes the Company to repurchase up to $250 million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As of March 31, 2021, $133.9 million remained of the $250 million share repurchase authorization.</w:t>
      </w:r>
    </w:p>
    <w:p>
      <w:pPr>
        <w:spacing w:after="0" w:line="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April 29, 2021, the Company's Board of Directors approved an increase to the authorized amount under the stock repurchase program that authorizes the Company to repurchase up to $500 million of its outstanding shares of Common Stock and equivalents.</w:t>
      </w:r>
    </w:p>
    <w:p>
      <w:pPr>
        <w:spacing w:after="0" w:line="244"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3.</w:t>
      </w:r>
      <w:r>
        <w:rPr>
          <w:sz w:val="20"/>
          <w:szCs w:val="20"/>
          <w:color w:val="auto"/>
        </w:rPr>
        <w:tab/>
      </w:r>
      <w:r>
        <w:rPr>
          <w:rFonts w:ascii="Arial" w:cs="Arial" w:eastAsia="Arial" w:hAnsi="Arial"/>
          <w:sz w:val="39"/>
          <w:szCs w:val="39"/>
          <w:b w:val="1"/>
          <w:bCs w:val="1"/>
          <w:color w:val="auto"/>
        </w:rPr>
        <w:t>Defaults Upon Senior Securities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Mine Safety Disclosures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tabs>
          <w:tab w:leader="none" w:pos="1820" w:val="left"/>
        </w:tabs>
        <w:rPr>
          <w:sz w:val="20"/>
          <w:szCs w:val="20"/>
          <w:color w:val="auto"/>
        </w:rPr>
      </w:pPr>
      <w:r>
        <w:rPr>
          <w:rFonts w:ascii="Arial" w:cs="Arial" w:eastAsia="Arial" w:hAnsi="Arial"/>
          <w:sz w:val="40"/>
          <w:szCs w:val="40"/>
          <w:b w:val="1"/>
          <w:bCs w:val="1"/>
          <w:color w:val="auto"/>
        </w:rPr>
        <w:t>ITEM 5.</w:t>
      </w:r>
      <w:r>
        <w:rPr>
          <w:sz w:val="20"/>
          <w:szCs w:val="20"/>
          <w:color w:val="auto"/>
        </w:rPr>
        <w:tab/>
      </w:r>
      <w:r>
        <w:rPr>
          <w:rFonts w:ascii="Arial" w:cs="Arial" w:eastAsia="Arial" w:hAnsi="Arial"/>
          <w:sz w:val="39"/>
          <w:szCs w:val="39"/>
          <w:b w:val="1"/>
          <w:bCs w:val="1"/>
          <w:color w:val="auto"/>
        </w:rPr>
        <w:t>Other Information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897890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528"/>
        </w:trPr>
        <w:tc>
          <w:tcPr>
            <w:tcW w:w="1620" w:type="dxa"/>
            <w:vAlign w:val="bottom"/>
            <w:gridSpan w:val="3"/>
          </w:tcPr>
          <w:p>
            <w:pPr>
              <w:spacing w:after="0"/>
              <w:rPr>
                <w:sz w:val="20"/>
                <w:szCs w:val="20"/>
                <w:color w:val="auto"/>
              </w:rPr>
            </w:pPr>
            <w:r>
              <w:rPr>
                <w:rFonts w:ascii="Arial" w:cs="Arial" w:eastAsia="Arial" w:hAnsi="Arial"/>
                <w:sz w:val="40"/>
                <w:szCs w:val="40"/>
                <w:b w:val="1"/>
                <w:bCs w:val="1"/>
                <w:color w:val="auto"/>
              </w:rPr>
              <w:t>ITEM 6.</w:t>
            </w:r>
          </w:p>
        </w:tc>
        <w:tc>
          <w:tcPr>
            <w:tcW w:w="9580" w:type="dxa"/>
            <w:vAlign w:val="bottom"/>
          </w:tcPr>
          <w:p>
            <w:pPr>
              <w:ind w:left="220"/>
              <w:spacing w:after="0"/>
              <w:rPr>
                <w:sz w:val="20"/>
                <w:szCs w:val="20"/>
                <w:color w:val="auto"/>
              </w:rPr>
            </w:pPr>
            <w:r>
              <w:rPr>
                <w:rFonts w:ascii="Arial" w:cs="Arial" w:eastAsia="Arial" w:hAnsi="Arial"/>
                <w:sz w:val="40"/>
                <w:szCs w:val="40"/>
                <w:b w:val="1"/>
                <w:bCs w:val="1"/>
                <w:color w:val="auto"/>
              </w:rPr>
              <w:t>Exhibits</w:t>
            </w:r>
          </w:p>
        </w:tc>
      </w:tr>
      <w:tr>
        <w:trPr>
          <w:trHeight w:val="218"/>
        </w:trPr>
        <w:tc>
          <w:tcPr>
            <w:tcW w:w="940" w:type="dxa"/>
            <w:vAlign w:val="bottom"/>
            <w:shd w:val="clear" w:color="auto" w:fill="1D2758"/>
          </w:tcPr>
          <w:p>
            <w:pPr>
              <w:ind w:left="60"/>
              <w:spacing w:after="0"/>
              <w:rPr>
                <w:sz w:val="20"/>
                <w:szCs w:val="20"/>
                <w:color w:val="auto"/>
              </w:rPr>
            </w:pPr>
            <w:r>
              <w:rPr>
                <w:rFonts w:ascii="Arial" w:cs="Arial" w:eastAsia="Arial" w:hAnsi="Arial"/>
                <w:sz w:val="16"/>
                <w:szCs w:val="16"/>
                <w:b w:val="1"/>
                <w:bCs w:val="1"/>
                <w:color w:val="FFFFFF"/>
              </w:rPr>
              <w:t>Exhibit No.</w:t>
            </w:r>
          </w:p>
        </w:tc>
        <w:tc>
          <w:tcPr>
            <w:tcW w:w="26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9580" w:type="dxa"/>
            <w:vAlign w:val="bottom"/>
            <w:shd w:val="clear" w:color="auto" w:fill="1D2758"/>
          </w:tcPr>
          <w:p>
            <w:pPr>
              <w:ind w:left="3880"/>
              <w:spacing w:after="0"/>
              <w:rPr>
                <w:sz w:val="20"/>
                <w:szCs w:val="20"/>
                <w:color w:val="auto"/>
              </w:rPr>
            </w:pPr>
            <w:r>
              <w:rPr>
                <w:rFonts w:ascii="Arial" w:cs="Arial" w:eastAsia="Arial" w:hAnsi="Arial"/>
                <w:sz w:val="16"/>
                <w:szCs w:val="16"/>
                <w:b w:val="1"/>
                <w:bCs w:val="1"/>
                <w:color w:val="FFFFFF"/>
              </w:rPr>
              <w:t>Exhibit Description</w:t>
            </w:r>
          </w:p>
        </w:tc>
      </w:tr>
      <w:tr>
        <w:trPr>
          <w:trHeight w:val="210"/>
        </w:trPr>
        <w:tc>
          <w:tcPr>
            <w:tcW w:w="940" w:type="dxa"/>
            <w:vAlign w:val="bottom"/>
          </w:tcPr>
          <w:p>
            <w:pPr>
              <w:ind w:left="20"/>
              <w:spacing w:after="0"/>
              <w:rPr>
                <w:rFonts w:ascii="Arial" w:cs="Arial" w:eastAsia="Arial" w:hAnsi="Arial"/>
                <w:sz w:val="16"/>
                <w:szCs w:val="16"/>
                <w:color w:val="auto"/>
              </w:rPr>
            </w:pPr>
            <w:hyperlink w:anchor="page59">
              <w:r>
                <w:rPr>
                  <w:rFonts w:ascii="Arial" w:cs="Arial" w:eastAsia="Arial" w:hAnsi="Arial"/>
                  <w:sz w:val="16"/>
                  <w:szCs w:val="16"/>
                  <w:color w:val="auto"/>
                </w:rPr>
                <w:t>31.1</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gridSpan w:val="2"/>
          </w:tcPr>
          <w:p>
            <w:pPr>
              <w:ind w:left="100"/>
              <w:spacing w:after="0"/>
              <w:rPr>
                <w:rFonts w:ascii="Arial" w:cs="Arial" w:eastAsia="Arial" w:hAnsi="Arial"/>
                <w:sz w:val="16"/>
                <w:szCs w:val="16"/>
                <w:color w:val="auto"/>
              </w:rPr>
            </w:pPr>
            <w:hyperlink w:anchor="page59">
              <w:r>
                <w:rPr>
                  <w:rFonts w:ascii="Arial" w:cs="Arial" w:eastAsia="Arial" w:hAnsi="Arial"/>
                  <w:sz w:val="16"/>
                  <w:szCs w:val="16"/>
                  <w:color w:val="auto"/>
                </w:rPr>
                <w:t>Certification of Chief Executive Officer pursuant to Section 302 of the Sarbanes-Oxley Act of 2002</w:t>
              </w:r>
            </w:hyperlink>
          </w:p>
        </w:tc>
      </w:tr>
      <w:tr>
        <w:trPr>
          <w:trHeight w:val="216"/>
        </w:trPr>
        <w:tc>
          <w:tcPr>
            <w:tcW w:w="940" w:type="dxa"/>
            <w:vAlign w:val="bottom"/>
          </w:tcPr>
          <w:p>
            <w:pPr>
              <w:ind w:left="20"/>
              <w:spacing w:after="0"/>
              <w:rPr>
                <w:rFonts w:ascii="Arial" w:cs="Arial" w:eastAsia="Arial" w:hAnsi="Arial"/>
                <w:sz w:val="16"/>
                <w:szCs w:val="16"/>
                <w:color w:val="auto"/>
              </w:rPr>
            </w:pPr>
            <w:hyperlink w:anchor="page60">
              <w:r>
                <w:rPr>
                  <w:rFonts w:ascii="Arial" w:cs="Arial" w:eastAsia="Arial" w:hAnsi="Arial"/>
                  <w:sz w:val="16"/>
                  <w:szCs w:val="16"/>
                  <w:color w:val="auto"/>
                </w:rPr>
                <w:t>31.2</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gridSpan w:val="2"/>
          </w:tcPr>
          <w:p>
            <w:pPr>
              <w:ind w:left="100"/>
              <w:spacing w:after="0"/>
              <w:rPr>
                <w:rFonts w:ascii="Arial" w:cs="Arial" w:eastAsia="Arial" w:hAnsi="Arial"/>
                <w:sz w:val="16"/>
                <w:szCs w:val="16"/>
                <w:color w:val="auto"/>
              </w:rPr>
            </w:pPr>
            <w:hyperlink w:anchor="page60">
              <w:r>
                <w:rPr>
                  <w:rFonts w:ascii="Arial" w:cs="Arial" w:eastAsia="Arial" w:hAnsi="Arial"/>
                  <w:sz w:val="16"/>
                  <w:szCs w:val="16"/>
                  <w:color w:val="auto"/>
                </w:rPr>
                <w:t>Certification of Chief Financial Officer pursuant to Section 302 of the Sarbanes-Oxley Act of 2002</w:t>
              </w:r>
            </w:hyperlink>
          </w:p>
        </w:tc>
      </w:tr>
      <w:tr>
        <w:trPr>
          <w:trHeight w:val="216"/>
        </w:trPr>
        <w:tc>
          <w:tcPr>
            <w:tcW w:w="940" w:type="dxa"/>
            <w:vAlign w:val="bottom"/>
          </w:tcPr>
          <w:p>
            <w:pPr>
              <w:ind w:left="20"/>
              <w:spacing w:after="0"/>
              <w:rPr>
                <w:rFonts w:ascii="Arial" w:cs="Arial" w:eastAsia="Arial" w:hAnsi="Arial"/>
                <w:sz w:val="16"/>
                <w:szCs w:val="16"/>
                <w:color w:val="auto"/>
              </w:rPr>
            </w:pPr>
            <w:hyperlink w:anchor="page61">
              <w:r>
                <w:rPr>
                  <w:rFonts w:ascii="Arial" w:cs="Arial" w:eastAsia="Arial" w:hAnsi="Arial"/>
                  <w:sz w:val="16"/>
                  <w:szCs w:val="16"/>
                  <w:color w:val="auto"/>
                </w:rPr>
                <w:t>32.1</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gridSpan w:val="2"/>
          </w:tcPr>
          <w:p>
            <w:pPr>
              <w:ind w:left="100"/>
              <w:spacing w:after="0"/>
              <w:rPr>
                <w:rFonts w:ascii="Arial" w:cs="Arial" w:eastAsia="Arial" w:hAnsi="Arial"/>
                <w:sz w:val="16"/>
                <w:szCs w:val="16"/>
                <w:color w:val="auto"/>
              </w:rPr>
            </w:pPr>
            <w:hyperlink w:anchor="page61">
              <w:r>
                <w:rPr>
                  <w:rFonts w:ascii="Arial" w:cs="Arial" w:eastAsia="Arial" w:hAnsi="Arial"/>
                  <w:sz w:val="16"/>
                  <w:szCs w:val="16"/>
                  <w:color w:val="auto"/>
                </w:rPr>
                <w:t>Certification of Chief Executive Officer pursuant to Section 906 of the Sarbanes-Oxley Act of 2002</w:t>
              </w:r>
            </w:hyperlink>
          </w:p>
        </w:tc>
      </w:tr>
      <w:tr>
        <w:trPr>
          <w:trHeight w:val="216"/>
        </w:trPr>
        <w:tc>
          <w:tcPr>
            <w:tcW w:w="940" w:type="dxa"/>
            <w:vAlign w:val="bottom"/>
          </w:tcPr>
          <w:p>
            <w:pPr>
              <w:ind w:left="20"/>
              <w:spacing w:after="0"/>
              <w:rPr>
                <w:rFonts w:ascii="Arial" w:cs="Arial" w:eastAsia="Arial" w:hAnsi="Arial"/>
                <w:sz w:val="16"/>
                <w:szCs w:val="16"/>
                <w:color w:val="auto"/>
              </w:rPr>
            </w:pPr>
            <w:hyperlink w:anchor="page62">
              <w:r>
                <w:rPr>
                  <w:rFonts w:ascii="Arial" w:cs="Arial" w:eastAsia="Arial" w:hAnsi="Arial"/>
                  <w:sz w:val="16"/>
                  <w:szCs w:val="16"/>
                  <w:color w:val="auto"/>
                </w:rPr>
                <w:t>32.2</w:t>
              </w:r>
            </w:hyperlink>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10000" w:type="dxa"/>
            <w:vAlign w:val="bottom"/>
            <w:gridSpan w:val="2"/>
          </w:tcPr>
          <w:p>
            <w:pPr>
              <w:ind w:left="100"/>
              <w:spacing w:after="0"/>
              <w:rPr>
                <w:rFonts w:ascii="Arial" w:cs="Arial" w:eastAsia="Arial" w:hAnsi="Arial"/>
                <w:sz w:val="16"/>
                <w:szCs w:val="16"/>
                <w:color w:val="auto"/>
              </w:rPr>
            </w:pPr>
            <w:hyperlink w:anchor="page62">
              <w:r>
                <w:rPr>
                  <w:rFonts w:ascii="Arial" w:cs="Arial" w:eastAsia="Arial" w:hAnsi="Arial"/>
                  <w:sz w:val="16"/>
                  <w:szCs w:val="16"/>
                  <w:color w:val="auto"/>
                </w:rPr>
                <w:t>Certification of Chief Financial Officer pursuant to Section 906 of the Sarbanes-Oxley Act of 2002</w:t>
              </w:r>
            </w:hyperlink>
          </w:p>
        </w:tc>
      </w:tr>
      <w:tr>
        <w:trPr>
          <w:trHeight w:val="183"/>
        </w:trPr>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5"/>
        </w:trPr>
        <w:tc>
          <w:tcPr>
            <w:tcW w:w="940" w:type="dxa"/>
            <w:vAlign w:val="bottom"/>
          </w:tcPr>
          <w:p>
            <w:pPr>
              <w:ind w:left="20"/>
              <w:spacing w:after="0"/>
              <w:rPr>
                <w:sz w:val="20"/>
                <w:szCs w:val="20"/>
                <w:color w:val="auto"/>
              </w:rPr>
            </w:pPr>
            <w:r>
              <w:rPr>
                <w:rFonts w:ascii="Arial" w:cs="Arial" w:eastAsia="Arial" w:hAnsi="Arial"/>
                <w:sz w:val="16"/>
                <w:szCs w:val="16"/>
                <w:color w:val="auto"/>
              </w:rPr>
              <w:t>101.INS</w:t>
            </w:r>
          </w:p>
        </w:tc>
        <w:tc>
          <w:tcPr>
            <w:tcW w:w="260" w:type="dxa"/>
            <w:vAlign w:val="bottom"/>
          </w:tcPr>
          <w:p>
            <w:pPr>
              <w:spacing w:after="0"/>
              <w:rPr>
                <w:sz w:val="16"/>
                <w:szCs w:val="16"/>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within the Inline XBRL document</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101.SCH</w:t>
            </w:r>
          </w:p>
        </w:tc>
        <w:tc>
          <w:tcPr>
            <w:tcW w:w="260" w:type="dxa"/>
            <w:vAlign w:val="bottom"/>
          </w:tcPr>
          <w:p>
            <w:pPr>
              <w:spacing w:after="0"/>
              <w:rPr>
                <w:sz w:val="18"/>
                <w:szCs w:val="18"/>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101.CAL</w:t>
            </w:r>
          </w:p>
        </w:tc>
        <w:tc>
          <w:tcPr>
            <w:tcW w:w="260" w:type="dxa"/>
            <w:vAlign w:val="bottom"/>
          </w:tcPr>
          <w:p>
            <w:pPr>
              <w:spacing w:after="0"/>
              <w:rPr>
                <w:sz w:val="18"/>
                <w:szCs w:val="18"/>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101.DEF</w:t>
            </w:r>
          </w:p>
        </w:tc>
        <w:tc>
          <w:tcPr>
            <w:tcW w:w="260" w:type="dxa"/>
            <w:vAlign w:val="bottom"/>
          </w:tcPr>
          <w:p>
            <w:pPr>
              <w:spacing w:after="0"/>
              <w:rPr>
                <w:sz w:val="18"/>
                <w:szCs w:val="18"/>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101.LAB</w:t>
            </w:r>
          </w:p>
        </w:tc>
        <w:tc>
          <w:tcPr>
            <w:tcW w:w="260" w:type="dxa"/>
            <w:vAlign w:val="bottom"/>
          </w:tcPr>
          <w:p>
            <w:pPr>
              <w:spacing w:after="0"/>
              <w:rPr>
                <w:sz w:val="18"/>
                <w:szCs w:val="18"/>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101.PRE</w:t>
            </w:r>
          </w:p>
        </w:tc>
        <w:tc>
          <w:tcPr>
            <w:tcW w:w="260" w:type="dxa"/>
            <w:vAlign w:val="bottom"/>
          </w:tcPr>
          <w:p>
            <w:pPr>
              <w:spacing w:after="0"/>
              <w:rPr>
                <w:sz w:val="18"/>
                <w:szCs w:val="18"/>
                <w:color w:val="auto"/>
              </w:rPr>
            </w:pPr>
          </w:p>
        </w:tc>
        <w:tc>
          <w:tcPr>
            <w:tcW w:w="10000" w:type="dxa"/>
            <w:vAlign w:val="bottom"/>
            <w:gridSpan w:val="2"/>
          </w:tcPr>
          <w:p>
            <w:pPr>
              <w:ind w:left="10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*Filed herewith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3"/>
          <w:szCs w:val="23"/>
          <w:color w:val="1D2758"/>
        </w:rPr>
        <w:t>Signature</w:t>
      </w:r>
    </w:p>
    <w:p>
      <w:pPr>
        <w:spacing w:after="0" w:line="9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10500" w:type="dxa"/>
            <w:vAlign w:val="bottom"/>
            <w:gridSpan w:val="2"/>
          </w:tcPr>
          <w:p>
            <w:pPr>
              <w:ind w:left="5060"/>
              <w:spacing w:after="0"/>
              <w:rPr>
                <w:sz w:val="20"/>
                <w:szCs w:val="20"/>
                <w:color w:val="auto"/>
              </w:rPr>
            </w:pPr>
            <w:r>
              <w:rPr>
                <w:rFonts w:ascii="Arial" w:cs="Arial" w:eastAsia="Arial" w:hAnsi="Arial"/>
                <w:sz w:val="16"/>
                <w:szCs w:val="16"/>
                <w:b w:val="1"/>
                <w:bCs w:val="1"/>
                <w:color w:val="auto"/>
              </w:rPr>
              <w:t>WillScot Mobile Mini Holdings Corp.</w:t>
            </w:r>
          </w:p>
        </w:tc>
      </w:tr>
      <w:tr>
        <w:trPr>
          <w:trHeight w:val="435"/>
        </w:trPr>
        <w:tc>
          <w:tcPr>
            <w:tcW w:w="680" w:type="dxa"/>
            <w:vAlign w:val="bottom"/>
          </w:tcPr>
          <w:p>
            <w:pPr>
              <w:spacing w:after="0"/>
              <w:rPr>
                <w:sz w:val="24"/>
                <w:szCs w:val="24"/>
                <w:color w:val="auto"/>
              </w:rPr>
            </w:pPr>
          </w:p>
        </w:tc>
        <w:tc>
          <w:tcPr>
            <w:tcW w:w="5600" w:type="dxa"/>
            <w:vAlign w:val="bottom"/>
          </w:tcPr>
          <w:p>
            <w:pPr>
              <w:ind w:left="5060"/>
              <w:spacing w:after="0"/>
              <w:rPr>
                <w:sz w:val="20"/>
                <w:szCs w:val="20"/>
                <w:color w:val="auto"/>
              </w:rPr>
            </w:pPr>
            <w:r>
              <w:rPr>
                <w:rFonts w:ascii="Arial" w:cs="Arial" w:eastAsia="Arial" w:hAnsi="Arial"/>
                <w:sz w:val="16"/>
                <w:szCs w:val="16"/>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CHRISTOPHER J. MINER</w:t>
            </w:r>
          </w:p>
        </w:tc>
      </w:tr>
      <w:tr>
        <w:trPr>
          <w:trHeight w:val="207"/>
        </w:trPr>
        <w:tc>
          <w:tcPr>
            <w:tcW w:w="680" w:type="dxa"/>
            <w:vAlign w:val="bottom"/>
          </w:tcPr>
          <w:p>
            <w:pPr>
              <w:spacing w:after="0"/>
              <w:rPr>
                <w:sz w:val="20"/>
                <w:szCs w:val="20"/>
                <w:color w:val="auto"/>
              </w:rPr>
            </w:pPr>
            <w:r>
              <w:rPr>
                <w:rFonts w:ascii="Arial" w:cs="Arial" w:eastAsia="Arial" w:hAnsi="Arial"/>
                <w:sz w:val="16"/>
                <w:szCs w:val="16"/>
                <w:color w:val="auto"/>
              </w:rPr>
              <w:t>Dated:</w:t>
            </w:r>
          </w:p>
        </w:tc>
        <w:tc>
          <w:tcPr>
            <w:tcW w:w="5600" w:type="dxa"/>
            <w:vAlign w:val="bottom"/>
          </w:tcPr>
          <w:p>
            <w:pPr>
              <w:ind w:left="180"/>
              <w:spacing w:after="0"/>
              <w:rPr>
                <w:sz w:val="20"/>
                <w:szCs w:val="20"/>
                <w:color w:val="auto"/>
              </w:rPr>
            </w:pPr>
            <w:r>
              <w:rPr>
                <w:rFonts w:ascii="Arial" w:cs="Arial" w:eastAsia="Arial" w:hAnsi="Arial"/>
                <w:sz w:val="16"/>
                <w:szCs w:val="16"/>
                <w:color w:val="auto"/>
              </w:rPr>
              <w:t>May 10, 2021</w:t>
            </w:r>
          </w:p>
        </w:tc>
        <w:tc>
          <w:tcPr>
            <w:tcW w:w="4900" w:type="dxa"/>
            <w:vAlign w:val="bottom"/>
          </w:tcPr>
          <w:p>
            <w:pPr>
              <w:ind w:left="20"/>
              <w:spacing w:after="0"/>
              <w:rPr>
                <w:sz w:val="20"/>
                <w:szCs w:val="20"/>
                <w:color w:val="auto"/>
              </w:rPr>
            </w:pPr>
            <w:r>
              <w:rPr>
                <w:rFonts w:ascii="Arial" w:cs="Arial" w:eastAsia="Arial" w:hAnsi="Arial"/>
                <w:sz w:val="16"/>
                <w:szCs w:val="16"/>
                <w:color w:val="auto"/>
              </w:rPr>
              <w:t>Christopher J. Miner</w:t>
            </w:r>
          </w:p>
        </w:tc>
      </w:tr>
      <w:tr>
        <w:trPr>
          <w:trHeight w:val="216"/>
        </w:trPr>
        <w:tc>
          <w:tcPr>
            <w:tcW w:w="6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6"/>
                <w:szCs w:val="16"/>
                <w:i w:val="1"/>
                <w:iCs w:val="1"/>
                <w:color w:val="auto"/>
              </w:rPr>
              <w:t>Executive Vice President &amp; Chief Legal Officer</w:t>
            </w:r>
          </w:p>
        </w:tc>
      </w:tr>
    </w:tbl>
    <w:p>
      <w:pPr>
        <w:sectPr>
          <w:pgSz w:w="11900" w:h="16838" w:orient="portrait"/>
          <w:cols w:equalWidth="0" w:num="1">
            <w:col w:w="11220"/>
          </w:cols>
          <w:pgMar w:left="320" w:top="1116"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5/10/2021</w:t>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78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WillScot Mobile Mini Corp.;</w:t>
      </w:r>
    </w:p>
    <w:p>
      <w:pPr>
        <w:spacing w:after="0" w:line="86" w:lineRule="exact"/>
        <w:rPr>
          <w:rFonts w:ascii="Arial" w:cs="Arial" w:eastAsia="Arial" w:hAnsi="Arial"/>
          <w:sz w:val="16"/>
          <w:szCs w:val="16"/>
          <w:color w:val="auto"/>
        </w:rPr>
      </w:pPr>
    </w:p>
    <w:p>
      <w:pPr>
        <w:ind w:right="20" w:firstLine="8"/>
        <w:spacing w:after="0" w:line="352" w:lineRule="auto"/>
        <w:tabs>
          <w:tab w:leader="none" w:pos="2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8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8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5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86"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7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66"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4"/>
        <w:spacing w:after="0" w:line="366" w:lineRule="auto"/>
        <w:tabs>
          <w:tab w:leader="none" w:pos="859"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5/10/2021</w:t>
      </w:r>
    </w:p>
    <w:p>
      <w:pPr>
        <w:spacing w:after="0" w:line="4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10795</wp:posOffset>
            </wp:positionV>
            <wp:extent cx="28289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2021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5/10/2021</w:t>
      </w:r>
    </w:p>
    <w:p>
      <w:pPr>
        <w:spacing w:after="0" w:line="8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10795</wp:posOffset>
            </wp:positionV>
            <wp:extent cx="25292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Bradley L. Soultz</w:t>
      </w:r>
    </w:p>
    <w:p>
      <w:pPr>
        <w:spacing w:after="0" w:line="10" w:lineRule="exact"/>
        <w:rPr>
          <w:sz w:val="20"/>
          <w:szCs w:val="20"/>
          <w:color w:val="auto"/>
        </w:rPr>
      </w:pPr>
    </w:p>
    <w:p>
      <w:pPr>
        <w:ind w:left="726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260"/>
        <w:spacing w:after="0"/>
        <w:rPr>
          <w:sz w:val="20"/>
          <w:szCs w:val="20"/>
          <w:color w:val="auto"/>
        </w:rPr>
      </w:pPr>
      <w:r>
        <w:rPr>
          <w:rFonts w:ascii="Arial" w:cs="Arial" w:eastAsia="Arial" w:hAnsi="Arial"/>
          <w:sz w:val="16"/>
          <w:szCs w:val="16"/>
          <w:i w:val="1"/>
          <w:iCs w:val="1"/>
          <w:color w:val="auto"/>
        </w:rPr>
        <w:t>(Principal Executive Officer)</w:t>
      </w:r>
    </w:p>
    <w:p>
      <w:pPr>
        <w:spacing w:after="0" w:line="167" w:lineRule="exact"/>
        <w:rPr>
          <w:sz w:val="20"/>
          <w:szCs w:val="20"/>
          <w:color w:val="auto"/>
        </w:rPr>
      </w:pPr>
    </w:p>
    <w:p>
      <w:pPr>
        <w:ind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Mobile Mini Corp.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certifies, to such officer's knowledge, that:</w:t>
      </w:r>
    </w:p>
    <w:p>
      <w:pPr>
        <w:spacing w:after="0" w:line="86" w:lineRule="exact"/>
        <w:rPr>
          <w:sz w:val="20"/>
          <w:szCs w:val="20"/>
          <w:color w:val="auto"/>
        </w:rPr>
      </w:pPr>
    </w:p>
    <w:p>
      <w:pPr>
        <w:ind w:left="660" w:right="20" w:hanging="4"/>
        <w:spacing w:after="0" w:line="352" w:lineRule="auto"/>
        <w:tabs>
          <w:tab w:leader="none" w:pos="86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2021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5/10/2021</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10795</wp:posOffset>
            </wp:positionV>
            <wp:extent cx="25292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Timothy D. Boswell</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83" w:lineRule="exact"/>
        <w:rPr>
          <w:sz w:val="20"/>
          <w:szCs w:val="20"/>
          <w:color w:val="auto"/>
        </w:rPr>
      </w:pPr>
    </w:p>
    <w:p>
      <w:pPr>
        <w:ind w:firstLine="324"/>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Mobile Mini Corporation and will be retained by WillScot Mobile Mini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
      <w:numFmt w:val="bullet"/>
      <w:start w:val="1"/>
    </w:lvl>
    <w:lvl w:ilvl="1">
      <w:lvlJc w:val="left"/>
      <w:lvlText w:val="\endash "/>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2021-05-10T11:20:11Z</dcterms:created>
  <dcterms:modified xsi:type="dcterms:W3CDTF">2021-05-10T11:20:11Z</dcterms:modified>
</cp:coreProperties>
</file>