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201930</wp:posOffset>
            </wp:positionH>
            <wp:positionV relativeFrom="page">
              <wp:posOffset>479425</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448310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45720</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144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71" w:lineRule="exact"/>
        <w:rPr>
          <w:sz w:val="24"/>
          <w:szCs w:val="24"/>
          <w:color w:val="auto"/>
        </w:rPr>
      </w:pPr>
    </w:p>
    <w:p>
      <w:pPr>
        <w:ind w:left="1520" w:hanging="808"/>
        <w:spacing w:after="0"/>
        <w:tabs>
          <w:tab w:leader="none" w:pos="1520" w:val="left"/>
        </w:tabs>
        <w:numPr>
          <w:ilvl w:val="0"/>
          <w:numId w:val="1"/>
        </w:numPr>
        <w:rPr>
          <w:rFonts w:ascii="MS PGothic" w:cs="MS PGothic" w:eastAsia="MS PGothic" w:hAnsi="MS PGothic"/>
          <w:sz w:val="16"/>
          <w:szCs w:val="16"/>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388" w:lineRule="exact"/>
        <w:rPr>
          <w:sz w:val="24"/>
          <w:szCs w:val="24"/>
          <w:color w:val="auto"/>
        </w:rPr>
      </w:pPr>
    </w:p>
    <w:p>
      <w:pPr>
        <w:ind w:left="4000" w:right="3000" w:hanging="3288"/>
        <w:spacing w:after="0" w:line="347" w:lineRule="auto"/>
        <w:tabs>
          <w:tab w:leader="none" w:pos="1517" w:val="left"/>
        </w:tabs>
        <w:numPr>
          <w:ilvl w:val="0"/>
          <w:numId w:val="2"/>
        </w:numPr>
        <w:rPr>
          <w:rFonts w:ascii="MS PGothic" w:cs="MS PGothic" w:eastAsia="MS PGothic" w:hAnsi="MS PGothic"/>
          <w:sz w:val="16"/>
          <w:szCs w:val="16"/>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________ to ________</w:t>
      </w:r>
    </w:p>
    <w:p>
      <w:pPr>
        <w:spacing w:after="0" w:line="37"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 xml:space="preserve">Commission File Number: </w:t>
      </w:r>
      <w:r>
        <w:rPr>
          <w:rFonts w:ascii="Arial" w:cs="Arial" w:eastAsia="Arial" w:hAnsi="Arial"/>
          <w:sz w:val="13"/>
          <w:szCs w:val="13"/>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2263140</wp:posOffset>
            </wp:positionH>
            <wp:positionV relativeFrom="paragraph">
              <wp:posOffset>60960</wp:posOffset>
            </wp:positionV>
            <wp:extent cx="2623820" cy="734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3820" cy="734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WILLSCOT MOBILE MINI HOLDINGS CORP.</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3860" w:type="dxa"/>
            <w:vAlign w:val="bottom"/>
          </w:tcPr>
          <w:p>
            <w:pPr>
              <w:spacing w:after="0"/>
              <w:rPr>
                <w:sz w:val="13"/>
                <w:szCs w:val="13"/>
                <w:color w:val="auto"/>
              </w:rPr>
            </w:pPr>
          </w:p>
        </w:tc>
        <w:tc>
          <w:tcPr>
            <w:tcW w:w="3760" w:type="dxa"/>
            <w:vAlign w:val="bottom"/>
          </w:tcPr>
          <w:p>
            <w:pPr>
              <w:jc w:val="center"/>
              <w:ind w:right="154"/>
              <w:spacing w:after="0"/>
              <w:rPr>
                <w:sz w:val="20"/>
                <w:szCs w:val="20"/>
                <w:color w:val="auto"/>
              </w:rPr>
            </w:pPr>
            <w:r>
              <w:rPr>
                <w:rFonts w:ascii="Arial" w:cs="Arial" w:eastAsia="Arial" w:hAnsi="Arial"/>
                <w:sz w:val="13"/>
                <w:szCs w:val="13"/>
                <w:color w:val="auto"/>
              </w:rPr>
              <w:t>(Exact name of registrant as specified in its charter)</w:t>
            </w:r>
          </w:p>
        </w:tc>
        <w:tc>
          <w:tcPr>
            <w:tcW w:w="3620" w:type="dxa"/>
            <w:vAlign w:val="bottom"/>
          </w:tcPr>
          <w:p>
            <w:pPr>
              <w:spacing w:after="0"/>
              <w:rPr>
                <w:sz w:val="13"/>
                <w:szCs w:val="13"/>
                <w:color w:val="auto"/>
              </w:rPr>
            </w:pPr>
          </w:p>
        </w:tc>
      </w:tr>
      <w:tr>
        <w:trPr>
          <w:trHeight w:val="184"/>
        </w:trPr>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Delaware</w:t>
            </w:r>
          </w:p>
        </w:tc>
        <w:tc>
          <w:tcPr>
            <w:tcW w:w="3760" w:type="dxa"/>
            <w:vAlign w:val="bottom"/>
          </w:tcPr>
          <w:p>
            <w:pPr>
              <w:spacing w:after="0"/>
              <w:rPr>
                <w:sz w:val="16"/>
                <w:szCs w:val="16"/>
                <w:color w:val="auto"/>
              </w:rPr>
            </w:pPr>
          </w:p>
        </w:tc>
        <w:tc>
          <w:tcPr>
            <w:tcW w:w="3620" w:type="dxa"/>
            <w:vAlign w:val="bottom"/>
          </w:tcPr>
          <w:p>
            <w:pPr>
              <w:jc w:val="right"/>
              <w:ind w:right="1494"/>
              <w:spacing w:after="0"/>
              <w:rPr>
                <w:sz w:val="20"/>
                <w:szCs w:val="20"/>
                <w:color w:val="auto"/>
              </w:rPr>
            </w:pPr>
            <w:r>
              <w:rPr>
                <w:rFonts w:ascii="Arial" w:cs="Arial" w:eastAsia="Arial" w:hAnsi="Arial"/>
                <w:sz w:val="13"/>
                <w:szCs w:val="13"/>
                <w:b w:val="1"/>
                <w:bCs w:val="1"/>
                <w:color w:val="auto"/>
              </w:rPr>
              <w:t>82-3430194</w:t>
            </w:r>
          </w:p>
        </w:tc>
      </w:tr>
      <w:tr>
        <w:trPr>
          <w:trHeight w:val="172"/>
        </w:trPr>
        <w:tc>
          <w:tcPr>
            <w:tcW w:w="3860" w:type="dxa"/>
            <w:vAlign w:val="bottom"/>
          </w:tcPr>
          <w:p>
            <w:pPr>
              <w:jc w:val="center"/>
              <w:spacing w:after="0"/>
              <w:rPr>
                <w:sz w:val="20"/>
                <w:szCs w:val="20"/>
                <w:color w:val="auto"/>
              </w:rPr>
            </w:pPr>
            <w:r>
              <w:rPr>
                <w:rFonts w:ascii="Arial" w:cs="Arial" w:eastAsia="Arial" w:hAnsi="Arial"/>
                <w:sz w:val="13"/>
                <w:szCs w:val="13"/>
                <w:color w:val="auto"/>
              </w:rPr>
              <w:t>(State or other jurisdiction of incorporation)</w:t>
            </w:r>
          </w:p>
        </w:tc>
        <w:tc>
          <w:tcPr>
            <w:tcW w:w="3760" w:type="dxa"/>
            <w:vAlign w:val="bottom"/>
          </w:tcPr>
          <w:p>
            <w:pPr>
              <w:spacing w:after="0"/>
              <w:rPr>
                <w:sz w:val="14"/>
                <w:szCs w:val="14"/>
                <w:color w:val="auto"/>
              </w:rPr>
            </w:pPr>
          </w:p>
        </w:tc>
        <w:tc>
          <w:tcPr>
            <w:tcW w:w="3620" w:type="dxa"/>
            <w:vAlign w:val="bottom"/>
          </w:tcPr>
          <w:p>
            <w:pPr>
              <w:jc w:val="center"/>
              <w:ind w:right="134"/>
              <w:spacing w:after="0"/>
              <w:rPr>
                <w:sz w:val="20"/>
                <w:szCs w:val="20"/>
                <w:color w:val="auto"/>
              </w:rPr>
            </w:pPr>
            <w:r>
              <w:rPr>
                <w:rFonts w:ascii="Arial" w:cs="Arial" w:eastAsia="Arial" w:hAnsi="Arial"/>
                <w:sz w:val="13"/>
                <w:szCs w:val="13"/>
                <w:color w:val="auto"/>
              </w:rPr>
              <w:t>(I.R.S. Employer Identification No.)</w:t>
            </w:r>
          </w:p>
        </w:tc>
      </w:tr>
      <w:tr>
        <w:trPr>
          <w:trHeight w:val="221"/>
        </w:trPr>
        <w:tc>
          <w:tcPr>
            <w:tcW w:w="3860" w:type="dxa"/>
            <w:vAlign w:val="bottom"/>
          </w:tcPr>
          <w:p>
            <w:pPr>
              <w:spacing w:after="0"/>
              <w:rPr>
                <w:sz w:val="19"/>
                <w:szCs w:val="19"/>
                <w:color w:val="auto"/>
              </w:rPr>
            </w:pPr>
          </w:p>
        </w:tc>
        <w:tc>
          <w:tcPr>
            <w:tcW w:w="3760" w:type="dxa"/>
            <w:vAlign w:val="bottom"/>
          </w:tcPr>
          <w:p>
            <w:pPr>
              <w:jc w:val="center"/>
              <w:ind w:right="174"/>
              <w:spacing w:after="0"/>
              <w:rPr>
                <w:sz w:val="20"/>
                <w:szCs w:val="20"/>
                <w:color w:val="auto"/>
              </w:rPr>
            </w:pPr>
            <w:r>
              <w:rPr>
                <w:rFonts w:ascii="Arial" w:cs="Arial" w:eastAsia="Arial" w:hAnsi="Arial"/>
                <w:sz w:val="13"/>
                <w:szCs w:val="13"/>
                <w:b w:val="1"/>
                <w:bCs w:val="1"/>
                <w:color w:val="auto"/>
              </w:rPr>
              <w:t>4646 E Van Buren St., Suite 400</w:t>
            </w:r>
          </w:p>
        </w:tc>
        <w:tc>
          <w:tcPr>
            <w:tcW w:w="3620" w:type="dxa"/>
            <w:vAlign w:val="bottom"/>
          </w:tcPr>
          <w:p>
            <w:pPr>
              <w:spacing w:after="0"/>
              <w:rPr>
                <w:sz w:val="19"/>
                <w:szCs w:val="19"/>
                <w:color w:val="auto"/>
              </w:rPr>
            </w:pPr>
          </w:p>
        </w:tc>
      </w:tr>
      <w:tr>
        <w:trPr>
          <w:trHeight w:val="164"/>
        </w:trPr>
        <w:tc>
          <w:tcPr>
            <w:tcW w:w="3860" w:type="dxa"/>
            <w:vAlign w:val="bottom"/>
          </w:tcPr>
          <w:p>
            <w:pPr>
              <w:spacing w:after="0"/>
              <w:rPr>
                <w:sz w:val="14"/>
                <w:szCs w:val="14"/>
                <w:color w:val="auto"/>
              </w:rPr>
            </w:pPr>
          </w:p>
        </w:tc>
        <w:tc>
          <w:tcPr>
            <w:tcW w:w="3760" w:type="dxa"/>
            <w:vAlign w:val="bottom"/>
          </w:tcPr>
          <w:p>
            <w:pPr>
              <w:jc w:val="center"/>
              <w:ind w:right="154"/>
              <w:spacing w:after="0"/>
              <w:rPr>
                <w:sz w:val="20"/>
                <w:szCs w:val="20"/>
                <w:color w:val="auto"/>
              </w:rPr>
            </w:pPr>
            <w:r>
              <w:rPr>
                <w:rFonts w:ascii="Arial" w:cs="Arial" w:eastAsia="Arial" w:hAnsi="Arial"/>
                <w:sz w:val="13"/>
                <w:szCs w:val="13"/>
                <w:b w:val="1"/>
                <w:bCs w:val="1"/>
                <w:color w:val="auto"/>
              </w:rPr>
              <w:t>Phoenix, Arizona 85008</w:t>
            </w:r>
          </w:p>
        </w:tc>
        <w:tc>
          <w:tcPr>
            <w:tcW w:w="3620" w:type="dxa"/>
            <w:vAlign w:val="bottom"/>
          </w:tcPr>
          <w:p>
            <w:pPr>
              <w:spacing w:after="0"/>
              <w:rPr>
                <w:sz w:val="14"/>
                <w:szCs w:val="14"/>
                <w:color w:val="auto"/>
              </w:rPr>
            </w:pPr>
          </w:p>
        </w:tc>
      </w:tr>
      <w:tr>
        <w:trPr>
          <w:trHeight w:val="157"/>
        </w:trPr>
        <w:tc>
          <w:tcPr>
            <w:tcW w:w="3860" w:type="dxa"/>
            <w:vAlign w:val="bottom"/>
          </w:tcPr>
          <w:p>
            <w:pPr>
              <w:spacing w:after="0"/>
              <w:rPr>
                <w:sz w:val="13"/>
                <w:szCs w:val="13"/>
                <w:color w:val="auto"/>
              </w:rPr>
            </w:pPr>
          </w:p>
        </w:tc>
        <w:tc>
          <w:tcPr>
            <w:tcW w:w="3760" w:type="dxa"/>
            <w:vAlign w:val="bottom"/>
          </w:tcPr>
          <w:p>
            <w:pPr>
              <w:jc w:val="center"/>
              <w:ind w:right="174"/>
              <w:spacing w:after="0"/>
              <w:rPr>
                <w:sz w:val="20"/>
                <w:szCs w:val="20"/>
                <w:color w:val="auto"/>
              </w:rPr>
            </w:pPr>
            <w:r>
              <w:rPr>
                <w:rFonts w:ascii="Arial" w:cs="Arial" w:eastAsia="Arial" w:hAnsi="Arial"/>
                <w:sz w:val="13"/>
                <w:szCs w:val="13"/>
                <w:color w:val="auto"/>
              </w:rPr>
              <w:t>(Address, including zip code, of principal executive offices)</w:t>
            </w:r>
          </w:p>
        </w:tc>
        <w:tc>
          <w:tcPr>
            <w:tcW w:w="3620" w:type="dxa"/>
            <w:vAlign w:val="bottom"/>
          </w:tcPr>
          <w:p>
            <w:pPr>
              <w:spacing w:after="0"/>
              <w:rPr>
                <w:sz w:val="13"/>
                <w:szCs w:val="13"/>
                <w:color w:val="auto"/>
              </w:rPr>
            </w:pPr>
          </w:p>
        </w:tc>
      </w:tr>
      <w:tr>
        <w:trPr>
          <w:trHeight w:val="360"/>
        </w:trPr>
        <w:tc>
          <w:tcPr>
            <w:tcW w:w="3860" w:type="dxa"/>
            <w:vAlign w:val="bottom"/>
          </w:tcPr>
          <w:p>
            <w:pPr>
              <w:spacing w:after="0"/>
              <w:rPr>
                <w:sz w:val="24"/>
                <w:szCs w:val="24"/>
                <w:color w:val="auto"/>
              </w:rPr>
            </w:pPr>
          </w:p>
        </w:tc>
        <w:tc>
          <w:tcPr>
            <w:tcW w:w="3760" w:type="dxa"/>
            <w:vAlign w:val="bottom"/>
          </w:tcPr>
          <w:p>
            <w:pPr>
              <w:jc w:val="center"/>
              <w:ind w:right="154"/>
              <w:spacing w:after="0"/>
              <w:rPr>
                <w:sz w:val="20"/>
                <w:szCs w:val="20"/>
                <w:color w:val="auto"/>
              </w:rPr>
            </w:pPr>
            <w:r>
              <w:rPr>
                <w:rFonts w:ascii="Arial" w:cs="Arial" w:eastAsia="Arial" w:hAnsi="Arial"/>
                <w:sz w:val="13"/>
                <w:szCs w:val="13"/>
                <w:b w:val="1"/>
                <w:bCs w:val="1"/>
                <w:color w:val="auto"/>
              </w:rPr>
              <w:t>(480) 894-6311</w:t>
            </w:r>
          </w:p>
        </w:tc>
        <w:tc>
          <w:tcPr>
            <w:tcW w:w="3620" w:type="dxa"/>
            <w:vAlign w:val="bottom"/>
          </w:tcPr>
          <w:p>
            <w:pPr>
              <w:spacing w:after="0"/>
              <w:rPr>
                <w:sz w:val="24"/>
                <w:szCs w:val="24"/>
                <w:color w:val="auto"/>
              </w:rPr>
            </w:pPr>
          </w:p>
        </w:tc>
      </w:tr>
      <w:tr>
        <w:trPr>
          <w:trHeight w:val="157"/>
        </w:trPr>
        <w:tc>
          <w:tcPr>
            <w:tcW w:w="3860" w:type="dxa"/>
            <w:vAlign w:val="bottom"/>
          </w:tcPr>
          <w:p>
            <w:pPr>
              <w:spacing w:after="0"/>
              <w:rPr>
                <w:sz w:val="13"/>
                <w:szCs w:val="13"/>
                <w:color w:val="auto"/>
              </w:rPr>
            </w:pPr>
          </w:p>
        </w:tc>
        <w:tc>
          <w:tcPr>
            <w:tcW w:w="3760" w:type="dxa"/>
            <w:vAlign w:val="bottom"/>
          </w:tcPr>
          <w:p>
            <w:pPr>
              <w:jc w:val="center"/>
              <w:ind w:right="174"/>
              <w:spacing w:after="0"/>
              <w:rPr>
                <w:sz w:val="20"/>
                <w:szCs w:val="20"/>
                <w:color w:val="auto"/>
              </w:rPr>
            </w:pPr>
            <w:r>
              <w:rPr>
                <w:rFonts w:ascii="Arial" w:cs="Arial" w:eastAsia="Arial" w:hAnsi="Arial"/>
                <w:sz w:val="13"/>
                <w:szCs w:val="13"/>
                <w:color w:val="auto"/>
              </w:rPr>
              <w:t>(Registrant’s telephone number, including area code)</w:t>
            </w:r>
          </w:p>
        </w:tc>
        <w:tc>
          <w:tcPr>
            <w:tcW w:w="3620" w:type="dxa"/>
            <w:vAlign w:val="bottom"/>
          </w:tcPr>
          <w:p>
            <w:pPr>
              <w:spacing w:after="0"/>
              <w:rPr>
                <w:sz w:val="13"/>
                <w:szCs w:val="13"/>
                <w:color w:val="auto"/>
              </w:rPr>
            </w:pPr>
          </w:p>
        </w:tc>
      </w:tr>
      <w:tr>
        <w:trPr>
          <w:trHeight w:val="246"/>
        </w:trPr>
        <w:tc>
          <w:tcPr>
            <w:tcW w:w="7620" w:type="dxa"/>
            <w:vAlign w:val="bottom"/>
            <w:gridSpan w:val="2"/>
          </w:tcPr>
          <w:p>
            <w:pPr>
              <w:jc w:val="center"/>
              <w:ind w:left="3554"/>
              <w:spacing w:after="0"/>
              <w:rPr>
                <w:sz w:val="20"/>
                <w:szCs w:val="20"/>
                <w:color w:val="auto"/>
              </w:rPr>
            </w:pPr>
            <w:r>
              <w:rPr>
                <w:rFonts w:ascii="Arial" w:cs="Arial" w:eastAsia="Arial" w:hAnsi="Arial"/>
                <w:sz w:val="13"/>
                <w:szCs w:val="13"/>
                <w:color w:val="auto"/>
              </w:rPr>
              <w:t>(Former Name or Former Address, if Changed Since Last Report)</w:t>
            </w:r>
          </w:p>
        </w:tc>
        <w:tc>
          <w:tcPr>
            <w:tcW w:w="3620" w:type="dxa"/>
            <w:vAlign w:val="bottom"/>
          </w:tcPr>
          <w:p>
            <w:pPr>
              <w:spacing w:after="0"/>
              <w:rPr>
                <w:sz w:val="21"/>
                <w:szCs w:val="21"/>
                <w:color w:val="auto"/>
              </w:rPr>
            </w:pPr>
          </w:p>
        </w:tc>
      </w:tr>
      <w:tr>
        <w:trPr>
          <w:trHeight w:val="369"/>
        </w:trPr>
        <w:tc>
          <w:tcPr>
            <w:tcW w:w="386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7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83"/>
        </w:trPr>
        <w:tc>
          <w:tcPr>
            <w:tcW w:w="3860" w:type="dxa"/>
            <w:vAlign w:val="bottom"/>
            <w:tcBorders>
              <w:bottom w:val="single" w:sz="8" w:color="auto"/>
            </w:tcBorders>
          </w:tcPr>
          <w:p>
            <w:pPr>
              <w:jc w:val="center"/>
              <w:ind w:left="1074"/>
              <w:spacing w:after="0"/>
              <w:rPr>
                <w:sz w:val="20"/>
                <w:szCs w:val="20"/>
                <w:color w:val="auto"/>
              </w:rPr>
            </w:pPr>
            <w:r>
              <w:rPr>
                <w:rFonts w:ascii="Arial" w:cs="Arial" w:eastAsia="Arial" w:hAnsi="Arial"/>
                <w:sz w:val="13"/>
                <w:szCs w:val="13"/>
                <w:b w:val="1"/>
                <w:bCs w:val="1"/>
                <w:color w:val="auto"/>
                <w:w w:val="99"/>
              </w:rPr>
              <w:t>Title of each class</w:t>
            </w:r>
          </w:p>
        </w:tc>
        <w:tc>
          <w:tcPr>
            <w:tcW w:w="3760" w:type="dxa"/>
            <w:vAlign w:val="bottom"/>
            <w:tcBorders>
              <w:bottom w:val="single" w:sz="8" w:color="auto"/>
            </w:tcBorders>
          </w:tcPr>
          <w:p>
            <w:pPr>
              <w:jc w:val="center"/>
              <w:ind w:left="394"/>
              <w:spacing w:after="0"/>
              <w:rPr>
                <w:sz w:val="20"/>
                <w:szCs w:val="20"/>
                <w:color w:val="auto"/>
              </w:rPr>
            </w:pPr>
            <w:r>
              <w:rPr>
                <w:rFonts w:ascii="Arial" w:cs="Arial" w:eastAsia="Arial" w:hAnsi="Arial"/>
                <w:sz w:val="13"/>
                <w:szCs w:val="13"/>
                <w:b w:val="1"/>
                <w:bCs w:val="1"/>
                <w:color w:val="auto"/>
                <w:w w:val="99"/>
              </w:rPr>
              <w:t>Trading Symbol(s)</w:t>
            </w:r>
          </w:p>
        </w:tc>
        <w:tc>
          <w:tcPr>
            <w:tcW w:w="3620" w:type="dxa"/>
            <w:vAlign w:val="bottom"/>
            <w:tcBorders>
              <w:bottom w:val="single" w:sz="8" w:color="auto"/>
            </w:tcBorders>
          </w:tcPr>
          <w:p>
            <w:pPr>
              <w:jc w:val="center"/>
              <w:ind w:right="594"/>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66"/>
        </w:trPr>
        <w:tc>
          <w:tcPr>
            <w:tcW w:w="3860" w:type="dxa"/>
            <w:vAlign w:val="bottom"/>
          </w:tcPr>
          <w:p>
            <w:pPr>
              <w:jc w:val="center"/>
              <w:ind w:left="1074"/>
              <w:spacing w:after="0"/>
              <w:rPr>
                <w:sz w:val="20"/>
                <w:szCs w:val="20"/>
                <w:color w:val="auto"/>
              </w:rPr>
            </w:pPr>
            <w:r>
              <w:rPr>
                <w:rFonts w:ascii="Arial" w:cs="Arial" w:eastAsia="Arial" w:hAnsi="Arial"/>
                <w:sz w:val="13"/>
                <w:szCs w:val="13"/>
                <w:color w:val="auto"/>
              </w:rPr>
              <w:t>Common Stock, par value $0.0001 per share</w:t>
            </w:r>
          </w:p>
        </w:tc>
        <w:tc>
          <w:tcPr>
            <w:tcW w:w="3760" w:type="dxa"/>
            <w:vAlign w:val="bottom"/>
          </w:tcPr>
          <w:p>
            <w:pPr>
              <w:jc w:val="center"/>
              <w:ind w:left="394"/>
              <w:spacing w:after="0"/>
              <w:rPr>
                <w:sz w:val="20"/>
                <w:szCs w:val="20"/>
                <w:color w:val="auto"/>
              </w:rPr>
            </w:pPr>
            <w:r>
              <w:rPr>
                <w:rFonts w:ascii="Arial" w:cs="Arial" w:eastAsia="Arial" w:hAnsi="Arial"/>
                <w:sz w:val="13"/>
                <w:szCs w:val="13"/>
                <w:color w:val="auto"/>
                <w:w w:val="98"/>
              </w:rPr>
              <w:t>WSC</w:t>
            </w:r>
          </w:p>
        </w:tc>
        <w:tc>
          <w:tcPr>
            <w:tcW w:w="3620" w:type="dxa"/>
            <w:vAlign w:val="bottom"/>
          </w:tcPr>
          <w:p>
            <w:pPr>
              <w:jc w:val="center"/>
              <w:ind w:right="594"/>
              <w:spacing w:after="0"/>
              <w:rPr>
                <w:sz w:val="20"/>
                <w:szCs w:val="20"/>
                <w:color w:val="auto"/>
              </w:rPr>
            </w:pPr>
            <w:r>
              <w:rPr>
                <w:rFonts w:ascii="Arial" w:cs="Arial" w:eastAsia="Arial" w:hAnsi="Arial"/>
                <w:sz w:val="13"/>
                <w:szCs w:val="13"/>
                <w:color w:val="auto"/>
              </w:rPr>
              <w:t>The Nasdaq Capital Market</w:t>
            </w:r>
          </w:p>
        </w:tc>
      </w:tr>
      <w:tr>
        <w:trPr>
          <w:trHeight w:val="225"/>
        </w:trPr>
        <w:tc>
          <w:tcPr>
            <w:tcW w:w="3860" w:type="dxa"/>
            <w:vAlign w:val="bottom"/>
          </w:tcPr>
          <w:p>
            <w:pPr>
              <w:jc w:val="center"/>
              <w:ind w:left="1074"/>
              <w:spacing w:after="0"/>
              <w:rPr>
                <w:sz w:val="20"/>
                <w:szCs w:val="20"/>
                <w:color w:val="auto"/>
              </w:rPr>
            </w:pPr>
            <w:r>
              <w:rPr>
                <w:rFonts w:ascii="Arial" w:cs="Arial" w:eastAsia="Arial" w:hAnsi="Arial"/>
                <w:sz w:val="13"/>
                <w:szCs w:val="13"/>
                <w:color w:val="auto"/>
                <w:w w:val="98"/>
              </w:rPr>
              <w:t>Warrants to purchase Common Stock</w:t>
            </w:r>
            <w:r>
              <w:rPr>
                <w:rFonts w:ascii="Arial" w:cs="Arial" w:eastAsia="Arial" w:hAnsi="Arial"/>
                <w:sz w:val="17"/>
                <w:szCs w:val="17"/>
                <w:color w:val="auto"/>
                <w:w w:val="98"/>
                <w:vertAlign w:val="superscript"/>
              </w:rPr>
              <w:t>(1)</w:t>
            </w:r>
          </w:p>
        </w:tc>
        <w:tc>
          <w:tcPr>
            <w:tcW w:w="3760" w:type="dxa"/>
            <w:vAlign w:val="bottom"/>
          </w:tcPr>
          <w:p>
            <w:pPr>
              <w:jc w:val="center"/>
              <w:ind w:left="394"/>
              <w:spacing w:after="0"/>
              <w:rPr>
                <w:sz w:val="20"/>
                <w:szCs w:val="20"/>
                <w:color w:val="auto"/>
              </w:rPr>
            </w:pPr>
            <w:r>
              <w:rPr>
                <w:rFonts w:ascii="Arial" w:cs="Arial" w:eastAsia="Arial" w:hAnsi="Arial"/>
                <w:sz w:val="13"/>
                <w:szCs w:val="13"/>
                <w:color w:val="auto"/>
                <w:w w:val="98"/>
              </w:rPr>
              <w:t>WSCTW</w:t>
            </w:r>
          </w:p>
        </w:tc>
        <w:tc>
          <w:tcPr>
            <w:tcW w:w="3620" w:type="dxa"/>
            <w:vAlign w:val="bottom"/>
          </w:tcPr>
          <w:p>
            <w:pPr>
              <w:jc w:val="center"/>
              <w:ind w:right="594"/>
              <w:spacing w:after="0"/>
              <w:rPr>
                <w:sz w:val="20"/>
                <w:szCs w:val="20"/>
                <w:color w:val="auto"/>
              </w:rPr>
            </w:pPr>
            <w:r>
              <w:rPr>
                <w:rFonts w:ascii="Arial" w:cs="Arial" w:eastAsia="Arial" w:hAnsi="Arial"/>
                <w:sz w:val="13"/>
                <w:szCs w:val="13"/>
                <w:color w:val="auto"/>
              </w:rPr>
              <w:t>OTC Markets Group Inc.</w:t>
            </w:r>
          </w:p>
        </w:tc>
      </w:tr>
    </w:tbl>
    <w:p>
      <w:pPr>
        <w:spacing w:after="0" w:line="74" w:lineRule="exact"/>
        <w:rPr>
          <w:sz w:val="24"/>
          <w:szCs w:val="24"/>
          <w:color w:val="auto"/>
        </w:rPr>
      </w:pPr>
    </w:p>
    <w:p>
      <w:pPr>
        <w:ind w:firstLine="589"/>
        <w:spacing w:after="0" w:line="248" w:lineRule="auto"/>
        <w:tabs>
          <w:tab w:leader="none" w:pos="744" w:val="left"/>
        </w:tabs>
        <w:numPr>
          <w:ilvl w:val="0"/>
          <w:numId w:val="3"/>
        </w:numPr>
        <w:rPr>
          <w:rFonts w:ascii="Arial" w:cs="Arial" w:eastAsia="Arial" w:hAnsi="Arial"/>
          <w:sz w:val="9"/>
          <w:szCs w:val="9"/>
          <w:color w:val="auto"/>
        </w:rPr>
      </w:pPr>
      <w:r>
        <w:rPr>
          <w:rFonts w:ascii="Arial" w:cs="Arial" w:eastAsia="Arial" w:hAnsi="Arial"/>
          <w:sz w:val="13"/>
          <w:szCs w:val="13"/>
          <w:color w:val="auto"/>
        </w:rPr>
        <w:t>Issued in connection with the registrant's acquisition of Modular Space Holding, Inc. in August 2018, which are exercisable for one share of the registrant's common stock at an exercise price of $15.50 per share.</w:t>
      </w:r>
    </w:p>
    <w:p>
      <w:pPr>
        <w:spacing w:after="0" w:line="134" w:lineRule="exact"/>
        <w:rPr>
          <w:sz w:val="24"/>
          <w:szCs w:val="24"/>
          <w:color w:val="auto"/>
        </w:rPr>
      </w:pPr>
    </w:p>
    <w:p>
      <w:pPr>
        <w:ind w:firstLine="590"/>
        <w:spacing w:after="0" w:line="16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6" w:lineRule="exact"/>
        <w:rPr>
          <w:sz w:val="24"/>
          <w:szCs w:val="24"/>
          <w:color w:val="auto"/>
        </w:rPr>
      </w:pPr>
    </w:p>
    <w:p>
      <w:pPr>
        <w:ind w:firstLine="590"/>
        <w:spacing w:after="0" w:line="16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ind w:left="58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6" w:right="339" w:bottom="1440" w:gutter="0" w:footer="0" w:header="0"/>
        </w:sectPr>
      </w:pPr>
    </w:p>
    <w:p>
      <w:pPr>
        <w:spacing w:after="0" w:line="51" w:lineRule="exact"/>
        <w:rPr>
          <w:sz w:val="24"/>
          <w:szCs w:val="24"/>
          <w:color w:val="auto"/>
        </w:rPr>
      </w:pPr>
    </w:p>
    <w:p>
      <w:pPr>
        <w:ind w:left="12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68" w:lineRule="exact"/>
        <w:rPr>
          <w:sz w:val="24"/>
          <w:szCs w:val="24"/>
          <w:color w:val="auto"/>
        </w:rPr>
      </w:pPr>
    </w:p>
    <w:p>
      <w:pPr>
        <w:sectPr>
          <w:pgSz w:w="11900" w:h="16838" w:orient="portrait"/>
          <w:cols w:equalWidth="0" w:num="2">
            <w:col w:w="6100" w:space="720"/>
            <w:col w:w="4420"/>
          </w:cols>
          <w:pgMar w:left="320" w:top="886" w:right="339" w:bottom="1440" w:gutter="0" w:footer="0" w:header="0"/>
          <w:type w:val="continuous"/>
        </w:sectPr>
      </w:pPr>
    </w:p>
    <w:p>
      <w:pPr>
        <w:ind w:left="12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0" w:lineRule="exact"/>
        <w:rPr>
          <w:sz w:val="24"/>
          <w:szCs w:val="24"/>
          <w:color w:val="auto"/>
        </w:rPr>
      </w:pPr>
    </w:p>
    <w:p>
      <w:pPr>
        <w:sectPr>
          <w:pgSz w:w="11900" w:h="16838" w:orient="portrait"/>
          <w:cols w:equalWidth="0" w:num="2">
            <w:col w:w="6100" w:space="720"/>
            <w:col w:w="4420"/>
          </w:cols>
          <w:pgMar w:left="320" w:top="886" w:right="339" w:bottom="1440" w:gutter="0" w:footer="0" w:header="0"/>
          <w:type w:val="continuous"/>
        </w:sectPr>
      </w:pPr>
    </w:p>
    <w:p>
      <w:pPr>
        <w:ind w:firstLine="590"/>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ind w:left="580" w:right="3960"/>
        <w:spacing w:after="0" w:line="20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Shares of Common Stock, par value $0.0001 per share, outstanding: 223,153,746 shares at 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853440</wp:posOffset>
            </wp:positionV>
            <wp:extent cx="71697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38100</wp:posOffset>
            </wp:positionV>
            <wp:extent cx="7144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6985</wp:posOffset>
            </wp:positionV>
            <wp:extent cx="7144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1D2758"/>
        </w:rPr>
        <w:t>WILLSCOT MOBILE MINI HOLDINGS CORP.</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D2758"/>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1D2758"/>
        </w:rPr>
        <w:t>Table of Contents</w:t>
      </w:r>
    </w:p>
    <w:p>
      <w:pPr>
        <w:spacing w:after="0" w:line="21" w:lineRule="exact"/>
        <w:rPr>
          <w:sz w:val="20"/>
          <w:szCs w:val="20"/>
          <w:color w:val="auto"/>
        </w:rPr>
      </w:pPr>
    </w:p>
    <w:p>
      <w:pPr>
        <w:ind w:left="20"/>
        <w:spacing w:after="0"/>
        <w:rPr>
          <w:rFonts w:ascii="Arial" w:cs="Arial" w:eastAsia="Arial" w:hAnsi="Arial"/>
          <w:sz w:val="15"/>
          <w:szCs w:val="15"/>
          <w:b w:val="1"/>
          <w:bCs w:val="1"/>
          <w:color w:val="auto"/>
        </w:rPr>
      </w:pPr>
      <w:hyperlink w:anchor="page2">
        <w:r>
          <w:rPr>
            <w:rFonts w:ascii="Arial" w:cs="Arial" w:eastAsia="Arial" w:hAnsi="Arial"/>
            <w:sz w:val="15"/>
            <w:szCs w:val="15"/>
            <w:b w:val="1"/>
            <w:bCs w:val="1"/>
            <w:color w:val="auto"/>
          </w:rPr>
          <w:t xml:space="preserve">PART I </w:t>
        </w:r>
      </w:hyperlink>
      <w:r>
        <w:rPr>
          <w:rFonts w:ascii="Arial" w:cs="Arial" w:eastAsia="Arial" w:hAnsi="Arial"/>
          <w:sz w:val="15"/>
          <w:szCs w:val="15"/>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-106680</wp:posOffset>
            </wp:positionV>
            <wp:extent cx="7144385" cy="226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226695"/>
                    </a:xfrm>
                    <a:prstGeom prst="rect">
                      <a:avLst/>
                    </a:prstGeom>
                    <a:noFill/>
                  </pic:spPr>
                </pic:pic>
              </a:graphicData>
            </a:graphic>
          </wp:anchor>
        </w:drawing>
      </w:r>
    </w:p>
    <w:p>
      <w:pPr>
        <w:spacing w:after="0" w:line="182" w:lineRule="exact"/>
        <w:rPr>
          <w:sz w:val="20"/>
          <w:szCs w:val="20"/>
          <w:color w:val="auto"/>
        </w:rPr>
      </w:pPr>
    </w:p>
    <w:p>
      <w:pPr>
        <w:ind w:left="380"/>
        <w:spacing w:after="0"/>
        <w:tabs>
          <w:tab w:leader="none" w:pos="1220" w:val="left"/>
        </w:tabs>
        <w:rPr>
          <w:rFonts w:ascii="Arial" w:cs="Arial" w:eastAsia="Arial" w:hAnsi="Arial"/>
          <w:sz w:val="14"/>
          <w:szCs w:val="14"/>
          <w:color w:val="auto"/>
        </w:rPr>
      </w:pPr>
      <w:hyperlink w:anchor="page3">
        <w:r>
          <w:rPr>
            <w:rFonts w:ascii="Arial" w:cs="Arial" w:eastAsia="Arial" w:hAnsi="Arial"/>
            <w:sz w:val="15"/>
            <w:szCs w:val="15"/>
            <w:color w:val="auto"/>
          </w:rPr>
          <w:t>Item 1</w:t>
        </w:r>
      </w:hyperlink>
      <w:r>
        <w:rPr>
          <w:rFonts w:ascii="Arial" w:cs="Arial" w:eastAsia="Arial" w:hAnsi="Arial"/>
          <w:sz w:val="15"/>
          <w:szCs w:val="15"/>
          <w:color w:val="auto"/>
        </w:rPr>
        <w:tab/>
      </w:r>
      <w:hyperlink w:anchor="page3">
        <w:r>
          <w:rPr>
            <w:rFonts w:ascii="Arial" w:cs="Arial" w:eastAsia="Arial" w:hAnsi="Arial"/>
            <w:sz w:val="14"/>
            <w:szCs w:val="14"/>
            <w:color w:val="auto"/>
          </w:rPr>
          <w:t>Financial Statements (unaudited, except as noted below)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226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226695"/>
                    </a:xfrm>
                    <a:prstGeom prst="rect">
                      <a:avLst/>
                    </a:prstGeom>
                    <a:noFill/>
                  </pic:spPr>
                </pic:pic>
              </a:graphicData>
            </a:graphic>
          </wp:anchor>
        </w:drawing>
      </w:r>
    </w:p>
    <w:p>
      <w:pPr>
        <w:spacing w:after="0" w:line="164" w:lineRule="exact"/>
        <w:rPr>
          <w:sz w:val="20"/>
          <w:szCs w:val="20"/>
          <w:color w:val="auto"/>
        </w:rPr>
      </w:pPr>
    </w:p>
    <w:p>
      <w:pPr>
        <w:ind w:left="1600"/>
        <w:spacing w:after="0"/>
        <w:rPr>
          <w:rFonts w:ascii="Arial" w:cs="Arial" w:eastAsia="Arial" w:hAnsi="Arial"/>
          <w:sz w:val="15"/>
          <w:szCs w:val="15"/>
          <w:color w:val="auto"/>
        </w:rPr>
      </w:pPr>
      <w:hyperlink w:anchor="page3">
        <w:r>
          <w:rPr>
            <w:rFonts w:ascii="Arial" w:cs="Arial" w:eastAsia="Arial" w:hAnsi="Arial"/>
            <w:sz w:val="15"/>
            <w:szCs w:val="15"/>
            <w:color w:val="auto"/>
          </w:rPr>
          <w:t>Condensed Consolidated Balance Sheets as of September 30, 2021 and December 31, 2020 (audited)</w:t>
        </w:r>
      </w:hyperlink>
    </w:p>
    <w:p>
      <w:pPr>
        <w:spacing w:after="0" w:line="184" w:lineRule="exact"/>
        <w:rPr>
          <w:sz w:val="20"/>
          <w:szCs w:val="20"/>
          <w:color w:val="auto"/>
        </w:rPr>
      </w:pPr>
    </w:p>
    <w:p>
      <w:pPr>
        <w:ind w:left="1600"/>
        <w:spacing w:after="0"/>
        <w:rPr>
          <w:rFonts w:ascii="Arial" w:cs="Arial" w:eastAsia="Arial" w:hAnsi="Arial"/>
          <w:sz w:val="15"/>
          <w:szCs w:val="15"/>
          <w:color w:val="auto"/>
        </w:rPr>
      </w:pPr>
      <w:hyperlink w:anchor="page3">
        <w:r>
          <w:rPr>
            <w:rFonts w:ascii="Arial" w:cs="Arial" w:eastAsia="Arial" w:hAnsi="Arial"/>
            <w:sz w:val="15"/>
            <w:szCs w:val="15"/>
            <w:color w:val="auto"/>
          </w:rPr>
          <w:t xml:space="preserve">Condensed Consolidated Statements of Operations for the Three and Nine Months Ended September </w:t>
        </w:r>
      </w:hyperlink>
      <w:r>
        <w:rPr>
          <w:rFonts w:ascii="Arial" w:cs="Arial" w:eastAsia="Arial" w:hAnsi="Arial"/>
          <w:sz w:val="15"/>
          <w:szCs w:val="15"/>
          <w:color w:val="auto"/>
        </w:rPr>
        <w:t xml:space="preserve">30, </w:t>
      </w:r>
      <w:hyperlink w:anchor="page3">
        <w:r>
          <w:rPr>
            <w:rFonts w:ascii="Arial" w:cs="Arial" w:eastAsia="Arial" w:hAnsi="Arial"/>
            <w:sz w:val="15"/>
            <w:szCs w:val="15"/>
            <w:color w:val="auto"/>
          </w:rPr>
          <w:t>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226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226695"/>
                    </a:xfrm>
                    <a:prstGeom prst="rect">
                      <a:avLst/>
                    </a:prstGeom>
                    <a:noFill/>
                  </pic:spPr>
                </pic:pic>
              </a:graphicData>
            </a:graphic>
          </wp:anchor>
        </w:drawing>
      </w:r>
    </w:p>
    <w:p>
      <w:pPr>
        <w:spacing w:after="0" w:line="16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Comprehensive Income (Loss) for the Three and Nine Months Ended September 30, 2021 and 2020</w:t>
      </w:r>
    </w:p>
    <w:p>
      <w:pPr>
        <w:spacing w:after="0" w:line="184" w:lineRule="exact"/>
        <w:rPr>
          <w:sz w:val="20"/>
          <w:szCs w:val="20"/>
          <w:color w:val="auto"/>
        </w:rPr>
      </w:pPr>
    </w:p>
    <w:p>
      <w:pPr>
        <w:ind w:left="1600" w:right="1240"/>
        <w:spacing w:after="0" w:line="280" w:lineRule="auto"/>
        <w:rPr>
          <w:rFonts w:ascii="Arial" w:cs="Arial" w:eastAsia="Arial" w:hAnsi="Arial"/>
          <w:sz w:val="15"/>
          <w:szCs w:val="15"/>
          <w:color w:val="auto"/>
        </w:rPr>
      </w:pPr>
      <w:hyperlink w:anchor="page5">
        <w:r>
          <w:rPr>
            <w:rFonts w:ascii="Arial" w:cs="Arial" w:eastAsia="Arial" w:hAnsi="Arial"/>
            <w:sz w:val="15"/>
            <w:szCs w:val="15"/>
            <w:color w:val="auto"/>
          </w:rPr>
          <w:t>Condensed Consolidated Statements of Changes in Equity for the Three and Nine Months Ended September 30, 2021 and 2020</w:t>
        </w:r>
      </w:hyperlink>
      <w:r>
        <w:rPr>
          <w:rFonts w:ascii="Arial" w:cs="Arial" w:eastAsia="Arial" w:hAnsi="Arial"/>
          <w:sz w:val="15"/>
          <w:szCs w:val="15"/>
          <w:color w:val="auto"/>
        </w:rPr>
        <w:t xml:space="preserve"> </w:t>
      </w:r>
      <w:hyperlink w:anchor="page7">
        <w:r>
          <w:rPr>
            <w:rFonts w:ascii="Arial" w:cs="Arial" w:eastAsia="Arial" w:hAnsi="Arial"/>
            <w:sz w:val="15"/>
            <w:szCs w:val="15"/>
            <w:color w:val="auto"/>
          </w:rPr>
          <w:t>Condensed Consolidated Statements of Cash Flows for the Nine Months Ended September 30,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144385" cy="226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226695"/>
                    </a:xfrm>
                    <a:prstGeom prst="rect">
                      <a:avLst/>
                    </a:prstGeom>
                    <a:noFill/>
                  </pic:spPr>
                </pic:pic>
              </a:graphicData>
            </a:graphic>
          </wp:anchor>
        </w:drawing>
      </w:r>
    </w:p>
    <w:p>
      <w:pPr>
        <w:spacing w:after="0" w:line="131" w:lineRule="exact"/>
        <w:rPr>
          <w:sz w:val="20"/>
          <w:szCs w:val="20"/>
          <w:color w:val="auto"/>
        </w:rPr>
      </w:pPr>
    </w:p>
    <w:p>
      <w:pPr>
        <w:ind w:left="1600"/>
        <w:spacing w:after="0"/>
        <w:rPr>
          <w:rFonts w:ascii="Arial" w:cs="Arial" w:eastAsia="Arial" w:hAnsi="Arial"/>
          <w:sz w:val="15"/>
          <w:szCs w:val="15"/>
          <w:color w:val="auto"/>
        </w:rPr>
      </w:pPr>
      <w:hyperlink w:anchor="page8">
        <w:r>
          <w:rPr>
            <w:rFonts w:ascii="Arial" w:cs="Arial" w:eastAsia="Arial" w:hAnsi="Arial"/>
            <w:sz w:val="15"/>
            <w:szCs w:val="15"/>
            <w:color w:val="auto"/>
          </w:rPr>
          <w:t>Notes to the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226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226695"/>
                    </a:xfrm>
                    <a:prstGeom prst="rect">
                      <a:avLst/>
                    </a:prstGeom>
                    <a:noFill/>
                  </pic:spPr>
                </pic:pic>
              </a:graphicData>
            </a:graphic>
          </wp:anchor>
        </w:drawing>
      </w:r>
    </w:p>
    <w:p>
      <w:pPr>
        <w:spacing w:after="0" w:line="164" w:lineRule="exact"/>
        <w:rPr>
          <w:sz w:val="20"/>
          <w:szCs w:val="20"/>
          <w:color w:val="auto"/>
        </w:rPr>
      </w:pPr>
    </w:p>
    <w:p>
      <w:pPr>
        <w:ind w:left="380"/>
        <w:spacing w:after="0"/>
        <w:tabs>
          <w:tab w:leader="none" w:pos="1220" w:val="left"/>
        </w:tabs>
        <w:rPr>
          <w:rFonts w:ascii="Arial" w:cs="Arial" w:eastAsia="Arial" w:hAnsi="Arial"/>
          <w:sz w:val="14"/>
          <w:szCs w:val="14"/>
          <w:color w:val="auto"/>
        </w:rPr>
      </w:pPr>
      <w:hyperlink w:anchor="page35">
        <w:r>
          <w:rPr>
            <w:rFonts w:ascii="Arial" w:cs="Arial" w:eastAsia="Arial" w:hAnsi="Arial"/>
            <w:sz w:val="15"/>
            <w:szCs w:val="15"/>
            <w:color w:val="auto"/>
          </w:rPr>
          <w:t>Item 2</w:t>
        </w:r>
      </w:hyperlink>
      <w:r>
        <w:rPr>
          <w:rFonts w:ascii="Arial" w:cs="Arial" w:eastAsia="Arial" w:hAnsi="Arial"/>
          <w:sz w:val="15"/>
          <w:szCs w:val="15"/>
          <w:color w:val="auto"/>
        </w:rPr>
        <w:tab/>
      </w:r>
      <w:hyperlink w:anchor="page35">
        <w:r>
          <w:rPr>
            <w:rFonts w:ascii="Arial" w:cs="Arial" w:eastAsia="Arial" w:hAnsi="Arial"/>
            <w:sz w:val="14"/>
            <w:szCs w:val="14"/>
            <w:color w:val="auto"/>
          </w:rPr>
          <w:t>Management’s Discussion and Analysis of Financial Condition and Results of Operations</w:t>
        </w:r>
      </w:hyperlink>
    </w:p>
    <w:p>
      <w:pPr>
        <w:spacing w:after="0" w:line="184" w:lineRule="exact"/>
        <w:rPr>
          <w:sz w:val="20"/>
          <w:szCs w:val="20"/>
          <w:color w:val="auto"/>
        </w:rPr>
      </w:pPr>
    </w:p>
    <w:p>
      <w:pPr>
        <w:ind w:left="380"/>
        <w:spacing w:after="0"/>
        <w:tabs>
          <w:tab w:leader="none" w:pos="1220" w:val="left"/>
        </w:tabs>
        <w:rPr>
          <w:rFonts w:ascii="Arial" w:cs="Arial" w:eastAsia="Arial" w:hAnsi="Arial"/>
          <w:sz w:val="14"/>
          <w:szCs w:val="14"/>
          <w:color w:val="auto"/>
        </w:rPr>
      </w:pPr>
      <w:hyperlink w:anchor="page63">
        <w:r>
          <w:rPr>
            <w:rFonts w:ascii="Arial" w:cs="Arial" w:eastAsia="Arial" w:hAnsi="Arial"/>
            <w:sz w:val="15"/>
            <w:szCs w:val="15"/>
            <w:color w:val="auto"/>
          </w:rPr>
          <w:t>Item 3</w:t>
        </w:r>
      </w:hyperlink>
      <w:r>
        <w:rPr>
          <w:rFonts w:ascii="Arial" w:cs="Arial" w:eastAsia="Arial" w:hAnsi="Arial"/>
          <w:sz w:val="15"/>
          <w:szCs w:val="15"/>
          <w:color w:val="auto"/>
        </w:rPr>
        <w:tab/>
      </w:r>
      <w:hyperlink w:anchor="page63">
        <w:r>
          <w:rPr>
            <w:rFonts w:ascii="Arial" w:cs="Arial" w:eastAsia="Arial" w:hAnsi="Arial"/>
            <w:sz w:val="14"/>
            <w:szCs w:val="14"/>
            <w:color w:val="auto"/>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226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226695"/>
                    </a:xfrm>
                    <a:prstGeom prst="rect">
                      <a:avLst/>
                    </a:prstGeom>
                    <a:noFill/>
                  </pic:spPr>
                </pic:pic>
              </a:graphicData>
            </a:graphic>
          </wp:anchor>
        </w:drawing>
      </w:r>
    </w:p>
    <w:p>
      <w:pPr>
        <w:spacing w:after="0" w:line="164" w:lineRule="exact"/>
        <w:rPr>
          <w:sz w:val="20"/>
          <w:szCs w:val="20"/>
          <w:color w:val="auto"/>
        </w:rPr>
      </w:pPr>
    </w:p>
    <w:p>
      <w:pPr>
        <w:ind w:left="380"/>
        <w:spacing w:after="0"/>
        <w:tabs>
          <w:tab w:leader="none" w:pos="1220" w:val="left"/>
        </w:tabs>
        <w:rPr>
          <w:rFonts w:ascii="Arial" w:cs="Arial" w:eastAsia="Arial" w:hAnsi="Arial"/>
          <w:sz w:val="14"/>
          <w:szCs w:val="14"/>
          <w:color w:val="auto"/>
        </w:rPr>
      </w:pPr>
      <w:hyperlink w:anchor="page64">
        <w:r>
          <w:rPr>
            <w:rFonts w:ascii="Arial" w:cs="Arial" w:eastAsia="Arial" w:hAnsi="Arial"/>
            <w:sz w:val="15"/>
            <w:szCs w:val="15"/>
            <w:color w:val="auto"/>
          </w:rPr>
          <w:t>Item 4</w:t>
        </w:r>
      </w:hyperlink>
      <w:r>
        <w:rPr>
          <w:rFonts w:ascii="Arial" w:cs="Arial" w:eastAsia="Arial" w:hAnsi="Arial"/>
          <w:sz w:val="15"/>
          <w:szCs w:val="15"/>
          <w:color w:val="auto"/>
        </w:rPr>
        <w:tab/>
      </w:r>
      <w:hyperlink w:anchor="page64">
        <w:r>
          <w:rPr>
            <w:rFonts w:ascii="Arial" w:cs="Arial" w:eastAsia="Arial" w:hAnsi="Arial"/>
            <w:sz w:val="14"/>
            <w:szCs w:val="14"/>
            <w:color w:val="auto"/>
          </w:rPr>
          <w:t>Controls and Procedures</w:t>
        </w:r>
      </w:hyperlink>
    </w:p>
    <w:p>
      <w:pPr>
        <w:spacing w:after="0" w:line="166" w:lineRule="exact"/>
        <w:rPr>
          <w:sz w:val="20"/>
          <w:szCs w:val="20"/>
          <w:color w:val="auto"/>
        </w:rPr>
      </w:pPr>
    </w:p>
    <w:p>
      <w:pPr>
        <w:ind w:left="20"/>
        <w:spacing w:after="0"/>
        <w:rPr>
          <w:rFonts w:ascii="Arial" w:cs="Arial" w:eastAsia="Arial" w:hAnsi="Arial"/>
          <w:sz w:val="15"/>
          <w:szCs w:val="15"/>
          <w:b w:val="1"/>
          <w:bCs w:val="1"/>
          <w:color w:val="auto"/>
        </w:rPr>
      </w:pPr>
      <w:hyperlink w:anchor="page64">
        <w:r>
          <w:rPr>
            <w:rFonts w:ascii="Arial" w:cs="Arial" w:eastAsia="Arial" w:hAnsi="Arial"/>
            <w:sz w:val="15"/>
            <w:szCs w:val="15"/>
            <w:b w:val="1"/>
            <w:bCs w:val="1"/>
            <w:color w:val="auto"/>
          </w:rPr>
          <w:t>PART II Other Information</w:t>
        </w:r>
      </w:hyperlink>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60" w:type="dxa"/>
            <w:vAlign w:val="bottom"/>
            <w:shd w:val="clear" w:color="auto" w:fill="DBDBDB"/>
          </w:tcPr>
          <w:p>
            <w:pPr>
              <w:ind w:left="380"/>
              <w:spacing w:after="0"/>
              <w:rPr>
                <w:rFonts w:ascii="Arial" w:cs="Arial" w:eastAsia="Arial" w:hAnsi="Arial"/>
                <w:sz w:val="15"/>
                <w:szCs w:val="15"/>
                <w:color w:val="auto"/>
              </w:rPr>
            </w:pPr>
            <w:hyperlink w:anchor="page65">
              <w:r>
                <w:rPr>
                  <w:rFonts w:ascii="Arial" w:cs="Arial" w:eastAsia="Arial" w:hAnsi="Arial"/>
                  <w:sz w:val="15"/>
                  <w:szCs w:val="15"/>
                  <w:color w:val="auto"/>
                </w:rPr>
                <w:t>Item 1</w:t>
              </w:r>
            </w:hyperlink>
          </w:p>
        </w:tc>
        <w:tc>
          <w:tcPr>
            <w:tcW w:w="10180" w:type="dxa"/>
            <w:vAlign w:val="bottom"/>
            <w:shd w:val="clear" w:color="auto" w:fill="DBDBDB"/>
          </w:tcPr>
          <w:p>
            <w:pPr>
              <w:ind w:left="180"/>
              <w:spacing w:after="0"/>
              <w:rPr>
                <w:rFonts w:ascii="Arial" w:cs="Arial" w:eastAsia="Arial" w:hAnsi="Arial"/>
                <w:sz w:val="15"/>
                <w:szCs w:val="15"/>
                <w:color w:val="auto"/>
              </w:rPr>
            </w:pPr>
            <w:hyperlink w:anchor="page65">
              <w:r>
                <w:rPr>
                  <w:rFonts w:ascii="Arial" w:cs="Arial" w:eastAsia="Arial" w:hAnsi="Arial"/>
                  <w:sz w:val="15"/>
                  <w:szCs w:val="15"/>
                  <w:color w:val="auto"/>
                </w:rPr>
                <w:t>Legal Proceedings</w:t>
              </w:r>
            </w:hyperlink>
          </w:p>
        </w:tc>
      </w:tr>
      <w:tr>
        <w:trPr>
          <w:trHeight w:val="159"/>
        </w:trPr>
        <w:tc>
          <w:tcPr>
            <w:tcW w:w="1060" w:type="dxa"/>
            <w:vAlign w:val="bottom"/>
            <w:shd w:val="clear" w:color="auto" w:fill="DBDBDB"/>
          </w:tcPr>
          <w:p>
            <w:pPr>
              <w:spacing w:after="0"/>
              <w:rPr>
                <w:sz w:val="13"/>
                <w:szCs w:val="13"/>
                <w:color w:val="auto"/>
              </w:rPr>
            </w:pPr>
          </w:p>
        </w:tc>
        <w:tc>
          <w:tcPr>
            <w:tcW w:w="10180" w:type="dxa"/>
            <w:vAlign w:val="bottom"/>
            <w:shd w:val="clear" w:color="auto" w:fill="DBDBDB"/>
          </w:tcPr>
          <w:p>
            <w:pPr>
              <w:spacing w:after="0"/>
              <w:rPr>
                <w:sz w:val="13"/>
                <w:szCs w:val="13"/>
                <w:color w:val="auto"/>
              </w:rPr>
            </w:pPr>
          </w:p>
        </w:tc>
      </w:tr>
      <w:tr>
        <w:trPr>
          <w:trHeight w:val="192"/>
        </w:trPr>
        <w:tc>
          <w:tcPr>
            <w:tcW w:w="1060" w:type="dxa"/>
            <w:vAlign w:val="bottom"/>
          </w:tcPr>
          <w:p>
            <w:pPr>
              <w:ind w:left="380"/>
              <w:spacing w:after="0"/>
              <w:rPr>
                <w:rFonts w:ascii="Arial" w:cs="Arial" w:eastAsia="Arial" w:hAnsi="Arial"/>
                <w:sz w:val="15"/>
                <w:szCs w:val="15"/>
                <w:color w:val="auto"/>
              </w:rPr>
            </w:pPr>
            <w:hyperlink w:anchor="page65">
              <w:r>
                <w:rPr>
                  <w:rFonts w:ascii="Arial" w:cs="Arial" w:eastAsia="Arial" w:hAnsi="Arial"/>
                  <w:sz w:val="15"/>
                  <w:szCs w:val="15"/>
                  <w:color w:val="auto"/>
                </w:rPr>
                <w:t>Item 1A</w:t>
              </w:r>
            </w:hyperlink>
          </w:p>
        </w:tc>
        <w:tc>
          <w:tcPr>
            <w:tcW w:w="10180" w:type="dxa"/>
            <w:vAlign w:val="bottom"/>
          </w:tcPr>
          <w:p>
            <w:pPr>
              <w:ind w:left="180"/>
              <w:spacing w:after="0"/>
              <w:rPr>
                <w:rFonts w:ascii="Arial" w:cs="Arial" w:eastAsia="Arial" w:hAnsi="Arial"/>
                <w:sz w:val="15"/>
                <w:szCs w:val="15"/>
                <w:color w:val="auto"/>
              </w:rPr>
            </w:pPr>
            <w:hyperlink w:anchor="page65">
              <w:r>
                <w:rPr>
                  <w:rFonts w:ascii="Arial" w:cs="Arial" w:eastAsia="Arial" w:hAnsi="Arial"/>
                  <w:sz w:val="15"/>
                  <w:szCs w:val="15"/>
                  <w:color w:val="auto"/>
                </w:rPr>
                <w:t>Risk Factors</w:t>
              </w:r>
            </w:hyperlink>
          </w:p>
        </w:tc>
      </w:tr>
      <w:tr>
        <w:trPr>
          <w:trHeight w:val="165"/>
        </w:trPr>
        <w:tc>
          <w:tcPr>
            <w:tcW w:w="1060" w:type="dxa"/>
            <w:vAlign w:val="bottom"/>
          </w:tcPr>
          <w:p>
            <w:pPr>
              <w:spacing w:after="0"/>
              <w:rPr>
                <w:sz w:val="14"/>
                <w:szCs w:val="14"/>
                <w:color w:val="auto"/>
              </w:rPr>
            </w:pPr>
          </w:p>
        </w:tc>
        <w:tc>
          <w:tcPr>
            <w:tcW w:w="10180" w:type="dxa"/>
            <w:vAlign w:val="bottom"/>
          </w:tcPr>
          <w:p>
            <w:pPr>
              <w:spacing w:after="0"/>
              <w:rPr>
                <w:sz w:val="14"/>
                <w:szCs w:val="14"/>
                <w:color w:val="auto"/>
              </w:rPr>
            </w:pPr>
          </w:p>
        </w:tc>
      </w:tr>
      <w:tr>
        <w:trPr>
          <w:trHeight w:val="192"/>
        </w:trPr>
        <w:tc>
          <w:tcPr>
            <w:tcW w:w="1060" w:type="dxa"/>
            <w:vAlign w:val="bottom"/>
            <w:shd w:val="clear" w:color="auto" w:fill="DBDBDB"/>
          </w:tcPr>
          <w:p>
            <w:pPr>
              <w:ind w:left="380"/>
              <w:spacing w:after="0"/>
              <w:rPr>
                <w:rFonts w:ascii="Arial" w:cs="Arial" w:eastAsia="Arial" w:hAnsi="Arial"/>
                <w:sz w:val="15"/>
                <w:szCs w:val="15"/>
                <w:color w:val="auto"/>
              </w:rPr>
            </w:pPr>
            <w:hyperlink w:anchor="page65">
              <w:r>
                <w:rPr>
                  <w:rFonts w:ascii="Arial" w:cs="Arial" w:eastAsia="Arial" w:hAnsi="Arial"/>
                  <w:sz w:val="15"/>
                  <w:szCs w:val="15"/>
                  <w:color w:val="auto"/>
                </w:rPr>
                <w:t>Item 2</w:t>
              </w:r>
            </w:hyperlink>
          </w:p>
        </w:tc>
        <w:tc>
          <w:tcPr>
            <w:tcW w:w="10180" w:type="dxa"/>
            <w:vAlign w:val="bottom"/>
            <w:shd w:val="clear" w:color="auto" w:fill="DBDBDB"/>
          </w:tcPr>
          <w:p>
            <w:pPr>
              <w:ind w:left="180"/>
              <w:spacing w:after="0"/>
              <w:rPr>
                <w:rFonts w:ascii="Arial" w:cs="Arial" w:eastAsia="Arial" w:hAnsi="Arial"/>
                <w:sz w:val="15"/>
                <w:szCs w:val="15"/>
                <w:color w:val="auto"/>
              </w:rPr>
            </w:pPr>
            <w:hyperlink w:anchor="page65">
              <w:r>
                <w:rPr>
                  <w:rFonts w:ascii="Arial" w:cs="Arial" w:eastAsia="Arial" w:hAnsi="Arial"/>
                  <w:sz w:val="15"/>
                  <w:szCs w:val="15"/>
                  <w:color w:val="auto"/>
                </w:rPr>
                <w:t>Unregistered Sales of Equity Securities and Use of Proceeds</w:t>
              </w:r>
            </w:hyperlink>
          </w:p>
        </w:tc>
      </w:tr>
      <w:tr>
        <w:trPr>
          <w:trHeight w:val="165"/>
        </w:trPr>
        <w:tc>
          <w:tcPr>
            <w:tcW w:w="1060" w:type="dxa"/>
            <w:vAlign w:val="bottom"/>
            <w:shd w:val="clear" w:color="auto" w:fill="DBDBDB"/>
          </w:tcPr>
          <w:p>
            <w:pPr>
              <w:spacing w:after="0"/>
              <w:rPr>
                <w:sz w:val="14"/>
                <w:szCs w:val="14"/>
                <w:color w:val="auto"/>
              </w:rPr>
            </w:pPr>
          </w:p>
        </w:tc>
        <w:tc>
          <w:tcPr>
            <w:tcW w:w="10180" w:type="dxa"/>
            <w:vAlign w:val="bottom"/>
            <w:shd w:val="clear" w:color="auto" w:fill="DBDBDB"/>
          </w:tcPr>
          <w:p>
            <w:pPr>
              <w:spacing w:after="0"/>
              <w:rPr>
                <w:sz w:val="14"/>
                <w:szCs w:val="14"/>
                <w:color w:val="auto"/>
              </w:rPr>
            </w:pPr>
          </w:p>
        </w:tc>
      </w:tr>
      <w:tr>
        <w:trPr>
          <w:trHeight w:val="192"/>
        </w:trPr>
        <w:tc>
          <w:tcPr>
            <w:tcW w:w="1060" w:type="dxa"/>
            <w:vAlign w:val="bottom"/>
          </w:tcPr>
          <w:p>
            <w:pPr>
              <w:ind w:left="380"/>
              <w:spacing w:after="0"/>
              <w:rPr>
                <w:rFonts w:ascii="Arial" w:cs="Arial" w:eastAsia="Arial" w:hAnsi="Arial"/>
                <w:sz w:val="15"/>
                <w:szCs w:val="15"/>
                <w:color w:val="auto"/>
              </w:rPr>
            </w:pPr>
            <w:hyperlink w:anchor="page66">
              <w:r>
                <w:rPr>
                  <w:rFonts w:ascii="Arial" w:cs="Arial" w:eastAsia="Arial" w:hAnsi="Arial"/>
                  <w:sz w:val="15"/>
                  <w:szCs w:val="15"/>
                  <w:color w:val="auto"/>
                </w:rPr>
                <w:t>Item 3</w:t>
              </w:r>
            </w:hyperlink>
          </w:p>
        </w:tc>
        <w:tc>
          <w:tcPr>
            <w:tcW w:w="10180" w:type="dxa"/>
            <w:vAlign w:val="bottom"/>
          </w:tcPr>
          <w:p>
            <w:pPr>
              <w:ind w:left="180"/>
              <w:spacing w:after="0"/>
              <w:rPr>
                <w:rFonts w:ascii="Arial" w:cs="Arial" w:eastAsia="Arial" w:hAnsi="Arial"/>
                <w:sz w:val="15"/>
                <w:szCs w:val="15"/>
                <w:color w:val="auto"/>
              </w:rPr>
            </w:pPr>
            <w:hyperlink w:anchor="page66">
              <w:r>
                <w:rPr>
                  <w:rFonts w:ascii="Arial" w:cs="Arial" w:eastAsia="Arial" w:hAnsi="Arial"/>
                  <w:sz w:val="15"/>
                  <w:szCs w:val="15"/>
                  <w:color w:val="auto"/>
                </w:rPr>
                <w:t>Defaults Upon Senior Securities</w:t>
              </w:r>
            </w:hyperlink>
          </w:p>
        </w:tc>
      </w:tr>
      <w:tr>
        <w:trPr>
          <w:trHeight w:val="165"/>
        </w:trPr>
        <w:tc>
          <w:tcPr>
            <w:tcW w:w="1060" w:type="dxa"/>
            <w:vAlign w:val="bottom"/>
          </w:tcPr>
          <w:p>
            <w:pPr>
              <w:spacing w:after="0"/>
              <w:rPr>
                <w:sz w:val="14"/>
                <w:szCs w:val="14"/>
                <w:color w:val="auto"/>
              </w:rPr>
            </w:pPr>
          </w:p>
        </w:tc>
        <w:tc>
          <w:tcPr>
            <w:tcW w:w="10180" w:type="dxa"/>
            <w:vAlign w:val="bottom"/>
          </w:tcPr>
          <w:p>
            <w:pPr>
              <w:spacing w:after="0"/>
              <w:rPr>
                <w:sz w:val="14"/>
                <w:szCs w:val="14"/>
                <w:color w:val="auto"/>
              </w:rPr>
            </w:pPr>
          </w:p>
        </w:tc>
      </w:tr>
      <w:tr>
        <w:trPr>
          <w:trHeight w:val="192"/>
        </w:trPr>
        <w:tc>
          <w:tcPr>
            <w:tcW w:w="1060" w:type="dxa"/>
            <w:vAlign w:val="bottom"/>
            <w:shd w:val="clear" w:color="auto" w:fill="DBDBDB"/>
          </w:tcPr>
          <w:p>
            <w:pPr>
              <w:ind w:left="380"/>
              <w:spacing w:after="0"/>
              <w:rPr>
                <w:rFonts w:ascii="Arial" w:cs="Arial" w:eastAsia="Arial" w:hAnsi="Arial"/>
                <w:sz w:val="15"/>
                <w:szCs w:val="15"/>
                <w:color w:val="auto"/>
              </w:rPr>
            </w:pPr>
            <w:hyperlink w:anchor="page66">
              <w:r>
                <w:rPr>
                  <w:rFonts w:ascii="Arial" w:cs="Arial" w:eastAsia="Arial" w:hAnsi="Arial"/>
                  <w:sz w:val="15"/>
                  <w:szCs w:val="15"/>
                  <w:color w:val="auto"/>
                </w:rPr>
                <w:t>Item 4</w:t>
              </w:r>
            </w:hyperlink>
          </w:p>
        </w:tc>
        <w:tc>
          <w:tcPr>
            <w:tcW w:w="10180" w:type="dxa"/>
            <w:vAlign w:val="bottom"/>
            <w:shd w:val="clear" w:color="auto" w:fill="DBDBDB"/>
          </w:tcPr>
          <w:p>
            <w:pPr>
              <w:ind w:left="180"/>
              <w:spacing w:after="0"/>
              <w:rPr>
                <w:rFonts w:ascii="Arial" w:cs="Arial" w:eastAsia="Arial" w:hAnsi="Arial"/>
                <w:sz w:val="15"/>
                <w:szCs w:val="15"/>
                <w:color w:val="auto"/>
              </w:rPr>
            </w:pPr>
            <w:hyperlink w:anchor="page66">
              <w:r>
                <w:rPr>
                  <w:rFonts w:ascii="Arial" w:cs="Arial" w:eastAsia="Arial" w:hAnsi="Arial"/>
                  <w:sz w:val="15"/>
                  <w:szCs w:val="15"/>
                  <w:color w:val="auto"/>
                </w:rPr>
                <w:t>Mine Safety Disclosures</w:t>
              </w:r>
            </w:hyperlink>
          </w:p>
        </w:tc>
      </w:tr>
      <w:tr>
        <w:trPr>
          <w:trHeight w:val="165"/>
        </w:trPr>
        <w:tc>
          <w:tcPr>
            <w:tcW w:w="1060" w:type="dxa"/>
            <w:vAlign w:val="bottom"/>
            <w:shd w:val="clear" w:color="auto" w:fill="DBDBDB"/>
          </w:tcPr>
          <w:p>
            <w:pPr>
              <w:spacing w:after="0"/>
              <w:rPr>
                <w:sz w:val="14"/>
                <w:szCs w:val="14"/>
                <w:color w:val="auto"/>
              </w:rPr>
            </w:pPr>
          </w:p>
        </w:tc>
        <w:tc>
          <w:tcPr>
            <w:tcW w:w="10180" w:type="dxa"/>
            <w:vAlign w:val="bottom"/>
            <w:shd w:val="clear" w:color="auto" w:fill="DBDBDB"/>
          </w:tcPr>
          <w:p>
            <w:pPr>
              <w:spacing w:after="0"/>
              <w:rPr>
                <w:sz w:val="14"/>
                <w:szCs w:val="14"/>
                <w:color w:val="auto"/>
              </w:rPr>
            </w:pPr>
          </w:p>
        </w:tc>
      </w:tr>
      <w:tr>
        <w:trPr>
          <w:trHeight w:val="192"/>
        </w:trPr>
        <w:tc>
          <w:tcPr>
            <w:tcW w:w="1060" w:type="dxa"/>
            <w:vAlign w:val="bottom"/>
          </w:tcPr>
          <w:p>
            <w:pPr>
              <w:ind w:left="380"/>
              <w:spacing w:after="0"/>
              <w:rPr>
                <w:rFonts w:ascii="Arial" w:cs="Arial" w:eastAsia="Arial" w:hAnsi="Arial"/>
                <w:sz w:val="15"/>
                <w:szCs w:val="15"/>
                <w:color w:val="auto"/>
              </w:rPr>
            </w:pPr>
            <w:hyperlink w:anchor="page66">
              <w:r>
                <w:rPr>
                  <w:rFonts w:ascii="Arial" w:cs="Arial" w:eastAsia="Arial" w:hAnsi="Arial"/>
                  <w:sz w:val="15"/>
                  <w:szCs w:val="15"/>
                  <w:color w:val="auto"/>
                </w:rPr>
                <w:t>Item 5</w:t>
              </w:r>
            </w:hyperlink>
          </w:p>
        </w:tc>
        <w:tc>
          <w:tcPr>
            <w:tcW w:w="10180" w:type="dxa"/>
            <w:vAlign w:val="bottom"/>
          </w:tcPr>
          <w:p>
            <w:pPr>
              <w:ind w:left="180"/>
              <w:spacing w:after="0"/>
              <w:rPr>
                <w:rFonts w:ascii="Arial" w:cs="Arial" w:eastAsia="Arial" w:hAnsi="Arial"/>
                <w:sz w:val="15"/>
                <w:szCs w:val="15"/>
                <w:color w:val="auto"/>
              </w:rPr>
            </w:pPr>
            <w:hyperlink w:anchor="page66">
              <w:r>
                <w:rPr>
                  <w:rFonts w:ascii="Arial" w:cs="Arial" w:eastAsia="Arial" w:hAnsi="Arial"/>
                  <w:sz w:val="15"/>
                  <w:szCs w:val="15"/>
                  <w:color w:val="auto"/>
                </w:rPr>
                <w:t>Other Information</w:t>
              </w:r>
            </w:hyperlink>
          </w:p>
        </w:tc>
      </w:tr>
      <w:tr>
        <w:trPr>
          <w:trHeight w:val="165"/>
        </w:trPr>
        <w:tc>
          <w:tcPr>
            <w:tcW w:w="1060" w:type="dxa"/>
            <w:vAlign w:val="bottom"/>
          </w:tcPr>
          <w:p>
            <w:pPr>
              <w:spacing w:after="0"/>
              <w:rPr>
                <w:sz w:val="14"/>
                <w:szCs w:val="14"/>
                <w:color w:val="auto"/>
              </w:rPr>
            </w:pPr>
          </w:p>
        </w:tc>
        <w:tc>
          <w:tcPr>
            <w:tcW w:w="10180" w:type="dxa"/>
            <w:vAlign w:val="bottom"/>
          </w:tcPr>
          <w:p>
            <w:pPr>
              <w:spacing w:after="0"/>
              <w:rPr>
                <w:sz w:val="14"/>
                <w:szCs w:val="14"/>
                <w:color w:val="auto"/>
              </w:rPr>
            </w:pPr>
          </w:p>
        </w:tc>
      </w:tr>
      <w:tr>
        <w:trPr>
          <w:trHeight w:val="192"/>
        </w:trPr>
        <w:tc>
          <w:tcPr>
            <w:tcW w:w="1060" w:type="dxa"/>
            <w:vAlign w:val="bottom"/>
            <w:shd w:val="clear" w:color="auto" w:fill="DBDBDB"/>
          </w:tcPr>
          <w:p>
            <w:pPr>
              <w:ind w:left="380"/>
              <w:spacing w:after="0"/>
              <w:rPr>
                <w:rFonts w:ascii="Arial" w:cs="Arial" w:eastAsia="Arial" w:hAnsi="Arial"/>
                <w:sz w:val="15"/>
                <w:szCs w:val="15"/>
                <w:color w:val="auto"/>
              </w:rPr>
            </w:pPr>
            <w:hyperlink w:anchor="page66">
              <w:r>
                <w:rPr>
                  <w:rFonts w:ascii="Arial" w:cs="Arial" w:eastAsia="Arial" w:hAnsi="Arial"/>
                  <w:sz w:val="15"/>
                  <w:szCs w:val="15"/>
                  <w:color w:val="auto"/>
                </w:rPr>
                <w:t>Item 6</w:t>
              </w:r>
            </w:hyperlink>
          </w:p>
        </w:tc>
        <w:tc>
          <w:tcPr>
            <w:tcW w:w="10180" w:type="dxa"/>
            <w:vAlign w:val="bottom"/>
            <w:shd w:val="clear" w:color="auto" w:fill="DBDBDB"/>
          </w:tcPr>
          <w:p>
            <w:pPr>
              <w:ind w:left="180"/>
              <w:spacing w:after="0"/>
              <w:rPr>
                <w:rFonts w:ascii="Arial" w:cs="Arial" w:eastAsia="Arial" w:hAnsi="Arial"/>
                <w:sz w:val="15"/>
                <w:szCs w:val="15"/>
                <w:color w:val="auto"/>
              </w:rPr>
            </w:pPr>
            <w:hyperlink w:anchor="page66">
              <w:r>
                <w:rPr>
                  <w:rFonts w:ascii="Arial" w:cs="Arial" w:eastAsia="Arial" w:hAnsi="Arial"/>
                  <w:sz w:val="15"/>
                  <w:szCs w:val="15"/>
                  <w:color w:val="auto"/>
                </w:rPr>
                <w:t>Exhibits</w:t>
              </w:r>
            </w:hyperlink>
          </w:p>
        </w:tc>
      </w:tr>
      <w:tr>
        <w:trPr>
          <w:trHeight w:val="165"/>
        </w:trPr>
        <w:tc>
          <w:tcPr>
            <w:tcW w:w="1060" w:type="dxa"/>
            <w:vAlign w:val="bottom"/>
            <w:shd w:val="clear" w:color="auto" w:fill="DBDBDB"/>
          </w:tcPr>
          <w:p>
            <w:pPr>
              <w:spacing w:after="0"/>
              <w:rPr>
                <w:sz w:val="14"/>
                <w:szCs w:val="14"/>
                <w:color w:val="auto"/>
              </w:rPr>
            </w:pPr>
          </w:p>
        </w:tc>
        <w:tc>
          <w:tcPr>
            <w:tcW w:w="10180" w:type="dxa"/>
            <w:vAlign w:val="bottom"/>
            <w:shd w:val="clear" w:color="auto" w:fill="DBDBDB"/>
          </w:tcPr>
          <w:p>
            <w:pPr>
              <w:spacing w:after="0"/>
              <w:rPr>
                <w:sz w:val="14"/>
                <w:szCs w:val="14"/>
                <w:color w:val="auto"/>
              </w:rPr>
            </w:pPr>
          </w:p>
        </w:tc>
      </w:tr>
      <w:tr>
        <w:trPr>
          <w:trHeight w:val="196"/>
        </w:trPr>
        <w:tc>
          <w:tcPr>
            <w:tcW w:w="1060" w:type="dxa"/>
            <w:vAlign w:val="bottom"/>
          </w:tcPr>
          <w:p>
            <w:pPr>
              <w:ind w:left="20"/>
              <w:spacing w:after="0"/>
              <w:rPr>
                <w:rFonts w:ascii="Arial" w:cs="Arial" w:eastAsia="Arial" w:hAnsi="Arial"/>
                <w:sz w:val="15"/>
                <w:szCs w:val="15"/>
                <w:b w:val="1"/>
                <w:bCs w:val="1"/>
                <w:color w:val="auto"/>
              </w:rPr>
            </w:pPr>
            <w:hyperlink w:anchor="page67">
              <w:r>
                <w:rPr>
                  <w:rFonts w:ascii="Arial" w:cs="Arial" w:eastAsia="Arial" w:hAnsi="Arial"/>
                  <w:sz w:val="15"/>
                  <w:szCs w:val="15"/>
                  <w:b w:val="1"/>
                  <w:bCs w:val="1"/>
                  <w:color w:val="auto"/>
                </w:rPr>
                <w:t>SIGNATURE</w:t>
              </w:r>
            </w:hyperlink>
          </w:p>
        </w:tc>
        <w:tc>
          <w:tcPr>
            <w:tcW w:w="101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189230</wp:posOffset>
            </wp:positionV>
            <wp:extent cx="71697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35"/>
        </w:trPr>
        <w:tc>
          <w:tcPr>
            <w:tcW w:w="3580" w:type="dxa"/>
            <w:vAlign w:val="bottom"/>
          </w:tcPr>
          <w:p>
            <w:pPr>
              <w:ind w:left="2340"/>
              <w:spacing w:after="0"/>
              <w:rPr>
                <w:sz w:val="20"/>
                <w:szCs w:val="20"/>
                <w:color w:val="auto"/>
              </w:rPr>
            </w:pPr>
            <w:r>
              <w:rPr>
                <w:rFonts w:ascii="Arial" w:cs="Arial" w:eastAsia="Arial" w:hAnsi="Arial"/>
                <w:sz w:val="33"/>
                <w:szCs w:val="33"/>
                <w:b w:val="1"/>
                <w:bCs w:val="1"/>
                <w:color w:val="auto"/>
              </w:rPr>
              <w:t>ITEM 1.</w:t>
            </w:r>
          </w:p>
        </w:tc>
        <w:tc>
          <w:tcPr>
            <w:tcW w:w="4180" w:type="dxa"/>
            <w:vAlign w:val="bottom"/>
            <w:gridSpan w:val="2"/>
          </w:tcPr>
          <w:p>
            <w:pPr>
              <w:jc w:val="right"/>
              <w:ind w:right="546"/>
              <w:spacing w:after="0"/>
              <w:rPr>
                <w:sz w:val="20"/>
                <w:szCs w:val="20"/>
                <w:color w:val="auto"/>
              </w:rPr>
            </w:pPr>
            <w:r>
              <w:rPr>
                <w:rFonts w:ascii="Arial" w:cs="Arial" w:eastAsia="Arial" w:hAnsi="Arial"/>
                <w:sz w:val="33"/>
                <w:szCs w:val="33"/>
                <w:b w:val="1"/>
                <w:bCs w:val="1"/>
                <w:color w:val="auto"/>
              </w:rPr>
              <w:t>Financial Statements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580" w:type="dxa"/>
            <w:vAlign w:val="bottom"/>
          </w:tcPr>
          <w:p>
            <w:pPr>
              <w:spacing w:after="0"/>
              <w:rPr>
                <w:sz w:val="24"/>
                <w:szCs w:val="24"/>
                <w:color w:val="auto"/>
              </w:rPr>
            </w:pPr>
          </w:p>
        </w:tc>
        <w:tc>
          <w:tcPr>
            <w:tcW w:w="4180" w:type="dxa"/>
            <w:vAlign w:val="bottom"/>
            <w:gridSpan w:val="2"/>
          </w:tcPr>
          <w:p>
            <w:pPr>
              <w:jc w:val="right"/>
              <w:ind w:right="366"/>
              <w:spacing w:after="0"/>
              <w:rPr>
                <w:sz w:val="20"/>
                <w:szCs w:val="20"/>
                <w:color w:val="auto"/>
              </w:rPr>
            </w:pPr>
            <w:r>
              <w:rPr>
                <w:rFonts w:ascii="Arial" w:cs="Arial" w:eastAsia="Arial" w:hAnsi="Arial"/>
                <w:sz w:val="21"/>
                <w:szCs w:val="21"/>
                <w:color w:val="1D2758"/>
              </w:rPr>
              <w:t>WillScot Mobile Mini Holdings Corp.</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580" w:type="dxa"/>
            <w:vAlign w:val="bottom"/>
          </w:tcPr>
          <w:p>
            <w:pPr>
              <w:spacing w:after="0"/>
              <w:rPr>
                <w:sz w:val="22"/>
                <w:szCs w:val="22"/>
                <w:color w:val="auto"/>
              </w:rPr>
            </w:pPr>
          </w:p>
        </w:tc>
        <w:tc>
          <w:tcPr>
            <w:tcW w:w="4180" w:type="dxa"/>
            <w:vAlign w:val="bottom"/>
            <w:gridSpan w:val="2"/>
          </w:tcPr>
          <w:p>
            <w:pPr>
              <w:jc w:val="right"/>
              <w:ind w:right="86"/>
              <w:spacing w:after="0"/>
              <w:rPr>
                <w:sz w:val="20"/>
                <w:szCs w:val="20"/>
                <w:color w:val="auto"/>
              </w:rPr>
            </w:pPr>
            <w:r>
              <w:rPr>
                <w:rFonts w:ascii="Arial" w:cs="Arial" w:eastAsia="Arial" w:hAnsi="Arial"/>
                <w:sz w:val="21"/>
                <w:szCs w:val="21"/>
                <w:color w:val="1D2758"/>
              </w:rPr>
              <w:t>Condensed Consolidated Balance Sheets</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2640" w:type="dxa"/>
            <w:vAlign w:val="bottom"/>
            <w:shd w:val="clear" w:color="auto" w:fill="1D2758"/>
          </w:tcPr>
          <w:p>
            <w:pPr>
              <w:spacing w:after="0"/>
              <w:rPr>
                <w:sz w:val="24"/>
                <w:szCs w:val="24"/>
                <w:color w:val="auto"/>
              </w:rPr>
            </w:pPr>
          </w:p>
        </w:tc>
        <w:tc>
          <w:tcPr>
            <w:tcW w:w="2560" w:type="dxa"/>
            <w:vAlign w:val="bottom"/>
            <w:gridSpan w:val="3"/>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September 30, 2021 (unaudited)</w:t>
            </w:r>
          </w:p>
        </w:tc>
        <w:tc>
          <w:tcPr>
            <w:tcW w:w="340" w:type="dxa"/>
            <w:vAlign w:val="bottom"/>
            <w:shd w:val="clear" w:color="auto" w:fill="1D2758"/>
          </w:tcPr>
          <w:p>
            <w:pPr>
              <w:spacing w:after="0"/>
              <w:rPr>
                <w:sz w:val="24"/>
                <w:szCs w:val="24"/>
                <w:color w:val="auto"/>
              </w:rPr>
            </w:pPr>
          </w:p>
        </w:tc>
        <w:tc>
          <w:tcPr>
            <w:tcW w:w="2120" w:type="dxa"/>
            <w:vAlign w:val="bottom"/>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December 31, 2020</w:t>
            </w:r>
          </w:p>
        </w:tc>
        <w:tc>
          <w:tcPr>
            <w:tcW w:w="0" w:type="dxa"/>
            <w:vAlign w:val="bottom"/>
          </w:tcPr>
          <w:p>
            <w:pPr>
              <w:spacing w:after="0"/>
              <w:rPr>
                <w:sz w:val="1"/>
                <w:szCs w:val="1"/>
                <w:color w:val="auto"/>
              </w:rPr>
            </w:pPr>
          </w:p>
        </w:tc>
      </w:tr>
      <w:tr>
        <w:trPr>
          <w:trHeight w:val="104"/>
        </w:trPr>
        <w:tc>
          <w:tcPr>
            <w:tcW w:w="3580" w:type="dxa"/>
            <w:vAlign w:val="bottom"/>
            <w:vMerge w:val="continue"/>
            <w:shd w:val="clear" w:color="auto" w:fill="1D2758"/>
          </w:tcPr>
          <w:p>
            <w:pPr>
              <w:spacing w:after="0"/>
              <w:rPr>
                <w:sz w:val="9"/>
                <w:szCs w:val="9"/>
                <w:color w:val="auto"/>
              </w:rPr>
            </w:pPr>
          </w:p>
        </w:tc>
        <w:tc>
          <w:tcPr>
            <w:tcW w:w="2640" w:type="dxa"/>
            <w:vAlign w:val="bottom"/>
            <w:shd w:val="clear" w:color="auto" w:fill="1D2758"/>
          </w:tcPr>
          <w:p>
            <w:pPr>
              <w:spacing w:after="0"/>
              <w:rPr>
                <w:sz w:val="9"/>
                <w:szCs w:val="9"/>
                <w:color w:val="auto"/>
              </w:rPr>
            </w:pPr>
          </w:p>
        </w:tc>
        <w:tc>
          <w:tcPr>
            <w:tcW w:w="2560" w:type="dxa"/>
            <w:vAlign w:val="bottom"/>
            <w:gridSpan w:val="3"/>
            <w:vMerge w:val="continue"/>
            <w:shd w:val="clear" w:color="auto" w:fill="1D2758"/>
          </w:tcPr>
          <w:p>
            <w:pPr>
              <w:spacing w:after="0"/>
              <w:rPr>
                <w:sz w:val="9"/>
                <w:szCs w:val="9"/>
                <w:color w:val="auto"/>
              </w:rPr>
            </w:pPr>
          </w:p>
        </w:tc>
        <w:tc>
          <w:tcPr>
            <w:tcW w:w="340" w:type="dxa"/>
            <w:vAlign w:val="bottom"/>
            <w:shd w:val="clear" w:color="auto" w:fill="1D2758"/>
          </w:tcPr>
          <w:p>
            <w:pPr>
              <w:spacing w:after="0"/>
              <w:rPr>
                <w:sz w:val="9"/>
                <w:szCs w:val="9"/>
                <w:color w:val="auto"/>
              </w:rPr>
            </w:pPr>
          </w:p>
        </w:tc>
        <w:tc>
          <w:tcPr>
            <w:tcW w:w="212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5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spacing w:after="0"/>
              <w:rPr>
                <w:sz w:val="17"/>
                <w:szCs w:val="17"/>
                <w:color w:val="auto"/>
              </w:rPr>
            </w:pPr>
          </w:p>
        </w:tc>
        <w:tc>
          <w:tcPr>
            <w:tcW w:w="94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640" w:type="dxa"/>
            <w:vAlign w:val="bottom"/>
          </w:tcPr>
          <w:p>
            <w:pPr>
              <w:spacing w:after="0"/>
              <w:rPr>
                <w:sz w:val="16"/>
                <w:szCs w:val="16"/>
                <w:color w:val="auto"/>
              </w:rPr>
            </w:pPr>
          </w:p>
        </w:tc>
        <w:tc>
          <w:tcPr>
            <w:tcW w:w="1540" w:type="dxa"/>
            <w:vAlign w:val="bottom"/>
          </w:tcPr>
          <w:p>
            <w:pPr>
              <w:jc w:val="right"/>
              <w:ind w:right="136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11,317</w:t>
            </w:r>
          </w:p>
        </w:tc>
        <w:tc>
          <w:tcPr>
            <w:tcW w:w="80" w:type="dxa"/>
            <w:vAlign w:val="bottom"/>
          </w:tcPr>
          <w:p>
            <w:pPr>
              <w:spacing w:after="0"/>
              <w:rPr>
                <w:sz w:val="16"/>
                <w:szCs w:val="16"/>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24,937</w:t>
            </w:r>
          </w:p>
        </w:tc>
        <w:tc>
          <w:tcPr>
            <w:tcW w:w="0" w:type="dxa"/>
            <w:vAlign w:val="bottom"/>
          </w:tcPr>
          <w:p>
            <w:pPr>
              <w:spacing w:after="0"/>
              <w:rPr>
                <w:sz w:val="1"/>
                <w:szCs w:val="1"/>
                <w:color w:val="auto"/>
              </w:rPr>
            </w:pPr>
          </w:p>
        </w:tc>
      </w:tr>
      <w:tr>
        <w:trPr>
          <w:trHeight w:val="164"/>
        </w:trPr>
        <w:tc>
          <w:tcPr>
            <w:tcW w:w="6220" w:type="dxa"/>
            <w:vAlign w:val="bottom"/>
            <w:gridSpan w:val="2"/>
            <w:shd w:val="clear" w:color="auto" w:fill="DDDDDD"/>
          </w:tcPr>
          <w:p>
            <w:pPr>
              <w:ind w:left="220"/>
              <w:spacing w:after="0" w:line="164" w:lineRule="exact"/>
              <w:rPr>
                <w:sz w:val="20"/>
                <w:szCs w:val="20"/>
                <w:color w:val="auto"/>
              </w:rPr>
            </w:pPr>
            <w:r>
              <w:rPr>
                <w:rFonts w:ascii="Arial" w:cs="Arial" w:eastAsia="Arial" w:hAnsi="Arial"/>
                <w:sz w:val="15"/>
                <w:szCs w:val="15"/>
                <w:color w:val="auto"/>
              </w:rPr>
              <w:t>Trade receivables, net of allowances for credit losses at September 30, 2021 and</w:t>
            </w:r>
          </w:p>
        </w:tc>
        <w:tc>
          <w:tcPr>
            <w:tcW w:w="154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212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December 31, 2020 of $41,867 and $29,258, respectively</w:t>
            </w:r>
          </w:p>
        </w:tc>
        <w:tc>
          <w:tcPr>
            <w:tcW w:w="1540" w:type="dxa"/>
            <w:vAlign w:val="bottom"/>
            <w:shd w:val="clear" w:color="auto" w:fill="DDDDDD"/>
          </w:tcPr>
          <w:p>
            <w:pPr>
              <w:spacing w:after="0"/>
              <w:rPr>
                <w:sz w:val="15"/>
                <w:szCs w:val="15"/>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398,350</w:t>
            </w: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330,942</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30,943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23,731</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spacing w:after="0"/>
              <w:rPr>
                <w:sz w:val="17"/>
                <w:szCs w:val="17"/>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35,940</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29,954</w:t>
            </w:r>
          </w:p>
        </w:tc>
        <w:tc>
          <w:tcPr>
            <w:tcW w:w="0" w:type="dxa"/>
            <w:vAlign w:val="bottom"/>
          </w:tcPr>
          <w:p>
            <w:pPr>
              <w:spacing w:after="0"/>
              <w:rPr>
                <w:sz w:val="1"/>
                <w:szCs w:val="1"/>
                <w:color w:val="auto"/>
              </w:rPr>
            </w:pPr>
          </w:p>
        </w:tc>
      </w:tr>
      <w:tr>
        <w:trPr>
          <w:trHeight w:val="194"/>
        </w:trPr>
        <w:tc>
          <w:tcPr>
            <w:tcW w:w="35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w:t>
            </w:r>
          </w:p>
        </w:tc>
        <w:tc>
          <w:tcPr>
            <w:tcW w:w="2640" w:type="dxa"/>
            <w:vAlign w:val="bottom"/>
            <w:tcBorders>
              <w:bottom w:val="single" w:sz="8" w:color="DDDDDD"/>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962</w:t>
            </w:r>
          </w:p>
        </w:tc>
        <w:tc>
          <w:tcPr>
            <w:tcW w:w="8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12,004</w:t>
            </w:r>
          </w:p>
        </w:tc>
        <w:tc>
          <w:tcPr>
            <w:tcW w:w="0" w:type="dxa"/>
            <w:vAlign w:val="bottom"/>
          </w:tcPr>
          <w:p>
            <w:pPr>
              <w:spacing w:after="0"/>
              <w:rPr>
                <w:sz w:val="1"/>
                <w:szCs w:val="1"/>
                <w:color w:val="auto"/>
              </w:rPr>
            </w:pPr>
          </w:p>
        </w:tc>
      </w:tr>
      <w:tr>
        <w:trPr>
          <w:trHeight w:val="192"/>
        </w:trPr>
        <w:tc>
          <w:tcPr>
            <w:tcW w:w="3580" w:type="dxa"/>
            <w:vAlign w:val="bottom"/>
            <w:shd w:val="clear" w:color="auto" w:fill="DDDDDD"/>
          </w:tcPr>
          <w:p>
            <w:pPr>
              <w:ind w:left="400"/>
              <w:spacing w:after="0"/>
              <w:rPr>
                <w:sz w:val="20"/>
                <w:szCs w:val="20"/>
                <w:color w:val="auto"/>
              </w:rPr>
            </w:pPr>
            <w:r>
              <w:rPr>
                <w:rFonts w:ascii="Arial" w:cs="Arial" w:eastAsia="Arial" w:hAnsi="Arial"/>
                <w:sz w:val="15"/>
                <w:szCs w:val="15"/>
                <w:color w:val="auto"/>
              </w:rPr>
              <w:t>Total current assets</w:t>
            </w:r>
          </w:p>
        </w:tc>
        <w:tc>
          <w:tcPr>
            <w:tcW w:w="264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477,512</w:t>
            </w:r>
          </w:p>
        </w:tc>
        <w:tc>
          <w:tcPr>
            <w:tcW w:w="8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421,568</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2,968,895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2,931,646</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spacing w:after="0"/>
              <w:rPr>
                <w:sz w:val="17"/>
                <w:szCs w:val="17"/>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307,253</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303,650</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233,800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232,094</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spacing w:after="0"/>
              <w:rPr>
                <w:sz w:val="17"/>
                <w:szCs w:val="17"/>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1,178,290</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1,171,219</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467,289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495,947</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2640" w:type="dxa"/>
            <w:vAlign w:val="bottom"/>
            <w:shd w:val="clear" w:color="auto" w:fill="DDDDDD"/>
          </w:tcPr>
          <w:p>
            <w:pPr>
              <w:spacing w:after="0"/>
              <w:rPr>
                <w:sz w:val="17"/>
                <w:szCs w:val="17"/>
                <w:color w:val="auto"/>
              </w:rPr>
            </w:pPr>
          </w:p>
        </w:tc>
        <w:tc>
          <w:tcPr>
            <w:tcW w:w="154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11,142</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16,081</w:t>
            </w:r>
          </w:p>
        </w:tc>
        <w:tc>
          <w:tcPr>
            <w:tcW w:w="0" w:type="dxa"/>
            <w:vAlign w:val="bottom"/>
          </w:tcPr>
          <w:p>
            <w:pPr>
              <w:spacing w:after="0"/>
              <w:rPr>
                <w:sz w:val="1"/>
                <w:szCs w:val="1"/>
                <w:color w:val="auto"/>
              </w:rPr>
            </w:pPr>
          </w:p>
        </w:tc>
      </w:tr>
      <w:tr>
        <w:trPr>
          <w:trHeight w:val="186"/>
        </w:trPr>
        <w:tc>
          <w:tcPr>
            <w:tcW w:w="3580" w:type="dxa"/>
            <w:vAlign w:val="bottom"/>
            <w:tcBorders>
              <w:bottom w:val="single" w:sz="8" w:color="DDDDDD"/>
            </w:tcBorders>
          </w:tcPr>
          <w:p>
            <w:pPr>
              <w:ind w:left="400"/>
              <w:spacing w:after="0"/>
              <w:rPr>
                <w:sz w:val="20"/>
                <w:szCs w:val="20"/>
                <w:color w:val="auto"/>
              </w:rPr>
            </w:pPr>
            <w:r>
              <w:rPr>
                <w:rFonts w:ascii="Arial" w:cs="Arial" w:eastAsia="Arial" w:hAnsi="Arial"/>
                <w:sz w:val="15"/>
                <w:szCs w:val="15"/>
                <w:color w:val="auto"/>
              </w:rPr>
              <w:t>Total long-term assets</w:t>
            </w:r>
          </w:p>
        </w:tc>
        <w:tc>
          <w:tcPr>
            <w:tcW w:w="2640" w:type="dxa"/>
            <w:vAlign w:val="bottom"/>
            <w:tcBorders>
              <w:bottom w:val="single" w:sz="8" w:color="DDDDDD"/>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5,166,669</w:t>
            </w:r>
          </w:p>
        </w:tc>
        <w:tc>
          <w:tcPr>
            <w:tcW w:w="8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5,150,637</w:t>
            </w:r>
          </w:p>
        </w:tc>
        <w:tc>
          <w:tcPr>
            <w:tcW w:w="0" w:type="dxa"/>
            <w:vAlign w:val="bottom"/>
          </w:tcPr>
          <w:p>
            <w:pPr>
              <w:spacing w:after="0"/>
              <w:rPr>
                <w:sz w:val="1"/>
                <w:szCs w:val="1"/>
                <w:color w:val="auto"/>
              </w:rPr>
            </w:pPr>
          </w:p>
        </w:tc>
      </w:tr>
      <w:tr>
        <w:trPr>
          <w:trHeight w:val="214"/>
        </w:trPr>
        <w:tc>
          <w:tcPr>
            <w:tcW w:w="35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assets</w:t>
            </w:r>
          </w:p>
        </w:tc>
        <w:tc>
          <w:tcPr>
            <w:tcW w:w="2640" w:type="dxa"/>
            <w:vAlign w:val="bottom"/>
            <w:tcBorders>
              <w:bottom w:val="single" w:sz="8" w:color="DDDDDD"/>
            </w:tcBorders>
            <w:shd w:val="clear" w:color="auto" w:fill="DDDDDD"/>
          </w:tcPr>
          <w:p>
            <w:pPr>
              <w:spacing w:after="0"/>
              <w:rPr>
                <w:sz w:val="18"/>
                <w:szCs w:val="18"/>
                <w:color w:val="auto"/>
              </w:rPr>
            </w:pPr>
          </w:p>
        </w:tc>
        <w:tc>
          <w:tcPr>
            <w:tcW w:w="1540" w:type="dxa"/>
            <w:vAlign w:val="bottom"/>
            <w:tcBorders>
              <w:bottom w:val="single" w:sz="8" w:color="auto"/>
            </w:tcBorders>
            <w:shd w:val="clear" w:color="auto" w:fill="DDDDDD"/>
          </w:tcPr>
          <w:p>
            <w:pPr>
              <w:jc w:val="right"/>
              <w:ind w:right="136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5,644,181</w:t>
            </w:r>
          </w:p>
        </w:tc>
        <w:tc>
          <w:tcPr>
            <w:tcW w:w="8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jc w:val="right"/>
              <w:ind w:right="166"/>
              <w:spacing w:after="0"/>
              <w:rPr>
                <w:sz w:val="20"/>
                <w:szCs w:val="20"/>
                <w:color w:val="auto"/>
              </w:rPr>
            </w:pPr>
            <w:r>
              <w:rPr>
                <w:rFonts w:ascii="Arial" w:cs="Arial" w:eastAsia="Arial" w:hAnsi="Arial"/>
                <w:sz w:val="15"/>
                <w:szCs w:val="15"/>
                <w:color w:val="auto"/>
                <w:w w:val="95"/>
              </w:rPr>
              <w:t>$</w:t>
            </w: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5,572,205</w:t>
            </w:r>
          </w:p>
        </w:tc>
        <w:tc>
          <w:tcPr>
            <w:tcW w:w="0" w:type="dxa"/>
            <w:vAlign w:val="bottom"/>
          </w:tcPr>
          <w:p>
            <w:pPr>
              <w:spacing w:after="0"/>
              <w:rPr>
                <w:sz w:val="1"/>
                <w:szCs w:val="1"/>
                <w:color w:val="auto"/>
              </w:rPr>
            </w:pPr>
          </w:p>
        </w:tc>
      </w:tr>
      <w:tr>
        <w:trPr>
          <w:trHeight w:val="20"/>
        </w:trPr>
        <w:tc>
          <w:tcPr>
            <w:tcW w:w="358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5"/>
                <w:szCs w:val="15"/>
                <w:color w:val="auto"/>
              </w:rPr>
              <w:t>Liabilities and equity</w:t>
            </w:r>
          </w:p>
        </w:tc>
        <w:tc>
          <w:tcPr>
            <w:tcW w:w="264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9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1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58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Accounts payable</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jc w:val="right"/>
              <w:ind w:right="136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145,320</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jc w:val="right"/>
              <w:ind w:right="166"/>
              <w:spacing w:after="0"/>
              <w:rPr>
                <w:sz w:val="20"/>
                <w:szCs w:val="20"/>
                <w:color w:val="auto"/>
              </w:rPr>
            </w:pPr>
            <w:r>
              <w:rPr>
                <w:rFonts w:ascii="Arial" w:cs="Arial" w:eastAsia="Arial" w:hAnsi="Arial"/>
                <w:sz w:val="15"/>
                <w:szCs w:val="15"/>
                <w:color w:val="auto"/>
                <w:w w:val="95"/>
              </w:rPr>
              <w:t>$</w:t>
            </w: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106,926</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163,339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141,672</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spacing w:after="0"/>
              <w:rPr>
                <w:sz w:val="17"/>
                <w:szCs w:val="17"/>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163,977</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135,485</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Operating lease liabilities - current</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50,552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48,063</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Current portion of long-term debt</w:t>
            </w:r>
          </w:p>
        </w:tc>
        <w:tc>
          <w:tcPr>
            <w:tcW w:w="2640" w:type="dxa"/>
            <w:vAlign w:val="bottom"/>
            <w:shd w:val="clear" w:color="auto" w:fill="DDDDDD"/>
          </w:tcPr>
          <w:p>
            <w:pPr>
              <w:spacing w:after="0"/>
              <w:rPr>
                <w:sz w:val="17"/>
                <w:szCs w:val="17"/>
                <w:color w:val="auto"/>
              </w:rPr>
            </w:pPr>
          </w:p>
        </w:tc>
        <w:tc>
          <w:tcPr>
            <w:tcW w:w="154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18,652</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16,521</w:t>
            </w:r>
          </w:p>
        </w:tc>
        <w:tc>
          <w:tcPr>
            <w:tcW w:w="0" w:type="dxa"/>
            <w:vAlign w:val="bottom"/>
          </w:tcPr>
          <w:p>
            <w:pPr>
              <w:spacing w:after="0"/>
              <w:rPr>
                <w:sz w:val="1"/>
                <w:szCs w:val="1"/>
                <w:color w:val="auto"/>
              </w:rPr>
            </w:pPr>
          </w:p>
        </w:tc>
      </w:tr>
      <w:tr>
        <w:trPr>
          <w:trHeight w:val="186"/>
        </w:trPr>
        <w:tc>
          <w:tcPr>
            <w:tcW w:w="3580" w:type="dxa"/>
            <w:vAlign w:val="bottom"/>
          </w:tcPr>
          <w:p>
            <w:pPr>
              <w:ind w:left="400"/>
              <w:spacing w:after="0"/>
              <w:rPr>
                <w:sz w:val="20"/>
                <w:szCs w:val="20"/>
                <w:color w:val="auto"/>
              </w:rPr>
            </w:pPr>
            <w:r>
              <w:rPr>
                <w:rFonts w:ascii="Arial" w:cs="Arial" w:eastAsia="Arial" w:hAnsi="Arial"/>
                <w:sz w:val="15"/>
                <w:szCs w:val="15"/>
                <w:color w:val="auto"/>
              </w:rPr>
              <w:t>Total current liabilities</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541,840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448,667</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Long-term debt</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spacing w:after="0"/>
              <w:rPr>
                <w:sz w:val="17"/>
                <w:szCs w:val="17"/>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2,598,300</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2,453,809</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Deferred tax liabilities</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346,687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307,541</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spacing w:after="0"/>
              <w:rPr>
                <w:sz w:val="17"/>
                <w:szCs w:val="17"/>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183,035</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183,761</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Common stock warrant liabilities</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77,404</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2640" w:type="dxa"/>
            <w:vAlign w:val="bottom"/>
            <w:shd w:val="clear" w:color="auto" w:fill="DDDDDD"/>
          </w:tcPr>
          <w:p>
            <w:pPr>
              <w:spacing w:after="0"/>
              <w:rPr>
                <w:sz w:val="17"/>
                <w:szCs w:val="17"/>
                <w:color w:val="auto"/>
              </w:rPr>
            </w:pPr>
          </w:p>
        </w:tc>
        <w:tc>
          <w:tcPr>
            <w:tcW w:w="154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17,735</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37,150</w:t>
            </w:r>
          </w:p>
        </w:tc>
        <w:tc>
          <w:tcPr>
            <w:tcW w:w="0" w:type="dxa"/>
            <w:vAlign w:val="bottom"/>
          </w:tcPr>
          <w:p>
            <w:pPr>
              <w:spacing w:after="0"/>
              <w:rPr>
                <w:sz w:val="1"/>
                <w:szCs w:val="1"/>
                <w:color w:val="auto"/>
              </w:rPr>
            </w:pPr>
          </w:p>
        </w:tc>
      </w:tr>
      <w:tr>
        <w:trPr>
          <w:trHeight w:val="186"/>
        </w:trPr>
        <w:tc>
          <w:tcPr>
            <w:tcW w:w="3580" w:type="dxa"/>
            <w:vAlign w:val="bottom"/>
            <w:tcBorders>
              <w:bottom w:val="single" w:sz="8" w:color="DDDDDD"/>
            </w:tcBorders>
          </w:tcPr>
          <w:p>
            <w:pPr>
              <w:ind w:left="400"/>
              <w:spacing w:after="0"/>
              <w:rPr>
                <w:sz w:val="20"/>
                <w:szCs w:val="20"/>
                <w:color w:val="auto"/>
              </w:rPr>
            </w:pPr>
            <w:r>
              <w:rPr>
                <w:rFonts w:ascii="Arial" w:cs="Arial" w:eastAsia="Arial" w:hAnsi="Arial"/>
                <w:sz w:val="15"/>
                <w:szCs w:val="15"/>
                <w:color w:val="auto"/>
              </w:rPr>
              <w:t>Long-term liabilities</w:t>
            </w:r>
          </w:p>
        </w:tc>
        <w:tc>
          <w:tcPr>
            <w:tcW w:w="2640" w:type="dxa"/>
            <w:vAlign w:val="bottom"/>
            <w:tcBorders>
              <w:bottom w:val="single" w:sz="8" w:color="DDDDDD"/>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3,145,757</w:t>
            </w:r>
          </w:p>
        </w:tc>
        <w:tc>
          <w:tcPr>
            <w:tcW w:w="8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3,059,665</w:t>
            </w:r>
          </w:p>
        </w:tc>
        <w:tc>
          <w:tcPr>
            <w:tcW w:w="0" w:type="dxa"/>
            <w:vAlign w:val="bottom"/>
          </w:tcPr>
          <w:p>
            <w:pPr>
              <w:spacing w:after="0"/>
              <w:rPr>
                <w:sz w:val="1"/>
                <w:szCs w:val="1"/>
                <w:color w:val="auto"/>
              </w:rPr>
            </w:pPr>
          </w:p>
        </w:tc>
      </w:tr>
      <w:tr>
        <w:trPr>
          <w:trHeight w:val="192"/>
        </w:trPr>
        <w:tc>
          <w:tcPr>
            <w:tcW w:w="35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liabilities</w:t>
            </w:r>
          </w:p>
        </w:tc>
        <w:tc>
          <w:tcPr>
            <w:tcW w:w="2640" w:type="dxa"/>
            <w:vAlign w:val="bottom"/>
            <w:shd w:val="clear" w:color="auto" w:fill="DDDDDD"/>
          </w:tcPr>
          <w:p>
            <w:pPr>
              <w:spacing w:after="0"/>
              <w:rPr>
                <w:sz w:val="16"/>
                <w:szCs w:val="16"/>
                <w:color w:val="auto"/>
              </w:rPr>
            </w:pPr>
          </w:p>
        </w:tc>
        <w:tc>
          <w:tcPr>
            <w:tcW w:w="1540" w:type="dxa"/>
            <w:vAlign w:val="bottom"/>
            <w:tcBorders>
              <w:bottom w:val="single" w:sz="8" w:color="auto"/>
            </w:tcBorders>
            <w:shd w:val="clear" w:color="auto" w:fill="DDDDDD"/>
          </w:tcPr>
          <w:p>
            <w:pPr>
              <w:spacing w:after="0"/>
              <w:rPr>
                <w:sz w:val="16"/>
                <w:szCs w:val="16"/>
                <w:color w:val="auto"/>
              </w:rPr>
            </w:pPr>
          </w:p>
        </w:tc>
        <w:tc>
          <w:tcPr>
            <w:tcW w:w="94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3,687,597</w:t>
            </w:r>
          </w:p>
        </w:tc>
        <w:tc>
          <w:tcPr>
            <w:tcW w:w="80" w:type="dxa"/>
            <w:vAlign w:val="bottom"/>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3,508,332</w:t>
            </w:r>
          </w:p>
        </w:tc>
        <w:tc>
          <w:tcPr>
            <w:tcW w:w="0" w:type="dxa"/>
            <w:vAlign w:val="bottom"/>
          </w:tcPr>
          <w:p>
            <w:pPr>
              <w:spacing w:after="0"/>
              <w:rPr>
                <w:sz w:val="1"/>
                <w:szCs w:val="1"/>
                <w:color w:val="auto"/>
              </w:rPr>
            </w:pPr>
          </w:p>
        </w:tc>
      </w:tr>
      <w:tr>
        <w:trPr>
          <w:trHeight w:val="174"/>
        </w:trPr>
        <w:tc>
          <w:tcPr>
            <w:tcW w:w="3580" w:type="dxa"/>
            <w:vAlign w:val="bottom"/>
          </w:tcPr>
          <w:p>
            <w:pPr>
              <w:ind w:left="20"/>
              <w:spacing w:after="0"/>
              <w:rPr>
                <w:sz w:val="20"/>
                <w:szCs w:val="20"/>
                <w:color w:val="auto"/>
              </w:rPr>
            </w:pPr>
            <w:r>
              <w:rPr>
                <w:rFonts w:ascii="Arial" w:cs="Arial" w:eastAsia="Arial" w:hAnsi="Arial"/>
                <w:sz w:val="15"/>
                <w:szCs w:val="15"/>
                <w:color w:val="auto"/>
              </w:rPr>
              <w:t>Commitments and contingencies (see Note 17)</w:t>
            </w:r>
          </w:p>
        </w:tc>
        <w:tc>
          <w:tcPr>
            <w:tcW w:w="2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220" w:type="dxa"/>
            <w:vAlign w:val="bottom"/>
            <w:gridSpan w:val="2"/>
            <w:shd w:val="clear" w:color="auto" w:fill="DDDDDD"/>
          </w:tcPr>
          <w:p>
            <w:pPr>
              <w:ind w:left="220"/>
              <w:spacing w:after="0" w:line="164" w:lineRule="exact"/>
              <w:rPr>
                <w:sz w:val="20"/>
                <w:szCs w:val="20"/>
                <w:color w:val="auto"/>
              </w:rPr>
            </w:pPr>
            <w:r>
              <w:rPr>
                <w:rFonts w:ascii="Arial" w:cs="Arial" w:eastAsia="Arial" w:hAnsi="Arial"/>
                <w:sz w:val="15"/>
                <w:szCs w:val="15"/>
                <w:color w:val="auto"/>
              </w:rPr>
              <w:t>Preferred Stock: $0.0001 par, 1,000,000 shares authorized and zero shares issued and</w:t>
            </w:r>
          </w:p>
        </w:tc>
        <w:tc>
          <w:tcPr>
            <w:tcW w:w="154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212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outstanding at September 30, 2021 and December 31, 2020</w:t>
            </w:r>
          </w:p>
        </w:tc>
        <w:tc>
          <w:tcPr>
            <w:tcW w:w="1540" w:type="dxa"/>
            <w:vAlign w:val="bottom"/>
            <w:shd w:val="clear" w:color="auto" w:fill="DDDDDD"/>
          </w:tcPr>
          <w:p>
            <w:pPr>
              <w:spacing w:after="0"/>
              <w:rPr>
                <w:sz w:val="15"/>
                <w:szCs w:val="15"/>
                <w:color w:val="auto"/>
              </w:rPr>
            </w:pPr>
          </w:p>
        </w:tc>
        <w:tc>
          <w:tcPr>
            <w:tcW w:w="102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DDDDD"/>
          </w:tcPr>
          <w:p>
            <w:pPr>
              <w:spacing w:after="0"/>
              <w:rPr>
                <w:sz w:val="15"/>
                <w:szCs w:val="15"/>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220" w:type="dxa"/>
            <w:vAlign w:val="bottom"/>
            <w:gridSpan w:val="2"/>
          </w:tcPr>
          <w:p>
            <w:pPr>
              <w:ind w:left="220"/>
              <w:spacing w:after="0" w:line="161" w:lineRule="exact"/>
              <w:rPr>
                <w:sz w:val="20"/>
                <w:szCs w:val="20"/>
                <w:color w:val="auto"/>
              </w:rPr>
            </w:pPr>
            <w:r>
              <w:rPr>
                <w:rFonts w:ascii="Arial" w:cs="Arial" w:eastAsia="Arial" w:hAnsi="Arial"/>
                <w:sz w:val="15"/>
                <w:szCs w:val="15"/>
                <w:color w:val="auto"/>
              </w:rPr>
              <w:t>Common Stock: $0.0001 par, 500,000,000 shares authorized and 223,665,627 and</w:t>
            </w: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220"/>
              <w:spacing w:after="0" w:line="148" w:lineRule="exact"/>
              <w:rPr>
                <w:sz w:val="20"/>
                <w:szCs w:val="20"/>
                <w:color w:val="auto"/>
              </w:rPr>
            </w:pPr>
            <w:r>
              <w:rPr>
                <w:rFonts w:ascii="Arial" w:cs="Arial" w:eastAsia="Arial" w:hAnsi="Arial"/>
                <w:sz w:val="15"/>
                <w:szCs w:val="15"/>
                <w:color w:val="auto"/>
              </w:rPr>
              <w:t>229,038,158 shares issued and outstanding at September 30, 2021 and December 31,</w:t>
            </w: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220"/>
              <w:spacing w:after="0"/>
              <w:rPr>
                <w:sz w:val="20"/>
                <w:szCs w:val="20"/>
                <w:color w:val="auto"/>
              </w:rPr>
            </w:pPr>
            <w:r>
              <w:rPr>
                <w:rFonts w:ascii="Arial" w:cs="Arial" w:eastAsia="Arial" w:hAnsi="Arial"/>
                <w:sz w:val="15"/>
                <w:szCs w:val="15"/>
                <w:color w:val="auto"/>
              </w:rPr>
              <w:t>2020, respectively</w:t>
            </w:r>
          </w:p>
        </w:tc>
        <w:tc>
          <w:tcPr>
            <w:tcW w:w="2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Additional paid-in-capital</w:t>
            </w:r>
          </w:p>
        </w:tc>
        <w:tc>
          <w:tcPr>
            <w:tcW w:w="2640" w:type="dxa"/>
            <w:vAlign w:val="bottom"/>
            <w:shd w:val="clear" w:color="auto" w:fill="DDDDDD"/>
          </w:tcPr>
          <w:p>
            <w:pPr>
              <w:spacing w:after="0"/>
              <w:rPr>
                <w:sz w:val="17"/>
                <w:szCs w:val="17"/>
                <w:color w:val="auto"/>
              </w:rPr>
            </w:pPr>
          </w:p>
        </w:tc>
        <w:tc>
          <w:tcPr>
            <w:tcW w:w="1540" w:type="dxa"/>
            <w:vAlign w:val="bottom"/>
            <w:shd w:val="clear" w:color="auto" w:fill="DDDDDD"/>
          </w:tcPr>
          <w:p>
            <w:pPr>
              <w:spacing w:after="0"/>
              <w:rPr>
                <w:sz w:val="17"/>
                <w:szCs w:val="17"/>
                <w:color w:val="auto"/>
              </w:rPr>
            </w:pPr>
          </w:p>
        </w:tc>
        <w:tc>
          <w:tcPr>
            <w:tcW w:w="94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3,655,587</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3,852,291</w:t>
            </w:r>
          </w:p>
        </w:tc>
        <w:tc>
          <w:tcPr>
            <w:tcW w:w="0" w:type="dxa"/>
            <w:vAlign w:val="bottom"/>
          </w:tcPr>
          <w:p>
            <w:pPr>
              <w:spacing w:after="0"/>
              <w:rPr>
                <w:sz w:val="1"/>
                <w:szCs w:val="1"/>
                <w:color w:val="auto"/>
              </w:rPr>
            </w:pPr>
          </w:p>
        </w:tc>
      </w:tr>
      <w:tr>
        <w:trPr>
          <w:trHeight w:val="194"/>
        </w:trPr>
        <w:tc>
          <w:tcPr>
            <w:tcW w:w="3580" w:type="dxa"/>
            <w:vAlign w:val="bottom"/>
          </w:tcPr>
          <w:p>
            <w:pPr>
              <w:ind w:left="220"/>
              <w:spacing w:after="0"/>
              <w:rPr>
                <w:sz w:val="20"/>
                <w:szCs w:val="20"/>
                <w:color w:val="auto"/>
              </w:rPr>
            </w:pPr>
            <w:r>
              <w:rPr>
                <w:rFonts w:ascii="Arial" w:cs="Arial" w:eastAsia="Arial" w:hAnsi="Arial"/>
                <w:sz w:val="15"/>
                <w:szCs w:val="15"/>
                <w:color w:val="auto"/>
              </w:rPr>
              <w:t>Accumulated other comprehensive loss</w:t>
            </w:r>
          </w:p>
        </w:tc>
        <w:tc>
          <w:tcPr>
            <w:tcW w:w="2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(33,713)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(37,207)</w:t>
            </w:r>
          </w:p>
        </w:tc>
        <w:tc>
          <w:tcPr>
            <w:tcW w:w="0" w:type="dxa"/>
            <w:vAlign w:val="bottom"/>
          </w:tcPr>
          <w:p>
            <w:pPr>
              <w:spacing w:after="0"/>
              <w:rPr>
                <w:sz w:val="1"/>
                <w:szCs w:val="1"/>
                <w:color w:val="auto"/>
              </w:rPr>
            </w:pPr>
          </w:p>
        </w:tc>
      </w:tr>
      <w:tr>
        <w:trPr>
          <w:trHeight w:val="199"/>
        </w:trPr>
        <w:tc>
          <w:tcPr>
            <w:tcW w:w="3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deficit</w:t>
            </w:r>
          </w:p>
        </w:tc>
        <w:tc>
          <w:tcPr>
            <w:tcW w:w="2640" w:type="dxa"/>
            <w:vAlign w:val="bottom"/>
            <w:shd w:val="clear" w:color="auto" w:fill="DDDDDD"/>
          </w:tcPr>
          <w:p>
            <w:pPr>
              <w:spacing w:after="0"/>
              <w:rPr>
                <w:sz w:val="17"/>
                <w:szCs w:val="17"/>
                <w:color w:val="auto"/>
              </w:rPr>
            </w:pPr>
          </w:p>
        </w:tc>
        <w:tc>
          <w:tcPr>
            <w:tcW w:w="154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(1,665,313)</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(1,751,234)</w:t>
            </w:r>
          </w:p>
        </w:tc>
        <w:tc>
          <w:tcPr>
            <w:tcW w:w="0" w:type="dxa"/>
            <w:vAlign w:val="bottom"/>
          </w:tcPr>
          <w:p>
            <w:pPr>
              <w:spacing w:after="0"/>
              <w:rPr>
                <w:sz w:val="1"/>
                <w:szCs w:val="1"/>
                <w:color w:val="auto"/>
              </w:rPr>
            </w:pPr>
          </w:p>
        </w:tc>
      </w:tr>
      <w:tr>
        <w:trPr>
          <w:trHeight w:val="186"/>
        </w:trPr>
        <w:tc>
          <w:tcPr>
            <w:tcW w:w="35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shareholders' equity</w:t>
            </w:r>
          </w:p>
        </w:tc>
        <w:tc>
          <w:tcPr>
            <w:tcW w:w="2640" w:type="dxa"/>
            <w:vAlign w:val="bottom"/>
            <w:tcBorders>
              <w:bottom w:val="single" w:sz="8" w:color="DDDDDD"/>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1,956,584</w:t>
            </w:r>
          </w:p>
        </w:tc>
        <w:tc>
          <w:tcPr>
            <w:tcW w:w="8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2,063,873</w:t>
            </w:r>
          </w:p>
        </w:tc>
        <w:tc>
          <w:tcPr>
            <w:tcW w:w="0" w:type="dxa"/>
            <w:vAlign w:val="bottom"/>
          </w:tcPr>
          <w:p>
            <w:pPr>
              <w:spacing w:after="0"/>
              <w:rPr>
                <w:sz w:val="1"/>
                <w:szCs w:val="1"/>
                <w:color w:val="auto"/>
              </w:rPr>
            </w:pPr>
          </w:p>
        </w:tc>
      </w:tr>
      <w:tr>
        <w:trPr>
          <w:trHeight w:val="214"/>
        </w:trPr>
        <w:tc>
          <w:tcPr>
            <w:tcW w:w="35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liabilities and equity</w:t>
            </w:r>
          </w:p>
        </w:tc>
        <w:tc>
          <w:tcPr>
            <w:tcW w:w="2640" w:type="dxa"/>
            <w:vAlign w:val="bottom"/>
            <w:tcBorders>
              <w:bottom w:val="single" w:sz="8" w:color="DDDDDD"/>
            </w:tcBorders>
            <w:shd w:val="clear" w:color="auto" w:fill="DDDDDD"/>
          </w:tcPr>
          <w:p>
            <w:pPr>
              <w:spacing w:after="0"/>
              <w:rPr>
                <w:sz w:val="18"/>
                <w:szCs w:val="18"/>
                <w:color w:val="auto"/>
              </w:rPr>
            </w:pPr>
          </w:p>
        </w:tc>
        <w:tc>
          <w:tcPr>
            <w:tcW w:w="1540" w:type="dxa"/>
            <w:vAlign w:val="bottom"/>
            <w:tcBorders>
              <w:bottom w:val="single" w:sz="8" w:color="auto"/>
            </w:tcBorders>
            <w:shd w:val="clear" w:color="auto" w:fill="DDDDDD"/>
          </w:tcPr>
          <w:p>
            <w:pPr>
              <w:jc w:val="right"/>
              <w:ind w:right="136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5,644,181</w:t>
            </w:r>
          </w:p>
        </w:tc>
        <w:tc>
          <w:tcPr>
            <w:tcW w:w="8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jc w:val="right"/>
              <w:ind w:right="166"/>
              <w:spacing w:after="0"/>
              <w:rPr>
                <w:sz w:val="20"/>
                <w:szCs w:val="20"/>
                <w:color w:val="auto"/>
              </w:rPr>
            </w:pPr>
            <w:r>
              <w:rPr>
                <w:rFonts w:ascii="Arial" w:cs="Arial" w:eastAsia="Arial" w:hAnsi="Arial"/>
                <w:sz w:val="15"/>
                <w:szCs w:val="15"/>
                <w:color w:val="auto"/>
                <w:w w:val="95"/>
              </w:rPr>
              <w:t>$</w:t>
            </w: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5,572,205</w:t>
            </w:r>
          </w:p>
        </w:tc>
        <w:tc>
          <w:tcPr>
            <w:tcW w:w="0" w:type="dxa"/>
            <w:vAlign w:val="bottom"/>
          </w:tcPr>
          <w:p>
            <w:pPr>
              <w:spacing w:after="0"/>
              <w:rPr>
                <w:sz w:val="1"/>
                <w:szCs w:val="1"/>
                <w:color w:val="auto"/>
              </w:rPr>
            </w:pPr>
          </w:p>
        </w:tc>
      </w:tr>
      <w:tr>
        <w:trPr>
          <w:trHeight w:val="20"/>
        </w:trPr>
        <w:tc>
          <w:tcPr>
            <w:tcW w:w="3580" w:type="dxa"/>
            <w:vAlign w:val="bottom"/>
            <w:tcBorders>
              <w:top w:val="single" w:sz="8" w:color="DDDDDD"/>
            </w:tcBorders>
          </w:tcPr>
          <w:p>
            <w:pPr>
              <w:spacing w:after="0" w:line="20" w:lineRule="exact"/>
              <w:rPr>
                <w:sz w:val="1"/>
                <w:szCs w:val="1"/>
                <w:color w:val="auto"/>
              </w:rPr>
            </w:pPr>
          </w:p>
        </w:tc>
        <w:tc>
          <w:tcPr>
            <w:tcW w:w="264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9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1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color w:val="1D2758"/>
        </w:rPr>
        <w:t>WillScot Mobile Mini Holdings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1D2758"/>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1D2758"/>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3060" w:type="dxa"/>
            <w:vAlign w:val="bottom"/>
            <w:gridSpan w:val="5"/>
            <w:shd w:val="clear" w:color="auto" w:fill="1D2758"/>
          </w:tcPr>
          <w:p>
            <w:pPr>
              <w:ind w:left="120"/>
              <w:spacing w:after="0"/>
              <w:rPr>
                <w:sz w:val="20"/>
                <w:szCs w:val="20"/>
                <w:color w:val="auto"/>
              </w:rPr>
            </w:pPr>
            <w:r>
              <w:rPr>
                <w:rFonts w:ascii="Arial" w:cs="Arial" w:eastAsia="Arial" w:hAnsi="Arial"/>
                <w:sz w:val="15"/>
                <w:szCs w:val="15"/>
                <w:b w:val="1"/>
                <w:bCs w:val="1"/>
                <w:color w:val="FFFFFF"/>
              </w:rPr>
              <w:t>Three Months Ended September 30,</w:t>
            </w:r>
          </w:p>
        </w:tc>
        <w:tc>
          <w:tcPr>
            <w:tcW w:w="220" w:type="dxa"/>
            <w:vAlign w:val="bottom"/>
            <w:shd w:val="clear" w:color="auto" w:fill="1D2758"/>
          </w:tcPr>
          <w:p>
            <w:pPr>
              <w:spacing w:after="0"/>
              <w:rPr>
                <w:sz w:val="16"/>
                <w:szCs w:val="16"/>
                <w:color w:val="auto"/>
              </w:rPr>
            </w:pPr>
          </w:p>
        </w:tc>
        <w:tc>
          <w:tcPr>
            <w:tcW w:w="2880" w:type="dxa"/>
            <w:vAlign w:val="bottom"/>
            <w:gridSpan w:val="4"/>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196"/>
        </w:trPr>
        <w:tc>
          <w:tcPr>
            <w:tcW w:w="48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220" w:type="dxa"/>
            <w:vAlign w:val="bottom"/>
            <w:shd w:val="clear" w:color="auto" w:fill="1D2758"/>
          </w:tcPr>
          <w:p>
            <w:pPr>
              <w:spacing w:after="0"/>
              <w:rPr>
                <w:sz w:val="17"/>
                <w:szCs w:val="17"/>
                <w:color w:val="auto"/>
              </w:rPr>
            </w:pPr>
          </w:p>
        </w:tc>
        <w:tc>
          <w:tcPr>
            <w:tcW w:w="1320" w:type="dxa"/>
            <w:vAlign w:val="bottom"/>
            <w:vMerge w:val="restart"/>
            <w:shd w:val="clear" w:color="auto" w:fill="1D2758"/>
          </w:tcPr>
          <w:p>
            <w:pPr>
              <w:jc w:val="right"/>
              <w:ind w:right="526"/>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220" w:type="dxa"/>
            <w:vAlign w:val="bottom"/>
            <w:vMerge w:val="restart"/>
            <w:shd w:val="clear" w:color="auto" w:fill="1D2758"/>
          </w:tcPr>
          <w:p>
            <w:pPr>
              <w:jc w:val="right"/>
              <w:ind w:right="54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300" w:type="dxa"/>
            <w:vAlign w:val="bottom"/>
            <w:vMerge w:val="restart"/>
            <w:shd w:val="clear" w:color="auto" w:fill="1D2758"/>
          </w:tcPr>
          <w:p>
            <w:pPr>
              <w:jc w:val="right"/>
              <w:ind w:right="52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140" w:type="dxa"/>
            <w:vAlign w:val="bottom"/>
            <w:vMerge w:val="restart"/>
            <w:shd w:val="clear" w:color="auto" w:fill="1D2758"/>
          </w:tcPr>
          <w:p>
            <w:pPr>
              <w:jc w:val="right"/>
              <w:ind w:right="506"/>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87"/>
        </w:trPr>
        <w:tc>
          <w:tcPr>
            <w:tcW w:w="4860" w:type="dxa"/>
            <w:vAlign w:val="bottom"/>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22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30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1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363,396</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300,082</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1,022,237</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678,577</w:t>
            </w:r>
          </w:p>
        </w:tc>
        <w:tc>
          <w:tcPr>
            <w:tcW w:w="0" w:type="dxa"/>
            <w:vAlign w:val="bottom"/>
          </w:tcPr>
          <w:p>
            <w:pPr>
              <w:spacing w:after="0"/>
              <w:rPr>
                <w:sz w:val="1"/>
                <w:szCs w:val="1"/>
                <w:color w:val="auto"/>
              </w:rPr>
            </w:pPr>
          </w:p>
        </w:tc>
      </w:tr>
      <w:tr>
        <w:trPr>
          <w:trHeight w:val="194"/>
        </w:trPr>
        <w:tc>
          <w:tcPr>
            <w:tcW w:w="4860" w:type="dxa"/>
            <w:vAlign w:val="bottom"/>
          </w:tcPr>
          <w:p>
            <w:pPr>
              <w:ind w:left="40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99,699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84,694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274,883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187,404</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40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15,860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19,360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37,823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38,736</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11,597</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13,179</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42,034</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25,281</w:t>
            </w:r>
          </w:p>
        </w:tc>
        <w:tc>
          <w:tcPr>
            <w:tcW w:w="0" w:type="dxa"/>
            <w:vAlign w:val="bottom"/>
          </w:tcPr>
          <w:p>
            <w:pPr>
              <w:spacing w:after="0"/>
              <w:rPr>
                <w:sz w:val="1"/>
                <w:szCs w:val="1"/>
                <w:color w:val="auto"/>
              </w:rPr>
            </w:pPr>
          </w:p>
        </w:tc>
      </w:tr>
      <w:tr>
        <w:trPr>
          <w:trHeight w:val="186"/>
        </w:trPr>
        <w:tc>
          <w:tcPr>
            <w:tcW w:w="4860" w:type="dxa"/>
            <w:vAlign w:val="bottom"/>
          </w:tcPr>
          <w:p>
            <w:pPr>
              <w:ind w:left="60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490,552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417,315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1,376,977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929,998</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82,448</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64,788</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235,375</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162,344</w:t>
            </w:r>
          </w:p>
        </w:tc>
        <w:tc>
          <w:tcPr>
            <w:tcW w:w="0" w:type="dxa"/>
            <w:vAlign w:val="bottom"/>
          </w:tcPr>
          <w:p>
            <w:pPr>
              <w:spacing w:after="0"/>
              <w:rPr>
                <w:sz w:val="1"/>
                <w:szCs w:val="1"/>
                <w:color w:val="auto"/>
              </w:rPr>
            </w:pPr>
          </w:p>
        </w:tc>
      </w:tr>
      <w:tr>
        <w:trPr>
          <w:trHeight w:val="194"/>
        </w:trPr>
        <w:tc>
          <w:tcPr>
            <w:tcW w:w="4860" w:type="dxa"/>
            <w:vAlign w:val="bottom"/>
          </w:tcPr>
          <w:p>
            <w:pPr>
              <w:ind w:left="40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80,991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66,354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228,280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153,742</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40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11,499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12,935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25,660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25,469</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Rental units</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5,603</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8,837</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22,870</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16,446</w:t>
            </w:r>
          </w:p>
        </w:tc>
        <w:tc>
          <w:tcPr>
            <w:tcW w:w="0" w:type="dxa"/>
            <w:vAlign w:val="bottom"/>
          </w:tcPr>
          <w:p>
            <w:pPr>
              <w:spacing w:after="0"/>
              <w:rPr>
                <w:sz w:val="1"/>
                <w:szCs w:val="1"/>
                <w:color w:val="auto"/>
              </w:rPr>
            </w:pPr>
          </w:p>
        </w:tc>
      </w:tr>
      <w:tr>
        <w:trPr>
          <w:trHeight w:val="194"/>
        </w:trPr>
        <w:tc>
          <w:tcPr>
            <w:tcW w:w="48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56,462</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54,837</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175,053</w:t>
            </w:r>
          </w:p>
        </w:tc>
        <w:tc>
          <w:tcPr>
            <w:tcW w:w="8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146,279</w:t>
            </w:r>
          </w:p>
        </w:tc>
        <w:tc>
          <w:tcPr>
            <w:tcW w:w="0" w:type="dxa"/>
            <w:vAlign w:val="bottom"/>
          </w:tcPr>
          <w:p>
            <w:pPr>
              <w:spacing w:after="0"/>
              <w:rPr>
                <w:sz w:val="1"/>
                <w:szCs w:val="1"/>
                <w:color w:val="auto"/>
              </w:rPr>
            </w:pPr>
          </w:p>
        </w:tc>
      </w:tr>
      <w:tr>
        <w:trPr>
          <w:trHeight w:val="192"/>
        </w:trPr>
        <w:tc>
          <w:tcPr>
            <w:tcW w:w="48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253,549</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209,564</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689,739</w:t>
            </w:r>
          </w:p>
        </w:tc>
        <w:tc>
          <w:tcPr>
            <w:tcW w:w="8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425,718</w:t>
            </w:r>
          </w:p>
        </w:tc>
        <w:tc>
          <w:tcPr>
            <w:tcW w:w="0" w:type="dxa"/>
            <w:vAlign w:val="bottom"/>
          </w:tcPr>
          <w:p>
            <w:pPr>
              <w:spacing w:after="0"/>
              <w:rPr>
                <w:sz w:val="1"/>
                <w:szCs w:val="1"/>
                <w:color w:val="auto"/>
              </w:rPr>
            </w:pPr>
          </w:p>
        </w:tc>
      </w:tr>
      <w:tr>
        <w:trPr>
          <w:trHeight w:val="194"/>
        </w:trPr>
        <w:tc>
          <w:tcPr>
            <w:tcW w:w="486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133,424</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112,079</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372,296</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241,269</w:t>
            </w:r>
          </w:p>
        </w:tc>
        <w:tc>
          <w:tcPr>
            <w:tcW w:w="0" w:type="dxa"/>
            <w:vAlign w:val="bottom"/>
          </w:tcPr>
          <w:p>
            <w:pPr>
              <w:spacing w:after="0"/>
              <w:rPr>
                <w:sz w:val="1"/>
                <w:szCs w:val="1"/>
                <w:color w:val="auto"/>
              </w:rPr>
            </w:pPr>
          </w:p>
        </w:tc>
      </w:tr>
      <w:tr>
        <w:trPr>
          <w:trHeight w:val="194"/>
        </w:trPr>
        <w:tc>
          <w:tcPr>
            <w:tcW w:w="486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52,191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1,147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63,241</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depreciation and amortization</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18,814</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16,867</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58,760</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22,824</w:t>
            </w:r>
          </w:p>
        </w:tc>
        <w:tc>
          <w:tcPr>
            <w:tcW w:w="0" w:type="dxa"/>
            <w:vAlign w:val="bottom"/>
          </w:tcPr>
          <w:p>
            <w:pPr>
              <w:spacing w:after="0"/>
              <w:rPr>
                <w:sz w:val="1"/>
                <w:szCs w:val="1"/>
                <w:color w:val="auto"/>
              </w:rPr>
            </w:pPr>
          </w:p>
        </w:tc>
      </w:tr>
      <w:tr>
        <w:trPr>
          <w:trHeight w:val="194"/>
        </w:trPr>
        <w:tc>
          <w:tcPr>
            <w:tcW w:w="4860" w:type="dxa"/>
            <w:vAlign w:val="bottom"/>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944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2,328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3,999</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1,856</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3,854</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11,958</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4,543</w:t>
            </w:r>
          </w:p>
        </w:tc>
        <w:tc>
          <w:tcPr>
            <w:tcW w:w="0" w:type="dxa"/>
            <w:vAlign w:val="bottom"/>
          </w:tcPr>
          <w:p>
            <w:pPr>
              <w:spacing w:after="0"/>
              <w:rPr>
                <w:sz w:val="1"/>
                <w:szCs w:val="1"/>
                <w:color w:val="auto"/>
              </w:rPr>
            </w:pPr>
          </w:p>
        </w:tc>
      </w:tr>
      <w:tr>
        <w:trPr>
          <w:trHeight w:val="194"/>
        </w:trPr>
        <w:tc>
          <w:tcPr>
            <w:tcW w:w="4860" w:type="dxa"/>
            <w:vAlign w:val="bottom"/>
          </w:tcPr>
          <w:p>
            <w:pPr>
              <w:ind w:left="220"/>
              <w:spacing w:after="0"/>
              <w:rPr>
                <w:sz w:val="20"/>
                <w:szCs w:val="20"/>
                <w:color w:val="auto"/>
              </w:rPr>
            </w:pPr>
            <w:r>
              <w:rPr>
                <w:rFonts w:ascii="Arial" w:cs="Arial" w:eastAsia="Arial" w:hAnsi="Arial"/>
                <w:sz w:val="15"/>
                <w:szCs w:val="15"/>
                <w:color w:val="auto"/>
              </w:rPr>
              <w:t>Currency losses (gains),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(income), net</w:t>
            </w:r>
          </w:p>
        </w:tc>
        <w:tc>
          <w:tcPr>
            <w:tcW w:w="22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1,476</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(1,012)</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207</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(1,757)</w:t>
            </w:r>
          </w:p>
        </w:tc>
        <w:tc>
          <w:tcPr>
            <w:tcW w:w="0" w:type="dxa"/>
            <w:vAlign w:val="bottom"/>
          </w:tcPr>
          <w:p>
            <w:pPr>
              <w:spacing w:after="0"/>
              <w:rPr>
                <w:sz w:val="1"/>
                <w:szCs w:val="1"/>
                <w:color w:val="auto"/>
              </w:rPr>
            </w:pPr>
          </w:p>
        </w:tc>
      </w:tr>
      <w:tr>
        <w:trPr>
          <w:trHeight w:val="186"/>
        </w:trPr>
        <w:tc>
          <w:tcPr>
            <w:tcW w:w="4860" w:type="dxa"/>
            <w:vAlign w:val="bottom"/>
          </w:tcPr>
          <w:p>
            <w:pPr>
              <w:ind w:left="400"/>
              <w:spacing w:after="0"/>
              <w:rPr>
                <w:sz w:val="20"/>
                <w:szCs w:val="20"/>
                <w:color w:val="auto"/>
              </w:rPr>
            </w:pPr>
            <w:r>
              <w:rPr>
                <w:rFonts w:ascii="Arial" w:cs="Arial" w:eastAsia="Arial" w:hAnsi="Arial"/>
                <w:sz w:val="15"/>
                <w:szCs w:val="15"/>
                <w:color w:val="auto"/>
              </w:rPr>
              <w:t>Operating income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96,948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25,012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242,847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91,452</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29,201</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33,034</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88,377</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89,810</w:t>
            </w:r>
          </w:p>
        </w:tc>
        <w:tc>
          <w:tcPr>
            <w:tcW w:w="0" w:type="dxa"/>
            <w:vAlign w:val="bottom"/>
          </w:tcPr>
          <w:p>
            <w:pPr>
              <w:spacing w:after="0"/>
              <w:rPr>
                <w:sz w:val="1"/>
                <w:szCs w:val="1"/>
                <w:color w:val="auto"/>
              </w:rPr>
            </w:pPr>
          </w:p>
        </w:tc>
      </w:tr>
      <w:tr>
        <w:trPr>
          <w:trHeight w:val="194"/>
        </w:trPr>
        <w:tc>
          <w:tcPr>
            <w:tcW w:w="4860" w:type="dxa"/>
            <w:vAlign w:val="bottom"/>
          </w:tcPr>
          <w:p>
            <w:pPr>
              <w:ind w:left="220"/>
              <w:spacing w:after="0"/>
              <w:rPr>
                <w:sz w:val="20"/>
                <w:szCs w:val="20"/>
                <w:color w:val="auto"/>
              </w:rPr>
            </w:pPr>
            <w:r>
              <w:rPr>
                <w:rFonts w:ascii="Arial" w:cs="Arial" w:eastAsia="Arial" w:hAnsi="Arial"/>
                <w:sz w:val="15"/>
                <w:szCs w:val="15"/>
                <w:color w:val="auto"/>
              </w:rPr>
              <w:t>Fair value loss (gain) on common stock warrant liabilities</w:t>
            </w:r>
          </w:p>
        </w:tc>
        <w:tc>
          <w:tcPr>
            <w:tcW w:w="2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22,303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26,597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(46,063)</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22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42,401</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42,401</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5"/>
                <w:szCs w:val="15"/>
                <w:color w:val="auto"/>
              </w:rPr>
              <w:t>Income (loss) before income tax</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67,747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(72,726)</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121,874</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5,304</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(benefit)</w:t>
            </w:r>
          </w:p>
        </w:tc>
        <w:tc>
          <w:tcPr>
            <w:tcW w:w="22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6,644</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(66,675)</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35,953</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(66,170)</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61,103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85,921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71,474</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attributable to non-controlling interest, net of tax</w:t>
            </w:r>
          </w:p>
        </w:tc>
        <w:tc>
          <w:tcPr>
            <w:tcW w:w="22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7"/>
                <w:szCs w:val="17"/>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3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5"/>
                <w:szCs w:val="15"/>
                <w:color w:val="auto"/>
              </w:rPr>
              <w:t>Net income (loss) attributable to WillScot Mobile Mini</w:t>
            </w: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61,103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(6,051)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85,921</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70,261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860" w:type="dxa"/>
            <w:vAlign w:val="bottom"/>
            <w:shd w:val="clear" w:color="auto" w:fill="DBDBDB"/>
          </w:tcPr>
          <w:p>
            <w:pPr>
              <w:spacing w:after="0"/>
              <w:rPr>
                <w:sz w:val="8"/>
                <w:szCs w:val="8"/>
                <w:color w:val="auto"/>
              </w:rPr>
            </w:pPr>
          </w:p>
        </w:tc>
        <w:tc>
          <w:tcPr>
            <w:tcW w:w="220" w:type="dxa"/>
            <w:vAlign w:val="bottom"/>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2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2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14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20"/>
              <w:spacing w:after="0" w:line="161" w:lineRule="exact"/>
              <w:rPr>
                <w:sz w:val="20"/>
                <w:szCs w:val="20"/>
                <w:color w:val="auto"/>
              </w:rPr>
            </w:pPr>
            <w:r>
              <w:rPr>
                <w:rFonts w:ascii="Arial" w:cs="Arial" w:eastAsia="Arial" w:hAnsi="Arial"/>
                <w:sz w:val="15"/>
                <w:szCs w:val="15"/>
                <w:color w:val="auto"/>
              </w:rPr>
              <w:t>Earnings (loss) per share attributable to WillScot Mobile Mini common</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5"/>
                <w:szCs w:val="15"/>
                <w:color w:val="auto"/>
              </w:rPr>
              <w:t>shareholders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0.27</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(0.03)</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0.38</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r>
        <w:trPr>
          <w:trHeight w:val="194"/>
        </w:trPr>
        <w:tc>
          <w:tcPr>
            <w:tcW w:w="4860" w:type="dxa"/>
            <w:vAlign w:val="bottom"/>
          </w:tcPr>
          <w:p>
            <w:pPr>
              <w:ind w:left="20"/>
              <w:spacing w:after="0"/>
              <w:rPr>
                <w:sz w:val="20"/>
                <w:szCs w:val="20"/>
                <w:color w:val="auto"/>
              </w:rPr>
            </w:pPr>
            <w:r>
              <w:rPr>
                <w:rFonts w:ascii="Arial" w:cs="Arial" w:eastAsia="Arial" w:hAnsi="Arial"/>
                <w:sz w:val="15"/>
                <w:szCs w:val="15"/>
                <w:color w:val="auto"/>
              </w:rPr>
              <w:t>Diluted</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0.26</w:t>
            </w:r>
          </w:p>
        </w:tc>
        <w:tc>
          <w:tcPr>
            <w:tcW w:w="10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(0.03)</w:t>
            </w:r>
          </w:p>
        </w:tc>
        <w:tc>
          <w:tcPr>
            <w:tcW w:w="80" w:type="dxa"/>
            <w:vAlign w:val="bottom"/>
          </w:tcPr>
          <w:p>
            <w:pPr>
              <w:spacing w:after="0"/>
              <w:rPr>
                <w:sz w:val="16"/>
                <w:szCs w:val="16"/>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0.37</w:t>
            </w:r>
          </w:p>
        </w:tc>
        <w:tc>
          <w:tcPr>
            <w:tcW w:w="80" w:type="dxa"/>
            <w:vAlign w:val="bottom"/>
          </w:tcPr>
          <w:p>
            <w:pPr>
              <w:spacing w:after="0"/>
              <w:rPr>
                <w:sz w:val="16"/>
                <w:szCs w:val="16"/>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20"/>
              <w:spacing w:after="0"/>
              <w:rPr>
                <w:sz w:val="20"/>
                <w:szCs w:val="20"/>
                <w:color w:val="auto"/>
              </w:rPr>
            </w:pPr>
            <w:r>
              <w:rPr>
                <w:rFonts w:ascii="Arial" w:cs="Arial" w:eastAsia="Arial" w:hAnsi="Arial"/>
                <w:sz w:val="15"/>
                <w:szCs w:val="15"/>
                <w:color w:val="auto"/>
              </w:rPr>
              <w:t>Basic</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225,998,202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226,649,993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227,557,664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149,283,083</w:t>
            </w:r>
          </w:p>
        </w:tc>
        <w:tc>
          <w:tcPr>
            <w:tcW w:w="0" w:type="dxa"/>
            <w:vAlign w:val="bottom"/>
          </w:tcPr>
          <w:p>
            <w:pPr>
              <w:spacing w:after="0"/>
              <w:rPr>
                <w:sz w:val="1"/>
                <w:szCs w:val="1"/>
                <w:color w:val="auto"/>
              </w:rPr>
            </w:pPr>
          </w:p>
        </w:tc>
      </w:tr>
      <w:tr>
        <w:trPr>
          <w:trHeight w:val="199"/>
        </w:trPr>
        <w:tc>
          <w:tcPr>
            <w:tcW w:w="4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231,868,397</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226,649,993</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234,084,800</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152,432,945</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See the accompanying notes which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4" w:name="page5"/>
    <w:bookmarkEnd w:id="4"/>
    <w:p>
      <w:pPr>
        <w:jc w:val="center"/>
        <w:spacing w:after="0" w:line="256" w:lineRule="auto"/>
        <w:rPr>
          <w:sz w:val="20"/>
          <w:szCs w:val="20"/>
          <w:color w:val="auto"/>
        </w:rPr>
      </w:pPr>
      <w:r>
        <w:rPr>
          <w:rFonts w:ascii="Arial" w:cs="Arial" w:eastAsia="Arial" w:hAnsi="Arial"/>
          <w:sz w:val="21"/>
          <w:szCs w:val="21"/>
          <w:color w:val="1D2758"/>
        </w:rPr>
        <w:t>WillScot Mobile Mini Holdings Corp. Condensed Consolidated Statements of Comprehensive Income (Loss)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shd w:val="clear" w:color="auto" w:fill="1D2758"/>
          </w:tcPr>
          <w:p>
            <w:pPr>
              <w:spacing w:after="0"/>
              <w:rPr>
                <w:sz w:val="14"/>
                <w:szCs w:val="14"/>
                <w:color w:val="auto"/>
              </w:rPr>
            </w:pPr>
          </w:p>
        </w:tc>
        <w:tc>
          <w:tcPr>
            <w:tcW w:w="2700" w:type="dxa"/>
            <w:vAlign w:val="bottom"/>
            <w:gridSpan w:val="4"/>
            <w:shd w:val="clear" w:color="auto" w:fill="1D2758"/>
          </w:tcPr>
          <w:p>
            <w:pPr>
              <w:jc w:val="right"/>
              <w:ind w:right="246"/>
              <w:spacing w:after="0"/>
              <w:rPr>
                <w:sz w:val="20"/>
                <w:szCs w:val="20"/>
                <w:color w:val="auto"/>
              </w:rPr>
            </w:pPr>
            <w:r>
              <w:rPr>
                <w:rFonts w:ascii="Arial" w:cs="Arial" w:eastAsia="Arial" w:hAnsi="Arial"/>
                <w:sz w:val="15"/>
                <w:szCs w:val="15"/>
                <w:b w:val="1"/>
                <w:bCs w:val="1"/>
                <w:color w:val="FFFFFF"/>
              </w:rPr>
              <w:t>Three Months Ended</w:t>
            </w:r>
          </w:p>
        </w:tc>
        <w:tc>
          <w:tcPr>
            <w:tcW w:w="6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19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9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1D2758"/>
          </w:tcPr>
          <w:p>
            <w:pPr>
              <w:spacing w:after="0"/>
              <w:rPr>
                <w:sz w:val="17"/>
                <w:szCs w:val="17"/>
                <w:color w:val="auto"/>
              </w:rPr>
            </w:pPr>
          </w:p>
        </w:tc>
        <w:tc>
          <w:tcPr>
            <w:tcW w:w="980" w:type="dxa"/>
            <w:vAlign w:val="bottom"/>
            <w:shd w:val="clear" w:color="auto" w:fill="1D2758"/>
          </w:tcPr>
          <w:p>
            <w:pPr>
              <w:spacing w:after="0"/>
              <w:rPr>
                <w:sz w:val="17"/>
                <w:szCs w:val="17"/>
                <w:color w:val="auto"/>
              </w:rPr>
            </w:pPr>
          </w:p>
        </w:tc>
        <w:tc>
          <w:tcPr>
            <w:tcW w:w="1720" w:type="dxa"/>
            <w:vAlign w:val="bottom"/>
            <w:gridSpan w:val="3"/>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September 30,</w:t>
            </w:r>
          </w:p>
        </w:tc>
        <w:tc>
          <w:tcPr>
            <w:tcW w:w="6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80" w:type="dxa"/>
            <w:vAlign w:val="bottom"/>
            <w:gridSpan w:val="3"/>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September 30,</w:t>
            </w: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6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0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2020</w:t>
            </w:r>
          </w:p>
        </w:tc>
        <w:tc>
          <w:tcPr>
            <w:tcW w:w="6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4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660" w:type="dxa"/>
            <w:vAlign w:val="bottom"/>
            <w:shd w:val="clear" w:color="auto" w:fill="1D2758"/>
          </w:tcPr>
          <w:p>
            <w:pPr>
              <w:spacing w:after="0"/>
              <w:rPr>
                <w:sz w:val="17"/>
                <w:szCs w:val="17"/>
                <w:color w:val="auto"/>
              </w:rPr>
            </w:pPr>
          </w:p>
        </w:tc>
        <w:tc>
          <w:tcPr>
            <w:tcW w:w="96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w w:val="89"/>
              </w:rPr>
              <w:t>2020</w:t>
            </w:r>
          </w:p>
        </w:tc>
        <w:tc>
          <w:tcPr>
            <w:tcW w:w="0" w:type="dxa"/>
            <w:vAlign w:val="bottom"/>
          </w:tcPr>
          <w:p>
            <w:pPr>
              <w:spacing w:after="0"/>
              <w:rPr>
                <w:sz w:val="1"/>
                <w:szCs w:val="1"/>
                <w:color w:val="auto"/>
              </w:rPr>
            </w:pPr>
          </w:p>
        </w:tc>
      </w:tr>
      <w:tr>
        <w:trPr>
          <w:trHeight w:val="162"/>
        </w:trPr>
        <w:tc>
          <w:tcPr>
            <w:tcW w:w="4540" w:type="dxa"/>
            <w:vAlign w:val="bottom"/>
            <w:shd w:val="clear" w:color="auto" w:fill="1D2758"/>
          </w:tcPr>
          <w:p>
            <w:pPr>
              <w:spacing w:after="0"/>
              <w:rPr>
                <w:sz w:val="14"/>
                <w:szCs w:val="14"/>
                <w:color w:val="auto"/>
              </w:rPr>
            </w:pPr>
          </w:p>
        </w:tc>
        <w:tc>
          <w:tcPr>
            <w:tcW w:w="980" w:type="dxa"/>
            <w:vAlign w:val="bottom"/>
            <w:vMerge w:val="continue"/>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040" w:type="dxa"/>
            <w:vAlign w:val="bottom"/>
            <w:vMerge w:val="continue"/>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124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96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980" w:type="dxa"/>
            <w:vAlign w:val="bottom"/>
            <w:shd w:val="clear" w:color="auto" w:fill="DBDBDB"/>
          </w:tcPr>
          <w:p>
            <w:pPr>
              <w:jc w:val="right"/>
              <w:ind w:right="806"/>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61,103</w:t>
            </w: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866"/>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(6,051)</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85,921</w:t>
            </w:r>
          </w:p>
        </w:tc>
        <w:tc>
          <w:tcPr>
            <w:tcW w:w="80" w:type="dxa"/>
            <w:vAlign w:val="bottom"/>
            <w:shd w:val="clear" w:color="auto" w:fill="DBDBDB"/>
          </w:tcPr>
          <w:p>
            <w:pPr>
              <w:spacing w:after="0"/>
              <w:rPr>
                <w:sz w:val="17"/>
                <w:szCs w:val="17"/>
                <w:color w:val="auto"/>
              </w:rPr>
            </w:pPr>
          </w:p>
        </w:tc>
        <w:tc>
          <w:tcPr>
            <w:tcW w:w="660" w:type="dxa"/>
            <w:vAlign w:val="bottom"/>
            <w:shd w:val="clear" w:color="auto" w:fill="DBDBDB"/>
          </w:tcPr>
          <w:p>
            <w:pPr>
              <w:jc w:val="right"/>
              <w:ind w:right="48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71,474</w:t>
            </w:r>
          </w:p>
        </w:tc>
        <w:tc>
          <w:tcPr>
            <w:tcW w:w="0" w:type="dxa"/>
            <w:vAlign w:val="bottom"/>
          </w:tcPr>
          <w:p>
            <w:pPr>
              <w:spacing w:after="0"/>
              <w:rPr>
                <w:sz w:val="1"/>
                <w:szCs w:val="1"/>
                <w:color w:val="auto"/>
              </w:rPr>
            </w:pPr>
          </w:p>
        </w:tc>
      </w:tr>
      <w:tr>
        <w:trPr>
          <w:trHeight w:val="194"/>
        </w:trPr>
        <w:tc>
          <w:tcPr>
            <w:tcW w:w="454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540" w:type="dxa"/>
            <w:vAlign w:val="bottom"/>
            <w:shd w:val="clear" w:color="auto" w:fill="DBDBDB"/>
          </w:tcPr>
          <w:p>
            <w:pPr>
              <w:ind w:left="220"/>
              <w:spacing w:after="0" w:line="164" w:lineRule="exact"/>
              <w:rPr>
                <w:sz w:val="20"/>
                <w:szCs w:val="20"/>
                <w:color w:val="auto"/>
              </w:rPr>
            </w:pPr>
            <w:r>
              <w:rPr>
                <w:rFonts w:ascii="Arial" w:cs="Arial" w:eastAsia="Arial" w:hAnsi="Arial"/>
                <w:sz w:val="15"/>
                <w:szCs w:val="15"/>
                <w:color w:val="auto"/>
              </w:rPr>
              <w:t>Foreign currency translation adjustment, net of income tax</w:t>
            </w:r>
          </w:p>
        </w:tc>
        <w:tc>
          <w:tcPr>
            <w:tcW w:w="9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DBDBDB"/>
          </w:tcPr>
          <w:p>
            <w:pPr>
              <w:ind w:left="220"/>
              <w:spacing w:after="0" w:line="148" w:lineRule="exact"/>
              <w:rPr>
                <w:sz w:val="20"/>
                <w:szCs w:val="20"/>
                <w:color w:val="auto"/>
              </w:rPr>
            </w:pPr>
            <w:r>
              <w:rPr>
                <w:rFonts w:ascii="Arial" w:cs="Arial" w:eastAsia="Arial" w:hAnsi="Arial"/>
                <w:sz w:val="15"/>
                <w:szCs w:val="15"/>
                <w:color w:val="auto"/>
              </w:rPr>
              <w:t>expense of $0 and $60 for the three and nine months ended</w:t>
            </w:r>
          </w:p>
        </w:tc>
        <w:tc>
          <w:tcPr>
            <w:tcW w:w="98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DBDBDB"/>
          </w:tcPr>
          <w:p>
            <w:pPr>
              <w:ind w:left="220"/>
              <w:spacing w:after="0" w:line="148" w:lineRule="exact"/>
              <w:rPr>
                <w:sz w:val="20"/>
                <w:szCs w:val="20"/>
                <w:color w:val="auto"/>
              </w:rPr>
            </w:pPr>
            <w:r>
              <w:rPr>
                <w:rFonts w:ascii="Arial" w:cs="Arial" w:eastAsia="Arial" w:hAnsi="Arial"/>
                <w:sz w:val="15"/>
                <w:szCs w:val="15"/>
                <w:color w:val="auto"/>
              </w:rPr>
              <w:t>September 30, 2021, respectively, and $0 for the three and nine</w:t>
            </w:r>
          </w:p>
        </w:tc>
        <w:tc>
          <w:tcPr>
            <w:tcW w:w="98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months ended September 30, 2020</w:t>
            </w:r>
          </w:p>
        </w:tc>
        <w:tc>
          <w:tcPr>
            <w:tcW w:w="98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(11,162)</w:t>
            </w:r>
          </w:p>
        </w:tc>
        <w:tc>
          <w:tcPr>
            <w:tcW w:w="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14,619</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(3,035)</w:t>
            </w:r>
          </w:p>
        </w:tc>
        <w:tc>
          <w:tcPr>
            <w:tcW w:w="8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1,457</w:t>
            </w:r>
          </w:p>
        </w:tc>
        <w:tc>
          <w:tcPr>
            <w:tcW w:w="0" w:type="dxa"/>
            <w:vAlign w:val="bottom"/>
          </w:tcPr>
          <w:p>
            <w:pPr>
              <w:spacing w:after="0"/>
              <w:rPr>
                <w:sz w:val="1"/>
                <w:szCs w:val="1"/>
                <w:color w:val="auto"/>
              </w:rPr>
            </w:pPr>
          </w:p>
        </w:tc>
      </w:tr>
      <w:tr>
        <w:trPr>
          <w:trHeight w:val="162"/>
        </w:trPr>
        <w:tc>
          <w:tcPr>
            <w:tcW w:w="4540" w:type="dxa"/>
            <w:vAlign w:val="bottom"/>
          </w:tcPr>
          <w:p>
            <w:pPr>
              <w:ind w:left="220"/>
              <w:spacing w:after="0" w:line="161" w:lineRule="exact"/>
              <w:rPr>
                <w:sz w:val="20"/>
                <w:szCs w:val="20"/>
                <w:color w:val="auto"/>
              </w:rPr>
            </w:pPr>
            <w:r>
              <w:rPr>
                <w:rFonts w:ascii="Arial" w:cs="Arial" w:eastAsia="Arial" w:hAnsi="Arial"/>
                <w:sz w:val="15"/>
                <w:szCs w:val="15"/>
                <w:color w:val="auto"/>
                <w:w w:val="98"/>
              </w:rPr>
              <w:t>Net gain (loss) on derivatives, net of income tax expense (benefit)</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20"/>
              <w:spacing w:after="0" w:line="148" w:lineRule="exact"/>
              <w:rPr>
                <w:sz w:val="20"/>
                <w:szCs w:val="20"/>
                <w:color w:val="auto"/>
              </w:rPr>
            </w:pPr>
            <w:r>
              <w:rPr>
                <w:rFonts w:ascii="Arial" w:cs="Arial" w:eastAsia="Arial" w:hAnsi="Arial"/>
                <w:sz w:val="15"/>
                <w:szCs w:val="15"/>
                <w:color w:val="auto"/>
              </w:rPr>
              <w:t>of $676 and $(1,183) for the three months ended September 30,</w:t>
            </w: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20"/>
              <w:spacing w:after="0" w:line="148" w:lineRule="exact"/>
              <w:rPr>
                <w:sz w:val="20"/>
                <w:szCs w:val="20"/>
                <w:color w:val="auto"/>
              </w:rPr>
            </w:pPr>
            <w:r>
              <w:rPr>
                <w:rFonts w:ascii="Arial" w:cs="Arial" w:eastAsia="Arial" w:hAnsi="Arial"/>
                <w:sz w:val="15"/>
                <w:szCs w:val="15"/>
                <w:color w:val="auto"/>
              </w:rPr>
              <w:t>2021 and 2020, respectively, and $1,999 and $(1,183) for the</w:t>
            </w: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nine months ended September 30, 2021 and 2020, respectively</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2,206</w:t>
            </w:r>
          </w:p>
        </w:tc>
        <w:tc>
          <w:tcPr>
            <w:tcW w:w="80" w:type="dxa"/>
            <w:vAlign w:val="bottom"/>
            <w:tcBorders>
              <w:bottom w:val="single" w:sz="8" w:color="DBDBDB"/>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3,905</w:t>
            </w:r>
          </w:p>
        </w:tc>
        <w:tc>
          <w:tcPr>
            <w:tcW w:w="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6,529</w:t>
            </w:r>
          </w:p>
        </w:tc>
        <w:tc>
          <w:tcPr>
            <w:tcW w:w="80" w:type="dxa"/>
            <w:vAlign w:val="bottom"/>
            <w:tcBorders>
              <w:bottom w:val="single" w:sz="8" w:color="DBDBDB"/>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(3,878)</w:t>
            </w:r>
          </w:p>
        </w:tc>
        <w:tc>
          <w:tcPr>
            <w:tcW w:w="0" w:type="dxa"/>
            <w:vAlign w:val="bottom"/>
          </w:tcPr>
          <w:p>
            <w:pPr>
              <w:spacing w:after="0"/>
              <w:rPr>
                <w:sz w:val="1"/>
                <w:szCs w:val="1"/>
                <w:color w:val="auto"/>
              </w:rPr>
            </w:pPr>
          </w:p>
        </w:tc>
      </w:tr>
      <w:tr>
        <w:trPr>
          <w:trHeight w:val="189"/>
        </w:trPr>
        <w:tc>
          <w:tcPr>
            <w:tcW w:w="4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income (loss)</w:t>
            </w:r>
          </w:p>
        </w:tc>
        <w:tc>
          <w:tcPr>
            <w:tcW w:w="98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(8,956)</w:t>
            </w:r>
          </w:p>
        </w:tc>
        <w:tc>
          <w:tcPr>
            <w:tcW w:w="80" w:type="dxa"/>
            <w:vAlign w:val="bottom"/>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18,524</w:t>
            </w:r>
          </w:p>
        </w:tc>
        <w:tc>
          <w:tcPr>
            <w:tcW w:w="80" w:type="dxa"/>
            <w:vAlign w:val="bottom"/>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3,494</w:t>
            </w:r>
          </w:p>
        </w:tc>
        <w:tc>
          <w:tcPr>
            <w:tcW w:w="80" w:type="dxa"/>
            <w:vAlign w:val="bottom"/>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(2,421)</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5"/>
                <w:szCs w:val="15"/>
                <w:color w:val="auto"/>
              </w:rPr>
              <w:t>Comprehensive income</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52,147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12,473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89,415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69,053</w:t>
            </w:r>
          </w:p>
        </w:tc>
        <w:tc>
          <w:tcPr>
            <w:tcW w:w="0" w:type="dxa"/>
            <w:vAlign w:val="bottom"/>
          </w:tcPr>
          <w:p>
            <w:pPr>
              <w:spacing w:after="0"/>
              <w:rPr>
                <w:sz w:val="1"/>
                <w:szCs w:val="1"/>
                <w:color w:val="auto"/>
              </w:rPr>
            </w:pPr>
          </w:p>
        </w:tc>
      </w:tr>
      <w:tr>
        <w:trPr>
          <w:trHeight w:val="197"/>
        </w:trPr>
        <w:tc>
          <w:tcPr>
            <w:tcW w:w="4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Comprehensive loss attributable to non-controlling interest</w:t>
            </w:r>
          </w:p>
        </w:tc>
        <w:tc>
          <w:tcPr>
            <w:tcW w:w="980" w:type="dxa"/>
            <w:vAlign w:val="bottom"/>
            <w:shd w:val="clear" w:color="auto" w:fill="DBDBDB"/>
          </w:tcPr>
          <w:p>
            <w:pPr>
              <w:spacing w:after="0"/>
              <w:rPr>
                <w:sz w:val="17"/>
                <w:szCs w:val="17"/>
                <w:color w:val="auto"/>
              </w:rPr>
            </w:pPr>
          </w:p>
        </w:tc>
        <w:tc>
          <w:tcPr>
            <w:tcW w:w="6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spacing w:after="0"/>
              <w:rPr>
                <w:sz w:val="17"/>
                <w:szCs w:val="17"/>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7"/>
                <w:szCs w:val="17"/>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(672)</w:t>
            </w:r>
          </w:p>
        </w:tc>
        <w:tc>
          <w:tcPr>
            <w:tcW w:w="0" w:type="dxa"/>
            <w:vAlign w:val="bottom"/>
          </w:tcPr>
          <w:p>
            <w:pPr>
              <w:spacing w:after="0"/>
              <w:rPr>
                <w:sz w:val="1"/>
                <w:szCs w:val="1"/>
                <w:color w:val="auto"/>
              </w:rPr>
            </w:pPr>
          </w:p>
        </w:tc>
      </w:tr>
      <w:tr>
        <w:trPr>
          <w:trHeight w:val="192"/>
        </w:trPr>
        <w:tc>
          <w:tcPr>
            <w:tcW w:w="4540" w:type="dxa"/>
            <w:vAlign w:val="bottom"/>
          </w:tcPr>
          <w:p>
            <w:pPr>
              <w:ind w:left="20"/>
              <w:spacing w:after="0"/>
              <w:rPr>
                <w:sz w:val="20"/>
                <w:szCs w:val="20"/>
                <w:color w:val="auto"/>
              </w:rPr>
            </w:pPr>
            <w:r>
              <w:rPr>
                <w:rFonts w:ascii="Arial" w:cs="Arial" w:eastAsia="Arial" w:hAnsi="Arial"/>
                <w:sz w:val="15"/>
                <w:szCs w:val="15"/>
                <w:color w:val="auto"/>
              </w:rPr>
              <w:t>Total comprehensive income attributable to WillScot Mobile Mini</w:t>
            </w:r>
          </w:p>
        </w:tc>
        <w:tc>
          <w:tcPr>
            <w:tcW w:w="98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52,147</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12,473</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89,415</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69,725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1D2758"/>
        </w:rPr>
        <w:t>WillScot Mobile Mini Holdings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1D2758"/>
        </w:rPr>
        <w:t>Condensed Consolidated Statements of Changes in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1D2758"/>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-106045</wp:posOffset>
            </wp:positionV>
            <wp:extent cx="7144385" cy="125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280" w:type="dxa"/>
            <w:vAlign w:val="bottom"/>
            <w:shd w:val="clear" w:color="auto" w:fill="1D2758"/>
          </w:tcPr>
          <w:p>
            <w:pPr>
              <w:spacing w:after="0"/>
              <w:rPr>
                <w:sz w:val="12"/>
                <w:szCs w:val="12"/>
                <w:color w:val="auto"/>
              </w:rPr>
            </w:pPr>
          </w:p>
        </w:tc>
        <w:tc>
          <w:tcPr>
            <w:tcW w:w="1000" w:type="dxa"/>
            <w:vAlign w:val="bottom"/>
            <w:shd w:val="clear" w:color="auto" w:fill="1D2758"/>
          </w:tcPr>
          <w:p>
            <w:pPr>
              <w:spacing w:after="0"/>
              <w:rPr>
                <w:sz w:val="12"/>
                <w:szCs w:val="12"/>
                <w:color w:val="auto"/>
              </w:rPr>
            </w:pPr>
          </w:p>
        </w:tc>
        <w:tc>
          <w:tcPr>
            <w:tcW w:w="740" w:type="dxa"/>
            <w:vAlign w:val="bottom"/>
            <w:shd w:val="clear" w:color="auto" w:fill="1D2758"/>
          </w:tcPr>
          <w:p>
            <w:pPr>
              <w:spacing w:after="0"/>
              <w:rPr>
                <w:sz w:val="12"/>
                <w:szCs w:val="12"/>
                <w:color w:val="auto"/>
              </w:rPr>
            </w:pPr>
          </w:p>
        </w:tc>
        <w:tc>
          <w:tcPr>
            <w:tcW w:w="26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82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880" w:type="dxa"/>
            <w:vAlign w:val="bottom"/>
            <w:shd w:val="clear" w:color="auto" w:fill="1D2758"/>
          </w:tcPr>
          <w:p>
            <w:pPr>
              <w:jc w:val="center"/>
              <w:ind w:right="8"/>
              <w:spacing w:after="0"/>
              <w:rPr>
                <w:sz w:val="20"/>
                <w:szCs w:val="20"/>
                <w:color w:val="auto"/>
              </w:rPr>
            </w:pPr>
            <w:r>
              <w:rPr>
                <w:rFonts w:ascii="Arial" w:cs="Arial" w:eastAsia="Arial" w:hAnsi="Arial"/>
                <w:sz w:val="11"/>
                <w:szCs w:val="11"/>
                <w:b w:val="1"/>
                <w:bCs w:val="1"/>
                <w:color w:val="FFFFFF"/>
              </w:rPr>
              <w:t>Accumulated</w:t>
            </w:r>
          </w:p>
        </w:tc>
        <w:tc>
          <w:tcPr>
            <w:tcW w:w="120" w:type="dxa"/>
            <w:vAlign w:val="bottom"/>
            <w:shd w:val="clear" w:color="auto" w:fill="1D2758"/>
          </w:tcPr>
          <w:p>
            <w:pPr>
              <w:spacing w:after="0"/>
              <w:rPr>
                <w:sz w:val="12"/>
                <w:szCs w:val="12"/>
                <w:color w:val="auto"/>
              </w:rPr>
            </w:pPr>
          </w:p>
        </w:tc>
        <w:tc>
          <w:tcPr>
            <w:tcW w:w="88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86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80" w:type="dxa"/>
            <w:vAlign w:val="bottom"/>
            <w:shd w:val="clear" w:color="auto" w:fill="1D2758"/>
          </w:tcPr>
          <w:p>
            <w:pPr>
              <w:spacing w:after="0"/>
              <w:rPr>
                <w:sz w:val="11"/>
                <w:szCs w:val="11"/>
                <w:color w:val="auto"/>
              </w:rPr>
            </w:pPr>
          </w:p>
        </w:tc>
        <w:tc>
          <w:tcPr>
            <w:tcW w:w="1740" w:type="dxa"/>
            <w:vAlign w:val="bottom"/>
            <w:gridSpan w:val="2"/>
            <w:shd w:val="clear" w:color="auto" w:fill="1D2758"/>
          </w:tcPr>
          <w:p>
            <w:pPr>
              <w:jc w:val="right"/>
              <w:ind w:right="230"/>
              <w:spacing w:after="0"/>
              <w:rPr>
                <w:sz w:val="20"/>
                <w:szCs w:val="20"/>
                <w:color w:val="auto"/>
              </w:rPr>
            </w:pPr>
            <w:r>
              <w:rPr>
                <w:rFonts w:ascii="Arial" w:cs="Arial" w:eastAsia="Arial" w:hAnsi="Arial"/>
                <w:sz w:val="11"/>
                <w:szCs w:val="11"/>
                <w:b w:val="1"/>
                <w:bCs w:val="1"/>
                <w:color w:val="FFFFFF"/>
              </w:rPr>
              <w:t>Common Stock</w:t>
            </w:r>
          </w:p>
        </w:tc>
        <w:tc>
          <w:tcPr>
            <w:tcW w:w="260" w:type="dxa"/>
            <w:vAlign w:val="bottom"/>
            <w:shd w:val="clear" w:color="auto" w:fill="1D2758"/>
          </w:tcPr>
          <w:p>
            <w:pPr>
              <w:spacing w:after="0"/>
              <w:rPr>
                <w:sz w:val="11"/>
                <w:szCs w:val="11"/>
                <w:color w:val="auto"/>
              </w:rPr>
            </w:pPr>
          </w:p>
        </w:tc>
        <w:tc>
          <w:tcPr>
            <w:tcW w:w="160" w:type="dxa"/>
            <w:vAlign w:val="bottom"/>
            <w:shd w:val="clear" w:color="auto" w:fill="1D2758"/>
          </w:tcPr>
          <w:p>
            <w:pPr>
              <w:spacing w:after="0"/>
              <w:rPr>
                <w:sz w:val="11"/>
                <w:szCs w:val="11"/>
                <w:color w:val="auto"/>
              </w:rPr>
            </w:pPr>
          </w:p>
        </w:tc>
        <w:tc>
          <w:tcPr>
            <w:tcW w:w="82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880" w:type="dxa"/>
            <w:vAlign w:val="bottom"/>
            <w:shd w:val="clear" w:color="auto" w:fill="1D2758"/>
          </w:tcPr>
          <w:p>
            <w:pPr>
              <w:jc w:val="center"/>
              <w:ind w:right="28"/>
              <w:spacing w:after="0"/>
              <w:rPr>
                <w:sz w:val="20"/>
                <w:szCs w:val="20"/>
                <w:color w:val="auto"/>
              </w:rPr>
            </w:pPr>
            <w:r>
              <w:rPr>
                <w:rFonts w:ascii="Arial" w:cs="Arial" w:eastAsia="Arial" w:hAnsi="Arial"/>
                <w:sz w:val="11"/>
                <w:szCs w:val="11"/>
                <w:b w:val="1"/>
                <w:bCs w:val="1"/>
                <w:color w:val="FFFFFF"/>
              </w:rPr>
              <w:t>Other</w:t>
            </w:r>
          </w:p>
        </w:tc>
        <w:tc>
          <w:tcPr>
            <w:tcW w:w="120" w:type="dxa"/>
            <w:vAlign w:val="bottom"/>
            <w:shd w:val="clear" w:color="auto" w:fill="1D2758"/>
          </w:tcPr>
          <w:p>
            <w:pPr>
              <w:spacing w:after="0"/>
              <w:rPr>
                <w:sz w:val="11"/>
                <w:szCs w:val="11"/>
                <w:color w:val="auto"/>
              </w:rPr>
            </w:pPr>
          </w:p>
        </w:tc>
        <w:tc>
          <w:tcPr>
            <w:tcW w:w="88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860" w:type="dxa"/>
            <w:vAlign w:val="bottom"/>
            <w:shd w:val="clear" w:color="auto" w:fill="1D2758"/>
          </w:tcPr>
          <w:p>
            <w:pPr>
              <w:jc w:val="center"/>
              <w:ind w:right="29"/>
              <w:spacing w:after="0"/>
              <w:rPr>
                <w:sz w:val="20"/>
                <w:szCs w:val="20"/>
                <w:color w:val="auto"/>
              </w:rPr>
            </w:pPr>
            <w:r>
              <w:rPr>
                <w:rFonts w:ascii="Arial" w:cs="Arial" w:eastAsia="Arial" w:hAnsi="Arial"/>
                <w:sz w:val="11"/>
                <w:szCs w:val="11"/>
                <w:b w:val="1"/>
                <w:bCs w:val="1"/>
                <w:color w:val="FFFFFF"/>
              </w:rPr>
              <w:t>Total</w:t>
            </w:r>
          </w:p>
        </w:tc>
        <w:tc>
          <w:tcPr>
            <w:tcW w:w="0" w:type="dxa"/>
            <w:vAlign w:val="bottom"/>
          </w:tcPr>
          <w:p>
            <w:pPr>
              <w:spacing w:after="0"/>
              <w:rPr>
                <w:sz w:val="1"/>
                <w:szCs w:val="1"/>
                <w:color w:val="auto"/>
              </w:rPr>
            </w:pPr>
          </w:p>
        </w:tc>
      </w:tr>
      <w:tr>
        <w:trPr>
          <w:trHeight w:val="86"/>
        </w:trPr>
        <w:tc>
          <w:tcPr>
            <w:tcW w:w="5280" w:type="dxa"/>
            <w:vAlign w:val="bottom"/>
            <w:vMerge w:val="restart"/>
            <w:shd w:val="clear" w:color="auto" w:fill="1D2758"/>
          </w:tcPr>
          <w:p>
            <w:pPr>
              <w:ind w:left="20"/>
              <w:spacing w:after="0"/>
              <w:rPr>
                <w:sz w:val="20"/>
                <w:szCs w:val="20"/>
                <w:color w:val="auto"/>
              </w:rPr>
            </w:pPr>
            <w:r>
              <w:rPr>
                <w:rFonts w:ascii="Arial" w:cs="Arial" w:eastAsia="Arial" w:hAnsi="Arial"/>
                <w:sz w:val="11"/>
                <w:szCs w:val="11"/>
                <w:b w:val="1"/>
                <w:bCs w:val="1"/>
                <w:i w:val="1"/>
                <w:iCs w:val="1"/>
                <w:color w:val="FFFFFF"/>
              </w:rPr>
              <w:t>(in thousands)</w:t>
            </w:r>
          </w:p>
        </w:tc>
        <w:tc>
          <w:tcPr>
            <w:tcW w:w="1000" w:type="dxa"/>
            <w:vAlign w:val="bottom"/>
            <w:vMerge w:val="restart"/>
            <w:shd w:val="clear" w:color="auto" w:fill="1D2758"/>
          </w:tcPr>
          <w:p>
            <w:pPr>
              <w:jc w:val="right"/>
              <w:ind w:right="228"/>
              <w:spacing w:after="0"/>
              <w:rPr>
                <w:sz w:val="20"/>
                <w:szCs w:val="20"/>
                <w:color w:val="auto"/>
              </w:rPr>
            </w:pPr>
            <w:r>
              <w:rPr>
                <w:rFonts w:ascii="Arial" w:cs="Arial" w:eastAsia="Arial" w:hAnsi="Arial"/>
                <w:sz w:val="11"/>
                <w:szCs w:val="11"/>
                <w:b w:val="1"/>
                <w:bCs w:val="1"/>
                <w:color w:val="FFFFFF"/>
              </w:rPr>
              <w:t>Shares</w:t>
            </w:r>
          </w:p>
        </w:tc>
        <w:tc>
          <w:tcPr>
            <w:tcW w:w="740" w:type="dxa"/>
            <w:vAlign w:val="bottom"/>
            <w:vMerge w:val="restart"/>
            <w:shd w:val="clear" w:color="auto" w:fill="1D2758"/>
          </w:tcPr>
          <w:p>
            <w:pPr>
              <w:jc w:val="right"/>
              <w:spacing w:after="0"/>
              <w:rPr>
                <w:sz w:val="20"/>
                <w:szCs w:val="20"/>
                <w:color w:val="auto"/>
              </w:rPr>
            </w:pPr>
            <w:r>
              <w:rPr>
                <w:rFonts w:ascii="Arial" w:cs="Arial" w:eastAsia="Arial" w:hAnsi="Arial"/>
                <w:sz w:val="11"/>
                <w:szCs w:val="11"/>
                <w:b w:val="1"/>
                <w:bCs w:val="1"/>
                <w:color w:val="FFFFFF"/>
              </w:rPr>
              <w:t>Amount</w:t>
            </w:r>
          </w:p>
        </w:tc>
        <w:tc>
          <w:tcPr>
            <w:tcW w:w="260" w:type="dxa"/>
            <w:vAlign w:val="bottom"/>
            <w:shd w:val="clear" w:color="auto" w:fill="1D2758"/>
          </w:tcPr>
          <w:p>
            <w:pPr>
              <w:spacing w:after="0"/>
              <w:rPr>
                <w:sz w:val="7"/>
                <w:szCs w:val="7"/>
                <w:color w:val="auto"/>
              </w:rPr>
            </w:pPr>
          </w:p>
        </w:tc>
        <w:tc>
          <w:tcPr>
            <w:tcW w:w="980" w:type="dxa"/>
            <w:vAlign w:val="bottom"/>
            <w:gridSpan w:val="2"/>
            <w:shd w:val="clear" w:color="auto" w:fill="1D2758"/>
          </w:tcPr>
          <w:p>
            <w:pPr>
              <w:jc w:val="right"/>
              <w:spacing w:after="0" w:line="86" w:lineRule="exact"/>
              <w:rPr>
                <w:sz w:val="20"/>
                <w:szCs w:val="20"/>
                <w:color w:val="auto"/>
              </w:rPr>
            </w:pPr>
            <w:r>
              <w:rPr>
                <w:rFonts w:ascii="Arial" w:cs="Arial" w:eastAsia="Arial" w:hAnsi="Arial"/>
                <w:sz w:val="9"/>
                <w:szCs w:val="9"/>
                <w:b w:val="1"/>
                <w:bCs w:val="1"/>
                <w:color w:val="FFFFFF"/>
              </w:rPr>
              <w:t>Additional Paid-</w:t>
            </w:r>
          </w:p>
        </w:tc>
        <w:tc>
          <w:tcPr>
            <w:tcW w:w="1000" w:type="dxa"/>
            <w:vAlign w:val="bottom"/>
            <w:gridSpan w:val="2"/>
            <w:shd w:val="clear" w:color="auto" w:fill="1D2758"/>
          </w:tcPr>
          <w:p>
            <w:pPr>
              <w:jc w:val="center"/>
              <w:spacing w:after="0" w:line="86" w:lineRule="exact"/>
              <w:rPr>
                <w:sz w:val="20"/>
                <w:szCs w:val="20"/>
                <w:color w:val="auto"/>
              </w:rPr>
            </w:pPr>
            <w:r>
              <w:rPr>
                <w:rFonts w:ascii="Arial" w:cs="Arial" w:eastAsia="Arial" w:hAnsi="Arial"/>
                <w:sz w:val="9"/>
                <w:szCs w:val="9"/>
                <w:b w:val="1"/>
                <w:bCs w:val="1"/>
                <w:color w:val="FFFFFF"/>
              </w:rPr>
              <w:t>Comprehensive</w:t>
            </w:r>
          </w:p>
        </w:tc>
        <w:tc>
          <w:tcPr>
            <w:tcW w:w="120" w:type="dxa"/>
            <w:vAlign w:val="bottom"/>
            <w:shd w:val="clear" w:color="auto" w:fill="1D2758"/>
          </w:tcPr>
          <w:p>
            <w:pPr>
              <w:spacing w:after="0"/>
              <w:rPr>
                <w:sz w:val="7"/>
                <w:szCs w:val="7"/>
                <w:color w:val="auto"/>
              </w:rPr>
            </w:pPr>
          </w:p>
        </w:tc>
        <w:tc>
          <w:tcPr>
            <w:tcW w:w="880" w:type="dxa"/>
            <w:vAlign w:val="bottom"/>
            <w:shd w:val="clear" w:color="auto" w:fill="1D2758"/>
          </w:tcPr>
          <w:p>
            <w:pPr>
              <w:jc w:val="right"/>
              <w:ind w:right="68"/>
              <w:spacing w:after="0" w:line="86" w:lineRule="exact"/>
              <w:rPr>
                <w:sz w:val="20"/>
                <w:szCs w:val="20"/>
                <w:color w:val="auto"/>
              </w:rPr>
            </w:pPr>
            <w:r>
              <w:rPr>
                <w:rFonts w:ascii="Arial" w:cs="Arial" w:eastAsia="Arial" w:hAnsi="Arial"/>
                <w:sz w:val="9"/>
                <w:szCs w:val="9"/>
                <w:b w:val="1"/>
                <w:bCs w:val="1"/>
                <w:color w:val="FFFFFF"/>
              </w:rPr>
              <w:t>Accumulated</w:t>
            </w:r>
          </w:p>
        </w:tc>
        <w:tc>
          <w:tcPr>
            <w:tcW w:w="120" w:type="dxa"/>
            <w:vAlign w:val="bottom"/>
            <w:shd w:val="clear" w:color="auto" w:fill="1D2758"/>
          </w:tcPr>
          <w:p>
            <w:pPr>
              <w:spacing w:after="0"/>
              <w:rPr>
                <w:sz w:val="7"/>
                <w:szCs w:val="7"/>
                <w:color w:val="auto"/>
              </w:rPr>
            </w:pPr>
          </w:p>
        </w:tc>
        <w:tc>
          <w:tcPr>
            <w:tcW w:w="860" w:type="dxa"/>
            <w:vAlign w:val="bottom"/>
            <w:shd w:val="clear" w:color="auto" w:fill="1D2758"/>
          </w:tcPr>
          <w:p>
            <w:pPr>
              <w:jc w:val="center"/>
              <w:ind w:right="29"/>
              <w:spacing w:after="0" w:line="86" w:lineRule="exact"/>
              <w:rPr>
                <w:sz w:val="20"/>
                <w:szCs w:val="20"/>
                <w:color w:val="auto"/>
              </w:rPr>
            </w:pPr>
            <w:r>
              <w:rPr>
                <w:rFonts w:ascii="Arial" w:cs="Arial" w:eastAsia="Arial" w:hAnsi="Arial"/>
                <w:sz w:val="9"/>
                <w:szCs w:val="9"/>
                <w:b w:val="1"/>
                <w:bCs w:val="1"/>
                <w:color w:val="FFFFFF"/>
              </w:rPr>
              <w:t>Shareholders'</w:t>
            </w:r>
          </w:p>
        </w:tc>
        <w:tc>
          <w:tcPr>
            <w:tcW w:w="0" w:type="dxa"/>
            <w:vAlign w:val="bottom"/>
          </w:tcPr>
          <w:p>
            <w:pPr>
              <w:spacing w:after="0"/>
              <w:rPr>
                <w:sz w:val="1"/>
                <w:szCs w:val="1"/>
                <w:color w:val="auto"/>
              </w:rPr>
            </w:pPr>
          </w:p>
        </w:tc>
      </w:tr>
      <w:tr>
        <w:trPr>
          <w:trHeight w:val="160"/>
        </w:trPr>
        <w:tc>
          <w:tcPr>
            <w:tcW w:w="5280" w:type="dxa"/>
            <w:vAlign w:val="bottom"/>
            <w:vMerge w:val="continue"/>
            <w:shd w:val="clear" w:color="auto" w:fill="1D2758"/>
          </w:tcPr>
          <w:p>
            <w:pPr>
              <w:spacing w:after="0"/>
              <w:rPr>
                <w:sz w:val="13"/>
                <w:szCs w:val="13"/>
                <w:color w:val="auto"/>
              </w:rPr>
            </w:pPr>
          </w:p>
        </w:tc>
        <w:tc>
          <w:tcPr>
            <w:tcW w:w="1000" w:type="dxa"/>
            <w:vAlign w:val="bottom"/>
            <w:vMerge w:val="continue"/>
            <w:shd w:val="clear" w:color="auto" w:fill="1D2758"/>
          </w:tcPr>
          <w:p>
            <w:pPr>
              <w:spacing w:after="0"/>
              <w:rPr>
                <w:sz w:val="13"/>
                <w:szCs w:val="13"/>
                <w:color w:val="auto"/>
              </w:rPr>
            </w:pPr>
          </w:p>
        </w:tc>
        <w:tc>
          <w:tcPr>
            <w:tcW w:w="740" w:type="dxa"/>
            <w:vAlign w:val="bottom"/>
            <w:vMerge w:val="continue"/>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820" w:type="dxa"/>
            <w:vAlign w:val="bottom"/>
            <w:shd w:val="clear" w:color="auto" w:fill="1D2758"/>
          </w:tcPr>
          <w:p>
            <w:pPr>
              <w:jc w:val="right"/>
              <w:ind w:right="147"/>
              <w:spacing w:after="0"/>
              <w:rPr>
                <w:sz w:val="20"/>
                <w:szCs w:val="20"/>
                <w:color w:val="auto"/>
              </w:rPr>
            </w:pPr>
            <w:r>
              <w:rPr>
                <w:rFonts w:ascii="Arial" w:cs="Arial" w:eastAsia="Arial" w:hAnsi="Arial"/>
                <w:sz w:val="11"/>
                <w:szCs w:val="11"/>
                <w:b w:val="1"/>
                <w:bCs w:val="1"/>
                <w:color w:val="FFFFFF"/>
              </w:rPr>
              <w:t>in-Capital</w:t>
            </w:r>
          </w:p>
        </w:tc>
        <w:tc>
          <w:tcPr>
            <w:tcW w:w="120" w:type="dxa"/>
            <w:vAlign w:val="bottom"/>
            <w:shd w:val="clear" w:color="auto" w:fill="1D2758"/>
          </w:tcPr>
          <w:p>
            <w:pPr>
              <w:spacing w:after="0"/>
              <w:rPr>
                <w:sz w:val="13"/>
                <w:szCs w:val="13"/>
                <w:color w:val="auto"/>
              </w:rPr>
            </w:pPr>
          </w:p>
        </w:tc>
        <w:tc>
          <w:tcPr>
            <w:tcW w:w="880" w:type="dxa"/>
            <w:vAlign w:val="bottom"/>
            <w:shd w:val="clear" w:color="auto" w:fill="1D2758"/>
          </w:tcPr>
          <w:p>
            <w:pPr>
              <w:jc w:val="center"/>
              <w:ind w:right="28"/>
              <w:spacing w:after="0"/>
              <w:rPr>
                <w:sz w:val="20"/>
                <w:szCs w:val="20"/>
                <w:color w:val="auto"/>
              </w:rPr>
            </w:pPr>
            <w:r>
              <w:rPr>
                <w:rFonts w:ascii="Arial" w:cs="Arial" w:eastAsia="Arial" w:hAnsi="Arial"/>
                <w:sz w:val="11"/>
                <w:szCs w:val="11"/>
                <w:b w:val="1"/>
                <w:bCs w:val="1"/>
                <w:color w:val="FFFFFF"/>
              </w:rPr>
              <w:t>Income (Loss)</w:t>
            </w:r>
          </w:p>
        </w:tc>
        <w:tc>
          <w:tcPr>
            <w:tcW w:w="120" w:type="dxa"/>
            <w:vAlign w:val="bottom"/>
            <w:shd w:val="clear" w:color="auto" w:fill="1D2758"/>
          </w:tcPr>
          <w:p>
            <w:pPr>
              <w:spacing w:after="0"/>
              <w:rPr>
                <w:sz w:val="13"/>
                <w:szCs w:val="13"/>
                <w:color w:val="auto"/>
              </w:rPr>
            </w:pPr>
          </w:p>
        </w:tc>
        <w:tc>
          <w:tcPr>
            <w:tcW w:w="880" w:type="dxa"/>
            <w:vAlign w:val="bottom"/>
            <w:shd w:val="clear" w:color="auto" w:fill="1D2758"/>
          </w:tcPr>
          <w:p>
            <w:pPr>
              <w:jc w:val="right"/>
              <w:ind w:right="248"/>
              <w:spacing w:after="0"/>
              <w:rPr>
                <w:sz w:val="20"/>
                <w:szCs w:val="20"/>
                <w:color w:val="auto"/>
              </w:rPr>
            </w:pPr>
            <w:r>
              <w:rPr>
                <w:rFonts w:ascii="Arial" w:cs="Arial" w:eastAsia="Arial" w:hAnsi="Arial"/>
                <w:sz w:val="11"/>
                <w:szCs w:val="11"/>
                <w:b w:val="1"/>
                <w:bCs w:val="1"/>
                <w:color w:val="FFFFFF"/>
              </w:rPr>
              <w:t>Deficit</w:t>
            </w:r>
          </w:p>
        </w:tc>
        <w:tc>
          <w:tcPr>
            <w:tcW w:w="120" w:type="dxa"/>
            <w:vAlign w:val="bottom"/>
            <w:shd w:val="clear" w:color="auto" w:fill="1D2758"/>
          </w:tcPr>
          <w:p>
            <w:pPr>
              <w:spacing w:after="0"/>
              <w:rPr>
                <w:sz w:val="13"/>
                <w:szCs w:val="13"/>
                <w:color w:val="auto"/>
              </w:rPr>
            </w:pPr>
          </w:p>
        </w:tc>
        <w:tc>
          <w:tcPr>
            <w:tcW w:w="860" w:type="dxa"/>
            <w:vAlign w:val="bottom"/>
            <w:shd w:val="clear" w:color="auto" w:fill="1D2758"/>
          </w:tcPr>
          <w:p>
            <w:pPr>
              <w:jc w:val="center"/>
              <w:ind w:right="29"/>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97"/>
        </w:trPr>
        <w:tc>
          <w:tcPr>
            <w:tcW w:w="5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229,038</w:t>
            </w:r>
          </w:p>
        </w:tc>
        <w:tc>
          <w:tcPr>
            <w:tcW w:w="740" w:type="dxa"/>
            <w:vAlign w:val="bottom"/>
            <w:shd w:val="clear" w:color="auto" w:fill="DBDBDB"/>
          </w:tcPr>
          <w:p>
            <w:pPr>
              <w:jc w:val="right"/>
              <w:ind w:right="570"/>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3,852,291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(1,751,234)</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2,063,873</w:t>
            </w:r>
          </w:p>
        </w:tc>
        <w:tc>
          <w:tcPr>
            <w:tcW w:w="0" w:type="dxa"/>
            <w:vAlign w:val="bottom"/>
          </w:tcPr>
          <w:p>
            <w:pPr>
              <w:spacing w:after="0"/>
              <w:rPr>
                <w:sz w:val="1"/>
                <w:szCs w:val="1"/>
                <w:color w:val="auto"/>
              </w:rPr>
            </w:pPr>
          </w:p>
        </w:tc>
      </w:tr>
      <w:tr>
        <w:trPr>
          <w:trHeight w:val="194"/>
        </w:trPr>
        <w:tc>
          <w:tcPr>
            <w:tcW w:w="5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4,447</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4,447</w:t>
            </w:r>
          </w:p>
        </w:tc>
        <w:tc>
          <w:tcPr>
            <w:tcW w:w="0" w:type="dxa"/>
            <w:vAlign w:val="bottom"/>
          </w:tcPr>
          <w:p>
            <w:pPr>
              <w:spacing w:after="0"/>
              <w:rPr>
                <w:sz w:val="1"/>
                <w:szCs w:val="1"/>
                <w:color w:val="auto"/>
              </w:rPr>
            </w:pPr>
          </w:p>
        </w:tc>
      </w:tr>
      <w:tr>
        <w:trPr>
          <w:trHeight w:val="199"/>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0" w:type="dxa"/>
            <w:vAlign w:val="bottom"/>
          </w:tcPr>
          <w:p>
            <w:pPr>
              <w:spacing w:after="0"/>
              <w:rPr>
                <w:sz w:val="1"/>
                <w:szCs w:val="1"/>
                <w:color w:val="auto"/>
              </w:rPr>
            </w:pPr>
          </w:p>
        </w:tc>
      </w:tr>
      <w:tr>
        <w:trPr>
          <w:trHeight w:val="194"/>
        </w:trPr>
        <w:tc>
          <w:tcPr>
            <w:tcW w:w="5280" w:type="dxa"/>
            <w:vAlign w:val="bottom"/>
          </w:tcPr>
          <w:p>
            <w:pPr>
              <w:ind w:left="220"/>
              <w:spacing w:after="0"/>
              <w:rPr>
                <w:sz w:val="20"/>
                <w:szCs w:val="20"/>
                <w:color w:val="auto"/>
              </w:rPr>
            </w:pPr>
            <w:r>
              <w:rPr>
                <w:rFonts w:ascii="Arial" w:cs="Arial" w:eastAsia="Arial" w:hAnsi="Arial"/>
                <w:sz w:val="15"/>
                <w:szCs w:val="15"/>
                <w:color w:val="auto"/>
              </w:rPr>
              <w:t>Stock-based compensation and issuance of Common Stock from vesting</w:t>
            </w:r>
          </w:p>
        </w:tc>
        <w:tc>
          <w:tcPr>
            <w:tcW w:w="1000" w:type="dxa"/>
            <w:vAlign w:val="bottom"/>
          </w:tcPr>
          <w:p>
            <w:pPr>
              <w:jc w:val="right"/>
              <w:spacing w:after="0"/>
              <w:rPr>
                <w:sz w:val="20"/>
                <w:szCs w:val="20"/>
                <w:color w:val="auto"/>
              </w:rPr>
            </w:pPr>
            <w:r>
              <w:rPr>
                <w:rFonts w:ascii="Arial" w:cs="Arial" w:eastAsia="Arial" w:hAnsi="Arial"/>
                <w:sz w:val="15"/>
                <w:szCs w:val="15"/>
                <w:color w:val="auto"/>
              </w:rPr>
              <w:t>229</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4,951</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4,951</w:t>
            </w:r>
          </w:p>
        </w:tc>
        <w:tc>
          <w:tcPr>
            <w:tcW w:w="0" w:type="dxa"/>
            <w:vAlign w:val="bottom"/>
          </w:tcPr>
          <w:p>
            <w:pPr>
              <w:spacing w:after="0"/>
              <w:rPr>
                <w:sz w:val="1"/>
                <w:szCs w:val="1"/>
                <w:color w:val="auto"/>
              </w:rPr>
            </w:pPr>
          </w:p>
        </w:tc>
      </w:tr>
      <w:tr>
        <w:trPr>
          <w:trHeight w:val="199"/>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 and warrants</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(2,793)</w:t>
            </w:r>
          </w:p>
        </w:tc>
        <w:tc>
          <w:tcPr>
            <w:tcW w:w="74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(76,788)</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(76,788)</w:t>
            </w:r>
          </w:p>
        </w:tc>
        <w:tc>
          <w:tcPr>
            <w:tcW w:w="0" w:type="dxa"/>
            <w:vAlign w:val="bottom"/>
          </w:tcPr>
          <w:p>
            <w:pPr>
              <w:spacing w:after="0"/>
              <w:rPr>
                <w:sz w:val="1"/>
                <w:szCs w:val="1"/>
                <w:color w:val="auto"/>
              </w:rPr>
            </w:pPr>
          </w:p>
        </w:tc>
      </w:tr>
      <w:tr>
        <w:trPr>
          <w:trHeight w:val="194"/>
        </w:trPr>
        <w:tc>
          <w:tcPr>
            <w:tcW w:w="5280" w:type="dxa"/>
            <w:vAlign w:val="bottom"/>
          </w:tcPr>
          <w:p>
            <w:pPr>
              <w:ind w:left="220"/>
              <w:spacing w:after="0"/>
              <w:rPr>
                <w:sz w:val="20"/>
                <w:szCs w:val="20"/>
                <w:color w:val="auto"/>
              </w:rPr>
            </w:pPr>
            <w:r>
              <w:rPr>
                <w:rFonts w:ascii="Arial" w:cs="Arial" w:eastAsia="Arial" w:hAnsi="Arial"/>
                <w:sz w:val="15"/>
                <w:szCs w:val="15"/>
                <w:color w:val="auto"/>
              </w:rPr>
              <w:t>Issuance of Common Stock from the exercise of options and warrants</w:t>
            </w:r>
          </w:p>
        </w:tc>
        <w:tc>
          <w:tcPr>
            <w:tcW w:w="1000" w:type="dxa"/>
            <w:vAlign w:val="bottom"/>
          </w:tcPr>
          <w:p>
            <w:pPr>
              <w:jc w:val="right"/>
              <w:spacing w:after="0"/>
              <w:rPr>
                <w:sz w:val="20"/>
                <w:szCs w:val="20"/>
                <w:color w:val="auto"/>
              </w:rPr>
            </w:pPr>
            <w:r>
              <w:rPr>
                <w:rFonts w:ascii="Arial" w:cs="Arial" w:eastAsia="Arial" w:hAnsi="Arial"/>
                <w:sz w:val="15"/>
                <w:szCs w:val="15"/>
                <w:color w:val="auto"/>
              </w:rPr>
              <w:t>341</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5,414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5,414</w:t>
            </w:r>
          </w:p>
        </w:tc>
        <w:tc>
          <w:tcPr>
            <w:tcW w:w="0" w:type="dxa"/>
            <w:vAlign w:val="bottom"/>
          </w:tcPr>
          <w:p>
            <w:pPr>
              <w:spacing w:after="0"/>
              <w:rPr>
                <w:sz w:val="1"/>
                <w:szCs w:val="1"/>
                <w:color w:val="auto"/>
              </w:rPr>
            </w:pPr>
          </w:p>
        </w:tc>
      </w:tr>
      <w:tr>
        <w:trPr>
          <w:trHeight w:val="199"/>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Withholding taxes on net share settlement of stock-based compensation</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1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1000" w:type="dxa"/>
            <w:vAlign w:val="bottom"/>
          </w:tcPr>
          <w:p>
            <w:pPr>
              <w:jc w:val="right"/>
              <w:spacing w:after="0"/>
              <w:rPr>
                <w:sz w:val="20"/>
                <w:szCs w:val="20"/>
                <w:color w:val="auto"/>
              </w:rPr>
            </w:pPr>
            <w:r>
              <w:rPr>
                <w:rFonts w:ascii="Arial" w:cs="Arial" w:eastAsia="Arial" w:hAnsi="Arial"/>
                <w:sz w:val="15"/>
                <w:szCs w:val="15"/>
                <w:color w:val="auto"/>
              </w:rPr>
              <w:t>226,815</w:t>
            </w:r>
          </w:p>
        </w:tc>
        <w:tc>
          <w:tcPr>
            <w:tcW w:w="740" w:type="dxa"/>
            <w:vAlign w:val="bottom"/>
          </w:tcPr>
          <w:p>
            <w:pPr>
              <w:jc w:val="right"/>
              <w:ind w:right="570"/>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23</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3,782,649</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(29,996)</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(1,746,787)</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2,005,889</w:t>
            </w:r>
          </w:p>
        </w:tc>
        <w:tc>
          <w:tcPr>
            <w:tcW w:w="0" w:type="dxa"/>
            <w:vAlign w:val="bottom"/>
          </w:tcPr>
          <w:p>
            <w:pPr>
              <w:spacing w:after="0"/>
              <w:rPr>
                <w:sz w:val="1"/>
                <w:szCs w:val="1"/>
                <w:color w:val="auto"/>
              </w:rPr>
            </w:pPr>
          </w:p>
        </w:tc>
      </w:tr>
      <w:tr>
        <w:trPr>
          <w:trHeight w:val="199"/>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1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0" w:type="dxa"/>
            <w:vAlign w:val="bottom"/>
          </w:tcPr>
          <w:p>
            <w:pPr>
              <w:spacing w:after="0"/>
              <w:rPr>
                <w:sz w:val="1"/>
                <w:szCs w:val="1"/>
                <w:color w:val="auto"/>
              </w:rPr>
            </w:pPr>
          </w:p>
        </w:tc>
      </w:tr>
      <w:tr>
        <w:trPr>
          <w:trHeight w:val="194"/>
        </w:trPr>
        <w:tc>
          <w:tcPr>
            <w:tcW w:w="528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5,239</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5,239</w:t>
            </w:r>
          </w:p>
        </w:tc>
        <w:tc>
          <w:tcPr>
            <w:tcW w:w="0" w:type="dxa"/>
            <w:vAlign w:val="bottom"/>
          </w:tcPr>
          <w:p>
            <w:pPr>
              <w:spacing w:after="0"/>
              <w:rPr>
                <w:sz w:val="1"/>
                <w:szCs w:val="1"/>
                <w:color w:val="auto"/>
              </w:rPr>
            </w:pPr>
          </w:p>
        </w:tc>
      </w:tr>
      <w:tr>
        <w:trPr>
          <w:trHeight w:val="199"/>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Stock-based compensation and issuance of Common Stock from vesting</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w:t>
            </w:r>
          </w:p>
        </w:tc>
        <w:tc>
          <w:tcPr>
            <w:tcW w:w="74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9,038</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9,038</w:t>
            </w:r>
          </w:p>
        </w:tc>
        <w:tc>
          <w:tcPr>
            <w:tcW w:w="0" w:type="dxa"/>
            <w:vAlign w:val="bottom"/>
          </w:tcPr>
          <w:p>
            <w:pPr>
              <w:spacing w:after="0"/>
              <w:rPr>
                <w:sz w:val="1"/>
                <w:szCs w:val="1"/>
                <w:color w:val="auto"/>
              </w:rPr>
            </w:pPr>
          </w:p>
        </w:tc>
      </w:tr>
      <w:tr>
        <w:trPr>
          <w:trHeight w:val="194"/>
        </w:trPr>
        <w:tc>
          <w:tcPr>
            <w:tcW w:w="528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 and warrants</w:t>
            </w:r>
          </w:p>
        </w:tc>
        <w:tc>
          <w:tcPr>
            <w:tcW w:w="1000" w:type="dxa"/>
            <w:vAlign w:val="bottom"/>
          </w:tcPr>
          <w:p>
            <w:pPr>
              <w:jc w:val="right"/>
              <w:spacing w:after="0"/>
              <w:rPr>
                <w:sz w:val="20"/>
                <w:szCs w:val="20"/>
                <w:color w:val="auto"/>
              </w:rPr>
            </w:pPr>
            <w:r>
              <w:rPr>
                <w:rFonts w:ascii="Arial" w:cs="Arial" w:eastAsia="Arial" w:hAnsi="Arial"/>
                <w:sz w:val="15"/>
                <w:szCs w:val="15"/>
                <w:color w:val="auto"/>
              </w:rPr>
              <w:t>(4,100)</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(35,508)</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(35,508)</w:t>
            </w:r>
          </w:p>
        </w:tc>
        <w:tc>
          <w:tcPr>
            <w:tcW w:w="0" w:type="dxa"/>
            <w:vAlign w:val="bottom"/>
          </w:tcPr>
          <w:p>
            <w:pPr>
              <w:spacing w:after="0"/>
              <w:rPr>
                <w:sz w:val="1"/>
                <w:szCs w:val="1"/>
                <w:color w:val="auto"/>
              </w:rPr>
            </w:pPr>
          </w:p>
        </w:tc>
      </w:tr>
      <w:tr>
        <w:trPr>
          <w:trHeight w:val="199"/>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 and warrants</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4,058</w:t>
            </w:r>
          </w:p>
        </w:tc>
        <w:tc>
          <w:tcPr>
            <w:tcW w:w="74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384</w:t>
            </w:r>
          </w:p>
        </w:tc>
        <w:tc>
          <w:tcPr>
            <w:tcW w:w="1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5"/>
                <w:szCs w:val="15"/>
                <w:color w:val="auto"/>
              </w:rPr>
              <w:t>Balance at June 30, 2021</w:t>
            </w:r>
          </w:p>
        </w:tc>
        <w:tc>
          <w:tcPr>
            <w:tcW w:w="1000" w:type="dxa"/>
            <w:vAlign w:val="bottom"/>
          </w:tcPr>
          <w:p>
            <w:pPr>
              <w:jc w:val="right"/>
              <w:spacing w:after="0"/>
              <w:rPr>
                <w:sz w:val="20"/>
                <w:szCs w:val="20"/>
                <w:color w:val="auto"/>
              </w:rPr>
            </w:pPr>
            <w:r>
              <w:rPr>
                <w:rFonts w:ascii="Arial" w:cs="Arial" w:eastAsia="Arial" w:hAnsi="Arial"/>
                <w:sz w:val="15"/>
                <w:szCs w:val="15"/>
                <w:color w:val="auto"/>
              </w:rPr>
              <w:t>226,833</w:t>
            </w:r>
          </w:p>
        </w:tc>
        <w:tc>
          <w:tcPr>
            <w:tcW w:w="740" w:type="dxa"/>
            <w:vAlign w:val="bottom"/>
          </w:tcPr>
          <w:p>
            <w:pPr>
              <w:jc w:val="right"/>
              <w:ind w:right="570"/>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23</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3,756,563</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(24,757)</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(1,726,416)</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2,005,413</w:t>
            </w:r>
          </w:p>
        </w:tc>
        <w:tc>
          <w:tcPr>
            <w:tcW w:w="0" w:type="dxa"/>
            <w:vAlign w:val="bottom"/>
          </w:tcPr>
          <w:p>
            <w:pPr>
              <w:spacing w:after="0"/>
              <w:rPr>
                <w:sz w:val="1"/>
                <w:szCs w:val="1"/>
                <w:color w:val="auto"/>
              </w:rPr>
            </w:pPr>
          </w:p>
        </w:tc>
      </w:tr>
      <w:tr>
        <w:trPr>
          <w:trHeight w:val="199"/>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61,103</w:t>
            </w:r>
          </w:p>
        </w:tc>
        <w:tc>
          <w:tcPr>
            <w:tcW w:w="1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61,103</w:t>
            </w:r>
          </w:p>
        </w:tc>
        <w:tc>
          <w:tcPr>
            <w:tcW w:w="0" w:type="dxa"/>
            <w:vAlign w:val="bottom"/>
          </w:tcPr>
          <w:p>
            <w:pPr>
              <w:spacing w:after="0"/>
              <w:rPr>
                <w:sz w:val="1"/>
                <w:szCs w:val="1"/>
                <w:color w:val="auto"/>
              </w:rPr>
            </w:pPr>
          </w:p>
        </w:tc>
      </w:tr>
      <w:tr>
        <w:trPr>
          <w:trHeight w:val="195"/>
        </w:trPr>
        <w:tc>
          <w:tcPr>
            <w:tcW w:w="528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(8,956)</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(8,956)</w:t>
            </w:r>
          </w:p>
        </w:tc>
        <w:tc>
          <w:tcPr>
            <w:tcW w:w="0" w:type="dxa"/>
            <w:vAlign w:val="bottom"/>
          </w:tcPr>
          <w:p>
            <w:pPr>
              <w:spacing w:after="0"/>
              <w:rPr>
                <w:sz w:val="1"/>
                <w:szCs w:val="1"/>
                <w:color w:val="auto"/>
              </w:rPr>
            </w:pPr>
          </w:p>
        </w:tc>
      </w:tr>
      <w:tr>
        <w:trPr>
          <w:trHeight w:val="198"/>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Stock-based compensation and issuance of Common Stock from vesting</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192</w:t>
            </w:r>
          </w:p>
        </w:tc>
        <w:tc>
          <w:tcPr>
            <w:tcW w:w="74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i w:val="1"/>
                <w:iCs w:val="1"/>
                <w:color w:val="auto"/>
              </w:rPr>
              <w:t>—</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7,686</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i w:val="1"/>
                <w:iCs w:val="1"/>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i w:val="1"/>
                <w:iCs w:val="1"/>
                <w:color w:val="auto"/>
              </w:rPr>
              <w:t>—</w:t>
            </w:r>
          </w:p>
        </w:tc>
        <w:tc>
          <w:tcPr>
            <w:tcW w:w="1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7,686</w:t>
            </w:r>
          </w:p>
        </w:tc>
        <w:tc>
          <w:tcPr>
            <w:tcW w:w="0" w:type="dxa"/>
            <w:vAlign w:val="bottom"/>
          </w:tcPr>
          <w:p>
            <w:pPr>
              <w:spacing w:after="0"/>
              <w:rPr>
                <w:sz w:val="1"/>
                <w:szCs w:val="1"/>
                <w:color w:val="auto"/>
              </w:rPr>
            </w:pPr>
          </w:p>
        </w:tc>
      </w:tr>
      <w:tr>
        <w:trPr>
          <w:trHeight w:val="194"/>
        </w:trPr>
        <w:tc>
          <w:tcPr>
            <w:tcW w:w="528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 and warrants</w:t>
            </w:r>
          </w:p>
        </w:tc>
        <w:tc>
          <w:tcPr>
            <w:tcW w:w="1000" w:type="dxa"/>
            <w:vAlign w:val="bottom"/>
          </w:tcPr>
          <w:p>
            <w:pPr>
              <w:jc w:val="right"/>
              <w:spacing w:after="0"/>
              <w:rPr>
                <w:sz w:val="20"/>
                <w:szCs w:val="20"/>
                <w:color w:val="auto"/>
              </w:rPr>
            </w:pPr>
            <w:r>
              <w:rPr>
                <w:rFonts w:ascii="Arial" w:cs="Arial" w:eastAsia="Arial" w:hAnsi="Arial"/>
                <w:sz w:val="15"/>
                <w:szCs w:val="15"/>
                <w:color w:val="auto"/>
              </w:rPr>
              <w:t>(3,752)</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(106,264)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(106,264)</w:t>
            </w:r>
          </w:p>
        </w:tc>
        <w:tc>
          <w:tcPr>
            <w:tcW w:w="0" w:type="dxa"/>
            <w:vAlign w:val="bottom"/>
          </w:tcPr>
          <w:p>
            <w:pPr>
              <w:spacing w:after="0"/>
              <w:rPr>
                <w:sz w:val="1"/>
                <w:szCs w:val="1"/>
                <w:color w:val="auto"/>
              </w:rPr>
            </w:pPr>
          </w:p>
        </w:tc>
      </w:tr>
      <w:tr>
        <w:trPr>
          <w:trHeight w:val="199"/>
        </w:trPr>
        <w:tc>
          <w:tcPr>
            <w:tcW w:w="5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 and warrants</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393</w:t>
            </w:r>
          </w:p>
        </w:tc>
        <w:tc>
          <w:tcPr>
            <w:tcW w:w="74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1,517</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1,517</w:t>
            </w:r>
          </w:p>
        </w:tc>
        <w:tc>
          <w:tcPr>
            <w:tcW w:w="0" w:type="dxa"/>
            <w:vAlign w:val="bottom"/>
          </w:tcPr>
          <w:p>
            <w:pPr>
              <w:spacing w:after="0"/>
              <w:rPr>
                <w:sz w:val="1"/>
                <w:szCs w:val="1"/>
                <w:color w:val="auto"/>
              </w:rPr>
            </w:pPr>
          </w:p>
        </w:tc>
      </w:tr>
      <w:tr>
        <w:trPr>
          <w:trHeight w:val="194"/>
        </w:trPr>
        <w:tc>
          <w:tcPr>
            <w:tcW w:w="52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Withholding taxes on net share settlement of stock-based 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(3,915)</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(3,915)</w:t>
            </w:r>
          </w:p>
        </w:tc>
        <w:tc>
          <w:tcPr>
            <w:tcW w:w="0" w:type="dxa"/>
            <w:vAlign w:val="bottom"/>
          </w:tcPr>
          <w:p>
            <w:pPr>
              <w:spacing w:after="0"/>
              <w:rPr>
                <w:sz w:val="1"/>
                <w:szCs w:val="1"/>
                <w:color w:val="auto"/>
              </w:rPr>
            </w:pPr>
          </w:p>
        </w:tc>
      </w:tr>
      <w:tr>
        <w:trPr>
          <w:trHeight w:val="214"/>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September 30, 2021</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223,666</w:t>
            </w:r>
          </w:p>
        </w:tc>
        <w:tc>
          <w:tcPr>
            <w:tcW w:w="740" w:type="dxa"/>
            <w:vAlign w:val="bottom"/>
            <w:tcBorders>
              <w:bottom w:val="single" w:sz="8" w:color="auto"/>
            </w:tcBorders>
            <w:shd w:val="clear" w:color="auto" w:fill="DBDBDB"/>
          </w:tcPr>
          <w:p>
            <w:pPr>
              <w:jc w:val="right"/>
              <w:ind w:right="570"/>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3,655,587</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(33,713)</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(1,665,313)</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1,956,584</w:t>
            </w:r>
          </w:p>
        </w:tc>
        <w:tc>
          <w:tcPr>
            <w:tcW w:w="0" w:type="dxa"/>
            <w:vAlign w:val="bottom"/>
          </w:tcPr>
          <w:p>
            <w:pPr>
              <w:spacing w:after="0"/>
              <w:rPr>
                <w:sz w:val="1"/>
                <w:szCs w:val="1"/>
                <w:color w:val="auto"/>
              </w:rPr>
            </w:pPr>
          </w:p>
        </w:tc>
      </w:tr>
      <w:tr>
        <w:trPr>
          <w:trHeight w:val="20"/>
        </w:trPr>
        <w:tc>
          <w:tcPr>
            <w:tcW w:w="52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6" w:name="page7"/>
    <w:bookmarkEnd w:id="6"/>
    <w:p>
      <w:pPr>
        <w:jc w:val="center"/>
        <w:ind w:left="20" w:right="20"/>
        <w:spacing w:after="0" w:line="256" w:lineRule="auto"/>
        <w:rPr>
          <w:sz w:val="20"/>
          <w:szCs w:val="20"/>
          <w:color w:val="auto"/>
        </w:rPr>
      </w:pPr>
      <w:r>
        <w:rPr>
          <w:rFonts w:ascii="Arial" w:cs="Arial" w:eastAsia="Arial" w:hAnsi="Arial"/>
          <w:sz w:val="21"/>
          <w:szCs w:val="21"/>
          <w:color w:val="1D2758"/>
        </w:rPr>
        <w:t>WillScot Mobile Mini Holdings Corp. Condensed Consolidated Statements of Changes in Equity (continued)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29145" cy="125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9145" cy="125095"/>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240" w:type="dxa"/>
            <w:vAlign w:val="bottom"/>
            <w:shd w:val="clear" w:color="auto" w:fill="1D2758"/>
          </w:tcPr>
          <w:p>
            <w:pPr>
              <w:spacing w:after="0"/>
              <w:rPr>
                <w:sz w:val="12"/>
                <w:szCs w:val="12"/>
                <w:color w:val="auto"/>
              </w:rPr>
            </w:pPr>
          </w:p>
        </w:tc>
        <w:tc>
          <w:tcPr>
            <w:tcW w:w="840" w:type="dxa"/>
            <w:vAlign w:val="bottom"/>
            <w:shd w:val="clear" w:color="auto" w:fill="1D2758"/>
          </w:tcPr>
          <w:p>
            <w:pPr>
              <w:spacing w:after="0"/>
              <w:rPr>
                <w:sz w:val="12"/>
                <w:szCs w:val="12"/>
                <w:color w:val="auto"/>
              </w:rPr>
            </w:pPr>
          </w:p>
        </w:tc>
        <w:tc>
          <w:tcPr>
            <w:tcW w:w="200" w:type="dxa"/>
            <w:vAlign w:val="bottom"/>
            <w:shd w:val="clear" w:color="auto" w:fill="1D2758"/>
          </w:tcPr>
          <w:p>
            <w:pPr>
              <w:spacing w:after="0"/>
              <w:rPr>
                <w:sz w:val="12"/>
                <w:szCs w:val="12"/>
                <w:color w:val="auto"/>
              </w:rPr>
            </w:pPr>
          </w:p>
        </w:tc>
        <w:tc>
          <w:tcPr>
            <w:tcW w:w="780" w:type="dxa"/>
            <w:vAlign w:val="bottom"/>
            <w:shd w:val="clear" w:color="auto" w:fill="1D2758"/>
          </w:tcPr>
          <w:p>
            <w:pPr>
              <w:spacing w:after="0"/>
              <w:rPr>
                <w:sz w:val="12"/>
                <w:szCs w:val="12"/>
                <w:color w:val="auto"/>
              </w:rPr>
            </w:pPr>
          </w:p>
        </w:tc>
        <w:tc>
          <w:tcPr>
            <w:tcW w:w="780" w:type="dxa"/>
            <w:vAlign w:val="bottom"/>
            <w:shd w:val="clear" w:color="auto" w:fill="1D2758"/>
          </w:tcPr>
          <w:p>
            <w:pPr>
              <w:spacing w:after="0"/>
              <w:rPr>
                <w:sz w:val="12"/>
                <w:szCs w:val="12"/>
                <w:color w:val="auto"/>
              </w:rPr>
            </w:pPr>
          </w:p>
        </w:tc>
        <w:tc>
          <w:tcPr>
            <w:tcW w:w="700" w:type="dxa"/>
            <w:vAlign w:val="bottom"/>
            <w:shd w:val="clear" w:color="auto" w:fill="1D2758"/>
          </w:tcPr>
          <w:p>
            <w:pPr>
              <w:spacing w:after="0"/>
              <w:rPr>
                <w:sz w:val="12"/>
                <w:szCs w:val="12"/>
                <w:color w:val="auto"/>
              </w:rPr>
            </w:pPr>
          </w:p>
        </w:tc>
        <w:tc>
          <w:tcPr>
            <w:tcW w:w="200" w:type="dxa"/>
            <w:vAlign w:val="bottom"/>
            <w:shd w:val="clear" w:color="auto" w:fill="1D2758"/>
          </w:tcPr>
          <w:p>
            <w:pPr>
              <w:spacing w:after="0"/>
              <w:rPr>
                <w:sz w:val="12"/>
                <w:szCs w:val="12"/>
                <w:color w:val="auto"/>
              </w:rPr>
            </w:pPr>
          </w:p>
        </w:tc>
        <w:tc>
          <w:tcPr>
            <w:tcW w:w="96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880" w:type="dxa"/>
            <w:vAlign w:val="bottom"/>
            <w:shd w:val="clear" w:color="auto" w:fill="1D2758"/>
          </w:tcPr>
          <w:p>
            <w:pPr>
              <w:jc w:val="center"/>
              <w:ind w:right="19"/>
              <w:spacing w:after="0"/>
              <w:rPr>
                <w:sz w:val="20"/>
                <w:szCs w:val="20"/>
                <w:color w:val="auto"/>
              </w:rPr>
            </w:pPr>
            <w:r>
              <w:rPr>
                <w:rFonts w:ascii="Arial" w:cs="Arial" w:eastAsia="Arial" w:hAnsi="Arial"/>
                <w:sz w:val="11"/>
                <w:szCs w:val="11"/>
                <w:b w:val="1"/>
                <w:bCs w:val="1"/>
                <w:color w:val="FFFFFF"/>
              </w:rPr>
              <w:t>Accumulated</w:t>
            </w:r>
          </w:p>
        </w:tc>
        <w:tc>
          <w:tcPr>
            <w:tcW w:w="140" w:type="dxa"/>
            <w:vAlign w:val="bottom"/>
            <w:shd w:val="clear" w:color="auto" w:fill="1D2758"/>
          </w:tcPr>
          <w:p>
            <w:pPr>
              <w:spacing w:after="0"/>
              <w:rPr>
                <w:sz w:val="12"/>
                <w:szCs w:val="12"/>
                <w:color w:val="auto"/>
              </w:rPr>
            </w:pPr>
          </w:p>
        </w:tc>
        <w:tc>
          <w:tcPr>
            <w:tcW w:w="860" w:type="dxa"/>
            <w:vAlign w:val="bottom"/>
            <w:shd w:val="clear" w:color="auto" w:fill="1D2758"/>
          </w:tcPr>
          <w:p>
            <w:pPr>
              <w:spacing w:after="0"/>
              <w:rPr>
                <w:sz w:val="12"/>
                <w:szCs w:val="12"/>
                <w:color w:val="auto"/>
              </w:rPr>
            </w:pPr>
          </w:p>
        </w:tc>
        <w:tc>
          <w:tcPr>
            <w:tcW w:w="84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700" w:type="dxa"/>
            <w:vAlign w:val="bottom"/>
            <w:shd w:val="clear" w:color="auto" w:fill="1D2758"/>
          </w:tcPr>
          <w:p>
            <w:pPr>
              <w:spacing w:after="0"/>
              <w:rPr>
                <w:sz w:val="12"/>
                <w:szCs w:val="12"/>
                <w:color w:val="auto"/>
              </w:rPr>
            </w:pPr>
          </w:p>
        </w:tc>
        <w:tc>
          <w:tcPr>
            <w:tcW w:w="86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1D2758"/>
          </w:tcPr>
          <w:p>
            <w:pPr>
              <w:spacing w:after="0"/>
              <w:rPr>
                <w:sz w:val="11"/>
                <w:szCs w:val="11"/>
                <w:color w:val="auto"/>
              </w:rPr>
            </w:pPr>
          </w:p>
        </w:tc>
        <w:tc>
          <w:tcPr>
            <w:tcW w:w="1820" w:type="dxa"/>
            <w:vAlign w:val="bottom"/>
            <w:gridSpan w:val="3"/>
            <w:shd w:val="clear" w:color="auto" w:fill="1D2758"/>
          </w:tcPr>
          <w:p>
            <w:pPr>
              <w:jc w:val="right"/>
              <w:ind w:right="194"/>
              <w:spacing w:after="0" w:line="135" w:lineRule="exact"/>
              <w:rPr>
                <w:sz w:val="20"/>
                <w:szCs w:val="20"/>
                <w:color w:val="auto"/>
              </w:rPr>
            </w:pPr>
            <w:r>
              <w:rPr>
                <w:rFonts w:ascii="Arial" w:cs="Arial" w:eastAsia="Arial" w:hAnsi="Arial"/>
                <w:sz w:val="11"/>
                <w:szCs w:val="11"/>
                <w:b w:val="1"/>
                <w:bCs w:val="1"/>
                <w:color w:val="FFFFFF"/>
              </w:rPr>
              <w:t>Class A Common Stock</w:t>
            </w:r>
            <w:r>
              <w:rPr>
                <w:rFonts w:ascii="Arial" w:cs="Arial" w:eastAsia="Arial" w:hAnsi="Arial"/>
                <w:sz w:val="14"/>
                <w:szCs w:val="14"/>
                <w:b w:val="1"/>
                <w:bCs w:val="1"/>
                <w:color w:val="FFFFFF"/>
                <w:vertAlign w:val="superscript"/>
              </w:rPr>
              <w:t>(1)</w:t>
            </w:r>
          </w:p>
        </w:tc>
        <w:tc>
          <w:tcPr>
            <w:tcW w:w="1480" w:type="dxa"/>
            <w:vAlign w:val="bottom"/>
            <w:gridSpan w:val="2"/>
            <w:shd w:val="clear" w:color="auto" w:fill="1D2758"/>
          </w:tcPr>
          <w:p>
            <w:pPr>
              <w:jc w:val="right"/>
              <w:spacing w:after="0"/>
              <w:rPr>
                <w:sz w:val="20"/>
                <w:szCs w:val="20"/>
                <w:color w:val="auto"/>
              </w:rPr>
            </w:pPr>
            <w:r>
              <w:rPr>
                <w:rFonts w:ascii="Arial" w:cs="Arial" w:eastAsia="Arial" w:hAnsi="Arial"/>
                <w:sz w:val="11"/>
                <w:szCs w:val="11"/>
                <w:b w:val="1"/>
                <w:bCs w:val="1"/>
                <w:color w:val="FFFFFF"/>
              </w:rPr>
              <w:t>Class B Common Stock</w:t>
            </w:r>
          </w:p>
        </w:tc>
        <w:tc>
          <w:tcPr>
            <w:tcW w:w="200" w:type="dxa"/>
            <w:vAlign w:val="bottom"/>
            <w:shd w:val="clear" w:color="auto" w:fill="1D2758"/>
          </w:tcPr>
          <w:p>
            <w:pPr>
              <w:spacing w:after="0"/>
              <w:rPr>
                <w:sz w:val="11"/>
                <w:szCs w:val="11"/>
                <w:color w:val="auto"/>
              </w:rPr>
            </w:pPr>
          </w:p>
        </w:tc>
        <w:tc>
          <w:tcPr>
            <w:tcW w:w="96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880" w:type="dxa"/>
            <w:vAlign w:val="bottom"/>
            <w:shd w:val="clear" w:color="auto" w:fill="1D2758"/>
          </w:tcPr>
          <w:p>
            <w:pPr>
              <w:jc w:val="center"/>
              <w:ind w:right="39"/>
              <w:spacing w:after="0"/>
              <w:rPr>
                <w:sz w:val="20"/>
                <w:szCs w:val="20"/>
                <w:color w:val="auto"/>
              </w:rPr>
            </w:pPr>
            <w:r>
              <w:rPr>
                <w:rFonts w:ascii="Arial" w:cs="Arial" w:eastAsia="Arial" w:hAnsi="Arial"/>
                <w:sz w:val="11"/>
                <w:szCs w:val="11"/>
                <w:b w:val="1"/>
                <w:bCs w:val="1"/>
                <w:color w:val="FFFFFF"/>
              </w:rPr>
              <w:t>Other</w:t>
            </w:r>
          </w:p>
        </w:tc>
        <w:tc>
          <w:tcPr>
            <w:tcW w:w="140" w:type="dxa"/>
            <w:vAlign w:val="bottom"/>
            <w:shd w:val="clear" w:color="auto" w:fill="1D2758"/>
          </w:tcPr>
          <w:p>
            <w:pPr>
              <w:spacing w:after="0"/>
              <w:rPr>
                <w:sz w:val="11"/>
                <w:szCs w:val="11"/>
                <w:color w:val="auto"/>
              </w:rPr>
            </w:pPr>
          </w:p>
        </w:tc>
        <w:tc>
          <w:tcPr>
            <w:tcW w:w="860" w:type="dxa"/>
            <w:vAlign w:val="bottom"/>
            <w:shd w:val="clear" w:color="auto" w:fill="1D2758"/>
          </w:tcPr>
          <w:p>
            <w:pPr>
              <w:spacing w:after="0"/>
              <w:rPr>
                <w:sz w:val="11"/>
                <w:szCs w:val="11"/>
                <w:color w:val="auto"/>
              </w:rPr>
            </w:pPr>
          </w:p>
        </w:tc>
        <w:tc>
          <w:tcPr>
            <w:tcW w:w="840" w:type="dxa"/>
            <w:vAlign w:val="bottom"/>
            <w:shd w:val="clear" w:color="auto" w:fill="1D2758"/>
          </w:tcPr>
          <w:p>
            <w:pPr>
              <w:jc w:val="center"/>
              <w:spacing w:after="0"/>
              <w:rPr>
                <w:sz w:val="20"/>
                <w:szCs w:val="20"/>
                <w:color w:val="auto"/>
              </w:rPr>
            </w:pPr>
            <w:r>
              <w:rPr>
                <w:rFonts w:ascii="Arial" w:cs="Arial" w:eastAsia="Arial" w:hAnsi="Arial"/>
                <w:sz w:val="11"/>
                <w:szCs w:val="11"/>
                <w:b w:val="1"/>
                <w:bCs w:val="1"/>
                <w:color w:val="FFFFFF"/>
                <w:w w:val="98"/>
              </w:rPr>
              <w:t>Total</w:t>
            </w:r>
          </w:p>
        </w:tc>
        <w:tc>
          <w:tcPr>
            <w:tcW w:w="120" w:type="dxa"/>
            <w:vAlign w:val="bottom"/>
            <w:shd w:val="clear" w:color="auto" w:fill="1D2758"/>
          </w:tcPr>
          <w:p>
            <w:pPr>
              <w:spacing w:after="0"/>
              <w:rPr>
                <w:sz w:val="11"/>
                <w:szCs w:val="11"/>
                <w:color w:val="auto"/>
              </w:rPr>
            </w:pPr>
          </w:p>
        </w:tc>
        <w:tc>
          <w:tcPr>
            <w:tcW w:w="700" w:type="dxa"/>
            <w:vAlign w:val="bottom"/>
            <w:shd w:val="clear" w:color="auto" w:fill="1D2758"/>
          </w:tcPr>
          <w:p>
            <w:pPr>
              <w:jc w:val="center"/>
              <w:ind w:right="21"/>
              <w:spacing w:after="0"/>
              <w:rPr>
                <w:sz w:val="20"/>
                <w:szCs w:val="20"/>
                <w:color w:val="auto"/>
              </w:rPr>
            </w:pPr>
            <w:r>
              <w:rPr>
                <w:rFonts w:ascii="Arial" w:cs="Arial" w:eastAsia="Arial" w:hAnsi="Arial"/>
                <w:sz w:val="11"/>
                <w:szCs w:val="11"/>
                <w:b w:val="1"/>
                <w:bCs w:val="1"/>
                <w:color w:val="FFFFFF"/>
              </w:rPr>
              <w:t>Non-</w:t>
            </w:r>
          </w:p>
        </w:tc>
        <w:tc>
          <w:tcPr>
            <w:tcW w:w="86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shd w:val="clear" w:color="auto" w:fill="1D2758"/>
          </w:tcPr>
          <w:p>
            <w:pPr>
              <w:spacing w:after="0"/>
              <w:rPr>
                <w:sz w:val="20"/>
                <w:szCs w:val="20"/>
                <w:color w:val="auto"/>
              </w:rPr>
            </w:pPr>
            <w:r>
              <w:rPr>
                <w:rFonts w:ascii="Arial" w:cs="Arial" w:eastAsia="Arial" w:hAnsi="Arial"/>
                <w:sz w:val="11"/>
                <w:szCs w:val="11"/>
                <w:b w:val="1"/>
                <w:bCs w:val="1"/>
                <w:i w:val="1"/>
                <w:iCs w:val="1"/>
                <w:color w:val="FFFFFF"/>
              </w:rPr>
              <w:t>(in thousands)</w:t>
            </w:r>
          </w:p>
        </w:tc>
        <w:tc>
          <w:tcPr>
            <w:tcW w:w="840" w:type="dxa"/>
            <w:vAlign w:val="bottom"/>
            <w:vMerge w:val="restart"/>
            <w:shd w:val="clear" w:color="auto" w:fill="1D2758"/>
          </w:tcPr>
          <w:p>
            <w:pPr>
              <w:jc w:val="right"/>
              <w:ind w:right="157"/>
              <w:spacing w:after="0"/>
              <w:rPr>
                <w:sz w:val="20"/>
                <w:szCs w:val="20"/>
                <w:color w:val="auto"/>
              </w:rPr>
            </w:pPr>
            <w:r>
              <w:rPr>
                <w:rFonts w:ascii="Arial" w:cs="Arial" w:eastAsia="Arial" w:hAnsi="Arial"/>
                <w:sz w:val="11"/>
                <w:szCs w:val="11"/>
                <w:b w:val="1"/>
                <w:bCs w:val="1"/>
                <w:color w:val="FFFFFF"/>
              </w:rPr>
              <w:t>Shares</w:t>
            </w:r>
          </w:p>
        </w:tc>
        <w:tc>
          <w:tcPr>
            <w:tcW w:w="200" w:type="dxa"/>
            <w:vAlign w:val="bottom"/>
            <w:shd w:val="clear" w:color="auto" w:fill="1D2758"/>
          </w:tcPr>
          <w:p>
            <w:pPr>
              <w:spacing w:after="0"/>
              <w:rPr>
                <w:sz w:val="7"/>
                <w:szCs w:val="7"/>
                <w:color w:val="auto"/>
              </w:rPr>
            </w:pPr>
          </w:p>
        </w:tc>
        <w:tc>
          <w:tcPr>
            <w:tcW w:w="780" w:type="dxa"/>
            <w:vAlign w:val="bottom"/>
            <w:vMerge w:val="restart"/>
            <w:shd w:val="clear" w:color="auto" w:fill="1D2758"/>
          </w:tcPr>
          <w:p>
            <w:pPr>
              <w:jc w:val="right"/>
              <w:ind w:right="234"/>
              <w:spacing w:after="0"/>
              <w:rPr>
                <w:sz w:val="20"/>
                <w:szCs w:val="20"/>
                <w:color w:val="auto"/>
              </w:rPr>
            </w:pPr>
            <w:r>
              <w:rPr>
                <w:rFonts w:ascii="Arial" w:cs="Arial" w:eastAsia="Arial" w:hAnsi="Arial"/>
                <w:sz w:val="11"/>
                <w:szCs w:val="11"/>
                <w:b w:val="1"/>
                <w:bCs w:val="1"/>
                <w:color w:val="FFFFFF"/>
              </w:rPr>
              <w:t>Amount</w:t>
            </w:r>
          </w:p>
        </w:tc>
        <w:tc>
          <w:tcPr>
            <w:tcW w:w="780" w:type="dxa"/>
            <w:vAlign w:val="bottom"/>
            <w:vMerge w:val="restart"/>
            <w:shd w:val="clear" w:color="auto" w:fill="1D2758"/>
          </w:tcPr>
          <w:p>
            <w:pPr>
              <w:jc w:val="right"/>
              <w:ind w:right="157"/>
              <w:spacing w:after="0"/>
              <w:rPr>
                <w:sz w:val="20"/>
                <w:szCs w:val="20"/>
                <w:color w:val="auto"/>
              </w:rPr>
            </w:pPr>
            <w:r>
              <w:rPr>
                <w:rFonts w:ascii="Arial" w:cs="Arial" w:eastAsia="Arial" w:hAnsi="Arial"/>
                <w:sz w:val="11"/>
                <w:szCs w:val="11"/>
                <w:b w:val="1"/>
                <w:bCs w:val="1"/>
                <w:color w:val="FFFFFF"/>
              </w:rPr>
              <w:t>Shares</w:t>
            </w:r>
          </w:p>
        </w:tc>
        <w:tc>
          <w:tcPr>
            <w:tcW w:w="700" w:type="dxa"/>
            <w:vAlign w:val="bottom"/>
            <w:vMerge w:val="restart"/>
            <w:shd w:val="clear" w:color="auto" w:fill="1D2758"/>
          </w:tcPr>
          <w:p>
            <w:pPr>
              <w:jc w:val="right"/>
              <w:spacing w:after="0"/>
              <w:rPr>
                <w:sz w:val="20"/>
                <w:szCs w:val="20"/>
                <w:color w:val="auto"/>
              </w:rPr>
            </w:pPr>
            <w:r>
              <w:rPr>
                <w:rFonts w:ascii="Arial" w:cs="Arial" w:eastAsia="Arial" w:hAnsi="Arial"/>
                <w:sz w:val="11"/>
                <w:szCs w:val="11"/>
                <w:b w:val="1"/>
                <w:bCs w:val="1"/>
                <w:color w:val="FFFFFF"/>
              </w:rPr>
              <w:t>Amount</w:t>
            </w:r>
          </w:p>
        </w:tc>
        <w:tc>
          <w:tcPr>
            <w:tcW w:w="200" w:type="dxa"/>
            <w:vAlign w:val="bottom"/>
            <w:shd w:val="clear" w:color="auto" w:fill="1D2758"/>
          </w:tcPr>
          <w:p>
            <w:pPr>
              <w:spacing w:after="0"/>
              <w:rPr>
                <w:sz w:val="7"/>
                <w:szCs w:val="7"/>
                <w:color w:val="auto"/>
              </w:rPr>
            </w:pPr>
          </w:p>
        </w:tc>
        <w:tc>
          <w:tcPr>
            <w:tcW w:w="960" w:type="dxa"/>
            <w:vAlign w:val="bottom"/>
            <w:shd w:val="clear" w:color="auto" w:fill="1D2758"/>
          </w:tcPr>
          <w:p>
            <w:pPr>
              <w:jc w:val="center"/>
              <w:spacing w:after="0" w:line="86" w:lineRule="exact"/>
              <w:rPr>
                <w:sz w:val="20"/>
                <w:szCs w:val="20"/>
                <w:color w:val="auto"/>
              </w:rPr>
            </w:pPr>
            <w:r>
              <w:rPr>
                <w:rFonts w:ascii="Arial" w:cs="Arial" w:eastAsia="Arial" w:hAnsi="Arial"/>
                <w:sz w:val="9"/>
                <w:szCs w:val="9"/>
                <w:b w:val="1"/>
                <w:bCs w:val="1"/>
                <w:color w:val="FFFFFF"/>
              </w:rPr>
              <w:t>Additional Paid-</w:t>
            </w:r>
          </w:p>
        </w:tc>
        <w:tc>
          <w:tcPr>
            <w:tcW w:w="1000" w:type="dxa"/>
            <w:vAlign w:val="bottom"/>
            <w:gridSpan w:val="2"/>
            <w:shd w:val="clear" w:color="auto" w:fill="1D2758"/>
          </w:tcPr>
          <w:p>
            <w:pPr>
              <w:jc w:val="center"/>
              <w:spacing w:after="0" w:line="86" w:lineRule="exact"/>
              <w:rPr>
                <w:sz w:val="20"/>
                <w:szCs w:val="20"/>
                <w:color w:val="auto"/>
              </w:rPr>
            </w:pPr>
            <w:r>
              <w:rPr>
                <w:rFonts w:ascii="Arial" w:cs="Arial" w:eastAsia="Arial" w:hAnsi="Arial"/>
                <w:sz w:val="9"/>
                <w:szCs w:val="9"/>
                <w:b w:val="1"/>
                <w:bCs w:val="1"/>
                <w:color w:val="FFFFFF"/>
              </w:rPr>
              <w:t>Comprehensive</w:t>
            </w:r>
          </w:p>
        </w:tc>
        <w:tc>
          <w:tcPr>
            <w:tcW w:w="140" w:type="dxa"/>
            <w:vAlign w:val="bottom"/>
            <w:shd w:val="clear" w:color="auto" w:fill="1D2758"/>
          </w:tcPr>
          <w:p>
            <w:pPr>
              <w:spacing w:after="0"/>
              <w:rPr>
                <w:sz w:val="7"/>
                <w:szCs w:val="7"/>
                <w:color w:val="auto"/>
              </w:rPr>
            </w:pPr>
          </w:p>
        </w:tc>
        <w:tc>
          <w:tcPr>
            <w:tcW w:w="860" w:type="dxa"/>
            <w:vAlign w:val="bottom"/>
            <w:shd w:val="clear" w:color="auto" w:fill="1D2758"/>
          </w:tcPr>
          <w:p>
            <w:pPr>
              <w:jc w:val="center"/>
              <w:ind w:right="41"/>
              <w:spacing w:after="0" w:line="86" w:lineRule="exact"/>
              <w:rPr>
                <w:sz w:val="20"/>
                <w:szCs w:val="20"/>
                <w:color w:val="auto"/>
              </w:rPr>
            </w:pPr>
            <w:r>
              <w:rPr>
                <w:rFonts w:ascii="Arial" w:cs="Arial" w:eastAsia="Arial" w:hAnsi="Arial"/>
                <w:sz w:val="9"/>
                <w:szCs w:val="9"/>
                <w:b w:val="1"/>
                <w:bCs w:val="1"/>
                <w:color w:val="FFFFFF"/>
              </w:rPr>
              <w:t>Accumulated</w:t>
            </w:r>
          </w:p>
        </w:tc>
        <w:tc>
          <w:tcPr>
            <w:tcW w:w="840" w:type="dxa"/>
            <w:vAlign w:val="bottom"/>
            <w:shd w:val="clear" w:color="auto" w:fill="1D2758"/>
          </w:tcPr>
          <w:p>
            <w:pPr>
              <w:jc w:val="center"/>
              <w:spacing w:after="0" w:line="86" w:lineRule="exact"/>
              <w:rPr>
                <w:sz w:val="20"/>
                <w:szCs w:val="20"/>
                <w:color w:val="auto"/>
              </w:rPr>
            </w:pPr>
            <w:r>
              <w:rPr>
                <w:rFonts w:ascii="Arial" w:cs="Arial" w:eastAsia="Arial" w:hAnsi="Arial"/>
                <w:sz w:val="9"/>
                <w:szCs w:val="9"/>
                <w:b w:val="1"/>
                <w:bCs w:val="1"/>
                <w:color w:val="FFFFFF"/>
              </w:rPr>
              <w:t>Shareholders'</w:t>
            </w:r>
          </w:p>
        </w:tc>
        <w:tc>
          <w:tcPr>
            <w:tcW w:w="120" w:type="dxa"/>
            <w:vAlign w:val="bottom"/>
            <w:shd w:val="clear" w:color="auto" w:fill="1D2758"/>
          </w:tcPr>
          <w:p>
            <w:pPr>
              <w:spacing w:after="0"/>
              <w:rPr>
                <w:sz w:val="7"/>
                <w:szCs w:val="7"/>
                <w:color w:val="auto"/>
              </w:rPr>
            </w:pPr>
          </w:p>
        </w:tc>
        <w:tc>
          <w:tcPr>
            <w:tcW w:w="700" w:type="dxa"/>
            <w:vAlign w:val="bottom"/>
            <w:shd w:val="clear" w:color="auto" w:fill="1D2758"/>
          </w:tcPr>
          <w:p>
            <w:pPr>
              <w:jc w:val="center"/>
              <w:ind w:right="41"/>
              <w:spacing w:after="0" w:line="86" w:lineRule="exact"/>
              <w:rPr>
                <w:sz w:val="20"/>
                <w:szCs w:val="20"/>
                <w:color w:val="auto"/>
              </w:rPr>
            </w:pPr>
            <w:r>
              <w:rPr>
                <w:rFonts w:ascii="Arial" w:cs="Arial" w:eastAsia="Arial" w:hAnsi="Arial"/>
                <w:sz w:val="9"/>
                <w:szCs w:val="9"/>
                <w:b w:val="1"/>
                <w:bCs w:val="1"/>
                <w:color w:val="FFFFFF"/>
              </w:rPr>
              <w:t>Controlling</w:t>
            </w:r>
          </w:p>
        </w:tc>
        <w:tc>
          <w:tcPr>
            <w:tcW w:w="860" w:type="dxa"/>
            <w:vAlign w:val="bottom"/>
            <w:vMerge w:val="restart"/>
            <w:shd w:val="clear" w:color="auto" w:fill="1D2758"/>
          </w:tcPr>
          <w:p>
            <w:pPr>
              <w:jc w:val="right"/>
              <w:ind w:right="34"/>
              <w:spacing w:after="0"/>
              <w:rPr>
                <w:sz w:val="20"/>
                <w:szCs w:val="20"/>
                <w:color w:val="auto"/>
              </w:rPr>
            </w:pPr>
            <w:r>
              <w:rPr>
                <w:rFonts w:ascii="Arial" w:cs="Arial" w:eastAsia="Arial" w:hAnsi="Arial"/>
                <w:sz w:val="11"/>
                <w:szCs w:val="11"/>
                <w:b w:val="1"/>
                <w:bCs w:val="1"/>
                <w:color w:val="FFFFFF"/>
              </w:rPr>
              <w:t>Total Equity</w:t>
            </w:r>
          </w:p>
        </w:tc>
        <w:tc>
          <w:tcPr>
            <w:tcW w:w="0" w:type="dxa"/>
            <w:vAlign w:val="bottom"/>
          </w:tcPr>
          <w:p>
            <w:pPr>
              <w:spacing w:after="0"/>
              <w:rPr>
                <w:sz w:val="1"/>
                <w:szCs w:val="1"/>
                <w:color w:val="auto"/>
              </w:rPr>
            </w:pPr>
          </w:p>
        </w:tc>
      </w:tr>
      <w:tr>
        <w:trPr>
          <w:trHeight w:val="160"/>
        </w:trPr>
        <w:tc>
          <w:tcPr>
            <w:tcW w:w="2240" w:type="dxa"/>
            <w:vAlign w:val="bottom"/>
            <w:vMerge w:val="continue"/>
            <w:shd w:val="clear" w:color="auto" w:fill="1D2758"/>
          </w:tcPr>
          <w:p>
            <w:pPr>
              <w:spacing w:after="0"/>
              <w:rPr>
                <w:sz w:val="13"/>
                <w:szCs w:val="13"/>
                <w:color w:val="auto"/>
              </w:rPr>
            </w:pPr>
          </w:p>
        </w:tc>
        <w:tc>
          <w:tcPr>
            <w:tcW w:w="840" w:type="dxa"/>
            <w:vAlign w:val="bottom"/>
            <w:vMerge w:val="continue"/>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780" w:type="dxa"/>
            <w:vAlign w:val="bottom"/>
            <w:vMerge w:val="continue"/>
            <w:shd w:val="clear" w:color="auto" w:fill="1D2758"/>
          </w:tcPr>
          <w:p>
            <w:pPr>
              <w:spacing w:after="0"/>
              <w:rPr>
                <w:sz w:val="13"/>
                <w:szCs w:val="13"/>
                <w:color w:val="auto"/>
              </w:rPr>
            </w:pPr>
          </w:p>
        </w:tc>
        <w:tc>
          <w:tcPr>
            <w:tcW w:w="780" w:type="dxa"/>
            <w:vAlign w:val="bottom"/>
            <w:vMerge w:val="continue"/>
            <w:shd w:val="clear" w:color="auto" w:fill="1D2758"/>
          </w:tcPr>
          <w:p>
            <w:pPr>
              <w:spacing w:after="0"/>
              <w:rPr>
                <w:sz w:val="13"/>
                <w:szCs w:val="13"/>
                <w:color w:val="auto"/>
              </w:rPr>
            </w:pPr>
          </w:p>
        </w:tc>
        <w:tc>
          <w:tcPr>
            <w:tcW w:w="700" w:type="dxa"/>
            <w:vAlign w:val="bottom"/>
            <w:vMerge w:val="continue"/>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960" w:type="dxa"/>
            <w:vAlign w:val="bottom"/>
            <w:shd w:val="clear" w:color="auto" w:fill="1D2758"/>
          </w:tcPr>
          <w:p>
            <w:pPr>
              <w:jc w:val="center"/>
              <w:spacing w:after="0"/>
              <w:rPr>
                <w:sz w:val="20"/>
                <w:szCs w:val="20"/>
                <w:color w:val="auto"/>
              </w:rPr>
            </w:pPr>
            <w:r>
              <w:rPr>
                <w:rFonts w:ascii="Arial" w:cs="Arial" w:eastAsia="Arial" w:hAnsi="Arial"/>
                <w:sz w:val="11"/>
                <w:szCs w:val="11"/>
                <w:b w:val="1"/>
                <w:bCs w:val="1"/>
                <w:color w:val="FFFFFF"/>
              </w:rPr>
              <w:t>in-Capital</w:t>
            </w:r>
          </w:p>
        </w:tc>
        <w:tc>
          <w:tcPr>
            <w:tcW w:w="120" w:type="dxa"/>
            <w:vAlign w:val="bottom"/>
            <w:shd w:val="clear" w:color="auto" w:fill="1D2758"/>
          </w:tcPr>
          <w:p>
            <w:pPr>
              <w:spacing w:after="0"/>
              <w:rPr>
                <w:sz w:val="13"/>
                <w:szCs w:val="13"/>
                <w:color w:val="auto"/>
              </w:rPr>
            </w:pPr>
          </w:p>
        </w:tc>
        <w:tc>
          <w:tcPr>
            <w:tcW w:w="880" w:type="dxa"/>
            <w:vAlign w:val="bottom"/>
            <w:shd w:val="clear" w:color="auto" w:fill="1D2758"/>
          </w:tcPr>
          <w:p>
            <w:pPr>
              <w:jc w:val="center"/>
              <w:ind w:right="39"/>
              <w:spacing w:after="0"/>
              <w:rPr>
                <w:sz w:val="20"/>
                <w:szCs w:val="20"/>
                <w:color w:val="auto"/>
              </w:rPr>
            </w:pPr>
            <w:r>
              <w:rPr>
                <w:rFonts w:ascii="Arial" w:cs="Arial" w:eastAsia="Arial" w:hAnsi="Arial"/>
                <w:sz w:val="11"/>
                <w:szCs w:val="11"/>
                <w:b w:val="1"/>
                <w:bCs w:val="1"/>
                <w:color w:val="FFFFFF"/>
              </w:rPr>
              <w:t>Income (Loss)</w:t>
            </w:r>
          </w:p>
        </w:tc>
        <w:tc>
          <w:tcPr>
            <w:tcW w:w="140" w:type="dxa"/>
            <w:vAlign w:val="bottom"/>
            <w:shd w:val="clear" w:color="auto" w:fill="1D2758"/>
          </w:tcPr>
          <w:p>
            <w:pPr>
              <w:spacing w:after="0"/>
              <w:rPr>
                <w:sz w:val="13"/>
                <w:szCs w:val="13"/>
                <w:color w:val="auto"/>
              </w:rPr>
            </w:pPr>
          </w:p>
        </w:tc>
        <w:tc>
          <w:tcPr>
            <w:tcW w:w="860" w:type="dxa"/>
            <w:vAlign w:val="bottom"/>
            <w:shd w:val="clear" w:color="auto" w:fill="1D2758"/>
          </w:tcPr>
          <w:p>
            <w:pPr>
              <w:jc w:val="center"/>
              <w:ind w:right="61"/>
              <w:spacing w:after="0"/>
              <w:rPr>
                <w:sz w:val="20"/>
                <w:szCs w:val="20"/>
                <w:color w:val="auto"/>
              </w:rPr>
            </w:pPr>
            <w:r>
              <w:rPr>
                <w:rFonts w:ascii="Arial" w:cs="Arial" w:eastAsia="Arial" w:hAnsi="Arial"/>
                <w:sz w:val="11"/>
                <w:szCs w:val="11"/>
                <w:b w:val="1"/>
                <w:bCs w:val="1"/>
                <w:color w:val="FFFFFF"/>
              </w:rPr>
              <w:t>Deficit</w:t>
            </w:r>
          </w:p>
        </w:tc>
        <w:tc>
          <w:tcPr>
            <w:tcW w:w="840" w:type="dxa"/>
            <w:vAlign w:val="bottom"/>
            <w:shd w:val="clear" w:color="auto" w:fill="1D2758"/>
          </w:tcPr>
          <w:p>
            <w:pPr>
              <w:jc w:val="center"/>
              <w:spacing w:after="0"/>
              <w:rPr>
                <w:sz w:val="20"/>
                <w:szCs w:val="20"/>
                <w:color w:val="auto"/>
              </w:rPr>
            </w:pPr>
            <w:r>
              <w:rPr>
                <w:rFonts w:ascii="Arial" w:cs="Arial" w:eastAsia="Arial" w:hAnsi="Arial"/>
                <w:sz w:val="11"/>
                <w:szCs w:val="11"/>
                <w:b w:val="1"/>
                <w:bCs w:val="1"/>
                <w:color w:val="FFFFFF"/>
              </w:rPr>
              <w:t>Equity</w:t>
            </w:r>
          </w:p>
        </w:tc>
        <w:tc>
          <w:tcPr>
            <w:tcW w:w="120" w:type="dxa"/>
            <w:vAlign w:val="bottom"/>
            <w:shd w:val="clear" w:color="auto" w:fill="1D2758"/>
          </w:tcPr>
          <w:p>
            <w:pPr>
              <w:spacing w:after="0"/>
              <w:rPr>
                <w:sz w:val="13"/>
                <w:szCs w:val="13"/>
                <w:color w:val="auto"/>
              </w:rPr>
            </w:pPr>
          </w:p>
        </w:tc>
        <w:tc>
          <w:tcPr>
            <w:tcW w:w="700" w:type="dxa"/>
            <w:vAlign w:val="bottom"/>
            <w:shd w:val="clear" w:color="auto" w:fill="1D2758"/>
          </w:tcPr>
          <w:p>
            <w:pPr>
              <w:jc w:val="center"/>
              <w:ind w:right="21"/>
              <w:spacing w:after="0"/>
              <w:rPr>
                <w:sz w:val="20"/>
                <w:szCs w:val="20"/>
                <w:color w:val="auto"/>
              </w:rPr>
            </w:pPr>
            <w:r>
              <w:rPr>
                <w:rFonts w:ascii="Arial" w:cs="Arial" w:eastAsia="Arial" w:hAnsi="Arial"/>
                <w:sz w:val="11"/>
                <w:szCs w:val="11"/>
                <w:b w:val="1"/>
                <w:bCs w:val="1"/>
                <w:color w:val="FFFFFF"/>
              </w:rPr>
              <w:t>Interest</w:t>
            </w:r>
          </w:p>
        </w:tc>
        <w:tc>
          <w:tcPr>
            <w:tcW w:w="86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DBDBDB"/>
          </w:tcPr>
          <w:p>
            <w:pPr>
              <w:spacing w:after="0"/>
              <w:rPr>
                <w:sz w:val="20"/>
                <w:szCs w:val="20"/>
                <w:color w:val="auto"/>
              </w:rPr>
            </w:pPr>
            <w:r>
              <w:rPr>
                <w:rFonts w:ascii="Arial" w:cs="Arial" w:eastAsia="Arial" w:hAnsi="Arial"/>
                <w:sz w:val="15"/>
                <w:szCs w:val="15"/>
                <w:color w:val="auto"/>
              </w:rPr>
              <w:t>Balance at December 31, 2019</w:t>
            </w: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108,819</w:t>
            </w: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DBDBDB"/>
          </w:tcPr>
          <w:p>
            <w:pPr>
              <w:jc w:val="right"/>
              <w:ind w:right="74"/>
              <w:spacing w:after="0"/>
              <w:rPr>
                <w:sz w:val="20"/>
                <w:szCs w:val="20"/>
                <w:color w:val="auto"/>
              </w:rPr>
            </w:pPr>
            <w:r>
              <w:rPr>
                <w:rFonts w:ascii="Arial" w:cs="Arial" w:eastAsia="Arial" w:hAnsi="Arial"/>
                <w:sz w:val="15"/>
                <w:szCs w:val="15"/>
                <w:color w:val="auto"/>
              </w:rPr>
              <w:t>11</w:t>
            </w: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8,024</w:t>
            </w:r>
          </w:p>
        </w:tc>
        <w:tc>
          <w:tcPr>
            <w:tcW w:w="700" w:type="dxa"/>
            <w:vAlign w:val="bottom"/>
            <w:shd w:val="clear" w:color="auto" w:fill="DBDBDB"/>
          </w:tcPr>
          <w:p>
            <w:pPr>
              <w:jc w:val="right"/>
              <w:ind w:right="514"/>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2,378,733</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(62,775)</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(1,825,361)</w:t>
            </w:r>
          </w:p>
        </w:tc>
        <w:tc>
          <w:tcPr>
            <w:tcW w:w="840" w:type="dxa"/>
            <w:vAlign w:val="bottom"/>
            <w:shd w:val="clear" w:color="auto" w:fill="DBDBDB"/>
          </w:tcPr>
          <w:p>
            <w:pPr>
              <w:jc w:val="right"/>
              <w:ind w:right="1"/>
              <w:spacing w:after="0"/>
              <w:rPr>
                <w:sz w:val="20"/>
                <w:szCs w:val="20"/>
                <w:color w:val="auto"/>
              </w:rPr>
            </w:pPr>
            <w:r>
              <w:rPr>
                <w:rFonts w:ascii="Arial" w:cs="Arial" w:eastAsia="Arial" w:hAnsi="Arial"/>
                <w:sz w:val="15"/>
                <w:szCs w:val="15"/>
                <w:color w:val="auto"/>
              </w:rPr>
              <w:t>$  490,609</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64,590</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555,199</w:t>
            </w: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11240"/>
          </w:cols>
          <w:pgMar w:left="320" w:top="586" w:right="339" w:bottom="1440" w:gutter="0" w:footer="0" w:header="0"/>
        </w:sectPr>
      </w:pPr>
    </w:p>
    <w:p>
      <w:pPr>
        <w:ind w:left="220"/>
        <w:spacing w:after="0"/>
        <w:rPr>
          <w:sz w:val="20"/>
          <w:szCs w:val="20"/>
          <w:color w:val="auto"/>
        </w:rPr>
      </w:pPr>
      <w:r>
        <w:rPr>
          <w:rFonts w:ascii="Arial" w:cs="Arial" w:eastAsia="Arial" w:hAnsi="Arial"/>
          <w:sz w:val="15"/>
          <w:szCs w:val="15"/>
          <w:color w:val="auto"/>
        </w:rPr>
        <w:t>Net income (loss)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comprehensive loss</w:t>
      </w:r>
    </w:p>
    <w:p>
      <w:pPr>
        <w:spacing w:after="0" w:line="24" w:lineRule="exact"/>
        <w:rPr>
          <w:sz w:val="20"/>
          <w:szCs w:val="20"/>
          <w:color w:val="auto"/>
        </w:rPr>
      </w:pPr>
    </w:p>
    <w:p>
      <w:pPr>
        <w:ind w:left="220" w:right="240"/>
        <w:spacing w:after="0" w:line="234" w:lineRule="auto"/>
        <w:rPr>
          <w:sz w:val="20"/>
          <w:szCs w:val="20"/>
          <w:color w:val="auto"/>
        </w:rPr>
      </w:pPr>
      <w:r>
        <w:rPr>
          <w:rFonts w:ascii="Arial" w:cs="Arial" w:eastAsia="Arial" w:hAnsi="Arial"/>
          <w:sz w:val="14"/>
          <w:szCs w:val="14"/>
          <w:color w:val="auto"/>
        </w:rPr>
        <w:t>Stock-based compensation and issuance of Common Stock from vesting</w:t>
      </w:r>
    </w:p>
    <w:p>
      <w:pPr>
        <w:spacing w:after="0" w:line="21" w:lineRule="exact"/>
        <w:rPr>
          <w:sz w:val="20"/>
          <w:szCs w:val="20"/>
          <w:color w:val="auto"/>
        </w:rPr>
      </w:pPr>
    </w:p>
    <w:p>
      <w:pPr>
        <w:ind w:left="220" w:right="120"/>
        <w:spacing w:after="0" w:line="244" w:lineRule="auto"/>
        <w:rPr>
          <w:sz w:val="20"/>
          <w:szCs w:val="20"/>
          <w:color w:val="auto"/>
        </w:rPr>
      </w:pPr>
      <w:r>
        <w:rPr>
          <w:rFonts w:ascii="Arial" w:cs="Arial" w:eastAsia="Arial" w:hAnsi="Arial"/>
          <w:sz w:val="14"/>
          <w:szCs w:val="14"/>
          <w:color w:val="auto"/>
        </w:rPr>
        <w:t>Issuance of Common Stock from the exercise of warrants</w:t>
      </w:r>
    </w:p>
    <w:p>
      <w:pPr>
        <w:spacing w:after="0" w:line="17" w:lineRule="exact"/>
        <w:rPr>
          <w:sz w:val="20"/>
          <w:szCs w:val="20"/>
          <w:color w:val="auto"/>
        </w:rPr>
      </w:pPr>
    </w:p>
    <w:p>
      <w:pPr>
        <w:jc w:val="both"/>
        <w:ind w:left="220" w:right="320"/>
        <w:spacing w:after="0" w:line="234" w:lineRule="auto"/>
        <w:rPr>
          <w:sz w:val="20"/>
          <w:szCs w:val="20"/>
          <w:color w:val="auto"/>
        </w:rPr>
      </w:pPr>
      <w:r>
        <w:rPr>
          <w:rFonts w:ascii="Arial" w:cs="Arial" w:eastAsia="Arial" w:hAnsi="Arial"/>
          <w:sz w:val="14"/>
          <w:szCs w:val="14"/>
          <w:color w:val="auto"/>
        </w:rPr>
        <w:t>Withholding taxes on net share settlement of stock-based compensation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at March 31, 2020</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(loss) income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comprehensive income</w:t>
      </w:r>
    </w:p>
    <w:p>
      <w:pPr>
        <w:spacing w:after="0" w:line="24" w:lineRule="exact"/>
        <w:rPr>
          <w:sz w:val="20"/>
          <w:szCs w:val="20"/>
          <w:color w:val="auto"/>
        </w:rPr>
      </w:pPr>
    </w:p>
    <w:p>
      <w:pPr>
        <w:ind w:left="220" w:right="80"/>
        <w:spacing w:after="0" w:line="226" w:lineRule="auto"/>
        <w:rPr>
          <w:sz w:val="20"/>
          <w:szCs w:val="20"/>
          <w:color w:val="auto"/>
        </w:rPr>
      </w:pPr>
      <w:r>
        <w:rPr>
          <w:rFonts w:ascii="Arial" w:cs="Arial" w:eastAsia="Arial" w:hAnsi="Arial"/>
          <w:sz w:val="15"/>
          <w:szCs w:val="15"/>
          <w:color w:val="auto"/>
        </w:rPr>
        <w:t>Reclassification of ModSpace Warrants</w:t>
      </w:r>
    </w:p>
    <w:p>
      <w:pPr>
        <w:spacing w:after="0" w:line="19" w:lineRule="exact"/>
        <w:rPr>
          <w:sz w:val="20"/>
          <w:szCs w:val="20"/>
          <w:color w:val="auto"/>
        </w:rPr>
      </w:pPr>
    </w:p>
    <w:p>
      <w:pPr>
        <w:ind w:left="220" w:right="240"/>
        <w:spacing w:after="0" w:line="234" w:lineRule="auto"/>
        <w:rPr>
          <w:sz w:val="20"/>
          <w:szCs w:val="20"/>
          <w:color w:val="auto"/>
        </w:rPr>
      </w:pPr>
      <w:r>
        <w:rPr>
          <w:rFonts w:ascii="Arial" w:cs="Arial" w:eastAsia="Arial" w:hAnsi="Arial"/>
          <w:sz w:val="14"/>
          <w:szCs w:val="14"/>
          <w:color w:val="auto"/>
        </w:rPr>
        <w:t>Stock-based compensation and issuance of Common Stock from vesting</w:t>
      </w:r>
    </w:p>
    <w:p>
      <w:pPr>
        <w:spacing w:after="0" w:line="21" w:lineRule="exact"/>
        <w:rPr>
          <w:sz w:val="20"/>
          <w:szCs w:val="20"/>
          <w:color w:val="auto"/>
        </w:rPr>
      </w:pPr>
    </w:p>
    <w:p>
      <w:pPr>
        <w:ind w:left="220"/>
        <w:spacing w:after="0" w:line="226" w:lineRule="auto"/>
        <w:rPr>
          <w:sz w:val="20"/>
          <w:szCs w:val="20"/>
          <w:color w:val="auto"/>
        </w:rPr>
      </w:pPr>
      <w:r>
        <w:rPr>
          <w:rFonts w:ascii="Arial" w:cs="Arial" w:eastAsia="Arial" w:hAnsi="Arial"/>
          <w:sz w:val="15"/>
          <w:szCs w:val="15"/>
          <w:color w:val="auto"/>
        </w:rPr>
        <w:t>Sapphire Exchange - see Note 10</w:t>
      </w:r>
    </w:p>
    <w:p>
      <w:pPr>
        <w:spacing w:after="0" w:line="19" w:lineRule="exact"/>
        <w:rPr>
          <w:sz w:val="20"/>
          <w:szCs w:val="20"/>
          <w:color w:val="auto"/>
        </w:rPr>
      </w:pPr>
    </w:p>
    <w:p>
      <w:pPr>
        <w:ind w:left="220" w:right="120"/>
        <w:spacing w:after="0" w:line="244" w:lineRule="auto"/>
        <w:rPr>
          <w:sz w:val="20"/>
          <w:szCs w:val="20"/>
          <w:color w:val="auto"/>
        </w:rPr>
      </w:pPr>
      <w:r>
        <w:rPr>
          <w:rFonts w:ascii="Arial" w:cs="Arial" w:eastAsia="Arial" w:hAnsi="Arial"/>
          <w:sz w:val="14"/>
          <w:szCs w:val="14"/>
          <w:color w:val="auto"/>
        </w:rPr>
        <w:t>Issuance of Common Stock from the exercise of warrants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at June 30, 2020</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loss</w:t>
      </w:r>
    </w:p>
    <w:p>
      <w:pPr>
        <w:spacing w:after="0" w:line="24" w:lineRule="exact"/>
        <w:rPr>
          <w:sz w:val="20"/>
          <w:szCs w:val="20"/>
          <w:color w:val="auto"/>
        </w:rPr>
      </w:pPr>
    </w:p>
    <w:p>
      <w:pPr>
        <w:ind w:left="220" w:right="80"/>
        <w:spacing w:after="0" w:line="273" w:lineRule="auto"/>
        <w:rPr>
          <w:sz w:val="20"/>
          <w:szCs w:val="20"/>
          <w:color w:val="auto"/>
        </w:rPr>
      </w:pPr>
      <w:r>
        <w:rPr>
          <w:rFonts w:ascii="Arial" w:cs="Arial" w:eastAsia="Arial" w:hAnsi="Arial"/>
          <w:sz w:val="15"/>
          <w:szCs w:val="15"/>
          <w:color w:val="auto"/>
        </w:rPr>
        <w:t>Other comprehensive income Mobile Mini Merger Stock-based compensation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at September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91,785</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91,785</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91,655</w:t>
            </w:r>
          </w:p>
        </w:tc>
      </w:tr>
      <w:tr>
        <w:trPr>
          <w:trHeight w:val="197"/>
        </w:trPr>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(27,199)</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(27,199)</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(2,703)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(29,902)</w:t>
            </w:r>
          </w:p>
        </w:tc>
      </w:tr>
      <w:tr>
        <w:trPr>
          <w:trHeight w:val="492"/>
        </w:trPr>
        <w:tc>
          <w:tcPr>
            <w:tcW w:w="840" w:type="dxa"/>
            <w:vAlign w:val="bottom"/>
          </w:tcPr>
          <w:p>
            <w:pPr>
              <w:jc w:val="right"/>
              <w:spacing w:after="0"/>
              <w:rPr>
                <w:sz w:val="20"/>
                <w:szCs w:val="20"/>
                <w:color w:val="auto"/>
              </w:rPr>
            </w:pPr>
            <w:r>
              <w:rPr>
                <w:rFonts w:ascii="Arial" w:cs="Arial" w:eastAsia="Arial" w:hAnsi="Arial"/>
                <w:sz w:val="15"/>
                <w:szCs w:val="15"/>
                <w:color w:val="auto"/>
              </w:rPr>
              <w:t>239</w:t>
            </w:r>
          </w:p>
        </w:tc>
        <w:tc>
          <w:tcPr>
            <w:tcW w:w="400" w:type="dxa"/>
            <w:vAlign w:val="bottom"/>
          </w:tcPr>
          <w:p>
            <w:pPr>
              <w:spacing w:after="0"/>
              <w:rPr>
                <w:sz w:val="24"/>
                <w:szCs w:val="24"/>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1,787</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1,787</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1,787</w:t>
            </w:r>
          </w:p>
        </w:tc>
      </w:tr>
      <w:tr>
        <w:trPr>
          <w:trHeight w:val="344"/>
        </w:trPr>
        <w:tc>
          <w:tcPr>
            <w:tcW w:w="840" w:type="dxa"/>
            <w:vAlign w:val="bottom"/>
          </w:tcPr>
          <w:p>
            <w:pPr>
              <w:jc w:val="right"/>
              <w:spacing w:after="0"/>
              <w:rPr>
                <w:sz w:val="20"/>
                <w:szCs w:val="20"/>
                <w:color w:val="auto"/>
              </w:rPr>
            </w:pPr>
            <w:r>
              <w:rPr>
                <w:rFonts w:ascii="Arial" w:cs="Arial" w:eastAsia="Arial" w:hAnsi="Arial"/>
                <w:sz w:val="15"/>
                <w:szCs w:val="15"/>
                <w:color w:val="auto"/>
              </w:rPr>
              <w:t>1,497</w:t>
            </w:r>
          </w:p>
        </w:tc>
        <w:tc>
          <w:tcPr>
            <w:tcW w:w="400" w:type="dxa"/>
            <w:vAlign w:val="bottom"/>
          </w:tcPr>
          <w:p>
            <w:pPr>
              <w:spacing w:after="0"/>
              <w:rPr>
                <w:sz w:val="24"/>
                <w:szCs w:val="24"/>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28,958</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28,958</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28,958</w:t>
            </w:r>
          </w:p>
        </w:tc>
      </w:tr>
      <w:tr>
        <w:trPr>
          <w:trHeight w:val="494"/>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w:t>
            </w:r>
          </w:p>
        </w:tc>
      </w:tr>
      <w:tr>
        <w:trPr>
          <w:trHeight w:val="186"/>
        </w:trPr>
        <w:tc>
          <w:tcPr>
            <w:tcW w:w="840" w:type="dxa"/>
            <w:vAlign w:val="bottom"/>
          </w:tcPr>
          <w:p>
            <w:pPr>
              <w:jc w:val="right"/>
              <w:spacing w:after="0"/>
              <w:rPr>
                <w:sz w:val="20"/>
                <w:szCs w:val="20"/>
                <w:color w:val="auto"/>
              </w:rPr>
            </w:pPr>
            <w:r>
              <w:rPr>
                <w:rFonts w:ascii="Arial" w:cs="Arial" w:eastAsia="Arial" w:hAnsi="Arial"/>
                <w:sz w:val="15"/>
                <w:szCs w:val="15"/>
                <w:color w:val="auto"/>
              </w:rPr>
              <w:t>110,555</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11</w:t>
            </w:r>
          </w:p>
        </w:tc>
        <w:tc>
          <w:tcPr>
            <w:tcW w:w="720" w:type="dxa"/>
            <w:vAlign w:val="bottom"/>
          </w:tcPr>
          <w:p>
            <w:pPr>
              <w:ind w:left="280"/>
              <w:spacing w:after="0"/>
              <w:rPr>
                <w:sz w:val="20"/>
                <w:szCs w:val="20"/>
                <w:color w:val="auto"/>
              </w:rPr>
            </w:pPr>
            <w:r>
              <w:rPr>
                <w:rFonts w:ascii="Arial" w:cs="Arial" w:eastAsia="Arial" w:hAnsi="Arial"/>
                <w:sz w:val="15"/>
                <w:szCs w:val="15"/>
                <w:color w:val="auto"/>
              </w:rPr>
              <w:t>8,024</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480" w:type="dxa"/>
            <w:vAlign w:val="bottom"/>
          </w:tcPr>
          <w:p>
            <w:pPr>
              <w:ind w:left="340"/>
              <w:spacing w:after="0"/>
              <w:rPr>
                <w:sz w:val="20"/>
                <w:szCs w:val="20"/>
                <w:color w:val="auto"/>
              </w:rPr>
            </w:pPr>
            <w:r>
              <w:rPr>
                <w:rFonts w:ascii="Arial" w:cs="Arial" w:eastAsia="Arial" w:hAnsi="Arial"/>
                <w:sz w:val="15"/>
                <w:szCs w:val="15"/>
                <w:color w:val="auto"/>
              </w:rPr>
              <w:t>1</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2,408,805</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(89,974)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(1,733,576)</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585,267</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61,757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647,024</w:t>
            </w:r>
          </w:p>
        </w:tc>
      </w:tr>
      <w:tr>
        <w:trPr>
          <w:trHeight w:val="197"/>
        </w:trPr>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(15,473)</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(15,473)</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1,343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(14,130)</w:t>
            </w:r>
          </w:p>
        </w:tc>
      </w:tr>
      <w:tr>
        <w:trPr>
          <w:trHeight w:val="197"/>
        </w:trPr>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8,139</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8,139</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818</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8,957</w:t>
            </w:r>
          </w:p>
        </w:tc>
      </w:tr>
      <w:tr>
        <w:trPr>
          <w:trHeight w:val="344"/>
        </w:trPr>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26,216</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26,216</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26,216</w:t>
            </w:r>
          </w:p>
        </w:tc>
      </w:tr>
      <w:tr>
        <w:trPr>
          <w:trHeight w:val="492"/>
        </w:trPr>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2,227</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2,227</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2,227</w:t>
            </w:r>
          </w:p>
        </w:tc>
      </w:tr>
      <w:tr>
        <w:trPr>
          <w:trHeight w:val="344"/>
        </w:trPr>
        <w:tc>
          <w:tcPr>
            <w:tcW w:w="840" w:type="dxa"/>
            <w:vAlign w:val="bottom"/>
          </w:tcPr>
          <w:p>
            <w:pPr>
              <w:jc w:val="right"/>
              <w:spacing w:after="0"/>
              <w:rPr>
                <w:sz w:val="20"/>
                <w:szCs w:val="20"/>
                <w:color w:val="auto"/>
              </w:rPr>
            </w:pPr>
            <w:r>
              <w:rPr>
                <w:rFonts w:ascii="Arial" w:cs="Arial" w:eastAsia="Arial" w:hAnsi="Arial"/>
                <w:sz w:val="15"/>
                <w:szCs w:val="15"/>
                <w:color w:val="auto"/>
              </w:rPr>
              <w:t>10,641</w:t>
            </w:r>
          </w:p>
        </w:tc>
        <w:tc>
          <w:tcPr>
            <w:tcW w:w="400" w:type="dxa"/>
            <w:vAlign w:val="bottom"/>
          </w:tcPr>
          <w:p>
            <w:pPr>
              <w:spacing w:after="0"/>
              <w:rPr>
                <w:sz w:val="24"/>
                <w:szCs w:val="24"/>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1</w:t>
            </w:r>
          </w:p>
        </w:tc>
        <w:tc>
          <w:tcPr>
            <w:tcW w:w="720" w:type="dxa"/>
            <w:vAlign w:val="bottom"/>
          </w:tcPr>
          <w:p>
            <w:pPr>
              <w:ind w:left="220"/>
              <w:spacing w:after="0"/>
              <w:rPr>
                <w:sz w:val="20"/>
                <w:szCs w:val="20"/>
                <w:color w:val="auto"/>
              </w:rPr>
            </w:pPr>
            <w:r>
              <w:rPr>
                <w:rFonts w:ascii="Arial" w:cs="Arial" w:eastAsia="Arial" w:hAnsi="Arial"/>
                <w:sz w:val="15"/>
                <w:szCs w:val="15"/>
                <w:color w:val="auto"/>
              </w:rPr>
              <w:t>(8,024)</w:t>
            </w:r>
          </w:p>
        </w:tc>
        <w:tc>
          <w:tcPr>
            <w:tcW w:w="38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w w:val="97"/>
              </w:rPr>
              <w:t>(1)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66,890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(2,972)</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63,918</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(63,918)</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347"/>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w:t>
            </w:r>
          </w:p>
        </w:tc>
      </w:tr>
      <w:tr>
        <w:trPr>
          <w:trHeight w:val="186"/>
        </w:trPr>
        <w:tc>
          <w:tcPr>
            <w:tcW w:w="840" w:type="dxa"/>
            <w:vAlign w:val="bottom"/>
          </w:tcPr>
          <w:p>
            <w:pPr>
              <w:jc w:val="right"/>
              <w:spacing w:after="0"/>
              <w:rPr>
                <w:sz w:val="20"/>
                <w:szCs w:val="20"/>
                <w:color w:val="auto"/>
              </w:rPr>
            </w:pPr>
            <w:r>
              <w:rPr>
                <w:rFonts w:ascii="Arial" w:cs="Arial" w:eastAsia="Arial" w:hAnsi="Arial"/>
                <w:sz w:val="15"/>
                <w:szCs w:val="15"/>
                <w:color w:val="auto"/>
              </w:rPr>
              <w:t>121,233</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12</w:t>
            </w:r>
          </w:p>
        </w:tc>
        <w:tc>
          <w:tcPr>
            <w:tcW w:w="1100" w:type="dxa"/>
            <w:vAlign w:val="bottom"/>
            <w:gridSpan w:val="2"/>
          </w:tcPr>
          <w:p>
            <w:pPr>
              <w:ind w:left="500"/>
              <w:spacing w:after="0"/>
              <w:rPr>
                <w:sz w:val="20"/>
                <w:szCs w:val="20"/>
                <w:color w:val="auto"/>
              </w:rPr>
            </w:pPr>
            <w:r>
              <w:rPr>
                <w:rFonts w:ascii="Arial" w:cs="Arial" w:eastAsia="Arial" w:hAnsi="Arial"/>
                <w:sz w:val="15"/>
                <w:szCs w:val="15"/>
                <w:color w:val="auto"/>
              </w:rPr>
              <w:t>— $</w:t>
            </w:r>
          </w:p>
        </w:tc>
        <w:tc>
          <w:tcPr>
            <w:tcW w:w="680" w:type="dxa"/>
            <w:vAlign w:val="bottom"/>
            <w:gridSpan w:val="2"/>
          </w:tcPr>
          <w:p>
            <w:pPr>
              <w:ind w:left="280"/>
              <w:spacing w:after="0"/>
              <w:rPr>
                <w:sz w:val="20"/>
                <w:szCs w:val="20"/>
                <w:color w:val="auto"/>
              </w:rPr>
            </w:pPr>
            <w:r>
              <w:rPr>
                <w:rFonts w:ascii="Arial" w:cs="Arial" w:eastAsia="Arial" w:hAnsi="Arial"/>
                <w:sz w:val="15"/>
                <w:szCs w:val="15"/>
                <w:color w:val="auto"/>
              </w:rPr>
              <w:t>— $</w:t>
            </w:r>
          </w:p>
        </w:tc>
        <w:tc>
          <w:tcPr>
            <w:tcW w:w="800" w:type="dxa"/>
            <w:vAlign w:val="bottom"/>
          </w:tcPr>
          <w:p>
            <w:pPr>
              <w:jc w:val="right"/>
              <w:spacing w:after="0"/>
              <w:rPr>
                <w:sz w:val="20"/>
                <w:szCs w:val="20"/>
                <w:color w:val="auto"/>
              </w:rPr>
            </w:pPr>
            <w:r>
              <w:rPr>
                <w:rFonts w:ascii="Arial" w:cs="Arial" w:eastAsia="Arial" w:hAnsi="Arial"/>
                <w:sz w:val="15"/>
                <w:szCs w:val="15"/>
                <w:color w:val="auto"/>
              </w:rPr>
              <w:t>2,504,512</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(84,807)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(1,749,049)</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670,668</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40" w:type="dxa"/>
            <w:vAlign w:val="bottom"/>
          </w:tcPr>
          <w:p>
            <w:pPr>
              <w:jc w:val="right"/>
              <w:spacing w:after="0"/>
              <w:rPr>
                <w:sz w:val="20"/>
                <w:szCs w:val="20"/>
                <w:color w:val="auto"/>
              </w:rPr>
            </w:pPr>
            <w:r>
              <w:rPr>
                <w:rFonts w:ascii="Arial" w:cs="Arial" w:eastAsia="Arial" w:hAnsi="Arial"/>
                <w:sz w:val="15"/>
                <w:szCs w:val="15"/>
                <w:color w:val="auto"/>
              </w:rPr>
              <w:t>670,668</w:t>
            </w:r>
          </w:p>
        </w:tc>
      </w:tr>
      <w:tr>
        <w:trPr>
          <w:trHeight w:val="197"/>
        </w:trPr>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(6,051)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(6,051)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(6,051)</w:t>
            </w:r>
          </w:p>
        </w:tc>
      </w:tr>
      <w:tr>
        <w:trPr>
          <w:trHeight w:val="197"/>
        </w:trPr>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18,524</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18,524</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18,524</w:t>
            </w:r>
          </w:p>
        </w:tc>
      </w:tr>
      <w:tr>
        <w:trPr>
          <w:trHeight w:val="197"/>
        </w:trPr>
        <w:tc>
          <w:tcPr>
            <w:tcW w:w="840" w:type="dxa"/>
            <w:vAlign w:val="bottom"/>
          </w:tcPr>
          <w:p>
            <w:pPr>
              <w:jc w:val="right"/>
              <w:spacing w:after="0"/>
              <w:rPr>
                <w:sz w:val="20"/>
                <w:szCs w:val="20"/>
                <w:color w:val="auto"/>
              </w:rPr>
            </w:pPr>
            <w:r>
              <w:rPr>
                <w:rFonts w:ascii="Arial" w:cs="Arial" w:eastAsia="Arial" w:hAnsi="Arial"/>
                <w:sz w:val="15"/>
                <w:szCs w:val="15"/>
                <w:color w:val="auto"/>
              </w:rPr>
              <w:t>106,427</w:t>
            </w:r>
          </w:p>
        </w:tc>
        <w:tc>
          <w:tcPr>
            <w:tcW w:w="400" w:type="dxa"/>
            <w:vAlign w:val="bottom"/>
          </w:tcPr>
          <w:p>
            <w:pPr>
              <w:spacing w:after="0"/>
              <w:rPr>
                <w:sz w:val="17"/>
                <w:szCs w:val="17"/>
                <w:color w:val="auto"/>
              </w:rPr>
            </w:pPr>
          </w:p>
        </w:tc>
        <w:tc>
          <w:tcPr>
            <w:tcW w:w="660" w:type="dxa"/>
            <w:vAlign w:val="bottom"/>
          </w:tcPr>
          <w:p>
            <w:pPr>
              <w:jc w:val="right"/>
              <w:ind w:right="146"/>
              <w:spacing w:after="0"/>
              <w:rPr>
                <w:sz w:val="20"/>
                <w:szCs w:val="20"/>
                <w:color w:val="auto"/>
              </w:rPr>
            </w:pPr>
            <w:r>
              <w:rPr>
                <w:rFonts w:ascii="Arial" w:cs="Arial" w:eastAsia="Arial" w:hAnsi="Arial"/>
                <w:sz w:val="15"/>
                <w:szCs w:val="15"/>
                <w:color w:val="auto"/>
              </w:rPr>
              <w:t>11</w:t>
            </w:r>
          </w:p>
        </w:tc>
        <w:tc>
          <w:tcPr>
            <w:tcW w:w="720" w:type="dxa"/>
            <w:vAlign w:val="bottom"/>
          </w:tcPr>
          <w:p>
            <w:pPr>
              <w:ind w:left="5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1,348,570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5"/>
              </w:rPr>
              <w:t>1,348,581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1,348,581</w:t>
            </w:r>
          </w:p>
        </w:tc>
      </w:tr>
      <w:tr>
        <w:trPr>
          <w:trHeight w:val="199"/>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w:t>
            </w: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6,058</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6,058</w:t>
            </w:r>
          </w:p>
        </w:tc>
      </w:tr>
      <w:tr>
        <w:trPr>
          <w:trHeight w:val="189"/>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227,981</w:t>
            </w:r>
          </w:p>
        </w:tc>
        <w:tc>
          <w:tcPr>
            <w:tcW w:w="4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23</w:t>
            </w:r>
          </w:p>
        </w:tc>
        <w:tc>
          <w:tcPr>
            <w:tcW w:w="1100" w:type="dxa"/>
            <w:vAlign w:val="bottom"/>
            <w:tcBorders>
              <w:bottom w:val="single" w:sz="8" w:color="auto"/>
            </w:tcBorders>
            <w:gridSpan w:val="2"/>
          </w:tcPr>
          <w:p>
            <w:pPr>
              <w:ind w:left="500"/>
              <w:spacing w:after="0"/>
              <w:rPr>
                <w:sz w:val="20"/>
                <w:szCs w:val="20"/>
                <w:color w:val="auto"/>
              </w:rPr>
            </w:pPr>
            <w:r>
              <w:rPr>
                <w:rFonts w:ascii="Arial" w:cs="Arial" w:eastAsia="Arial" w:hAnsi="Arial"/>
                <w:sz w:val="15"/>
                <w:szCs w:val="15"/>
                <w:color w:val="auto"/>
              </w:rPr>
              <w:t>— $</w:t>
            </w:r>
          </w:p>
        </w:tc>
        <w:tc>
          <w:tcPr>
            <w:tcW w:w="68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3,859,140</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(1,755,100)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2,037,780</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2,037,780</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-1427480</wp:posOffset>
            </wp:positionH>
            <wp:positionV relativeFrom="paragraph">
              <wp:posOffset>-3114675</wp:posOffset>
            </wp:positionV>
            <wp:extent cx="7129145" cy="125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9145" cy="12509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-2677795</wp:posOffset>
            </wp:positionV>
            <wp:extent cx="7129145" cy="218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9145" cy="21844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-2146935</wp:posOffset>
            </wp:positionV>
            <wp:extent cx="7129145" cy="132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9145" cy="13271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-1889125</wp:posOffset>
            </wp:positionV>
            <wp:extent cx="7129145" cy="125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9145" cy="12509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-1545590</wp:posOffset>
            </wp:positionV>
            <wp:extent cx="7129145" cy="3124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9145" cy="31242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-1014730</wp:posOffset>
            </wp:positionV>
            <wp:extent cx="7129145" cy="218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9145" cy="21844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-662940</wp:posOffset>
            </wp:positionV>
            <wp:extent cx="7129145" cy="125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9145" cy="12509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-413385</wp:posOffset>
            </wp:positionV>
            <wp:extent cx="7129145" cy="125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9145" cy="12509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-163195</wp:posOffset>
            </wp:positionV>
            <wp:extent cx="7129145" cy="148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9145" cy="148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20"/>
            <w:col w:w="8980"/>
          </w:cols>
          <w:pgMar w:left="320" w:top="586" w:right="3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(1) See Note 1 for information regarding the Company's conversion of Class A Common Stock to Common Stock on July 1, 2020 concurrent with the Merger.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1"/>
          <w:szCs w:val="21"/>
          <w:color w:val="1D2758"/>
        </w:rPr>
        <w:t>WillScot Mobile Mini Holdings Corp.</w:t>
      </w:r>
    </w:p>
    <w:p>
      <w:pPr>
        <w:jc w:val="center"/>
        <w:spacing w:after="0"/>
        <w:rPr>
          <w:sz w:val="20"/>
          <w:szCs w:val="20"/>
          <w:color w:val="auto"/>
        </w:rPr>
      </w:pPr>
      <w:r>
        <w:rPr>
          <w:rFonts w:ascii="Arial" w:cs="Arial" w:eastAsia="Arial" w:hAnsi="Arial"/>
          <w:sz w:val="21"/>
          <w:szCs w:val="21"/>
          <w:color w:val="1D2758"/>
        </w:rPr>
        <w:t>Condensed Consolidated Statements of Cash Flows (Unaudited)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40" w:type="dxa"/>
            <w:vAlign w:val="bottom"/>
            <w:shd w:val="clear" w:color="auto" w:fill="1D2758"/>
          </w:tcPr>
          <w:p>
            <w:pPr>
              <w:spacing w:after="0"/>
              <w:rPr>
                <w:sz w:val="15"/>
                <w:szCs w:val="15"/>
                <w:color w:val="auto"/>
              </w:rPr>
            </w:pPr>
          </w:p>
        </w:tc>
        <w:tc>
          <w:tcPr>
            <w:tcW w:w="3700" w:type="dxa"/>
            <w:vAlign w:val="bottom"/>
            <w:gridSpan w:val="5"/>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19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7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380" w:type="dxa"/>
            <w:vAlign w:val="bottom"/>
            <w:vMerge w:val="restart"/>
            <w:shd w:val="clear" w:color="auto" w:fill="1D2758"/>
          </w:tcPr>
          <w:p>
            <w:pPr>
              <w:jc w:val="right"/>
              <w:ind w:right="666"/>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161"/>
        </w:trPr>
        <w:tc>
          <w:tcPr>
            <w:tcW w:w="7540" w:type="dxa"/>
            <w:vAlign w:val="bottom"/>
            <w:shd w:val="clear" w:color="auto" w:fill="1D2758"/>
          </w:tcPr>
          <w:p>
            <w:pPr>
              <w:spacing w:after="0"/>
              <w:rPr>
                <w:sz w:val="14"/>
                <w:szCs w:val="14"/>
                <w:color w:val="auto"/>
              </w:rPr>
            </w:pPr>
          </w:p>
        </w:tc>
        <w:tc>
          <w:tcPr>
            <w:tcW w:w="1100" w:type="dxa"/>
            <w:vAlign w:val="bottom"/>
            <w:vMerge w:val="continue"/>
            <w:shd w:val="clear" w:color="auto" w:fill="1D2758"/>
          </w:tcPr>
          <w:p>
            <w:pPr>
              <w:spacing w:after="0"/>
              <w:rPr>
                <w:sz w:val="14"/>
                <w:szCs w:val="14"/>
                <w:color w:val="auto"/>
              </w:rPr>
            </w:pPr>
          </w:p>
        </w:tc>
        <w:tc>
          <w:tcPr>
            <w:tcW w:w="7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13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5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00" w:type="dxa"/>
            <w:vAlign w:val="bottom"/>
          </w:tcPr>
          <w:p>
            <w:pPr>
              <w:jc w:val="right"/>
              <w:ind w:right="926"/>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85,921</w:t>
            </w:r>
          </w:p>
        </w:tc>
        <w:tc>
          <w:tcPr>
            <w:tcW w:w="80" w:type="dxa"/>
            <w:vAlign w:val="bottom"/>
          </w:tcPr>
          <w:p>
            <w:pPr>
              <w:spacing w:after="0"/>
              <w:rPr>
                <w:sz w:val="16"/>
                <w:szCs w:val="16"/>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71,474</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Depreciation and amortization</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235,536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171,425</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Provision for credit losses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26,661</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22,184</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Impairment losses on right of use assets</w:t>
            </w:r>
          </w:p>
        </w:tc>
        <w:tc>
          <w:tcPr>
            <w:tcW w:w="1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(25,327)</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(8,756)</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Amortization of debt discounts and debt issuance costs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10,554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9,547</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Fair value loss (gain) on common stock warrant liabilities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26,597</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(46,063)</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Loss on extinguishment of debt</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5,999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42,401</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Stock-based compensation expense</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21,674</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6,958</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Deferred income tax expense (benefit)</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28,140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(67,324)</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Unrealized currency losses, net</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897</w:t>
            </w:r>
          </w:p>
        </w:tc>
        <w:tc>
          <w:tcPr>
            <w:tcW w:w="0" w:type="dxa"/>
            <w:vAlign w:val="bottom"/>
          </w:tcPr>
          <w:p>
            <w:pPr>
              <w:spacing w:after="0"/>
              <w:rPr>
                <w:sz w:val="1"/>
                <w:szCs w:val="1"/>
                <w:color w:val="auto"/>
              </w:rPr>
            </w:pPr>
          </w:p>
        </w:tc>
      </w:tr>
      <w:tr>
        <w:trPr>
          <w:trHeight w:val="194"/>
        </w:trPr>
        <w:tc>
          <w:tcPr>
            <w:tcW w:w="754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Trade receivables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(93,592)</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(15,274)</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Inventories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(7,311)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1,440</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Prepaid expenses and other assets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3,118</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2,215</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Operating lease assets and liabilities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Accrued interest</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2,468</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(7,657)</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Accounts payable and other accrued expenses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45,868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(19,090)</w:t>
            </w:r>
          </w:p>
        </w:tc>
        <w:tc>
          <w:tcPr>
            <w:tcW w:w="0" w:type="dxa"/>
            <w:vAlign w:val="bottom"/>
          </w:tcPr>
          <w:p>
            <w:pPr>
              <w:spacing w:after="0"/>
              <w:rPr>
                <w:sz w:val="1"/>
                <w:szCs w:val="1"/>
                <w:color w:val="auto"/>
              </w:rPr>
            </w:pPr>
          </w:p>
        </w:tc>
      </w:tr>
      <w:tr>
        <w:trPr>
          <w:trHeight w:val="197"/>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Deferred revenue and customer deposits</w:t>
            </w:r>
          </w:p>
        </w:tc>
        <w:tc>
          <w:tcPr>
            <w:tcW w:w="1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25,656</w:t>
            </w:r>
          </w:p>
        </w:tc>
        <w:tc>
          <w:tcPr>
            <w:tcW w:w="8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10,077</w:t>
            </w:r>
          </w:p>
        </w:tc>
        <w:tc>
          <w:tcPr>
            <w:tcW w:w="0" w:type="dxa"/>
            <w:vAlign w:val="bottom"/>
          </w:tcPr>
          <w:p>
            <w:pPr>
              <w:spacing w:after="0"/>
              <w:rPr>
                <w:sz w:val="1"/>
                <w:szCs w:val="1"/>
                <w:color w:val="auto"/>
              </w:rPr>
            </w:pPr>
          </w:p>
        </w:tc>
      </w:tr>
      <w:tr>
        <w:trPr>
          <w:trHeight w:val="189"/>
        </w:trPr>
        <w:tc>
          <w:tcPr>
            <w:tcW w:w="7540" w:type="dxa"/>
            <w:vAlign w:val="bottom"/>
          </w:tcPr>
          <w:p>
            <w:pPr>
              <w:ind w:left="600"/>
              <w:spacing w:after="0"/>
              <w:rPr>
                <w:sz w:val="20"/>
                <w:szCs w:val="20"/>
                <w:color w:val="auto"/>
              </w:rPr>
            </w:pPr>
            <w:r>
              <w:rPr>
                <w:rFonts w:ascii="Arial" w:cs="Arial" w:eastAsia="Arial" w:hAnsi="Arial"/>
                <w:sz w:val="15"/>
                <w:szCs w:val="15"/>
                <w:color w:val="auto"/>
              </w:rPr>
              <w:t>Net cash provided by operating activities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392,055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175,095</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Acquisition of businesses, net of cash acquired</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(56,244)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17,173</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Proceeds from sale of rental equipment</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42,034</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25,281</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Purchase of rental equipment and refurbishments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(178,191)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(122,273)</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Proceeds from the sale of property, plant and equipment</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16,647</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5,825</w:t>
            </w:r>
          </w:p>
        </w:tc>
        <w:tc>
          <w:tcPr>
            <w:tcW w:w="0" w:type="dxa"/>
            <w:vAlign w:val="bottom"/>
          </w:tcPr>
          <w:p>
            <w:pPr>
              <w:spacing w:after="0"/>
              <w:rPr>
                <w:sz w:val="1"/>
                <w:szCs w:val="1"/>
                <w:color w:val="auto"/>
              </w:rPr>
            </w:pPr>
          </w:p>
        </w:tc>
      </w:tr>
      <w:tr>
        <w:trPr>
          <w:trHeight w:val="194"/>
        </w:trPr>
        <w:tc>
          <w:tcPr>
            <w:tcW w:w="7540" w:type="dxa"/>
            <w:vAlign w:val="bottom"/>
            <w:tcBorders>
              <w:bottom w:val="single" w:sz="8" w:color="DBDBDB"/>
            </w:tcBorders>
          </w:tcPr>
          <w:p>
            <w:pPr>
              <w:ind w:left="400"/>
              <w:spacing w:after="0"/>
              <w:rPr>
                <w:sz w:val="20"/>
                <w:szCs w:val="20"/>
                <w:color w:val="auto"/>
              </w:rPr>
            </w:pPr>
            <w:r>
              <w:rPr>
                <w:rFonts w:ascii="Arial" w:cs="Arial" w:eastAsia="Arial" w:hAnsi="Arial"/>
                <w:sz w:val="15"/>
                <w:szCs w:val="15"/>
                <w:color w:val="auto"/>
              </w:rPr>
              <w:t>Purchase of property, plant and equipment</w:t>
            </w: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(20,836)</w:t>
            </w:r>
          </w:p>
        </w:tc>
        <w:tc>
          <w:tcPr>
            <w:tcW w:w="8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(9,079)</w:t>
            </w:r>
          </w:p>
        </w:tc>
        <w:tc>
          <w:tcPr>
            <w:tcW w:w="0" w:type="dxa"/>
            <w:vAlign w:val="bottom"/>
          </w:tcPr>
          <w:p>
            <w:pPr>
              <w:spacing w:after="0"/>
              <w:rPr>
                <w:sz w:val="1"/>
                <w:szCs w:val="1"/>
                <w:color w:val="auto"/>
              </w:rPr>
            </w:pPr>
          </w:p>
        </w:tc>
      </w:tr>
      <w:tr>
        <w:trPr>
          <w:trHeight w:val="192"/>
        </w:trPr>
        <w:tc>
          <w:tcPr>
            <w:tcW w:w="7540" w:type="dxa"/>
            <w:vAlign w:val="bottom"/>
            <w:shd w:val="clear" w:color="auto" w:fill="DBDBDB"/>
          </w:tcPr>
          <w:p>
            <w:pPr>
              <w:ind w:left="500"/>
              <w:spacing w:after="0"/>
              <w:rPr>
                <w:sz w:val="20"/>
                <w:szCs w:val="20"/>
                <w:color w:val="auto"/>
              </w:rPr>
            </w:pPr>
            <w:r>
              <w:rPr>
                <w:rFonts w:ascii="Arial" w:cs="Arial" w:eastAsia="Arial" w:hAnsi="Arial"/>
                <w:sz w:val="15"/>
                <w:szCs w:val="15"/>
                <w:color w:val="auto"/>
              </w:rPr>
              <w:t>Net cash used in investing activities</w:t>
            </w:r>
          </w:p>
        </w:tc>
        <w:tc>
          <w:tcPr>
            <w:tcW w:w="110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(196,590)</w:t>
            </w:r>
          </w:p>
        </w:tc>
        <w:tc>
          <w:tcPr>
            <w:tcW w:w="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(83,073)</w:t>
            </w:r>
          </w:p>
        </w:tc>
        <w:tc>
          <w:tcPr>
            <w:tcW w:w="0" w:type="dxa"/>
            <w:vAlign w:val="bottom"/>
          </w:tcPr>
          <w:p>
            <w:pPr>
              <w:spacing w:after="0"/>
              <w:rPr>
                <w:sz w:val="1"/>
                <w:szCs w:val="1"/>
                <w:color w:val="auto"/>
              </w:rPr>
            </w:pPr>
          </w:p>
        </w:tc>
      </w:tr>
      <w:tr>
        <w:trPr>
          <w:trHeight w:val="194"/>
        </w:trPr>
        <w:tc>
          <w:tcPr>
            <w:tcW w:w="754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7,315</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7,694</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Repurchase and cancellation of Common Stock and warrants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(320,562)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Payment of Common Stock issuance costs</w:t>
            </w:r>
          </w:p>
        </w:tc>
        <w:tc>
          <w:tcPr>
            <w:tcW w:w="1100" w:type="dxa"/>
            <w:vAlign w:val="bottom"/>
            <w:shd w:val="clear" w:color="auto" w:fill="DBDBDB"/>
          </w:tcPr>
          <w:p>
            <w:pPr>
              <w:spacing w:after="0"/>
              <w:rPr>
                <w:sz w:val="17"/>
                <w:szCs w:val="17"/>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(4,222)</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Receipts from borrowings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551,063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2,735,793</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Payment of financing costs</w:t>
            </w:r>
          </w:p>
        </w:tc>
        <w:tc>
          <w:tcPr>
            <w:tcW w:w="1100" w:type="dxa"/>
            <w:vAlign w:val="bottom"/>
            <w:shd w:val="clear" w:color="auto" w:fill="DBDBDB"/>
          </w:tcPr>
          <w:p>
            <w:pPr>
              <w:spacing w:after="0"/>
              <w:rPr>
                <w:sz w:val="17"/>
                <w:szCs w:val="17"/>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(64,552)</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Repayment of borrowings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(423,591)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(2,715,042)</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Payment of debt extinguishment premium costs</w:t>
            </w:r>
          </w:p>
        </w:tc>
        <w:tc>
          <w:tcPr>
            <w:tcW w:w="11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(3,705)</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(34,610)</w:t>
            </w:r>
          </w:p>
        </w:tc>
        <w:tc>
          <w:tcPr>
            <w:tcW w:w="0" w:type="dxa"/>
            <w:vAlign w:val="bottom"/>
          </w:tcPr>
          <w:p>
            <w:pPr>
              <w:spacing w:after="0"/>
              <w:rPr>
                <w:sz w:val="1"/>
                <w:szCs w:val="1"/>
                <w:color w:val="auto"/>
              </w:rPr>
            </w:pPr>
          </w:p>
        </w:tc>
      </w:tr>
      <w:tr>
        <w:trPr>
          <w:trHeight w:val="194"/>
        </w:trPr>
        <w:tc>
          <w:tcPr>
            <w:tcW w:w="7540" w:type="dxa"/>
            <w:vAlign w:val="bottom"/>
          </w:tcPr>
          <w:p>
            <w:pPr>
              <w:ind w:left="400"/>
              <w:spacing w:after="0"/>
              <w:rPr>
                <w:sz w:val="20"/>
                <w:szCs w:val="20"/>
                <w:color w:val="auto"/>
              </w:rPr>
            </w:pPr>
            <w:r>
              <w:rPr>
                <w:rFonts w:ascii="Arial" w:cs="Arial" w:eastAsia="Arial" w:hAnsi="Arial"/>
                <w:sz w:val="15"/>
                <w:szCs w:val="15"/>
                <w:color w:val="auto"/>
              </w:rPr>
              <w:t>Principal payments on finance lease obligations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(12,321)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Taxes paid on employee stock awards</w:t>
            </w:r>
          </w:p>
        </w:tc>
        <w:tc>
          <w:tcPr>
            <w:tcW w:w="1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(7,134)</w:t>
            </w:r>
          </w:p>
        </w:tc>
        <w:tc>
          <w:tcPr>
            <w:tcW w:w="8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(673)</w:t>
            </w:r>
          </w:p>
        </w:tc>
        <w:tc>
          <w:tcPr>
            <w:tcW w:w="0" w:type="dxa"/>
            <w:vAlign w:val="bottom"/>
          </w:tcPr>
          <w:p>
            <w:pPr>
              <w:spacing w:after="0"/>
              <w:rPr>
                <w:sz w:val="1"/>
                <w:szCs w:val="1"/>
                <w:color w:val="auto"/>
              </w:rPr>
            </w:pPr>
          </w:p>
        </w:tc>
      </w:tr>
      <w:tr>
        <w:trPr>
          <w:trHeight w:val="186"/>
        </w:trPr>
        <w:tc>
          <w:tcPr>
            <w:tcW w:w="7540" w:type="dxa"/>
            <w:vAlign w:val="bottom"/>
          </w:tcPr>
          <w:p>
            <w:pPr>
              <w:ind w:left="500"/>
              <w:spacing w:after="0"/>
              <w:rPr>
                <w:sz w:val="20"/>
                <w:szCs w:val="20"/>
                <w:color w:val="auto"/>
              </w:rPr>
            </w:pPr>
            <w:r>
              <w:rPr>
                <w:rFonts w:ascii="Arial" w:cs="Arial" w:eastAsia="Arial" w:hAnsi="Arial"/>
                <w:sz w:val="15"/>
                <w:szCs w:val="15"/>
                <w:color w:val="auto"/>
              </w:rPr>
              <w:t>Net cash used in financing activities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(208,935)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(75,612)</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(150)</w:t>
            </w:r>
          </w:p>
        </w:tc>
        <w:tc>
          <w:tcPr>
            <w:tcW w:w="8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542</w:t>
            </w:r>
          </w:p>
        </w:tc>
        <w:tc>
          <w:tcPr>
            <w:tcW w:w="0" w:type="dxa"/>
            <w:vAlign w:val="bottom"/>
          </w:tcPr>
          <w:p>
            <w:pPr>
              <w:spacing w:after="0"/>
              <w:rPr>
                <w:sz w:val="1"/>
                <w:szCs w:val="1"/>
                <w:color w:val="auto"/>
              </w:rPr>
            </w:pPr>
          </w:p>
        </w:tc>
      </w:tr>
      <w:tr>
        <w:trPr>
          <w:trHeight w:val="186"/>
        </w:trPr>
        <w:tc>
          <w:tcPr>
            <w:tcW w:w="7540" w:type="dxa"/>
            <w:vAlign w:val="bottom"/>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(13,620)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16,952</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24,937</w:t>
            </w:r>
          </w:p>
        </w:tc>
        <w:tc>
          <w:tcPr>
            <w:tcW w:w="8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3,045</w:t>
            </w:r>
          </w:p>
        </w:tc>
        <w:tc>
          <w:tcPr>
            <w:tcW w:w="0" w:type="dxa"/>
            <w:vAlign w:val="bottom"/>
          </w:tcPr>
          <w:p>
            <w:pPr>
              <w:spacing w:after="0"/>
              <w:rPr>
                <w:sz w:val="1"/>
                <w:szCs w:val="1"/>
                <w:color w:val="auto"/>
              </w:rPr>
            </w:pPr>
          </w:p>
        </w:tc>
      </w:tr>
      <w:tr>
        <w:trPr>
          <w:trHeight w:val="186"/>
        </w:trPr>
        <w:tc>
          <w:tcPr>
            <w:tcW w:w="7540" w:type="dxa"/>
            <w:vAlign w:val="bottom"/>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100" w:type="dxa"/>
            <w:vAlign w:val="bottom"/>
            <w:tcBorders>
              <w:bottom w:val="single" w:sz="8" w:color="auto"/>
            </w:tcBorders>
          </w:tcPr>
          <w:p>
            <w:pPr>
              <w:jc w:val="right"/>
              <w:ind w:right="92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11,317</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19,997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5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540" w:type="dxa"/>
            <w:vAlign w:val="bottom"/>
          </w:tcPr>
          <w:p>
            <w:pPr>
              <w:ind w:left="20"/>
              <w:spacing w:after="0"/>
              <w:rPr>
                <w:sz w:val="20"/>
                <w:szCs w:val="20"/>
                <w:color w:val="auto"/>
              </w:rPr>
            </w:pPr>
            <w:r>
              <w:rPr>
                <w:rFonts w:ascii="Arial" w:cs="Arial" w:eastAsia="Arial" w:hAnsi="Arial"/>
                <w:sz w:val="15"/>
                <w:szCs w:val="15"/>
                <w:color w:val="auto"/>
              </w:rPr>
              <w:t>Supplemental cash flow information:</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paid</w:t>
            </w:r>
          </w:p>
        </w:tc>
        <w:tc>
          <w:tcPr>
            <w:tcW w:w="1100" w:type="dxa"/>
            <w:vAlign w:val="bottom"/>
            <w:shd w:val="clear" w:color="auto" w:fill="DBDBDB"/>
          </w:tcPr>
          <w:p>
            <w:pPr>
              <w:jc w:val="right"/>
              <w:ind w:right="926"/>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66,437</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jc w:val="right"/>
              <w:ind w:right="26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80,558</w:t>
            </w:r>
          </w:p>
        </w:tc>
        <w:tc>
          <w:tcPr>
            <w:tcW w:w="0" w:type="dxa"/>
            <w:vAlign w:val="bottom"/>
          </w:tcPr>
          <w:p>
            <w:pPr>
              <w:spacing w:after="0"/>
              <w:rPr>
                <w:sz w:val="1"/>
                <w:szCs w:val="1"/>
                <w:color w:val="auto"/>
              </w:rPr>
            </w:pPr>
          </w:p>
        </w:tc>
      </w:tr>
      <w:tr>
        <w:trPr>
          <w:trHeight w:val="194"/>
        </w:trPr>
        <w:tc>
          <w:tcPr>
            <w:tcW w:w="7540" w:type="dxa"/>
            <w:vAlign w:val="bottom"/>
          </w:tcPr>
          <w:p>
            <w:pPr>
              <w:ind w:left="220"/>
              <w:spacing w:after="0"/>
              <w:rPr>
                <w:sz w:val="20"/>
                <w:szCs w:val="20"/>
                <w:color w:val="auto"/>
              </w:rPr>
            </w:pPr>
            <w:r>
              <w:rPr>
                <w:rFonts w:ascii="Arial" w:cs="Arial" w:eastAsia="Arial" w:hAnsi="Arial"/>
                <w:sz w:val="15"/>
                <w:szCs w:val="15"/>
                <w:color w:val="auto"/>
              </w:rPr>
              <w:t>Income taxes paid, net</w:t>
            </w:r>
          </w:p>
        </w:tc>
        <w:tc>
          <w:tcPr>
            <w:tcW w:w="1100" w:type="dxa"/>
            <w:vAlign w:val="bottom"/>
          </w:tcPr>
          <w:p>
            <w:pPr>
              <w:jc w:val="right"/>
              <w:ind w:right="926"/>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6,124</w:t>
            </w:r>
          </w:p>
        </w:tc>
        <w:tc>
          <w:tcPr>
            <w:tcW w:w="80" w:type="dxa"/>
            <w:vAlign w:val="bottom"/>
          </w:tcPr>
          <w:p>
            <w:pPr>
              <w:spacing w:after="0"/>
              <w:rPr>
                <w:sz w:val="16"/>
                <w:szCs w:val="16"/>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1,276</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100" w:type="dxa"/>
            <w:vAlign w:val="bottom"/>
            <w:shd w:val="clear" w:color="auto" w:fill="DBDBDB"/>
          </w:tcPr>
          <w:p>
            <w:pPr>
              <w:jc w:val="right"/>
              <w:ind w:right="926"/>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35,819</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jc w:val="right"/>
              <w:ind w:right="26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24,179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See the accompanying notes which are an integral part of these condensed consolidated financial statements.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color w:val="1D2758"/>
        </w:rPr>
        <w:t>WillScot Mobile Mini Holdings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1D2758"/>
        </w:rPr>
        <w:t>Notes to the Condensed Consolidated Financial Statements (Unaudited)</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1D2758"/>
        </w:rPr>
        <w:t>NOTE 1 - Summary of Significant Accounting Policies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Organization and Nature of Operations</w:t>
      </w:r>
    </w:p>
    <w:p>
      <w:pPr>
        <w:spacing w:after="0" w:line="8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WillScot Mobile Mini Holdings Corp. (“WillScot Mobile Mini” and, together with its subsidiaries, the “Company”) is a leading provider of modular space and portable storage solutions in the United States (“US”), Canada, Mexico and the United Kingdom ("UK").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UK.</w:t>
      </w:r>
    </w:p>
    <w:p>
      <w:pPr>
        <w:spacing w:after="0" w:line="45"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On July 1, 2020, WillScot Corporation, a Delaware corporation (“WillScot”), and Mobile Mini, Inc. (“Mobile Mini”) merged (the “Merger”).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Common Stock, par value $0.0001 per share, of WillScot Mobile Mini ("WillScot Mobile Mini Common Stock"). The WillScot Class A Common Stock was listed on the Nasdaq Capital Market (Nasdaq: WSC) up until the Merger, and the WillScot Mobile Mini Common Stock has been listed on the Nasdaq Capital Market (Nasdaq: WSC) since the Merger. As used herein, the term “Common Stock” or “the Company’s Common Stock” refers to WillScot Class A Common Stock prior to filing of the A&amp;R Charter on July 1, 2020 and to WillScot Mobile Mini Common Stock as of and following the filing of the A&amp;R Charter July 1, 2020.</w:t>
      </w:r>
    </w:p>
    <w:p>
      <w:pPr>
        <w:spacing w:after="0" w:line="4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preparation of financial statements in accordance with US Generally Accepted Accounting Principles (“GAAP”) requires that our condensed consolidated financial statements and most of the disclosures in these notes be presented on a historical basis. Unless the context otherwise requires, the terms “Company” and “WillScot Mobile Mini” as used in these financial statements mean WillScot and its subsidiaries when referring to periods prior to July 1, 2020 (prior to the Merger) and to WillScot Mobile Mini, when referring to periods on or after July 1, 2020 (after the Merger).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8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Quarterly Report on Form 10-Q and do not include all the information and notes required by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necessary to present fairly the financial position, results of operations and cash flows for the interim periods presented.</w:t>
      </w:r>
    </w:p>
    <w:p>
      <w:pPr>
        <w:spacing w:after="0" w:line="4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4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results of operations for the nine months ended September 30, 2021 are not necessarily indicative of the results to be expected for the full year. For further information, refer to the consolidated financial statements and notes included in the Company's Annual Report on Form 10-K/A for the year ended December 31, 2020.</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Reclassifications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and Adopted Accounting Standards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Recently Issued Accounting Standards</w:t>
      </w:r>
    </w:p>
    <w:p>
      <w:pPr>
        <w:spacing w:after="0" w:line="51"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 xml:space="preserve">In March 2020, the Financial Accounting Standards Board (“FASB”) issued Accounting Standards Update ("ASU")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which is elective, and provides for optional expedients and exceptions for applying GAAP to contracts, hedging relationships, and other transactions affected by reference rate reform if certain criteria are met. The Company is currently evaluating the impact of reference rate reform and the potential impact of adoption of these elective practical expedients on its consolidated financial statements and does not expect the impact to be material.</w:t>
      </w:r>
    </w:p>
    <w:p>
      <w:pPr>
        <w:spacing w:after="0" w:line="22"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 xml:space="preserve">In August 2020, the FASB issued ASU 2020-06, </w:t>
      </w:r>
      <w:r>
        <w:rPr>
          <w:rFonts w:ascii="Arial" w:cs="Arial" w:eastAsia="Arial" w:hAnsi="Arial"/>
          <w:sz w:val="15"/>
          <w:szCs w:val="15"/>
          <w:i w:val="1"/>
          <w:iCs w:val="1"/>
          <w:color w:val="auto"/>
        </w:rPr>
        <w:t>Debt - Debt with Conversion and Other Options (Subtopic 470-20) and Derivatives and Hedging – Contracts in</w:t>
      </w:r>
      <w:r>
        <w:rPr>
          <w:rFonts w:ascii="Arial" w:cs="Arial" w:eastAsia="Arial" w:hAnsi="Arial"/>
          <w:sz w:val="15"/>
          <w:szCs w:val="15"/>
          <w:color w:val="auto"/>
        </w:rPr>
        <w:t xml:space="preserve"> </w:t>
      </w:r>
      <w:r>
        <w:rPr>
          <w:rFonts w:ascii="Arial" w:cs="Arial" w:eastAsia="Arial" w:hAnsi="Arial"/>
          <w:sz w:val="15"/>
          <w:szCs w:val="15"/>
          <w:i w:val="1"/>
          <w:iCs w:val="1"/>
          <w:color w:val="auto"/>
        </w:rPr>
        <w:t>Entity’s Own Equity (Subtopic 815-40)</w:t>
      </w:r>
      <w:r>
        <w:rPr>
          <w:rFonts w:ascii="Arial" w:cs="Arial" w:eastAsia="Arial" w:hAnsi="Arial"/>
          <w:sz w:val="15"/>
          <w:szCs w:val="15"/>
          <w:color w:val="auto"/>
        </w:rPr>
        <w:t>. The new ASU eliminates the beneficial conversion and cash conversion accounting models for convertible instruments. It also</w:t>
      </w:r>
      <w:r>
        <w:rPr>
          <w:rFonts w:ascii="Arial" w:cs="Arial" w:eastAsia="Arial" w:hAnsi="Arial"/>
          <w:sz w:val="15"/>
          <w:szCs w:val="15"/>
          <w:i w:val="1"/>
          <w:iCs w:val="1"/>
          <w:color w:val="auto"/>
        </w:rPr>
        <w:t xml:space="preserve"> </w:t>
      </w:r>
      <w:r>
        <w:rPr>
          <w:rFonts w:ascii="Arial" w:cs="Arial" w:eastAsia="Arial" w:hAnsi="Arial"/>
          <w:sz w:val="15"/>
          <w:szCs w:val="15"/>
          <w:color w:val="auto"/>
        </w:rPr>
        <w:t>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The amendments in the ASU are effective for public entities for fiscal years beginning after December 15, 2021, including interim periods within those fiscal years. The Company does not expect the adoption of this pronouncement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i w:val="1"/>
          <w:iCs w:val="1"/>
          <w:color w:val="1D2758"/>
        </w:rPr>
        <w:t>Recently Adopted Accounting Standards</w:t>
      </w:r>
    </w:p>
    <w:p>
      <w:pPr>
        <w:spacing w:after="0" w:line="51"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which removes certain exceptions to the general principles for income taxes and also improves consistent application of accounting by clarifying or amending existing guidance. On January 1, 2021, the Company adopted ASU 2019-12 and the impact of adoption was not material to the Company's consolidated financial statements. The Company applied the standard prospectively for intraperiod tax allocation, year-to-date losses that exceed anticipated annual losses and enacted changes in tax laws.</w:t>
      </w: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color w:val="1D2758"/>
        </w:rPr>
        <w:t>NOTE 2 - Acquisitions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Mobile Mini Merger</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Purchase Price</w:t>
      </w:r>
    </w:p>
    <w:p>
      <w:pPr>
        <w:spacing w:after="0" w:line="6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Upon completion of the Merger on July 1, 2020, each issued and outstanding share of Mobile Mini Common Stock, par value $0.01 per share, converted to 2.405 shares of WillScot Class A Common Stock, par value $0.0001 per share, and cash in lieu of any fractional shares. The Company issued 106,426,721 shares of Class A Common Stock to Mobile Mini stockholders as consideration for the Merger. The trading price of the Class A Common Stock was $12.53 per share on the closing date. In addition, Mobile Mini stock options converted into WillScot Mobile Mini stock options. The purchase price was determined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460" w:type="dxa"/>
            <w:vAlign w:val="bottom"/>
            <w:shd w:val="clear" w:color="auto" w:fill="1D2758"/>
          </w:tcPr>
          <w:p>
            <w:pPr>
              <w:spacing w:after="0"/>
              <w:rPr>
                <w:sz w:val="17"/>
                <w:szCs w:val="17"/>
                <w:color w:val="auto"/>
              </w:rPr>
            </w:pPr>
          </w:p>
        </w:tc>
        <w:tc>
          <w:tcPr>
            <w:tcW w:w="2000" w:type="dxa"/>
            <w:vAlign w:val="bottom"/>
            <w:shd w:val="clear" w:color="auto" w:fill="1D2758"/>
          </w:tcPr>
          <w:p>
            <w:pPr>
              <w:jc w:val="right"/>
              <w:ind w:right="746"/>
              <w:spacing w:after="0"/>
              <w:rPr>
                <w:sz w:val="20"/>
                <w:szCs w:val="20"/>
                <w:color w:val="auto"/>
              </w:rPr>
            </w:pPr>
            <w:r>
              <w:rPr>
                <w:rFonts w:ascii="Arial" w:cs="Arial" w:eastAsia="Arial" w:hAnsi="Arial"/>
                <w:sz w:val="15"/>
                <w:szCs w:val="15"/>
                <w:b w:val="1"/>
                <w:bCs w:val="1"/>
                <w:color w:val="FFFFFF"/>
              </w:rPr>
              <w:t>July 1, 2020</w:t>
            </w:r>
          </w:p>
        </w:tc>
      </w:tr>
      <w:tr>
        <w:trPr>
          <w:trHeight w:val="197"/>
        </w:trPr>
        <w:tc>
          <w:tcPr>
            <w:tcW w:w="8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Mobile Mini Common Stock outstanding</w:t>
            </w:r>
          </w:p>
        </w:tc>
        <w:tc>
          <w:tcPr>
            <w:tcW w:w="46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44,252,275</w:t>
            </w:r>
          </w:p>
        </w:tc>
      </w:tr>
      <w:tr>
        <w:trPr>
          <w:trHeight w:val="194"/>
        </w:trPr>
        <w:tc>
          <w:tcPr>
            <w:tcW w:w="8780" w:type="dxa"/>
            <w:vAlign w:val="bottom"/>
          </w:tcPr>
          <w:p>
            <w:pPr>
              <w:ind w:left="20"/>
              <w:spacing w:after="0"/>
              <w:rPr>
                <w:sz w:val="20"/>
                <w:szCs w:val="20"/>
                <w:color w:val="auto"/>
              </w:rPr>
            </w:pPr>
            <w:r>
              <w:rPr>
                <w:rFonts w:ascii="Arial" w:cs="Arial" w:eastAsia="Arial" w:hAnsi="Arial"/>
                <w:sz w:val="15"/>
                <w:szCs w:val="15"/>
                <w:color w:val="auto"/>
              </w:rPr>
              <w:t>Share conversion ratio</w:t>
            </w:r>
          </w:p>
        </w:tc>
        <w:tc>
          <w:tcPr>
            <w:tcW w:w="4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2.405</w:t>
            </w:r>
          </w:p>
        </w:tc>
      </w:tr>
      <w:tr>
        <w:trPr>
          <w:trHeight w:val="199"/>
        </w:trPr>
        <w:tc>
          <w:tcPr>
            <w:tcW w:w="8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Common Stock issued</w:t>
            </w:r>
          </w:p>
        </w:tc>
        <w:tc>
          <w:tcPr>
            <w:tcW w:w="46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106,426,721</w:t>
            </w:r>
          </w:p>
        </w:tc>
      </w:tr>
      <w:tr>
        <w:trPr>
          <w:trHeight w:val="194"/>
        </w:trPr>
        <w:tc>
          <w:tcPr>
            <w:tcW w:w="87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Common Stock per share price as of July 1, 2020</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12.53</w:t>
            </w:r>
          </w:p>
        </w:tc>
      </w:tr>
      <w:tr>
        <w:trPr>
          <w:trHeight w:val="192"/>
        </w:trPr>
        <w:tc>
          <w:tcPr>
            <w:tcW w:w="8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of shares of WillScot Class A Common Stock issued</w:t>
            </w:r>
          </w:p>
        </w:tc>
        <w:tc>
          <w:tcPr>
            <w:tcW w:w="460" w:type="dxa"/>
            <w:vAlign w:val="bottom"/>
            <w:shd w:val="clear" w:color="auto" w:fill="DBDBDB"/>
          </w:tcPr>
          <w:p>
            <w:pPr>
              <w:jc w:val="right"/>
              <w:ind w:right="286"/>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1,333,527</w:t>
            </w:r>
          </w:p>
        </w:tc>
      </w:tr>
      <w:tr>
        <w:trPr>
          <w:trHeight w:val="194"/>
        </w:trPr>
        <w:tc>
          <w:tcPr>
            <w:tcW w:w="8780" w:type="dxa"/>
            <w:vAlign w:val="bottom"/>
          </w:tcPr>
          <w:p>
            <w:pPr>
              <w:ind w:left="220"/>
              <w:spacing w:after="0"/>
              <w:rPr>
                <w:sz w:val="20"/>
                <w:szCs w:val="20"/>
                <w:color w:val="auto"/>
              </w:rPr>
            </w:pPr>
            <w:r>
              <w:rPr>
                <w:rFonts w:ascii="Arial" w:cs="Arial" w:eastAsia="Arial" w:hAnsi="Arial"/>
                <w:sz w:val="15"/>
                <w:szCs w:val="15"/>
                <w:color w:val="auto"/>
              </w:rPr>
              <w:t>Cash paid for fractional shares</w:t>
            </w:r>
          </w:p>
        </w:tc>
        <w:tc>
          <w:tcPr>
            <w:tcW w:w="4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99"/>
        </w:trPr>
        <w:tc>
          <w:tcPr>
            <w:tcW w:w="8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of Mobile Mini Options converted to WillScot Mobile Mini Options</w:t>
            </w:r>
          </w:p>
        </w:tc>
        <w:tc>
          <w:tcPr>
            <w:tcW w:w="460" w:type="dxa"/>
            <w:vAlign w:val="bottom"/>
            <w:tcBorders>
              <w:bottom w:val="single" w:sz="8" w:color="auto"/>
            </w:tcBorders>
            <w:shd w:val="clear" w:color="auto" w:fill="DBDBDB"/>
          </w:tcPr>
          <w:p>
            <w:pPr>
              <w:spacing w:after="0"/>
              <w:rPr>
                <w:sz w:val="17"/>
                <w:szCs w:val="17"/>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19,279</w:t>
            </w:r>
          </w:p>
        </w:tc>
      </w:tr>
      <w:tr>
        <w:trPr>
          <w:trHeight w:val="186"/>
        </w:trPr>
        <w:tc>
          <w:tcPr>
            <w:tcW w:w="8780" w:type="dxa"/>
            <w:vAlign w:val="bottom"/>
          </w:tcPr>
          <w:p>
            <w:pPr>
              <w:ind w:left="420"/>
              <w:spacing w:after="0"/>
              <w:rPr>
                <w:sz w:val="20"/>
                <w:szCs w:val="20"/>
                <w:color w:val="auto"/>
              </w:rPr>
            </w:pPr>
            <w:r>
              <w:rPr>
                <w:rFonts w:ascii="Arial" w:cs="Arial" w:eastAsia="Arial" w:hAnsi="Arial"/>
                <w:sz w:val="15"/>
                <w:szCs w:val="15"/>
                <w:color w:val="auto"/>
              </w:rPr>
              <w:t>Total purchase price</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1,352,836</w:t>
            </w:r>
          </w:p>
        </w:tc>
      </w:tr>
      <w:tr>
        <w:trPr>
          <w:trHeight w:val="20"/>
        </w:trPr>
        <w:tc>
          <w:tcPr>
            <w:tcW w:w="8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Merger was accounted for using the acquisition method of accounting, and WillScot was considered the accounting acquirer. Under the acquisition method of accounting, the Company assigned the purchase price to tangible and identifiable intangible assets acquired and liabilities assumed based on their fair values at the closing date. The excess of the purchase price over those fair values was recorded as goodwill.</w:t>
      </w:r>
    </w:p>
    <w:p>
      <w:pPr>
        <w:spacing w:after="0" w:line="4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Company recorded the fair values based on independent valuations, discounted cash flow analyses, quoted market prices, contributory asset charges, and estimates made by management. The following table summarizes the July 1, 2020 fair values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20"/>
                <w:szCs w:val="20"/>
                <w:color w:val="auto"/>
              </w:rPr>
            </w:pPr>
            <w:r>
              <w:rPr>
                <w:rFonts w:ascii="Arial" w:cs="Arial" w:eastAsia="Arial" w:hAnsi="Arial"/>
                <w:sz w:val="15"/>
                <w:szCs w:val="15"/>
                <w:b w:val="1"/>
                <w:bCs w:val="1"/>
                <w:i w:val="1"/>
                <w:iCs w:val="1"/>
                <w:color w:val="auto"/>
              </w:rPr>
              <w:t>Opening Balance Sheet</w:t>
            </w:r>
          </w:p>
        </w:tc>
        <w:tc>
          <w:tcPr>
            <w:tcW w:w="5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67"/>
        </w:trPr>
        <w:tc>
          <w:tcPr>
            <w:tcW w:w="8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60" w:type="dxa"/>
            <w:vAlign w:val="bottom"/>
          </w:tcPr>
          <w:p>
            <w:pPr>
              <w:spacing w:after="0"/>
              <w:rPr>
                <w:sz w:val="5"/>
                <w:szCs w:val="5"/>
                <w:color w:val="auto"/>
              </w:rPr>
            </w:pPr>
          </w:p>
        </w:tc>
      </w:tr>
      <w:tr>
        <w:trPr>
          <w:trHeight w:val="197"/>
        </w:trPr>
        <w:tc>
          <w:tcPr>
            <w:tcW w:w="8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40" w:type="dxa"/>
            <w:vAlign w:val="bottom"/>
            <w:shd w:val="clear" w:color="auto" w:fill="1D2758"/>
          </w:tcPr>
          <w:p>
            <w:pPr>
              <w:spacing w:after="0"/>
              <w:rPr>
                <w:sz w:val="17"/>
                <w:szCs w:val="17"/>
                <w:color w:val="auto"/>
              </w:rPr>
            </w:pPr>
          </w:p>
        </w:tc>
        <w:tc>
          <w:tcPr>
            <w:tcW w:w="2260" w:type="dxa"/>
            <w:vAlign w:val="bottom"/>
            <w:shd w:val="clear" w:color="auto" w:fill="1D2758"/>
          </w:tcPr>
          <w:p>
            <w:pPr>
              <w:jc w:val="right"/>
              <w:ind w:right="906"/>
              <w:spacing w:after="0"/>
              <w:rPr>
                <w:sz w:val="20"/>
                <w:szCs w:val="20"/>
                <w:color w:val="auto"/>
              </w:rPr>
            </w:pPr>
            <w:r>
              <w:rPr>
                <w:rFonts w:ascii="Arial" w:cs="Arial" w:eastAsia="Arial" w:hAnsi="Arial"/>
                <w:sz w:val="15"/>
                <w:szCs w:val="15"/>
                <w:b w:val="1"/>
                <w:bCs w:val="1"/>
                <w:color w:val="FFFFFF"/>
              </w:rPr>
              <w:t>July 1, 2020</w:t>
            </w:r>
          </w:p>
        </w:tc>
      </w:tr>
      <w:tr>
        <w:trPr>
          <w:trHeight w:val="197"/>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and cash equivalents</w:t>
            </w:r>
          </w:p>
        </w:tc>
        <w:tc>
          <w:tcPr>
            <w:tcW w:w="540" w:type="dxa"/>
            <w:vAlign w:val="bottom"/>
            <w:shd w:val="clear" w:color="auto" w:fill="DBDBDB"/>
          </w:tcPr>
          <w:p>
            <w:pPr>
              <w:jc w:val="right"/>
              <w:ind w:right="366"/>
              <w:spacing w:after="0"/>
              <w:rPr>
                <w:sz w:val="20"/>
                <w:szCs w:val="20"/>
                <w:color w:val="auto"/>
              </w:rPr>
            </w:pPr>
            <w:r>
              <w:rPr>
                <w:rFonts w:ascii="Arial" w:cs="Arial" w:eastAsia="Arial" w:hAnsi="Arial"/>
                <w:sz w:val="15"/>
                <w:szCs w:val="15"/>
                <w:color w:val="auto"/>
                <w:w w:val="95"/>
              </w:rPr>
              <w:t>$</w:t>
            </w: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17,203</w:t>
            </w:r>
          </w:p>
        </w:tc>
      </w:tr>
      <w:tr>
        <w:trPr>
          <w:trHeight w:val="194"/>
        </w:trPr>
        <w:tc>
          <w:tcPr>
            <w:tcW w:w="8440" w:type="dxa"/>
            <w:vAlign w:val="bottom"/>
          </w:tcPr>
          <w:p>
            <w:pPr>
              <w:ind w:left="20"/>
              <w:spacing w:after="0"/>
              <w:rPr>
                <w:sz w:val="20"/>
                <w:szCs w:val="20"/>
                <w:color w:val="auto"/>
              </w:rPr>
            </w:pPr>
            <w:r>
              <w:rPr>
                <w:rFonts w:ascii="Arial" w:cs="Arial" w:eastAsia="Arial" w:hAnsi="Arial"/>
                <w:sz w:val="15"/>
                <w:szCs w:val="15"/>
                <w:color w:val="auto"/>
              </w:rPr>
              <w:t>Trade receivables</w:t>
            </w:r>
          </w:p>
        </w:tc>
        <w:tc>
          <w:tcPr>
            <w:tcW w:w="5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color w:val="auto"/>
              </w:rPr>
              <w:t>87,492</w:t>
            </w:r>
          </w:p>
        </w:tc>
      </w:tr>
      <w:tr>
        <w:trPr>
          <w:trHeight w:val="199"/>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Inventories</w:t>
            </w:r>
          </w:p>
        </w:tc>
        <w:tc>
          <w:tcPr>
            <w:tcW w:w="540" w:type="dxa"/>
            <w:vAlign w:val="bottom"/>
            <w:shd w:val="clear" w:color="auto" w:fill="DBDBDB"/>
          </w:tcPr>
          <w:p>
            <w:pPr>
              <w:spacing w:after="0"/>
              <w:rPr>
                <w:sz w:val="17"/>
                <w:szCs w:val="17"/>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8,987</w:t>
            </w:r>
          </w:p>
        </w:tc>
      </w:tr>
      <w:tr>
        <w:trPr>
          <w:trHeight w:val="194"/>
        </w:trPr>
        <w:tc>
          <w:tcPr>
            <w:tcW w:w="8440" w:type="dxa"/>
            <w:vAlign w:val="bottom"/>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5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color w:val="auto"/>
              </w:rPr>
              <w:t>13,717</w:t>
            </w:r>
          </w:p>
        </w:tc>
      </w:tr>
      <w:tr>
        <w:trPr>
          <w:trHeight w:val="199"/>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Rental equipment</w:t>
            </w:r>
          </w:p>
        </w:tc>
        <w:tc>
          <w:tcPr>
            <w:tcW w:w="540" w:type="dxa"/>
            <w:vAlign w:val="bottom"/>
            <w:shd w:val="clear" w:color="auto" w:fill="DBDBDB"/>
          </w:tcPr>
          <w:p>
            <w:pPr>
              <w:spacing w:after="0"/>
              <w:rPr>
                <w:sz w:val="17"/>
                <w:szCs w:val="17"/>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1,032,672</w:t>
            </w:r>
          </w:p>
        </w:tc>
      </w:tr>
      <w:tr>
        <w:trPr>
          <w:trHeight w:val="194"/>
        </w:trPr>
        <w:tc>
          <w:tcPr>
            <w:tcW w:w="8440" w:type="dxa"/>
            <w:vAlign w:val="bottom"/>
          </w:tcPr>
          <w:p>
            <w:pPr>
              <w:ind w:left="20"/>
              <w:spacing w:after="0"/>
              <w:rPr>
                <w:sz w:val="20"/>
                <w:szCs w:val="20"/>
                <w:color w:val="auto"/>
              </w:rPr>
            </w:pPr>
            <w:r>
              <w:rPr>
                <w:rFonts w:ascii="Arial" w:cs="Arial" w:eastAsia="Arial" w:hAnsi="Arial"/>
                <w:sz w:val="15"/>
                <w:szCs w:val="15"/>
                <w:color w:val="auto"/>
              </w:rPr>
              <w:t>Property, plant and equipment</w:t>
            </w:r>
          </w:p>
        </w:tc>
        <w:tc>
          <w:tcPr>
            <w:tcW w:w="5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color w:val="auto"/>
              </w:rPr>
              <w:t>160,729</w:t>
            </w:r>
          </w:p>
        </w:tc>
      </w:tr>
      <w:tr>
        <w:trPr>
          <w:trHeight w:val="199"/>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lease assets</w:t>
            </w:r>
          </w:p>
        </w:tc>
        <w:tc>
          <w:tcPr>
            <w:tcW w:w="540" w:type="dxa"/>
            <w:vAlign w:val="bottom"/>
            <w:shd w:val="clear" w:color="auto" w:fill="DBDBDB"/>
          </w:tcPr>
          <w:p>
            <w:pPr>
              <w:spacing w:after="0"/>
              <w:rPr>
                <w:sz w:val="17"/>
                <w:szCs w:val="17"/>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92,054</w:t>
            </w:r>
          </w:p>
        </w:tc>
      </w:tr>
      <w:tr>
        <w:trPr>
          <w:trHeight w:val="194"/>
        </w:trPr>
        <w:tc>
          <w:tcPr>
            <w:tcW w:w="8440" w:type="dxa"/>
            <w:vAlign w:val="bottom"/>
          </w:tcPr>
          <w:p>
            <w:pPr>
              <w:ind w:left="20"/>
              <w:spacing w:after="0"/>
              <w:rPr>
                <w:sz w:val="20"/>
                <w:szCs w:val="20"/>
                <w:color w:val="auto"/>
              </w:rPr>
            </w:pPr>
            <w:r>
              <w:rPr>
                <w:rFonts w:ascii="Arial" w:cs="Arial" w:eastAsia="Arial" w:hAnsi="Arial"/>
                <w:sz w:val="15"/>
                <w:szCs w:val="15"/>
                <w:color w:val="auto"/>
              </w:rPr>
              <w:t>Intangible assets</w:t>
            </w:r>
          </w:p>
        </w:tc>
        <w:tc>
          <w:tcPr>
            <w:tcW w:w="5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color w:val="auto"/>
              </w:rPr>
              <w:t>374,500</w:t>
            </w:r>
          </w:p>
        </w:tc>
      </w:tr>
      <w:tr>
        <w:trPr>
          <w:trHeight w:val="199"/>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Goodwill identified</w:t>
            </w:r>
          </w:p>
        </w:tc>
        <w:tc>
          <w:tcPr>
            <w:tcW w:w="540" w:type="dxa"/>
            <w:vAlign w:val="bottom"/>
            <w:shd w:val="clear" w:color="auto" w:fill="DBDBDB"/>
          </w:tcPr>
          <w:p>
            <w:pPr>
              <w:spacing w:after="0"/>
              <w:rPr>
                <w:sz w:val="17"/>
                <w:szCs w:val="17"/>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937,135</w:t>
            </w:r>
          </w:p>
        </w:tc>
      </w:tr>
      <w:tr>
        <w:trPr>
          <w:trHeight w:val="194"/>
        </w:trPr>
        <w:tc>
          <w:tcPr>
            <w:tcW w:w="84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Other non-current assets</w:t>
            </w: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2,520</w:t>
            </w:r>
          </w:p>
        </w:tc>
      </w:tr>
      <w:tr>
        <w:trPr>
          <w:trHeight w:val="192"/>
        </w:trPr>
        <w:tc>
          <w:tcPr>
            <w:tcW w:w="8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identifiable assets acquired</w:t>
            </w:r>
          </w:p>
        </w:tc>
        <w:tc>
          <w:tcPr>
            <w:tcW w:w="540" w:type="dxa"/>
            <w:vAlign w:val="bottom"/>
            <w:tcBorders>
              <w:bottom w:val="single" w:sz="8" w:color="auto"/>
            </w:tcBorders>
            <w:shd w:val="clear" w:color="auto" w:fill="DBDBDB"/>
          </w:tcPr>
          <w:p>
            <w:pPr>
              <w:spacing w:after="0"/>
              <w:rPr>
                <w:sz w:val="16"/>
                <w:szCs w:val="16"/>
                <w:color w:val="auto"/>
              </w:rPr>
            </w:pPr>
          </w:p>
        </w:tc>
        <w:tc>
          <w:tcPr>
            <w:tcW w:w="2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2,727,009</w:t>
            </w:r>
          </w:p>
        </w:tc>
      </w:tr>
      <w:tr>
        <w:trPr>
          <w:trHeight w:val="186"/>
        </w:trPr>
        <w:tc>
          <w:tcPr>
            <w:tcW w:w="844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5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color w:val="auto"/>
              </w:rPr>
              <w:t>(29,797)</w:t>
            </w:r>
          </w:p>
        </w:tc>
      </w:tr>
      <w:tr>
        <w:trPr>
          <w:trHeight w:val="199"/>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Accrued expenses</w:t>
            </w:r>
          </w:p>
        </w:tc>
        <w:tc>
          <w:tcPr>
            <w:tcW w:w="540" w:type="dxa"/>
            <w:vAlign w:val="bottom"/>
            <w:shd w:val="clear" w:color="auto" w:fill="DBDBDB"/>
          </w:tcPr>
          <w:p>
            <w:pPr>
              <w:spacing w:after="0"/>
              <w:rPr>
                <w:sz w:val="17"/>
                <w:szCs w:val="17"/>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(40,335)</w:t>
            </w:r>
          </w:p>
        </w:tc>
      </w:tr>
      <w:tr>
        <w:trPr>
          <w:trHeight w:val="194"/>
        </w:trPr>
        <w:tc>
          <w:tcPr>
            <w:tcW w:w="8440" w:type="dxa"/>
            <w:vAlign w:val="bottom"/>
          </w:tcPr>
          <w:p>
            <w:pPr>
              <w:ind w:left="20"/>
              <w:spacing w:after="0"/>
              <w:rPr>
                <w:sz w:val="20"/>
                <w:szCs w:val="20"/>
                <w:color w:val="auto"/>
              </w:rPr>
            </w:pPr>
            <w:r>
              <w:rPr>
                <w:rFonts w:ascii="Arial" w:cs="Arial" w:eastAsia="Arial" w:hAnsi="Arial"/>
                <w:sz w:val="15"/>
                <w:szCs w:val="15"/>
                <w:color w:val="auto"/>
              </w:rPr>
              <w:t>Deferred revenue and customer deposits</w:t>
            </w:r>
          </w:p>
        </w:tc>
        <w:tc>
          <w:tcPr>
            <w:tcW w:w="5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color w:val="auto"/>
              </w:rPr>
              <w:t>(38,846)</w:t>
            </w:r>
          </w:p>
        </w:tc>
      </w:tr>
      <w:tr>
        <w:trPr>
          <w:trHeight w:val="199"/>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lease liabilities</w:t>
            </w:r>
          </w:p>
        </w:tc>
        <w:tc>
          <w:tcPr>
            <w:tcW w:w="540" w:type="dxa"/>
            <w:vAlign w:val="bottom"/>
            <w:shd w:val="clear" w:color="auto" w:fill="DBDBDB"/>
          </w:tcPr>
          <w:p>
            <w:pPr>
              <w:spacing w:after="0"/>
              <w:rPr>
                <w:sz w:val="17"/>
                <w:szCs w:val="17"/>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(89,968)</w:t>
            </w:r>
          </w:p>
        </w:tc>
      </w:tr>
      <w:tr>
        <w:trPr>
          <w:trHeight w:val="194"/>
        </w:trPr>
        <w:tc>
          <w:tcPr>
            <w:tcW w:w="8440" w:type="dxa"/>
            <w:vAlign w:val="bottom"/>
          </w:tcPr>
          <w:p>
            <w:pPr>
              <w:ind w:left="20"/>
              <w:spacing w:after="0"/>
              <w:rPr>
                <w:sz w:val="20"/>
                <w:szCs w:val="20"/>
                <w:color w:val="auto"/>
              </w:rPr>
            </w:pPr>
            <w:r>
              <w:rPr>
                <w:rFonts w:ascii="Arial" w:cs="Arial" w:eastAsia="Arial" w:hAnsi="Arial"/>
                <w:sz w:val="15"/>
                <w:szCs w:val="15"/>
                <w:color w:val="auto"/>
              </w:rPr>
              <w:t>Debt and finance lease liabilities</w:t>
            </w:r>
          </w:p>
        </w:tc>
        <w:tc>
          <w:tcPr>
            <w:tcW w:w="5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color w:val="auto"/>
              </w:rPr>
              <w:t>(897,244)</w:t>
            </w:r>
          </w:p>
        </w:tc>
      </w:tr>
      <w:tr>
        <w:trPr>
          <w:trHeight w:val="199"/>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Deferred tax liabilities</w:t>
            </w:r>
          </w:p>
        </w:tc>
        <w:tc>
          <w:tcPr>
            <w:tcW w:w="540" w:type="dxa"/>
            <w:vAlign w:val="bottom"/>
            <w:shd w:val="clear" w:color="auto" w:fill="DBDBDB"/>
          </w:tcPr>
          <w:p>
            <w:pPr>
              <w:spacing w:after="0"/>
              <w:rPr>
                <w:sz w:val="17"/>
                <w:szCs w:val="17"/>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(276,555)</w:t>
            </w:r>
          </w:p>
        </w:tc>
      </w:tr>
      <w:tr>
        <w:trPr>
          <w:trHeight w:val="194"/>
        </w:trPr>
        <w:tc>
          <w:tcPr>
            <w:tcW w:w="84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Other long-term liabilities</w:t>
            </w: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(1,428)</w:t>
            </w:r>
          </w:p>
        </w:tc>
      </w:tr>
      <w:tr>
        <w:trPr>
          <w:trHeight w:val="192"/>
        </w:trPr>
        <w:tc>
          <w:tcPr>
            <w:tcW w:w="8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liabilities assumed</w:t>
            </w:r>
          </w:p>
        </w:tc>
        <w:tc>
          <w:tcPr>
            <w:tcW w:w="540" w:type="dxa"/>
            <w:vAlign w:val="bottom"/>
            <w:tcBorders>
              <w:bottom w:val="single" w:sz="8" w:color="auto"/>
            </w:tcBorders>
            <w:shd w:val="clear" w:color="auto" w:fill="DBDBDB"/>
          </w:tcPr>
          <w:p>
            <w:pPr>
              <w:spacing w:after="0"/>
              <w:rPr>
                <w:sz w:val="16"/>
                <w:szCs w:val="16"/>
                <w:color w:val="auto"/>
              </w:rPr>
            </w:pPr>
          </w:p>
        </w:tc>
        <w:tc>
          <w:tcPr>
            <w:tcW w:w="2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(1,374,173)</w:t>
            </w:r>
          </w:p>
        </w:tc>
      </w:tr>
      <w:tr>
        <w:trPr>
          <w:trHeight w:val="186"/>
        </w:trPr>
        <w:tc>
          <w:tcPr>
            <w:tcW w:w="8440" w:type="dxa"/>
            <w:vAlign w:val="bottom"/>
          </w:tcPr>
          <w:p>
            <w:pPr>
              <w:ind w:left="20"/>
              <w:spacing w:after="0"/>
              <w:rPr>
                <w:sz w:val="20"/>
                <w:szCs w:val="20"/>
                <w:color w:val="auto"/>
              </w:rPr>
            </w:pPr>
            <w:r>
              <w:rPr>
                <w:rFonts w:ascii="Arial" w:cs="Arial" w:eastAsia="Arial" w:hAnsi="Arial"/>
                <w:sz w:val="15"/>
                <w:szCs w:val="15"/>
                <w:color w:val="auto"/>
              </w:rPr>
              <w:t>Purchase Price</w:t>
            </w:r>
          </w:p>
        </w:tc>
        <w:tc>
          <w:tcPr>
            <w:tcW w:w="5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95"/>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1,352,836</w:t>
            </w:r>
          </w:p>
        </w:tc>
      </w:tr>
      <w:tr>
        <w:trPr>
          <w:trHeight w:val="20"/>
        </w:trPr>
        <w:tc>
          <w:tcPr>
            <w:tcW w:w="8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Mobile Mini generated $522.3 million of revenue and $94.3 million of pre-tax income in the nine months ended September 30, 2021, which is included in the condensed consolidated statements of operations.</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pro forma results presented below give effect to the following as if they occurred on January 1, 2019:</w:t>
      </w:r>
    </w:p>
    <w:p>
      <w:pPr>
        <w:spacing w:after="0" w:line="86" w:lineRule="exact"/>
        <w:rPr>
          <w:sz w:val="20"/>
          <w:szCs w:val="20"/>
          <w:color w:val="auto"/>
        </w:rPr>
      </w:pPr>
    </w:p>
    <w:p>
      <w:pPr>
        <w:ind w:left="460" w:hanging="4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Merger;</w:t>
      </w:r>
    </w:p>
    <w:p>
      <w:pPr>
        <w:spacing w:after="0" w:line="24" w:lineRule="exact"/>
        <w:rPr>
          <w:rFonts w:ascii="Arial" w:cs="Arial" w:eastAsia="Arial" w:hAnsi="Arial"/>
          <w:sz w:val="15"/>
          <w:szCs w:val="15"/>
          <w:color w:val="auto"/>
        </w:rPr>
      </w:pPr>
    </w:p>
    <w:p>
      <w:pPr>
        <w:ind w:left="460" w:hanging="4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Borrowings under the Company's 2025 Secured Notes and 2020 ABL Facility (both as defined in Note 9) used to repay certain debt in connection with the Merger;</w:t>
      </w:r>
    </w:p>
    <w:p>
      <w:pPr>
        <w:spacing w:after="0" w:line="24" w:lineRule="exact"/>
        <w:rPr>
          <w:rFonts w:ascii="Arial" w:cs="Arial" w:eastAsia="Arial" w:hAnsi="Arial"/>
          <w:sz w:val="15"/>
          <w:szCs w:val="15"/>
          <w:color w:val="auto"/>
        </w:rPr>
      </w:pPr>
    </w:p>
    <w:p>
      <w:pPr>
        <w:ind w:left="460" w:hanging="4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Extinguishment of the Mobile Mini revolving credit facility and senior notes assumed in the Merger and immediately repaid;</w:t>
      </w:r>
    </w:p>
    <w:p>
      <w:pPr>
        <w:spacing w:after="0" w:line="24" w:lineRule="exact"/>
        <w:rPr>
          <w:rFonts w:ascii="Arial" w:cs="Arial" w:eastAsia="Arial" w:hAnsi="Arial"/>
          <w:sz w:val="15"/>
          <w:szCs w:val="15"/>
          <w:color w:val="auto"/>
        </w:rPr>
      </w:pPr>
    </w:p>
    <w:p>
      <w:pPr>
        <w:ind w:left="460" w:hanging="4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Extinguishment of WillScot's 2017 ABL Facility and WillScot's 2022 Secured Notes (both as defined in Note 9) repaid in connection with the Merger;</w:t>
      </w:r>
    </w:p>
    <w:p>
      <w:pPr>
        <w:spacing w:after="0" w:line="24" w:lineRule="exact"/>
        <w:rPr>
          <w:rFonts w:ascii="Arial" w:cs="Arial" w:eastAsia="Arial" w:hAnsi="Arial"/>
          <w:sz w:val="15"/>
          <w:szCs w:val="15"/>
          <w:color w:val="auto"/>
        </w:rPr>
      </w:pPr>
    </w:p>
    <w:p>
      <w:pPr>
        <w:ind w:left="460" w:hanging="4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Transaction costs incurred in connection with the Merger; and</w:t>
      </w:r>
    </w:p>
    <w:p>
      <w:pPr>
        <w:spacing w:after="0" w:line="24" w:lineRule="exact"/>
        <w:rPr>
          <w:rFonts w:ascii="Arial" w:cs="Arial" w:eastAsia="Arial" w:hAnsi="Arial"/>
          <w:sz w:val="15"/>
          <w:szCs w:val="15"/>
          <w:color w:val="auto"/>
        </w:rPr>
      </w:pPr>
    </w:p>
    <w:p>
      <w:pPr>
        <w:ind w:left="460" w:hanging="445"/>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Elimination of WillScot's non-controlling interest and WillScot's Class B common stock in connection with the Merger. See Note 10 for further details.</w:t>
      </w:r>
    </w:p>
    <w:p>
      <w:pPr>
        <w:spacing w:after="0" w:line="135"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pro forma information is not necessarily indicative of the Company’s results of operations had the Merger been completed on January 1, 2019, nor is it necessarily indicative of the Company’s future results. The pro forma information does not reflect any cost savings from operating efficiencies, synergies, or revenue opportunities that could result from the Merger.</w:t>
      </w:r>
    </w:p>
    <w:p>
      <w:pPr>
        <w:spacing w:after="0" w:line="4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Company's results of operations for the three and nine months ended September 30, 2021 and the three months ended September 30, 2020 represent the activities of the Company after the Merger. As a result, there were no differences between pro forma results and actual results on a reported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1" w:name="page12"/>
    <w:bookmarkEnd w:id="11"/>
    <w:p>
      <w:pPr>
        <w:ind w:left="580"/>
        <w:spacing w:after="0"/>
        <w:rPr>
          <w:sz w:val="20"/>
          <w:szCs w:val="20"/>
          <w:color w:val="auto"/>
        </w:rPr>
      </w:pPr>
      <w:r>
        <w:rPr>
          <w:rFonts w:ascii="Arial" w:cs="Arial" w:eastAsia="Arial" w:hAnsi="Arial"/>
          <w:sz w:val="15"/>
          <w:szCs w:val="15"/>
          <w:color w:val="auto"/>
        </w:rPr>
        <w:t>The tables below present unaudited pro forma condensed combined statement of operations information for the nine months ended September 30,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360" w:type="dxa"/>
            <w:vAlign w:val="bottom"/>
            <w:gridSpan w:val="2"/>
            <w:shd w:val="clear" w:color="auto" w:fill="1D2758"/>
          </w:tcPr>
          <w:p>
            <w:pPr>
              <w:jc w:val="right"/>
              <w:ind w:right="26"/>
              <w:spacing w:after="0"/>
              <w:rPr>
                <w:sz w:val="20"/>
                <w:szCs w:val="20"/>
                <w:color w:val="auto"/>
              </w:rPr>
            </w:pPr>
            <w:r>
              <w:rPr>
                <w:rFonts w:ascii="Arial" w:cs="Arial" w:eastAsia="Arial" w:hAnsi="Arial"/>
                <w:sz w:val="15"/>
                <w:szCs w:val="15"/>
                <w:b w:val="1"/>
                <w:bCs w:val="1"/>
                <w:color w:val="FFFFFF"/>
              </w:rPr>
              <w:t>Nine Months Ended September</w:t>
            </w:r>
          </w:p>
        </w:tc>
        <w:tc>
          <w:tcPr>
            <w:tcW w:w="3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540" w:type="dxa"/>
            <w:vAlign w:val="bottom"/>
            <w:vMerge w:val="continue"/>
            <w:shd w:val="clear" w:color="auto" w:fill="1D2758"/>
          </w:tcPr>
          <w:p>
            <w:pPr>
              <w:spacing w:after="0"/>
              <w:rPr>
                <w:sz w:val="17"/>
                <w:szCs w:val="17"/>
                <w:color w:val="auto"/>
              </w:rPr>
            </w:pPr>
          </w:p>
        </w:tc>
        <w:tc>
          <w:tcPr>
            <w:tcW w:w="50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826"/>
              <w:spacing w:after="0"/>
              <w:rPr>
                <w:sz w:val="20"/>
                <w:szCs w:val="20"/>
                <w:color w:val="auto"/>
              </w:rPr>
            </w:pPr>
            <w:r>
              <w:rPr>
                <w:rFonts w:ascii="Arial" w:cs="Arial" w:eastAsia="Arial" w:hAnsi="Arial"/>
                <w:sz w:val="15"/>
                <w:szCs w:val="15"/>
                <w:b w:val="1"/>
                <w:bCs w:val="1"/>
                <w:color w:val="FFFFFF"/>
              </w:rPr>
              <w:t>30, 2020</w:t>
            </w:r>
          </w:p>
        </w:tc>
        <w:tc>
          <w:tcPr>
            <w:tcW w:w="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WillScot revenues</w:t>
            </w:r>
          </w:p>
        </w:tc>
        <w:tc>
          <w:tcPr>
            <w:tcW w:w="500" w:type="dxa"/>
            <w:vAlign w:val="bottom"/>
            <w:shd w:val="clear" w:color="auto" w:fill="DBDBDB"/>
          </w:tcPr>
          <w:p>
            <w:pPr>
              <w:jc w:val="right"/>
              <w:ind w:right="326"/>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929,998</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5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Mobile Mini revenues</w:t>
            </w: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284,240</w:t>
            </w:r>
          </w:p>
        </w:tc>
        <w:tc>
          <w:tcPr>
            <w:tcW w:w="34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Pro forma revenues</w:t>
            </w:r>
          </w:p>
        </w:tc>
        <w:tc>
          <w:tcPr>
            <w:tcW w:w="50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1,214,238</w:t>
            </w:r>
          </w:p>
        </w:tc>
        <w:tc>
          <w:tcPr>
            <w:tcW w:w="3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WillScot Mobile Mini income before income tax</w:t>
            </w:r>
          </w:p>
        </w:tc>
        <w:tc>
          <w:tcPr>
            <w:tcW w:w="500" w:type="dxa"/>
            <w:vAlign w:val="bottom"/>
            <w:shd w:val="clear" w:color="auto" w:fill="DBDBDB"/>
          </w:tcPr>
          <w:p>
            <w:pPr>
              <w:jc w:val="right"/>
              <w:ind w:right="326"/>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5,304</w:t>
            </w:r>
          </w:p>
        </w:tc>
        <w:tc>
          <w:tcPr>
            <w:tcW w:w="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(a)</w:t>
            </w:r>
          </w:p>
        </w:tc>
        <w:tc>
          <w:tcPr>
            <w:tcW w:w="0" w:type="dxa"/>
            <w:vAlign w:val="bottom"/>
          </w:tcPr>
          <w:p>
            <w:pPr>
              <w:spacing w:after="0"/>
              <w:rPr>
                <w:sz w:val="1"/>
                <w:szCs w:val="1"/>
                <w:color w:val="auto"/>
              </w:rPr>
            </w:pPr>
          </w:p>
        </w:tc>
      </w:tr>
      <w:tr>
        <w:trPr>
          <w:trHeight w:val="194"/>
        </w:trPr>
        <w:tc>
          <w:tcPr>
            <w:tcW w:w="85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Mobile Mini income before income tax</w:t>
            </w: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37,875</w:t>
            </w:r>
          </w:p>
        </w:tc>
        <w:tc>
          <w:tcPr>
            <w:tcW w:w="34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 forma income before income tax</w:t>
            </w:r>
          </w:p>
        </w:tc>
        <w:tc>
          <w:tcPr>
            <w:tcW w:w="500" w:type="dxa"/>
            <w:vAlign w:val="bottom"/>
            <w:shd w:val="clear" w:color="auto" w:fill="DBDBDB"/>
          </w:tcPr>
          <w:p>
            <w:pPr>
              <w:spacing w:after="0"/>
              <w:rPr>
                <w:sz w:val="16"/>
                <w:szCs w:val="16"/>
                <w:color w:val="auto"/>
              </w:rPr>
            </w:pPr>
          </w:p>
        </w:tc>
        <w:tc>
          <w:tcPr>
            <w:tcW w:w="18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43,179</w:t>
            </w:r>
          </w:p>
        </w:tc>
        <w:tc>
          <w:tcPr>
            <w:tcW w:w="3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40" w:type="dxa"/>
            <w:vAlign w:val="bottom"/>
          </w:tcPr>
          <w:p>
            <w:pPr>
              <w:ind w:left="20"/>
              <w:spacing w:after="0"/>
              <w:rPr>
                <w:sz w:val="20"/>
                <w:szCs w:val="20"/>
                <w:color w:val="auto"/>
              </w:rPr>
            </w:pPr>
            <w:r>
              <w:rPr>
                <w:rFonts w:ascii="Arial" w:cs="Arial" w:eastAsia="Arial" w:hAnsi="Arial"/>
                <w:sz w:val="15"/>
                <w:szCs w:val="15"/>
                <w:color w:val="auto"/>
              </w:rPr>
              <w:t>Pro forma adjustments to combined income before income tax:</w:t>
            </w:r>
          </w:p>
        </w:tc>
        <w:tc>
          <w:tcPr>
            <w:tcW w:w="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Elimination of Merger transaction costs</w:t>
            </w:r>
          </w:p>
        </w:tc>
        <w:tc>
          <w:tcPr>
            <w:tcW w:w="50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80,040</w:t>
            </w:r>
          </w:p>
        </w:tc>
        <w:tc>
          <w:tcPr>
            <w:tcW w:w="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(b)</w:t>
            </w:r>
          </w:p>
        </w:tc>
        <w:tc>
          <w:tcPr>
            <w:tcW w:w="0" w:type="dxa"/>
            <w:vAlign w:val="bottom"/>
          </w:tcPr>
          <w:p>
            <w:pPr>
              <w:spacing w:after="0"/>
              <w:rPr>
                <w:sz w:val="1"/>
                <w:szCs w:val="1"/>
                <w:color w:val="auto"/>
              </w:rPr>
            </w:pPr>
          </w:p>
        </w:tc>
      </w:tr>
      <w:tr>
        <w:trPr>
          <w:trHeight w:val="194"/>
        </w:trPr>
        <w:tc>
          <w:tcPr>
            <w:tcW w:w="8540" w:type="dxa"/>
            <w:vAlign w:val="bottom"/>
          </w:tcPr>
          <w:p>
            <w:pPr>
              <w:ind w:left="20"/>
              <w:spacing w:after="0"/>
              <w:rPr>
                <w:sz w:val="20"/>
                <w:szCs w:val="20"/>
                <w:color w:val="auto"/>
              </w:rPr>
            </w:pPr>
            <w:r>
              <w:rPr>
                <w:rFonts w:ascii="Arial" w:cs="Arial" w:eastAsia="Arial" w:hAnsi="Arial"/>
                <w:sz w:val="15"/>
                <w:szCs w:val="15"/>
                <w:color w:val="auto"/>
              </w:rPr>
              <w:t>Impact of fair value mark-ups on rental fleet depreciation</w:t>
            </w:r>
          </w:p>
        </w:tc>
        <w:tc>
          <w:tcPr>
            <w:tcW w:w="5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(2,334)</w:t>
            </w:r>
          </w:p>
        </w:tc>
        <w:tc>
          <w:tcPr>
            <w:tcW w:w="340" w:type="dxa"/>
            <w:vAlign w:val="bottom"/>
          </w:tcPr>
          <w:p>
            <w:pPr>
              <w:jc w:val="right"/>
              <w:spacing w:after="0"/>
              <w:rPr>
                <w:sz w:val="20"/>
                <w:szCs w:val="20"/>
                <w:color w:val="auto"/>
              </w:rPr>
            </w:pPr>
            <w:r>
              <w:rPr>
                <w:rFonts w:ascii="Arial" w:cs="Arial" w:eastAsia="Arial" w:hAnsi="Arial"/>
                <w:sz w:val="15"/>
                <w:szCs w:val="15"/>
                <w:color w:val="auto"/>
              </w:rPr>
              <w:t>(c)</w:t>
            </w:r>
          </w:p>
        </w:tc>
        <w:tc>
          <w:tcPr>
            <w:tcW w:w="0" w:type="dxa"/>
            <w:vAlign w:val="bottom"/>
          </w:tcPr>
          <w:p>
            <w:pPr>
              <w:spacing w:after="0"/>
              <w:rPr>
                <w:sz w:val="1"/>
                <w:szCs w:val="1"/>
                <w:color w:val="auto"/>
              </w:rPr>
            </w:pPr>
          </w:p>
        </w:tc>
      </w:tr>
      <w:tr>
        <w:trPr>
          <w:trHeight w:val="199"/>
        </w:trPr>
        <w:tc>
          <w:tcPr>
            <w:tcW w:w="8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depreciation expense and intangible asset amortization</w:t>
            </w:r>
          </w:p>
        </w:tc>
        <w:tc>
          <w:tcPr>
            <w:tcW w:w="5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(11,397)</w:t>
            </w:r>
          </w:p>
        </w:tc>
        <w:tc>
          <w:tcPr>
            <w:tcW w:w="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(d)</w:t>
            </w:r>
          </w:p>
        </w:tc>
        <w:tc>
          <w:tcPr>
            <w:tcW w:w="0" w:type="dxa"/>
            <w:vAlign w:val="bottom"/>
          </w:tcPr>
          <w:p>
            <w:pPr>
              <w:spacing w:after="0"/>
              <w:rPr>
                <w:sz w:val="1"/>
                <w:szCs w:val="1"/>
                <w:color w:val="auto"/>
              </w:rPr>
            </w:pPr>
          </w:p>
        </w:tc>
      </w:tr>
      <w:tr>
        <w:trPr>
          <w:trHeight w:val="194"/>
        </w:trPr>
        <w:tc>
          <w:tcPr>
            <w:tcW w:w="85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5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(6,113)</w:t>
            </w:r>
          </w:p>
        </w:tc>
        <w:tc>
          <w:tcPr>
            <w:tcW w:w="340" w:type="dxa"/>
            <w:vAlign w:val="bottom"/>
          </w:tcPr>
          <w:p>
            <w:pPr>
              <w:jc w:val="right"/>
              <w:spacing w:after="0"/>
              <w:rPr>
                <w:sz w:val="20"/>
                <w:szCs w:val="20"/>
                <w:color w:val="auto"/>
              </w:rPr>
            </w:pPr>
            <w:r>
              <w:rPr>
                <w:rFonts w:ascii="Arial" w:cs="Arial" w:eastAsia="Arial" w:hAnsi="Arial"/>
                <w:sz w:val="15"/>
                <w:szCs w:val="15"/>
                <w:color w:val="auto"/>
              </w:rPr>
              <w:t>(e)</w:t>
            </w:r>
          </w:p>
        </w:tc>
        <w:tc>
          <w:tcPr>
            <w:tcW w:w="0" w:type="dxa"/>
            <w:vAlign w:val="bottom"/>
          </w:tcPr>
          <w:p>
            <w:pPr>
              <w:spacing w:after="0"/>
              <w:rPr>
                <w:sz w:val="1"/>
                <w:szCs w:val="1"/>
                <w:color w:val="auto"/>
              </w:rPr>
            </w:pPr>
          </w:p>
        </w:tc>
      </w:tr>
      <w:tr>
        <w:trPr>
          <w:trHeight w:val="199"/>
        </w:trPr>
        <w:tc>
          <w:tcPr>
            <w:tcW w:w="8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Elimination of Mobile Mini interest expense</w:t>
            </w:r>
          </w:p>
        </w:tc>
        <w:tc>
          <w:tcPr>
            <w:tcW w:w="50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15,921</w:t>
            </w:r>
          </w:p>
        </w:tc>
        <w:tc>
          <w:tcPr>
            <w:tcW w:w="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(f)</w:t>
            </w:r>
          </w:p>
        </w:tc>
        <w:tc>
          <w:tcPr>
            <w:tcW w:w="0" w:type="dxa"/>
            <w:vAlign w:val="bottom"/>
          </w:tcPr>
          <w:p>
            <w:pPr>
              <w:spacing w:after="0"/>
              <w:rPr>
                <w:sz w:val="1"/>
                <w:szCs w:val="1"/>
                <w:color w:val="auto"/>
              </w:rPr>
            </w:pPr>
          </w:p>
        </w:tc>
      </w:tr>
      <w:tr>
        <w:trPr>
          <w:trHeight w:val="194"/>
        </w:trPr>
        <w:tc>
          <w:tcPr>
            <w:tcW w:w="85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Elimination of loss on extinguishment of debt</w:t>
            </w: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19,682</w:t>
            </w:r>
          </w:p>
        </w:tc>
        <w:tc>
          <w:tcPr>
            <w:tcW w:w="34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(g)</w:t>
            </w:r>
          </w:p>
        </w:tc>
        <w:tc>
          <w:tcPr>
            <w:tcW w:w="0" w:type="dxa"/>
            <w:vAlign w:val="bottom"/>
          </w:tcPr>
          <w:p>
            <w:pPr>
              <w:spacing w:after="0"/>
              <w:rPr>
                <w:sz w:val="1"/>
                <w:szCs w:val="1"/>
                <w:color w:val="auto"/>
              </w:rPr>
            </w:pPr>
          </w:p>
        </w:tc>
      </w:tr>
      <w:tr>
        <w:trPr>
          <w:trHeight w:val="192"/>
        </w:trPr>
        <w:tc>
          <w:tcPr>
            <w:tcW w:w="8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 forma income before income tax</w:t>
            </w:r>
          </w:p>
        </w:tc>
        <w:tc>
          <w:tcPr>
            <w:tcW w:w="500" w:type="dxa"/>
            <w:vAlign w:val="bottom"/>
            <w:shd w:val="clear" w:color="auto" w:fill="DBDBDB"/>
          </w:tcPr>
          <w:p>
            <w:pPr>
              <w:spacing w:after="0"/>
              <w:rPr>
                <w:sz w:val="16"/>
                <w:szCs w:val="16"/>
                <w:color w:val="auto"/>
              </w:rPr>
            </w:pPr>
          </w:p>
        </w:tc>
        <w:tc>
          <w:tcPr>
            <w:tcW w:w="18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138,978</w:t>
            </w:r>
          </w:p>
        </w:tc>
        <w:tc>
          <w:tcPr>
            <w:tcW w:w="3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Income tax expense</w:t>
            </w: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22,300</w:t>
            </w:r>
          </w:p>
        </w:tc>
        <w:tc>
          <w:tcPr>
            <w:tcW w:w="34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(h)</w:t>
            </w:r>
          </w:p>
        </w:tc>
        <w:tc>
          <w:tcPr>
            <w:tcW w:w="0" w:type="dxa"/>
            <w:vAlign w:val="bottom"/>
          </w:tcPr>
          <w:p>
            <w:pPr>
              <w:spacing w:after="0"/>
              <w:rPr>
                <w:sz w:val="1"/>
                <w:szCs w:val="1"/>
                <w:color w:val="auto"/>
              </w:rPr>
            </w:pPr>
          </w:p>
        </w:tc>
      </w:tr>
      <w:tr>
        <w:trPr>
          <w:trHeight w:val="214"/>
        </w:trPr>
        <w:tc>
          <w:tcPr>
            <w:tcW w:w="8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Pro forma net income</w:t>
            </w:r>
          </w:p>
        </w:tc>
        <w:tc>
          <w:tcPr>
            <w:tcW w:w="50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116,678</w:t>
            </w:r>
          </w:p>
        </w:tc>
        <w:tc>
          <w:tcPr>
            <w:tcW w:w="3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60" w:hanging="445"/>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Excludes impact of non-controlling interest which was eliminated as part of the Sapphire Exchange. See Note 10.</w:t>
      </w:r>
    </w:p>
    <w:p>
      <w:pPr>
        <w:spacing w:after="0" w:line="22" w:lineRule="exact"/>
        <w:rPr>
          <w:rFonts w:ascii="Arial" w:cs="Arial" w:eastAsia="Arial" w:hAnsi="Arial"/>
          <w:sz w:val="13"/>
          <w:szCs w:val="13"/>
          <w:color w:val="auto"/>
        </w:rPr>
      </w:pPr>
    </w:p>
    <w:p>
      <w:pPr>
        <w:ind w:left="460" w:hanging="445"/>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Eliminates discrete transaction costs incurred as a result of the Mobile Mini Merger.</w:t>
      </w:r>
    </w:p>
    <w:p>
      <w:pPr>
        <w:spacing w:after="0" w:line="22" w:lineRule="exact"/>
        <w:rPr>
          <w:rFonts w:ascii="Arial" w:cs="Arial" w:eastAsia="Arial" w:hAnsi="Arial"/>
          <w:sz w:val="13"/>
          <w:szCs w:val="13"/>
          <w:color w:val="auto"/>
        </w:rPr>
      </w:pPr>
    </w:p>
    <w:p>
      <w:pPr>
        <w:ind w:left="460" w:hanging="445"/>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Depreciation on rental equipment and property, plant and equipment were adjusted for the determination of the fair value of equipment acquired in the Mobile Mini Merger.</w:t>
      </w:r>
    </w:p>
    <w:p>
      <w:pPr>
        <w:spacing w:after="0" w:line="22" w:lineRule="exact"/>
        <w:rPr>
          <w:rFonts w:ascii="Arial" w:cs="Arial" w:eastAsia="Arial" w:hAnsi="Arial"/>
          <w:sz w:val="13"/>
          <w:szCs w:val="13"/>
          <w:color w:val="auto"/>
        </w:rPr>
      </w:pPr>
    </w:p>
    <w:p>
      <w:pPr>
        <w:ind w:left="460" w:right="20" w:hanging="445"/>
        <w:spacing w:after="0" w:line="224"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the differential in other depreciation and amortization expense related to the fair value purchase accounting adjustments as a result of the Merger, principally the amortization of the Mobile Mini customer relationship valued at $209.0 million.</w:t>
      </w:r>
    </w:p>
    <w:p>
      <w:pPr>
        <w:spacing w:after="0" w:line="16" w:lineRule="exact"/>
        <w:rPr>
          <w:rFonts w:ascii="Arial" w:cs="Arial" w:eastAsia="Arial" w:hAnsi="Arial"/>
          <w:sz w:val="13"/>
          <w:szCs w:val="13"/>
          <w:color w:val="auto"/>
        </w:rPr>
      </w:pPr>
    </w:p>
    <w:p>
      <w:pPr>
        <w:jc w:val="both"/>
        <w:ind w:left="460" w:hanging="445"/>
        <w:spacing w:after="0" w:line="210"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connection with the Merger, the Company entered into a new ABL Facility and drew $1.47 billion at close with an estimated interest rate of 2.046%, issued the 2025 Secured Notes at 6.125%, repaid the 2022 Secured Notes and repaid the 2017 ABL Facility. Interest and amortization of deferred financing fees for the 2020 ABL Facility and the 2025 Secured Notes has been included offset by the removal of interest and amortization of deferred financing fees attributable to the 2022 Secured Notes and the 2017 ABL Facility. See Note 9 for definitions of terms.</w:t>
      </w:r>
    </w:p>
    <w:p>
      <w:pPr>
        <w:spacing w:after="0" w:line="17" w:lineRule="exact"/>
        <w:rPr>
          <w:rFonts w:ascii="Arial" w:cs="Arial" w:eastAsia="Arial" w:hAnsi="Arial"/>
          <w:sz w:val="13"/>
          <w:szCs w:val="13"/>
          <w:color w:val="auto"/>
        </w:rPr>
      </w:pPr>
    </w:p>
    <w:p>
      <w:pPr>
        <w:ind w:left="460" w:right="20" w:hanging="445"/>
        <w:spacing w:after="0" w:line="224"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Interest and amortization of deferred financing fees on the senior notes and line of credit maintained by Mobile Mini which were assumed at acquisition and repaid immediately using proceeds from the 2020 ABL Facility and 2025 Secured Notes was eliminated.</w:t>
      </w:r>
    </w:p>
    <w:p>
      <w:pPr>
        <w:spacing w:after="0" w:line="16" w:lineRule="exact"/>
        <w:rPr>
          <w:rFonts w:ascii="Arial" w:cs="Arial" w:eastAsia="Arial" w:hAnsi="Arial"/>
          <w:sz w:val="13"/>
          <w:szCs w:val="13"/>
          <w:color w:val="auto"/>
        </w:rPr>
      </w:pPr>
    </w:p>
    <w:p>
      <w:pPr>
        <w:ind w:left="460" w:right="20" w:hanging="445"/>
        <w:spacing w:after="0" w:line="224"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Elimination of loss on extinguishment of debt in connection with the redemption premium on the 2022 Secured Notes and unamortized deferred financing costs on the 2022 Secured Notes and 2017 ABL Facility. See Note 9 for definitions of terms.</w:t>
      </w:r>
    </w:p>
    <w:p>
      <w:pPr>
        <w:spacing w:after="0" w:line="16" w:lineRule="exact"/>
        <w:rPr>
          <w:rFonts w:ascii="Arial" w:cs="Arial" w:eastAsia="Arial" w:hAnsi="Arial"/>
          <w:sz w:val="13"/>
          <w:szCs w:val="13"/>
          <w:color w:val="auto"/>
        </w:rPr>
      </w:pPr>
    </w:p>
    <w:p>
      <w:pPr>
        <w:jc w:val="both"/>
        <w:ind w:left="460" w:right="20" w:hanging="445"/>
        <w:spacing w:after="0" w:line="210"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Reflects the recorded income tax provision plus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the three and nine months ended September 30, 2020 included adjustments of $54.1 million and $56.8 million, respectively, to eliminate the reversal of valuation allowance as a result of reassessment of the realizability of deferred tax assets as a result of the Merger.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Acquisitions</w:t>
      </w:r>
    </w:p>
    <w:p>
      <w:pPr>
        <w:spacing w:after="0" w:line="13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On September 17, 2021, the Company acquired certain assets and liabilities of Equipe Container Services, Inc., Saf-T-Box, LP and American Mobile Leasing, LLC, which consisted primarily of approximately 11,000 storage units and 400 modular units, for $56.3 million in cash. Based on a preliminary allocation, the accompanying financial statements include approximately $53.0 million and $3.0 million of rental equipment and land, respectively, as a result of these acquisitions.</w:t>
      </w:r>
    </w:p>
    <w:p>
      <w:pPr>
        <w:spacing w:after="0" w:line="42"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amount of revenue and earnings the acquirees included in the consolidated statements of operations for the three and nine-months ended September 30, 2021 is not material to the financial statements. The pre-acquisition revenue and earnings for the acquirees as a percentage of the Company's 2020 Pro Forma results disclosed above and as a percentage of the Company's actual results for the year ended December 31, 2020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Transaction and Integration Costs</w:t>
      </w:r>
    </w:p>
    <w:p>
      <w:pPr>
        <w:spacing w:after="0" w:line="13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 recorded $0.3 million and $52.2 million in transaction costs related to the Merger and other acquisitions during the three months ended September 30, 2021 and 2020, respectively, and $1.1 million and $63.2 million in transaction costs related to the Merger and other acquisitions in the nine months ended September 30, 2021 and 2020, respectively. The Company also recorded $8.2 million and $7.1 million in integration costs related to the Merger within selling, general and administrative ("SG&amp;A") expense during the three months ended September 30, 2021 and 2020, respectively, and $23.2 million and $9.4 million during the nine months ended September 30, 2021 and 2020,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21"/>
          <w:szCs w:val="21"/>
          <w:color w:val="1D2758"/>
        </w:rPr>
        <w:t>NOTE 3 - Revenue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Disaggregation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had total revenue in the following geographic areas for the three and nine months ended September 30, 2020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c>
          <w:tcPr>
            <w:tcW w:w="1900" w:type="dxa"/>
            <w:vAlign w:val="bottom"/>
            <w:gridSpan w:val="3"/>
            <w:shd w:val="clear" w:color="auto" w:fill="1D2758"/>
          </w:tcPr>
          <w:p>
            <w:pPr>
              <w:jc w:val="right"/>
              <w:ind w:right="346"/>
              <w:spacing w:after="0"/>
              <w:rPr>
                <w:sz w:val="20"/>
                <w:szCs w:val="20"/>
                <w:color w:val="auto"/>
              </w:rPr>
            </w:pPr>
            <w:r>
              <w:rPr>
                <w:rFonts w:ascii="Arial" w:cs="Arial" w:eastAsia="Arial" w:hAnsi="Arial"/>
                <w:sz w:val="15"/>
                <w:szCs w:val="15"/>
                <w:b w:val="1"/>
                <w:bCs w:val="1"/>
                <w:color w:val="FFFFFF"/>
                <w:w w:val="98"/>
              </w:rPr>
              <w:t>Three Months Ended</w:t>
            </w:r>
          </w:p>
        </w:tc>
        <w:tc>
          <w:tcPr>
            <w:tcW w:w="6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216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100" w:type="dxa"/>
            <w:vAlign w:val="bottom"/>
            <w:shd w:val="clear" w:color="auto" w:fill="1D2758"/>
          </w:tcPr>
          <w:p>
            <w:pPr>
              <w:spacing w:after="0"/>
              <w:rPr>
                <w:sz w:val="14"/>
                <w:szCs w:val="14"/>
                <w:color w:val="auto"/>
              </w:rPr>
            </w:pPr>
          </w:p>
        </w:tc>
      </w:tr>
      <w:tr>
        <w:trPr>
          <w:trHeight w:val="196"/>
        </w:trPr>
        <w:tc>
          <w:tcPr>
            <w:tcW w:w="384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1900" w:type="dxa"/>
            <w:vAlign w:val="bottom"/>
            <w:gridSpan w:val="3"/>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September 30,</w:t>
            </w:r>
          </w:p>
        </w:tc>
        <w:tc>
          <w:tcPr>
            <w:tcW w:w="6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160" w:type="dxa"/>
            <w:vAlign w:val="bottom"/>
            <w:gridSpan w:val="3"/>
            <w:shd w:val="clear" w:color="auto" w:fill="1D2758"/>
          </w:tcPr>
          <w:p>
            <w:pPr>
              <w:jc w:val="right"/>
              <w:ind w:right="146"/>
              <w:spacing w:after="0"/>
              <w:rPr>
                <w:sz w:val="20"/>
                <w:szCs w:val="20"/>
                <w:color w:val="auto"/>
              </w:rPr>
            </w:pPr>
            <w:r>
              <w:rPr>
                <w:rFonts w:ascii="Arial" w:cs="Arial" w:eastAsia="Arial" w:hAnsi="Arial"/>
                <w:sz w:val="15"/>
                <w:szCs w:val="15"/>
                <w:b w:val="1"/>
                <w:bCs w:val="1"/>
                <w:color w:val="FFFFFF"/>
              </w:rPr>
              <w:t>September 30,</w:t>
            </w:r>
          </w:p>
        </w:tc>
        <w:tc>
          <w:tcPr>
            <w:tcW w:w="1100" w:type="dxa"/>
            <w:vAlign w:val="bottom"/>
            <w:shd w:val="clear" w:color="auto" w:fill="1D2758"/>
          </w:tcPr>
          <w:p>
            <w:pPr>
              <w:spacing w:after="0"/>
              <w:rPr>
                <w:sz w:val="17"/>
                <w:szCs w:val="17"/>
                <w:color w:val="auto"/>
              </w:rPr>
            </w:pPr>
          </w:p>
        </w:tc>
      </w:tr>
      <w:tr>
        <w:trPr>
          <w:trHeight w:val="198"/>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7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12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2020</w:t>
            </w:r>
          </w:p>
        </w:tc>
        <w:tc>
          <w:tcPr>
            <w:tcW w:w="6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6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2020</w:t>
            </w:r>
          </w:p>
        </w:tc>
      </w:tr>
      <w:tr>
        <w:trPr>
          <w:trHeight w:val="197"/>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1080" w:type="dxa"/>
            <w:vAlign w:val="bottom"/>
            <w:shd w:val="clear" w:color="auto" w:fill="DBDBDB"/>
          </w:tcPr>
          <w:p>
            <w:pPr>
              <w:jc w:val="right"/>
              <w:ind w:right="906"/>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427,251</w:t>
            </w: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946"/>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368,285</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1,197,800</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jc w:val="right"/>
              <w:ind w:right="50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841,227</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Canada</w:t>
            </w: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31,536</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24,098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84,663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57,083</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10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3,666</w:t>
            </w: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3,279</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10,977</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10,035</w:t>
            </w:r>
          </w:p>
        </w:tc>
      </w:tr>
      <w:tr>
        <w:trPr>
          <w:trHeight w:val="194"/>
        </w:trPr>
        <w:tc>
          <w:tcPr>
            <w:tcW w:w="38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UK</w:t>
            </w: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28,099</w:t>
            </w:r>
          </w:p>
        </w:tc>
        <w:tc>
          <w:tcPr>
            <w:tcW w:w="80" w:type="dxa"/>
            <w:vAlign w:val="bottom"/>
            <w:tcBorders>
              <w:bottom w:val="single" w:sz="8" w:color="DBDBDB"/>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21,653</w:t>
            </w: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83,537</w:t>
            </w:r>
          </w:p>
        </w:tc>
        <w:tc>
          <w:tcPr>
            <w:tcW w:w="100" w:type="dxa"/>
            <w:vAlign w:val="bottom"/>
            <w:tcBorders>
              <w:bottom w:val="single" w:sz="8" w:color="DBDBDB"/>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21,653</w:t>
            </w:r>
          </w:p>
        </w:tc>
      </w:tr>
      <w:tr>
        <w:trPr>
          <w:trHeight w:val="217"/>
        </w:trPr>
        <w:tc>
          <w:tcPr>
            <w:tcW w:w="3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 revenues</w:t>
            </w:r>
          </w:p>
        </w:tc>
        <w:tc>
          <w:tcPr>
            <w:tcW w:w="1080" w:type="dxa"/>
            <w:vAlign w:val="bottom"/>
            <w:tcBorders>
              <w:bottom w:val="single" w:sz="8" w:color="auto"/>
            </w:tcBorders>
            <w:shd w:val="clear" w:color="auto" w:fill="DBDBDB"/>
          </w:tcPr>
          <w:p>
            <w:pPr>
              <w:jc w:val="right"/>
              <w:ind w:right="90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490,552</w:t>
            </w:r>
          </w:p>
        </w:tc>
        <w:tc>
          <w:tcPr>
            <w:tcW w:w="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94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417,315</w:t>
            </w: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1,376,977</w:t>
            </w:r>
          </w:p>
        </w:tc>
        <w:tc>
          <w:tcPr>
            <w:tcW w:w="10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ind w:right="50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929,998</w:t>
            </w:r>
          </w:p>
        </w:tc>
      </w:tr>
      <w:tr>
        <w:trPr>
          <w:trHeight w:val="20"/>
        </w:trPr>
        <w:tc>
          <w:tcPr>
            <w:tcW w:w="38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6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Equipment leasing is the Company's core business. This includes rental modular space, portable space and tank and pump units along with value added products and services ("VAPS"), which include furniture, steps, ramps, basic appliances, internet connectivity devices,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Company’s revenue by major product and service line for the three and nine months ended September 30, 2021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c>
          <w:tcPr>
            <w:tcW w:w="1900" w:type="dxa"/>
            <w:vAlign w:val="bottom"/>
            <w:gridSpan w:val="3"/>
            <w:shd w:val="clear" w:color="auto" w:fill="1D2758"/>
          </w:tcPr>
          <w:p>
            <w:pPr>
              <w:jc w:val="right"/>
              <w:ind w:right="346"/>
              <w:spacing w:after="0"/>
              <w:rPr>
                <w:sz w:val="20"/>
                <w:szCs w:val="20"/>
                <w:color w:val="auto"/>
              </w:rPr>
            </w:pPr>
            <w:r>
              <w:rPr>
                <w:rFonts w:ascii="Arial" w:cs="Arial" w:eastAsia="Arial" w:hAnsi="Arial"/>
                <w:sz w:val="15"/>
                <w:szCs w:val="15"/>
                <w:b w:val="1"/>
                <w:bCs w:val="1"/>
                <w:color w:val="FFFFFF"/>
                <w:w w:val="98"/>
              </w:rPr>
              <w:t>Three Months Ended</w:t>
            </w:r>
          </w:p>
        </w:tc>
        <w:tc>
          <w:tcPr>
            <w:tcW w:w="6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216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100" w:type="dxa"/>
            <w:vAlign w:val="bottom"/>
            <w:shd w:val="clear" w:color="auto" w:fill="1D2758"/>
          </w:tcPr>
          <w:p>
            <w:pPr>
              <w:spacing w:after="0"/>
              <w:rPr>
                <w:sz w:val="14"/>
                <w:szCs w:val="14"/>
                <w:color w:val="auto"/>
              </w:rPr>
            </w:pPr>
          </w:p>
        </w:tc>
      </w:tr>
      <w:tr>
        <w:trPr>
          <w:trHeight w:val="196"/>
        </w:trPr>
        <w:tc>
          <w:tcPr>
            <w:tcW w:w="384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1900" w:type="dxa"/>
            <w:vAlign w:val="bottom"/>
            <w:gridSpan w:val="3"/>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September 30,</w:t>
            </w:r>
          </w:p>
        </w:tc>
        <w:tc>
          <w:tcPr>
            <w:tcW w:w="6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160" w:type="dxa"/>
            <w:vAlign w:val="bottom"/>
            <w:gridSpan w:val="3"/>
            <w:shd w:val="clear" w:color="auto" w:fill="1D2758"/>
          </w:tcPr>
          <w:p>
            <w:pPr>
              <w:jc w:val="right"/>
              <w:ind w:right="146"/>
              <w:spacing w:after="0"/>
              <w:rPr>
                <w:sz w:val="20"/>
                <w:szCs w:val="20"/>
                <w:color w:val="auto"/>
              </w:rPr>
            </w:pPr>
            <w:r>
              <w:rPr>
                <w:rFonts w:ascii="Arial" w:cs="Arial" w:eastAsia="Arial" w:hAnsi="Arial"/>
                <w:sz w:val="15"/>
                <w:szCs w:val="15"/>
                <w:b w:val="1"/>
                <w:bCs w:val="1"/>
                <w:color w:val="FFFFFF"/>
              </w:rPr>
              <w:t>September 30,</w:t>
            </w:r>
          </w:p>
        </w:tc>
        <w:tc>
          <w:tcPr>
            <w:tcW w:w="1100" w:type="dxa"/>
            <w:vAlign w:val="bottom"/>
            <w:shd w:val="clear" w:color="auto" w:fill="1D2758"/>
          </w:tcPr>
          <w:p>
            <w:pPr>
              <w:spacing w:after="0"/>
              <w:rPr>
                <w:sz w:val="17"/>
                <w:szCs w:val="17"/>
                <w:color w:val="auto"/>
              </w:rPr>
            </w:pPr>
          </w:p>
        </w:tc>
      </w:tr>
      <w:tr>
        <w:trPr>
          <w:trHeight w:val="198"/>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7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12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2020</w:t>
            </w:r>
          </w:p>
        </w:tc>
        <w:tc>
          <w:tcPr>
            <w:tcW w:w="6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6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2020</w:t>
            </w:r>
          </w:p>
        </w:tc>
      </w:tr>
      <w:tr>
        <w:trPr>
          <w:trHeight w:val="197"/>
        </w:trPr>
        <w:tc>
          <w:tcPr>
            <w:tcW w:w="384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p>
        </w:tc>
        <w:tc>
          <w:tcPr>
            <w:tcW w:w="1080" w:type="dxa"/>
            <w:vAlign w:val="bottom"/>
            <w:shd w:val="clear" w:color="auto" w:fill="DDDDDD"/>
          </w:tcPr>
          <w:p>
            <w:pPr>
              <w:jc w:val="right"/>
              <w:ind w:right="906"/>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188,507</w:t>
            </w:r>
          </w:p>
        </w:tc>
        <w:tc>
          <w:tcPr>
            <w:tcW w:w="80" w:type="dxa"/>
            <w:vAlign w:val="bottom"/>
            <w:shd w:val="clear" w:color="auto" w:fill="DDDDDD"/>
          </w:tcPr>
          <w:p>
            <w:pPr>
              <w:spacing w:after="0"/>
              <w:rPr>
                <w:sz w:val="17"/>
                <w:szCs w:val="17"/>
                <w:color w:val="auto"/>
              </w:rPr>
            </w:pPr>
          </w:p>
        </w:tc>
        <w:tc>
          <w:tcPr>
            <w:tcW w:w="1120" w:type="dxa"/>
            <w:vAlign w:val="bottom"/>
            <w:shd w:val="clear" w:color="auto" w:fill="DDDDDD"/>
          </w:tcPr>
          <w:p>
            <w:pPr>
              <w:jc w:val="right"/>
              <w:ind w:right="946"/>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163,635</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539,835</w:t>
            </w:r>
          </w:p>
        </w:tc>
        <w:tc>
          <w:tcPr>
            <w:tcW w:w="100" w:type="dxa"/>
            <w:vAlign w:val="bottom"/>
            <w:shd w:val="clear" w:color="auto" w:fill="DDDDDD"/>
          </w:tcPr>
          <w:p>
            <w:pPr>
              <w:spacing w:after="0"/>
              <w:rPr>
                <w:sz w:val="17"/>
                <w:szCs w:val="17"/>
                <w:color w:val="auto"/>
              </w:rPr>
            </w:pPr>
          </w:p>
        </w:tc>
        <w:tc>
          <w:tcPr>
            <w:tcW w:w="680" w:type="dxa"/>
            <w:vAlign w:val="bottom"/>
            <w:shd w:val="clear" w:color="auto" w:fill="DDDDDD"/>
          </w:tcPr>
          <w:p>
            <w:pPr>
              <w:jc w:val="right"/>
              <w:ind w:right="50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427,409</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66,184</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52,941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179,645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64,506</w:t>
            </w:r>
          </w:p>
        </w:tc>
      </w:tr>
      <w:tr>
        <w:trPr>
          <w:trHeight w:val="199"/>
        </w:trPr>
        <w:tc>
          <w:tcPr>
            <w:tcW w:w="3840" w:type="dxa"/>
            <w:vAlign w:val="bottom"/>
            <w:shd w:val="clear" w:color="auto" w:fill="DDDDDD"/>
          </w:tcPr>
          <w:p>
            <w:pPr>
              <w:ind w:left="20"/>
              <w:spacing w:after="0"/>
              <w:rPr>
                <w:sz w:val="20"/>
                <w:szCs w:val="20"/>
                <w:color w:val="auto"/>
              </w:rPr>
            </w:pPr>
            <w:r>
              <w:rPr>
                <w:rFonts w:ascii="Arial" w:cs="Arial" w:eastAsia="Arial" w:hAnsi="Arial"/>
                <w:sz w:val="15"/>
                <w:szCs w:val="15"/>
                <w:color w:val="auto"/>
              </w:rPr>
              <w:t>Tank and pump leasing revenue</w:t>
            </w:r>
          </w:p>
        </w:tc>
        <w:tc>
          <w:tcPr>
            <w:tcW w:w="1080" w:type="dxa"/>
            <w:vAlign w:val="bottom"/>
            <w:shd w:val="clear" w:color="auto" w:fill="DDDDDD"/>
          </w:tcPr>
          <w:p>
            <w:pPr>
              <w:spacing w:after="0"/>
              <w:rPr>
                <w:sz w:val="17"/>
                <w:szCs w:val="17"/>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19,040</w:t>
            </w:r>
          </w:p>
        </w:tc>
        <w:tc>
          <w:tcPr>
            <w:tcW w:w="8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14,112</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51,909</w:t>
            </w:r>
          </w:p>
        </w:tc>
        <w:tc>
          <w:tcPr>
            <w:tcW w:w="100" w:type="dxa"/>
            <w:vAlign w:val="bottom"/>
            <w:shd w:val="clear" w:color="auto" w:fill="DDDDDD"/>
          </w:tcPr>
          <w:p>
            <w:pPr>
              <w:spacing w:after="0"/>
              <w:rPr>
                <w:sz w:val="17"/>
                <w:szCs w:val="17"/>
                <w:color w:val="auto"/>
              </w:rPr>
            </w:pPr>
          </w:p>
        </w:tc>
        <w:tc>
          <w:tcPr>
            <w:tcW w:w="680" w:type="dxa"/>
            <w:vAlign w:val="bottom"/>
            <w:shd w:val="clear" w:color="auto" w:fill="DDDDDD"/>
          </w:tcPr>
          <w:p>
            <w:pPr>
              <w:spacing w:after="0"/>
              <w:rPr>
                <w:sz w:val="17"/>
                <w:szCs w:val="17"/>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14,112</w:t>
            </w:r>
          </w:p>
        </w:tc>
      </w:tr>
      <w:tr>
        <w:trPr>
          <w:trHeight w:val="197"/>
        </w:trPr>
        <w:tc>
          <w:tcPr>
            <w:tcW w:w="3840" w:type="dxa"/>
            <w:vAlign w:val="bottom"/>
          </w:tcPr>
          <w:p>
            <w:pPr>
              <w:ind w:left="20"/>
              <w:spacing w:after="0" w:line="197"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19"/>
                <w:szCs w:val="19"/>
                <w:color w:val="auto"/>
                <w:vertAlign w:val="superscript"/>
              </w:rPr>
              <w:t>(a)</w:t>
            </w: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73,517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56,330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206,823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139,754</w:t>
            </w:r>
          </w:p>
        </w:tc>
      </w:tr>
      <w:tr>
        <w:trPr>
          <w:trHeight w:val="197"/>
        </w:trPr>
        <w:tc>
          <w:tcPr>
            <w:tcW w:w="3840" w:type="dxa"/>
            <w:vAlign w:val="bottom"/>
            <w:shd w:val="clear" w:color="auto" w:fill="DDDDDD"/>
          </w:tcPr>
          <w:p>
            <w:pPr>
              <w:ind w:left="20"/>
              <w:spacing w:after="0" w:line="19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19"/>
                <w:szCs w:val="19"/>
                <w:color w:val="auto"/>
                <w:vertAlign w:val="superscript"/>
              </w:rPr>
              <w:t>(b)</w:t>
            </w:r>
          </w:p>
        </w:tc>
        <w:tc>
          <w:tcPr>
            <w:tcW w:w="1080" w:type="dxa"/>
            <w:vAlign w:val="bottom"/>
            <w:tcBorders>
              <w:bottom w:val="single" w:sz="8" w:color="auto"/>
            </w:tcBorders>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16,148</w:t>
            </w:r>
          </w:p>
        </w:tc>
        <w:tc>
          <w:tcPr>
            <w:tcW w:w="80" w:type="dxa"/>
            <w:vAlign w:val="bottom"/>
            <w:shd w:val="clear" w:color="auto" w:fill="DDDDDD"/>
          </w:tcPr>
          <w:p>
            <w:pPr>
              <w:spacing w:after="0"/>
              <w:rPr>
                <w:sz w:val="17"/>
                <w:szCs w:val="17"/>
                <w:color w:val="auto"/>
              </w:rPr>
            </w:pPr>
          </w:p>
        </w:tc>
        <w:tc>
          <w:tcPr>
            <w:tcW w:w="112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13,064</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44,025</w:t>
            </w:r>
          </w:p>
        </w:tc>
        <w:tc>
          <w:tcPr>
            <w:tcW w:w="100" w:type="dxa"/>
            <w:vAlign w:val="bottom"/>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spacing w:after="0"/>
              <w:rPr>
                <w:sz w:val="17"/>
                <w:szCs w:val="17"/>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32,796</w:t>
            </w:r>
          </w:p>
        </w:tc>
      </w:tr>
      <w:tr>
        <w:trPr>
          <w:trHeight w:val="186"/>
        </w:trPr>
        <w:tc>
          <w:tcPr>
            <w:tcW w:w="3840" w:type="dxa"/>
            <w:vAlign w:val="bottom"/>
          </w:tcPr>
          <w:p>
            <w:pPr>
              <w:ind w:left="220"/>
              <w:spacing w:after="0"/>
              <w:rPr>
                <w:sz w:val="20"/>
                <w:szCs w:val="20"/>
                <w:color w:val="auto"/>
              </w:rPr>
            </w:pPr>
            <w:r>
              <w:rPr>
                <w:rFonts w:ascii="Arial" w:cs="Arial" w:eastAsia="Arial" w:hAnsi="Arial"/>
                <w:sz w:val="15"/>
                <w:szCs w:val="15"/>
                <w:color w:val="auto"/>
              </w:rPr>
              <w:t>Leasing revenue</w:t>
            </w: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363,396</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300,082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1,022,237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678,577</w:t>
            </w:r>
          </w:p>
        </w:tc>
      </w:tr>
      <w:tr>
        <w:trPr>
          <w:trHeight w:val="197"/>
        </w:trPr>
        <w:tc>
          <w:tcPr>
            <w:tcW w:w="3840" w:type="dxa"/>
            <w:vAlign w:val="bottom"/>
            <w:shd w:val="clear" w:color="auto" w:fill="DDDDDD"/>
          </w:tcPr>
          <w:p>
            <w:pPr>
              <w:ind w:left="20"/>
              <w:spacing w:after="0"/>
              <w:rPr>
                <w:sz w:val="20"/>
                <w:szCs w:val="20"/>
                <w:color w:val="auto"/>
              </w:rPr>
            </w:pPr>
            <w:r>
              <w:rPr>
                <w:rFonts w:ascii="Arial" w:cs="Arial" w:eastAsia="Arial" w:hAnsi="Arial"/>
                <w:sz w:val="15"/>
                <w:szCs w:val="15"/>
                <w:color w:val="auto"/>
              </w:rPr>
              <w:t>Delivery and installation revenue</w:t>
            </w:r>
          </w:p>
        </w:tc>
        <w:tc>
          <w:tcPr>
            <w:tcW w:w="1080" w:type="dxa"/>
            <w:vAlign w:val="bottom"/>
            <w:tcBorders>
              <w:bottom w:val="single" w:sz="8" w:color="auto"/>
            </w:tcBorders>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99,699</w:t>
            </w:r>
          </w:p>
        </w:tc>
        <w:tc>
          <w:tcPr>
            <w:tcW w:w="80" w:type="dxa"/>
            <w:vAlign w:val="bottom"/>
            <w:shd w:val="clear" w:color="auto" w:fill="DDDDDD"/>
          </w:tcPr>
          <w:p>
            <w:pPr>
              <w:spacing w:after="0"/>
              <w:rPr>
                <w:sz w:val="17"/>
                <w:szCs w:val="17"/>
                <w:color w:val="auto"/>
              </w:rPr>
            </w:pPr>
          </w:p>
        </w:tc>
        <w:tc>
          <w:tcPr>
            <w:tcW w:w="112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84,694</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274,883</w:t>
            </w:r>
          </w:p>
        </w:tc>
        <w:tc>
          <w:tcPr>
            <w:tcW w:w="100" w:type="dxa"/>
            <w:vAlign w:val="bottom"/>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spacing w:after="0"/>
              <w:rPr>
                <w:sz w:val="17"/>
                <w:szCs w:val="17"/>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187,404</w:t>
            </w:r>
          </w:p>
        </w:tc>
      </w:tr>
      <w:tr>
        <w:trPr>
          <w:trHeight w:val="189"/>
        </w:trPr>
        <w:tc>
          <w:tcPr>
            <w:tcW w:w="3840" w:type="dxa"/>
            <w:vAlign w:val="bottom"/>
          </w:tcPr>
          <w:p>
            <w:pPr>
              <w:ind w:left="220"/>
              <w:spacing w:after="0"/>
              <w:rPr>
                <w:sz w:val="20"/>
                <w:szCs w:val="20"/>
                <w:color w:val="auto"/>
              </w:rPr>
            </w:pPr>
            <w:r>
              <w:rPr>
                <w:rFonts w:ascii="Arial" w:cs="Arial" w:eastAsia="Arial" w:hAnsi="Arial"/>
                <w:sz w:val="15"/>
                <w:szCs w:val="15"/>
                <w:color w:val="auto"/>
              </w:rPr>
              <w:t>Total leasing and services revenue</w:t>
            </w: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463,095</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384,776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1,297,120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865,981</w:t>
            </w:r>
          </w:p>
        </w:tc>
      </w:tr>
      <w:tr>
        <w:trPr>
          <w:trHeight w:val="199"/>
        </w:trPr>
        <w:tc>
          <w:tcPr>
            <w:tcW w:w="3840" w:type="dxa"/>
            <w:vAlign w:val="bottom"/>
            <w:shd w:val="clear" w:color="auto" w:fill="DDDDDD"/>
          </w:tcPr>
          <w:p>
            <w:pPr>
              <w:ind w:left="20"/>
              <w:spacing w:after="0"/>
              <w:rPr>
                <w:sz w:val="20"/>
                <w:szCs w:val="20"/>
                <w:color w:val="auto"/>
              </w:rPr>
            </w:pPr>
            <w:r>
              <w:rPr>
                <w:rFonts w:ascii="Arial" w:cs="Arial" w:eastAsia="Arial" w:hAnsi="Arial"/>
                <w:sz w:val="15"/>
                <w:szCs w:val="15"/>
                <w:color w:val="auto"/>
              </w:rPr>
              <w:t>New unit sales revenue</w:t>
            </w:r>
          </w:p>
        </w:tc>
        <w:tc>
          <w:tcPr>
            <w:tcW w:w="1080" w:type="dxa"/>
            <w:vAlign w:val="bottom"/>
            <w:shd w:val="clear" w:color="auto" w:fill="DDDDDD"/>
          </w:tcPr>
          <w:p>
            <w:pPr>
              <w:spacing w:after="0"/>
              <w:rPr>
                <w:sz w:val="17"/>
                <w:szCs w:val="17"/>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15,860</w:t>
            </w:r>
          </w:p>
        </w:tc>
        <w:tc>
          <w:tcPr>
            <w:tcW w:w="8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19,360</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37,823</w:t>
            </w:r>
          </w:p>
        </w:tc>
        <w:tc>
          <w:tcPr>
            <w:tcW w:w="100" w:type="dxa"/>
            <w:vAlign w:val="bottom"/>
            <w:shd w:val="clear" w:color="auto" w:fill="DDDDDD"/>
          </w:tcPr>
          <w:p>
            <w:pPr>
              <w:spacing w:after="0"/>
              <w:rPr>
                <w:sz w:val="17"/>
                <w:szCs w:val="17"/>
                <w:color w:val="auto"/>
              </w:rPr>
            </w:pPr>
          </w:p>
        </w:tc>
        <w:tc>
          <w:tcPr>
            <w:tcW w:w="680" w:type="dxa"/>
            <w:vAlign w:val="bottom"/>
            <w:shd w:val="clear" w:color="auto" w:fill="DDDDDD"/>
          </w:tcPr>
          <w:p>
            <w:pPr>
              <w:spacing w:after="0"/>
              <w:rPr>
                <w:sz w:val="17"/>
                <w:szCs w:val="17"/>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38,736</w:t>
            </w:r>
          </w:p>
        </w:tc>
      </w:tr>
      <w:tr>
        <w:trPr>
          <w:trHeight w:val="194"/>
        </w:trPr>
        <w:tc>
          <w:tcPr>
            <w:tcW w:w="384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Rental unit sales revenue</w:t>
            </w: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11,597</w:t>
            </w:r>
          </w:p>
        </w:tc>
        <w:tc>
          <w:tcPr>
            <w:tcW w:w="80" w:type="dxa"/>
            <w:vAlign w:val="bottom"/>
            <w:tcBorders>
              <w:bottom w:val="single" w:sz="8" w:color="DDDDDD"/>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13,179</w:t>
            </w:r>
          </w:p>
        </w:tc>
        <w:tc>
          <w:tcPr>
            <w:tcW w:w="10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42,034</w:t>
            </w:r>
          </w:p>
        </w:tc>
        <w:tc>
          <w:tcPr>
            <w:tcW w:w="100" w:type="dxa"/>
            <w:vAlign w:val="bottom"/>
            <w:tcBorders>
              <w:bottom w:val="single" w:sz="8" w:color="DDDDDD"/>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25,281</w:t>
            </w:r>
          </w:p>
        </w:tc>
      </w:tr>
      <w:tr>
        <w:trPr>
          <w:trHeight w:val="217"/>
        </w:trPr>
        <w:tc>
          <w:tcPr>
            <w:tcW w:w="3840" w:type="dxa"/>
            <w:vAlign w:val="bottom"/>
            <w:tcBorders>
              <w:bottom w:val="single" w:sz="8" w:color="DDDDDD"/>
            </w:tcBorders>
            <w:shd w:val="clear" w:color="auto" w:fill="DDDDDD"/>
          </w:tcPr>
          <w:p>
            <w:pPr>
              <w:ind w:left="300"/>
              <w:spacing w:after="0"/>
              <w:rPr>
                <w:sz w:val="20"/>
                <w:szCs w:val="20"/>
                <w:color w:val="auto"/>
              </w:rPr>
            </w:pPr>
            <w:r>
              <w:rPr>
                <w:rFonts w:ascii="Arial" w:cs="Arial" w:eastAsia="Arial" w:hAnsi="Arial"/>
                <w:sz w:val="15"/>
                <w:szCs w:val="15"/>
                <w:color w:val="auto"/>
              </w:rPr>
              <w:t>Total revenues</w:t>
            </w:r>
          </w:p>
        </w:tc>
        <w:tc>
          <w:tcPr>
            <w:tcW w:w="1080" w:type="dxa"/>
            <w:vAlign w:val="bottom"/>
            <w:tcBorders>
              <w:bottom w:val="single" w:sz="8" w:color="auto"/>
            </w:tcBorders>
            <w:shd w:val="clear" w:color="auto" w:fill="DDDDDD"/>
          </w:tcPr>
          <w:p>
            <w:pPr>
              <w:jc w:val="right"/>
              <w:ind w:right="90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490,552</w:t>
            </w:r>
          </w:p>
        </w:tc>
        <w:tc>
          <w:tcPr>
            <w:tcW w:w="8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auto"/>
            </w:tcBorders>
            <w:shd w:val="clear" w:color="auto" w:fill="DDDDDD"/>
          </w:tcPr>
          <w:p>
            <w:pPr>
              <w:jc w:val="right"/>
              <w:ind w:right="94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417,315</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auto"/>
            </w:tcBorders>
            <w:shd w:val="clear" w:color="auto" w:fill="DDDDDD"/>
          </w:tcPr>
          <w:p>
            <w:pPr>
              <w:jc w:val="right"/>
              <w:ind w:right="226"/>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1,376,977</w:t>
            </w:r>
          </w:p>
        </w:tc>
        <w:tc>
          <w:tcPr>
            <w:tcW w:w="10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ind w:right="50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929,998</w:t>
            </w:r>
          </w:p>
        </w:tc>
      </w:tr>
      <w:tr>
        <w:trPr>
          <w:trHeight w:val="20"/>
        </w:trPr>
        <w:tc>
          <w:tcPr>
            <w:tcW w:w="3840" w:type="dxa"/>
            <w:vAlign w:val="bottom"/>
            <w:tcBorders>
              <w:top w:val="single" w:sz="8" w:color="DDDDDD"/>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w:t>
      </w:r>
    </w:p>
    <w:p>
      <w:pPr>
        <w:ind w:left="460" w:right="20"/>
        <w:spacing w:after="0" w:line="224" w:lineRule="auto"/>
        <w:rPr>
          <w:sz w:val="20"/>
          <w:szCs w:val="20"/>
          <w:color w:val="auto"/>
        </w:rPr>
      </w:pPr>
      <w:r>
        <w:rPr>
          <w:rFonts w:ascii="Arial" w:cs="Arial" w:eastAsia="Arial" w:hAnsi="Arial"/>
          <w:sz w:val="13"/>
          <w:szCs w:val="13"/>
          <w:color w:val="auto"/>
        </w:rPr>
        <w:t>Includes $7.2 million and $5.6 million of service revenue for the three months ended September 30, 2021 and 2020, respectively, and $21.2 million and $13.9 million of service revenue for the nine months ended September 30, 2021 and 2020, respectively.</w:t>
      </w:r>
    </w:p>
    <w:p>
      <w:pPr>
        <w:spacing w:after="0" w:line="16" w:lineRule="exact"/>
        <w:rPr>
          <w:sz w:val="20"/>
          <w:szCs w:val="20"/>
          <w:color w:val="auto"/>
        </w:rPr>
      </w:pPr>
    </w:p>
    <w:p>
      <w:pPr>
        <w:ind w:left="460" w:hanging="445"/>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primarily damage billings, delinquent payment charges, and other processing fees.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83"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 xml:space="preserve">The majority of revenue (73% for the three and nine months ended September 30, 2021 and 71% for the three and nine months ended September 30, 2020) is generated by rental income subject to the guidance of ASU 2018-11,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for the three and nine months ended September 30, 2021 and 2020 is generated by performance obligations in contracts with customers for services or sale of units subject to the guidance in ASU 2014-09, </w:t>
      </w:r>
      <w:r>
        <w:rPr>
          <w:rFonts w:ascii="Arial" w:cs="Arial" w:eastAsia="Arial" w:hAnsi="Arial"/>
          <w:sz w:val="15"/>
          <w:szCs w:val="15"/>
          <w:i w:val="1"/>
          <w:iCs w:val="1"/>
          <w:color w:val="auto"/>
        </w:rPr>
        <w:t xml:space="preserve">Revenue from Contracts with Customers (Topic 606) </w:t>
      </w:r>
      <w:r>
        <w:rPr>
          <w:rFonts w:ascii="Arial" w:cs="Arial" w:eastAsia="Arial" w:hAnsi="Arial"/>
          <w:sz w:val="15"/>
          <w:szCs w:val="15"/>
          <w:color w:val="auto"/>
        </w:rPr>
        <w:t>("ASC 606").</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 Contract Assets and Liabilities</w:t>
      </w:r>
    </w:p>
    <w:p>
      <w:pPr>
        <w:spacing w:after="0" w:line="8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As reflected above, approximately 73% of the Company's rental revenue is generated by lease revenue subject to the guidance in ASC 842. The customers that are responsible for the remaining revenue accounted for under ASC 606 are generally the same customers that rent the Company's equipment. The Company manages credit risk associated with its accounts receivables at the customer level. As the same customers generate the revenues that are accounted for under both ASC 606 and ASC 842, the discussions below on credit risk and the Company's allowance for credit losses address its total revenues. The Company's top five customers with the largest open receivables balances represented 4.7% of the total receivables balance as of September 30, 2021.</w:t>
      </w:r>
    </w:p>
    <w:p>
      <w:pPr>
        <w:spacing w:after="0" w:line="4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As of September 30, 2021 and December 31, 2020, the Company had approximately $78.8 million and $74.1 million, respectively, of deferred revenue that relates to removal services for lease transactions and advance billings for sale transactions, which are within the scope of ASC 606 and are included in deferred revenue and customer deposits in the condensed consolidated balance sheets. During the three months ended September 30, 2021, $20.9 million of previously deferred revenue relating to removal services for lease transactions and advance billings for sale transactions was recognized as revenue.</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does not have material contract assets and it did not recognize any material impairments of contract assets.</w:t>
      </w:r>
    </w:p>
    <w:p>
      <w:pPr>
        <w:spacing w:after="0" w:line="49"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w:t>
      </w:r>
    </w:p>
    <w:p>
      <w:pPr>
        <w:spacing w:after="0" w:line="45"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paid to its sales force. The Company pays its sales force commissions on the sale of new and rental units. For new and rental unit sales, the period benefited by each commission is less than one year, therefore the commissions are expensed as incurred.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Losses</w:t>
      </w:r>
    </w:p>
    <w:p>
      <w:pPr>
        <w:spacing w:after="0" w:line="134"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4"/>
          <w:szCs w:val="14"/>
          <w:color w:val="auto"/>
        </w:rPr>
        <w:t>The Company is exposed to credit losses from trade receivables generated through its leasing and sales business.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29"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its allowances.</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3140" w:type="dxa"/>
            <w:vAlign w:val="bottom"/>
            <w:gridSpan w:val="5"/>
            <w:shd w:val="clear" w:color="auto" w:fill="1D2758"/>
          </w:tcPr>
          <w:p>
            <w:pPr>
              <w:ind w:left="600"/>
              <w:spacing w:after="0"/>
              <w:rPr>
                <w:sz w:val="20"/>
                <w:szCs w:val="20"/>
                <w:color w:val="auto"/>
              </w:rPr>
            </w:pPr>
            <w:r>
              <w:rPr>
                <w:rFonts w:ascii="Arial" w:cs="Arial" w:eastAsia="Arial" w:hAnsi="Arial"/>
                <w:sz w:val="15"/>
                <w:szCs w:val="15"/>
                <w:b w:val="1"/>
                <w:bCs w:val="1"/>
                <w:color w:val="FFFFFF"/>
              </w:rPr>
              <w:t>Three Months Ended</w:t>
            </w:r>
          </w:p>
        </w:tc>
        <w:tc>
          <w:tcPr>
            <w:tcW w:w="380" w:type="dxa"/>
            <w:vAlign w:val="bottom"/>
            <w:shd w:val="clear" w:color="auto" w:fill="1D2758"/>
          </w:tcPr>
          <w:p>
            <w:pPr>
              <w:spacing w:after="0"/>
              <w:rPr>
                <w:sz w:val="15"/>
                <w:szCs w:val="15"/>
                <w:color w:val="auto"/>
              </w:rPr>
            </w:pPr>
          </w:p>
        </w:tc>
        <w:tc>
          <w:tcPr>
            <w:tcW w:w="20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000" w:type="dxa"/>
            <w:vAlign w:val="bottom"/>
            <w:shd w:val="clear" w:color="auto" w:fill="1D2758"/>
          </w:tcPr>
          <w:p>
            <w:pPr>
              <w:spacing w:after="0"/>
              <w:rPr>
                <w:sz w:val="15"/>
                <w:szCs w:val="15"/>
                <w:color w:val="auto"/>
              </w:rPr>
            </w:pPr>
          </w:p>
        </w:tc>
      </w:tr>
      <w:tr>
        <w:trPr>
          <w:trHeight w:val="196"/>
        </w:trPr>
        <w:tc>
          <w:tcPr>
            <w:tcW w:w="43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40" w:type="dxa"/>
            <w:vAlign w:val="bottom"/>
            <w:gridSpan w:val="3"/>
            <w:shd w:val="clear" w:color="auto" w:fill="1D2758"/>
          </w:tcPr>
          <w:p>
            <w:pPr>
              <w:jc w:val="right"/>
              <w:ind w:right="26"/>
              <w:spacing w:after="0"/>
              <w:rPr>
                <w:sz w:val="20"/>
                <w:szCs w:val="20"/>
                <w:color w:val="auto"/>
              </w:rPr>
            </w:pPr>
            <w:r>
              <w:rPr>
                <w:rFonts w:ascii="Arial" w:cs="Arial" w:eastAsia="Arial" w:hAnsi="Arial"/>
                <w:sz w:val="15"/>
                <w:szCs w:val="15"/>
                <w:b w:val="1"/>
                <w:bCs w:val="1"/>
                <w:color w:val="FFFFFF"/>
              </w:rPr>
              <w:t>September 30,</w:t>
            </w:r>
          </w:p>
        </w:tc>
        <w:tc>
          <w:tcPr>
            <w:tcW w:w="11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040" w:type="dxa"/>
            <w:vAlign w:val="bottom"/>
            <w:gridSpan w:val="3"/>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r>
      <w:tr>
        <w:trPr>
          <w:trHeight w:val="198"/>
        </w:trPr>
        <w:tc>
          <w:tcPr>
            <w:tcW w:w="43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60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6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w w:val="95"/>
              </w:rPr>
              <w:t>2020</w:t>
            </w:r>
          </w:p>
        </w:tc>
      </w:tr>
      <w:tr>
        <w:trPr>
          <w:trHeight w:val="197"/>
        </w:trPr>
        <w:tc>
          <w:tcPr>
            <w:tcW w:w="43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380" w:type="dxa"/>
            <w:vAlign w:val="bottom"/>
            <w:shd w:val="clear" w:color="auto" w:fill="DDDDDD"/>
          </w:tcPr>
          <w:p>
            <w:pPr>
              <w:jc w:val="right"/>
              <w:ind w:right="20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36,785</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38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19,183</w:t>
            </w:r>
          </w:p>
        </w:tc>
        <w:tc>
          <w:tcPr>
            <w:tcW w:w="80" w:type="dxa"/>
            <w:vAlign w:val="bottom"/>
            <w:shd w:val="clear" w:color="auto" w:fill="DDDDDD"/>
          </w:tcPr>
          <w:p>
            <w:pPr>
              <w:spacing w:after="0"/>
              <w:rPr>
                <w:sz w:val="17"/>
                <w:szCs w:val="17"/>
                <w:color w:val="auto"/>
              </w:rPr>
            </w:pPr>
          </w:p>
        </w:tc>
        <w:tc>
          <w:tcPr>
            <w:tcW w:w="380" w:type="dxa"/>
            <w:vAlign w:val="bottom"/>
            <w:shd w:val="clear" w:color="auto" w:fill="DDDDDD"/>
          </w:tcPr>
          <w:p>
            <w:pPr>
              <w:jc w:val="right"/>
              <w:ind w:right="20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29,258</w:t>
            </w:r>
          </w:p>
        </w:tc>
        <w:tc>
          <w:tcPr>
            <w:tcW w:w="80" w:type="dxa"/>
            <w:vAlign w:val="bottom"/>
            <w:shd w:val="clear" w:color="auto" w:fill="DDDDDD"/>
          </w:tcPr>
          <w:p>
            <w:pPr>
              <w:spacing w:after="0"/>
              <w:rPr>
                <w:sz w:val="17"/>
                <w:szCs w:val="17"/>
                <w:color w:val="auto"/>
              </w:rPr>
            </w:pPr>
          </w:p>
        </w:tc>
        <w:tc>
          <w:tcPr>
            <w:tcW w:w="660" w:type="dxa"/>
            <w:vAlign w:val="bottom"/>
            <w:shd w:val="clear" w:color="auto" w:fill="DDDDDD"/>
          </w:tcPr>
          <w:p>
            <w:pPr>
              <w:jc w:val="right"/>
              <w:ind w:right="48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15,828</w:t>
            </w:r>
          </w:p>
        </w:tc>
      </w:tr>
      <w:tr>
        <w:trPr>
          <w:trHeight w:val="194"/>
        </w:trPr>
        <w:tc>
          <w:tcPr>
            <w:tcW w:w="4300" w:type="dxa"/>
            <w:vAlign w:val="bottom"/>
          </w:tcPr>
          <w:p>
            <w:pPr>
              <w:ind w:left="20"/>
              <w:spacing w:after="0"/>
              <w:rPr>
                <w:sz w:val="20"/>
                <w:szCs w:val="20"/>
                <w:color w:val="auto"/>
              </w:rPr>
            </w:pPr>
            <w:r>
              <w:rPr>
                <w:rFonts w:ascii="Arial" w:cs="Arial" w:eastAsia="Arial" w:hAnsi="Arial"/>
                <w:sz w:val="15"/>
                <w:szCs w:val="15"/>
                <w:color w:val="auto"/>
              </w:rPr>
              <w:t>Net charges to bad debt expense and revenue</w:t>
            </w: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9,751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13,062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26,661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22,184</w:t>
            </w:r>
          </w:p>
        </w:tc>
      </w:tr>
      <w:tr>
        <w:trPr>
          <w:trHeight w:val="199"/>
        </w:trPr>
        <w:tc>
          <w:tcPr>
            <w:tcW w:w="43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w:t>
            </w:r>
          </w:p>
        </w:tc>
        <w:tc>
          <w:tcPr>
            <w:tcW w:w="380" w:type="dxa"/>
            <w:vAlign w:val="bottom"/>
            <w:shd w:val="clear" w:color="auto" w:fill="DDDDDD"/>
          </w:tcPr>
          <w:p>
            <w:pPr>
              <w:spacing w:after="0"/>
              <w:rPr>
                <w:sz w:val="17"/>
                <w:szCs w:val="17"/>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(4,543)</w:t>
            </w:r>
          </w:p>
        </w:tc>
        <w:tc>
          <w:tcPr>
            <w:tcW w:w="8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(6,822)</w:t>
            </w:r>
          </w:p>
        </w:tc>
        <w:tc>
          <w:tcPr>
            <w:tcW w:w="8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(14,415)</w:t>
            </w:r>
          </w:p>
        </w:tc>
        <w:tc>
          <w:tcPr>
            <w:tcW w:w="8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(12,395)</w:t>
            </w:r>
          </w:p>
        </w:tc>
      </w:tr>
      <w:tr>
        <w:trPr>
          <w:trHeight w:val="194"/>
        </w:trPr>
        <w:tc>
          <w:tcPr>
            <w:tcW w:w="43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w:t>
            </w:r>
          </w:p>
        </w:tc>
        <w:tc>
          <w:tcPr>
            <w:tcW w:w="80" w:type="dxa"/>
            <w:vAlign w:val="bottom"/>
            <w:tcBorders>
              <w:bottom w:val="single" w:sz="8" w:color="DDDDDD"/>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(1,237)</w:t>
            </w:r>
          </w:p>
        </w:tc>
        <w:tc>
          <w:tcPr>
            <w:tcW w:w="80" w:type="dxa"/>
            <w:vAlign w:val="bottom"/>
            <w:tcBorders>
              <w:bottom w:val="single" w:sz="8" w:color="DDDDDD"/>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363</w:t>
            </w:r>
          </w:p>
        </w:tc>
        <w:tc>
          <w:tcPr>
            <w:tcW w:w="80" w:type="dxa"/>
            <w:vAlign w:val="bottom"/>
            <w:tcBorders>
              <w:bottom w:val="single" w:sz="8" w:color="DDDDDD"/>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w:t>
            </w:r>
          </w:p>
        </w:tc>
      </w:tr>
      <w:tr>
        <w:trPr>
          <w:trHeight w:val="214"/>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380" w:type="dxa"/>
            <w:vAlign w:val="bottom"/>
            <w:tcBorders>
              <w:bottom w:val="single" w:sz="8" w:color="auto"/>
            </w:tcBorders>
            <w:shd w:val="clear" w:color="auto" w:fill="DDDDDD"/>
          </w:tcPr>
          <w:p>
            <w:pPr>
              <w:jc w:val="right"/>
              <w:ind w:right="20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41,867</w:t>
            </w:r>
          </w:p>
        </w:tc>
        <w:tc>
          <w:tcPr>
            <w:tcW w:w="80" w:type="dxa"/>
            <w:vAlign w:val="bottom"/>
            <w:tcBorders>
              <w:bottom w:val="single" w:sz="8" w:color="DDDDDD"/>
            </w:tcBorders>
            <w:shd w:val="clear" w:color="auto" w:fill="DDDDDD"/>
          </w:tcPr>
          <w:p>
            <w:pPr>
              <w:spacing w:after="0"/>
              <w:rPr>
                <w:sz w:val="18"/>
                <w:szCs w:val="18"/>
                <w:color w:val="auto"/>
              </w:rPr>
            </w:pPr>
          </w:p>
        </w:tc>
        <w:tc>
          <w:tcPr>
            <w:tcW w:w="560" w:type="dxa"/>
            <w:vAlign w:val="bottom"/>
            <w:tcBorders>
              <w:bottom w:val="single" w:sz="8" w:color="auto"/>
            </w:tcBorders>
            <w:shd w:val="clear" w:color="auto" w:fill="DDDDDD"/>
          </w:tcPr>
          <w:p>
            <w:pPr>
              <w:jc w:val="right"/>
              <w:ind w:right="38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24,186</w:t>
            </w:r>
          </w:p>
        </w:tc>
        <w:tc>
          <w:tcPr>
            <w:tcW w:w="80" w:type="dxa"/>
            <w:vAlign w:val="bottom"/>
            <w:tcBorders>
              <w:bottom w:val="single" w:sz="8" w:color="DDDDDD"/>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jc w:val="right"/>
              <w:ind w:right="20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41,867</w:t>
            </w:r>
          </w:p>
        </w:tc>
        <w:tc>
          <w:tcPr>
            <w:tcW w:w="80" w:type="dxa"/>
            <w:vAlign w:val="bottom"/>
            <w:tcBorders>
              <w:bottom w:val="single" w:sz="8" w:color="DDDDDD"/>
            </w:tcBorders>
            <w:shd w:val="clear" w:color="auto" w:fill="DDDDDD"/>
          </w:tcPr>
          <w:p>
            <w:pPr>
              <w:spacing w:after="0"/>
              <w:rPr>
                <w:sz w:val="18"/>
                <w:szCs w:val="18"/>
                <w:color w:val="auto"/>
              </w:rPr>
            </w:pPr>
          </w:p>
        </w:tc>
        <w:tc>
          <w:tcPr>
            <w:tcW w:w="660" w:type="dxa"/>
            <w:vAlign w:val="bottom"/>
            <w:tcBorders>
              <w:bottom w:val="single" w:sz="8" w:color="auto"/>
            </w:tcBorders>
            <w:shd w:val="clear" w:color="auto" w:fill="DDDDDD"/>
          </w:tcPr>
          <w:p>
            <w:pPr>
              <w:jc w:val="right"/>
              <w:ind w:right="48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24,186</w:t>
            </w:r>
          </w:p>
        </w:tc>
      </w:tr>
      <w:tr>
        <w:trPr>
          <w:trHeight w:val="20"/>
        </w:trPr>
        <w:tc>
          <w:tcPr>
            <w:tcW w:w="43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60" w:type="dxa"/>
            <w:vAlign w:val="bottom"/>
            <w:tcBorders>
              <w:top w:val="single" w:sz="8" w:color="DDDDDD"/>
              <w:bottom w:val="single" w:sz="8" w:color="auto"/>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c>
          <w:tcPr>
            <w:tcW w:w="100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4" w:name="page15"/>
    <w:bookmarkEnd w:id="14"/>
    <w:p>
      <w:pPr>
        <w:spacing w:after="0"/>
        <w:rPr>
          <w:sz w:val="20"/>
          <w:szCs w:val="20"/>
          <w:color w:val="auto"/>
        </w:rPr>
      </w:pPr>
      <w:r>
        <w:rPr>
          <w:rFonts w:ascii="Arial" w:cs="Arial" w:eastAsia="Arial" w:hAnsi="Arial"/>
          <w:sz w:val="21"/>
          <w:szCs w:val="21"/>
          <w:color w:val="1D2758"/>
        </w:rPr>
        <w:t>NOTE 4 - Leases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ind w:left="580"/>
              <w:spacing w:after="0"/>
              <w:rPr>
                <w:sz w:val="20"/>
                <w:szCs w:val="20"/>
                <w:color w:val="auto"/>
              </w:rPr>
            </w:pPr>
            <w:r>
              <w:rPr>
                <w:rFonts w:ascii="Arial" w:cs="Arial" w:eastAsia="Arial" w:hAnsi="Arial"/>
                <w:sz w:val="15"/>
                <w:szCs w:val="15"/>
                <w:color w:val="auto"/>
              </w:rPr>
              <w:t>As  of  September  30,  2021,  the  undiscounted</w:t>
            </w:r>
          </w:p>
        </w:tc>
        <w:tc>
          <w:tcPr>
            <w:tcW w:w="1920" w:type="dxa"/>
            <w:vAlign w:val="bottom"/>
            <w:gridSpan w:val="2"/>
          </w:tcPr>
          <w:p>
            <w:pPr>
              <w:jc w:val="right"/>
              <w:ind w:right="100"/>
              <w:spacing w:after="0"/>
              <w:rPr>
                <w:sz w:val="20"/>
                <w:szCs w:val="20"/>
                <w:color w:val="auto"/>
              </w:rPr>
            </w:pPr>
            <w:r>
              <w:rPr>
                <w:rFonts w:ascii="Arial" w:cs="Arial" w:eastAsia="Arial" w:hAnsi="Arial"/>
                <w:sz w:val="15"/>
                <w:szCs w:val="15"/>
                <w:color w:val="auto"/>
              </w:rPr>
              <w:t>future  lease  payments</w:t>
            </w:r>
          </w:p>
        </w:tc>
        <w:tc>
          <w:tcPr>
            <w:tcW w:w="2780" w:type="dxa"/>
            <w:vAlign w:val="bottom"/>
            <w:gridSpan w:val="3"/>
          </w:tcPr>
          <w:p>
            <w:pPr>
              <w:jc w:val="right"/>
              <w:ind w:right="46"/>
              <w:spacing w:after="0"/>
              <w:rPr>
                <w:sz w:val="20"/>
                <w:szCs w:val="20"/>
                <w:color w:val="auto"/>
              </w:rPr>
            </w:pPr>
            <w:r>
              <w:rPr>
                <w:rFonts w:ascii="Arial" w:cs="Arial" w:eastAsia="Arial" w:hAnsi="Arial"/>
                <w:sz w:val="15"/>
                <w:szCs w:val="15"/>
                <w:color w:val="auto"/>
              </w:rPr>
              <w:t>for  operating  and  finance  lease</w:t>
            </w:r>
          </w:p>
        </w:tc>
        <w:tc>
          <w:tcPr>
            <w:tcW w:w="2120" w:type="dxa"/>
            <w:vAlign w:val="bottom"/>
          </w:tcPr>
          <w:p>
            <w:pPr>
              <w:jc w:val="right"/>
              <w:spacing w:after="0"/>
              <w:rPr>
                <w:sz w:val="20"/>
                <w:szCs w:val="20"/>
                <w:color w:val="auto"/>
              </w:rPr>
            </w:pPr>
            <w:r>
              <w:rPr>
                <w:rFonts w:ascii="Arial" w:cs="Arial" w:eastAsia="Arial" w:hAnsi="Arial"/>
                <w:sz w:val="15"/>
                <w:szCs w:val="15"/>
                <w:color w:val="auto"/>
              </w:rPr>
              <w:t>liabilities  were  as  follows:</w:t>
            </w:r>
          </w:p>
        </w:tc>
      </w:tr>
      <w:tr>
        <w:trPr>
          <w:trHeight w:val="205"/>
        </w:trPr>
        <w:tc>
          <w:tcPr>
            <w:tcW w:w="4420" w:type="dxa"/>
            <w:vAlign w:val="bottom"/>
            <w:shd w:val="clear" w:color="auto" w:fill="1D2758"/>
          </w:tcPr>
          <w:p>
            <w:pPr>
              <w:ind w:left="600"/>
              <w:spacing w:after="0"/>
              <w:rPr>
                <w:sz w:val="20"/>
                <w:szCs w:val="20"/>
                <w:color w:val="auto"/>
              </w:rPr>
            </w:pPr>
            <w:r>
              <w:rPr>
                <w:rFonts w:ascii="Arial" w:cs="Arial" w:eastAsia="Arial" w:hAnsi="Arial"/>
                <w:sz w:val="15"/>
                <w:szCs w:val="15"/>
                <w:b w:val="1"/>
                <w:bCs w:val="1"/>
                <w:i w:val="1"/>
                <w:iCs w:val="1"/>
                <w:color w:val="FFFFFF"/>
              </w:rPr>
              <w:t>(in thousands)</w:t>
            </w:r>
          </w:p>
        </w:tc>
        <w:tc>
          <w:tcPr>
            <w:tcW w:w="1020" w:type="dxa"/>
            <w:vAlign w:val="bottom"/>
            <w:shd w:val="clear" w:color="auto" w:fill="1D2758"/>
          </w:tcPr>
          <w:p>
            <w:pPr>
              <w:spacing w:after="0"/>
              <w:rPr>
                <w:sz w:val="17"/>
                <w:szCs w:val="17"/>
                <w:color w:val="auto"/>
              </w:rPr>
            </w:pPr>
          </w:p>
        </w:tc>
        <w:tc>
          <w:tcPr>
            <w:tcW w:w="900" w:type="dxa"/>
            <w:vAlign w:val="bottom"/>
            <w:shd w:val="clear" w:color="auto" w:fill="1D2758"/>
          </w:tcPr>
          <w:p>
            <w:pPr>
              <w:spacing w:after="0"/>
              <w:rPr>
                <w:sz w:val="17"/>
                <w:szCs w:val="17"/>
                <w:color w:val="auto"/>
              </w:rPr>
            </w:pPr>
          </w:p>
        </w:tc>
        <w:tc>
          <w:tcPr>
            <w:tcW w:w="2040" w:type="dxa"/>
            <w:vAlign w:val="bottom"/>
            <w:gridSpan w:val="2"/>
            <w:shd w:val="clear" w:color="auto" w:fill="1D2758"/>
          </w:tcPr>
          <w:p>
            <w:pPr>
              <w:ind w:left="480"/>
              <w:spacing w:after="0"/>
              <w:rPr>
                <w:sz w:val="20"/>
                <w:szCs w:val="20"/>
                <w:color w:val="auto"/>
              </w:rPr>
            </w:pPr>
            <w:r>
              <w:rPr>
                <w:rFonts w:ascii="Arial" w:cs="Arial" w:eastAsia="Arial" w:hAnsi="Arial"/>
                <w:sz w:val="15"/>
                <w:szCs w:val="15"/>
                <w:b w:val="1"/>
                <w:bCs w:val="1"/>
                <w:color w:val="FFFFFF"/>
              </w:rPr>
              <w:t>Operating</w:t>
            </w:r>
          </w:p>
        </w:tc>
        <w:tc>
          <w:tcPr>
            <w:tcW w:w="740" w:type="dxa"/>
            <w:vAlign w:val="bottom"/>
            <w:shd w:val="clear" w:color="auto" w:fill="1D2758"/>
          </w:tcPr>
          <w:p>
            <w:pPr>
              <w:spacing w:after="0"/>
              <w:rPr>
                <w:sz w:val="17"/>
                <w:szCs w:val="17"/>
                <w:color w:val="auto"/>
              </w:rPr>
            </w:pPr>
          </w:p>
        </w:tc>
        <w:tc>
          <w:tcPr>
            <w:tcW w:w="2120" w:type="dxa"/>
            <w:vAlign w:val="bottom"/>
            <w:shd w:val="clear" w:color="auto" w:fill="1D2758"/>
          </w:tcPr>
          <w:p>
            <w:pPr>
              <w:jc w:val="right"/>
              <w:ind w:right="766"/>
              <w:spacing w:after="0"/>
              <w:rPr>
                <w:sz w:val="20"/>
                <w:szCs w:val="20"/>
                <w:color w:val="auto"/>
              </w:rPr>
            </w:pPr>
            <w:r>
              <w:rPr>
                <w:rFonts w:ascii="Arial" w:cs="Arial" w:eastAsia="Arial" w:hAnsi="Arial"/>
                <w:sz w:val="15"/>
                <w:szCs w:val="15"/>
                <w:b w:val="1"/>
                <w:bCs w:val="1"/>
                <w:color w:val="FFFFFF"/>
              </w:rPr>
              <w:t>Finance</w:t>
            </w:r>
          </w:p>
        </w:tc>
      </w:tr>
      <w:tr>
        <w:trPr>
          <w:trHeight w:val="197"/>
        </w:trPr>
        <w:tc>
          <w:tcPr>
            <w:tcW w:w="4420" w:type="dxa"/>
            <w:vAlign w:val="bottom"/>
            <w:shd w:val="clear" w:color="auto" w:fill="DBDBDB"/>
          </w:tcPr>
          <w:p>
            <w:pPr>
              <w:ind w:left="600"/>
              <w:spacing w:after="0"/>
              <w:rPr>
                <w:sz w:val="20"/>
                <w:szCs w:val="20"/>
                <w:color w:val="auto"/>
              </w:rPr>
            </w:pPr>
            <w:r>
              <w:rPr>
                <w:rFonts w:ascii="Arial" w:cs="Arial" w:eastAsia="Arial" w:hAnsi="Arial"/>
                <w:sz w:val="15"/>
                <w:szCs w:val="15"/>
                <w:color w:val="auto"/>
              </w:rPr>
              <w:t>2021 (remaining)</w:t>
            </w:r>
          </w:p>
        </w:tc>
        <w:tc>
          <w:tcPr>
            <w:tcW w:w="1920" w:type="dxa"/>
            <w:vAlign w:val="bottom"/>
            <w:gridSpan w:val="2"/>
            <w:shd w:val="clear" w:color="auto" w:fill="DBDBDB"/>
          </w:tcPr>
          <w:p>
            <w:pPr>
              <w:jc w:val="right"/>
              <w:ind w:right="220"/>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16,246</w:t>
            </w: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5,520</w:t>
            </w:r>
          </w:p>
        </w:tc>
      </w:tr>
      <w:tr>
        <w:trPr>
          <w:trHeight w:val="194"/>
        </w:trPr>
        <w:tc>
          <w:tcPr>
            <w:tcW w:w="4420" w:type="dxa"/>
            <w:vAlign w:val="bottom"/>
          </w:tcPr>
          <w:p>
            <w:pPr>
              <w:ind w:left="600"/>
              <w:spacing w:after="0"/>
              <w:rPr>
                <w:sz w:val="20"/>
                <w:szCs w:val="20"/>
                <w:color w:val="auto"/>
              </w:rPr>
            </w:pPr>
            <w:r>
              <w:rPr>
                <w:rFonts w:ascii="Arial" w:cs="Arial" w:eastAsia="Arial" w:hAnsi="Arial"/>
                <w:sz w:val="15"/>
                <w:szCs w:val="15"/>
                <w:color w:val="auto"/>
              </w:rPr>
              <w:t>2022</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60,038</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20,012</w:t>
            </w:r>
          </w:p>
        </w:tc>
      </w:tr>
      <w:tr>
        <w:trPr>
          <w:trHeight w:val="199"/>
        </w:trPr>
        <w:tc>
          <w:tcPr>
            <w:tcW w:w="4420" w:type="dxa"/>
            <w:vAlign w:val="bottom"/>
            <w:shd w:val="clear" w:color="auto" w:fill="DBDBDB"/>
          </w:tcPr>
          <w:p>
            <w:pPr>
              <w:ind w:left="600"/>
              <w:spacing w:after="0"/>
              <w:rPr>
                <w:sz w:val="20"/>
                <w:szCs w:val="20"/>
                <w:color w:val="auto"/>
              </w:rPr>
            </w:pPr>
            <w:r>
              <w:rPr>
                <w:rFonts w:ascii="Arial" w:cs="Arial" w:eastAsia="Arial" w:hAnsi="Arial"/>
                <w:sz w:val="15"/>
                <w:szCs w:val="15"/>
                <w:color w:val="auto"/>
              </w:rPr>
              <w:t>2023</w:t>
            </w:r>
          </w:p>
        </w:tc>
        <w:tc>
          <w:tcPr>
            <w:tcW w:w="10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49,165</w:t>
            </w: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16,561</w:t>
            </w:r>
          </w:p>
        </w:tc>
      </w:tr>
      <w:tr>
        <w:trPr>
          <w:trHeight w:val="194"/>
        </w:trPr>
        <w:tc>
          <w:tcPr>
            <w:tcW w:w="4420" w:type="dxa"/>
            <w:vAlign w:val="bottom"/>
          </w:tcPr>
          <w:p>
            <w:pPr>
              <w:ind w:left="600"/>
              <w:spacing w:after="0"/>
              <w:rPr>
                <w:sz w:val="20"/>
                <w:szCs w:val="20"/>
                <w:color w:val="auto"/>
              </w:rPr>
            </w:pPr>
            <w:r>
              <w:rPr>
                <w:rFonts w:ascii="Arial" w:cs="Arial" w:eastAsia="Arial" w:hAnsi="Arial"/>
                <w:sz w:val="15"/>
                <w:szCs w:val="15"/>
                <w:color w:val="auto"/>
              </w:rPr>
              <w:t>2024</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40,555</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13,639</w:t>
            </w:r>
          </w:p>
        </w:tc>
      </w:tr>
      <w:tr>
        <w:trPr>
          <w:trHeight w:val="199"/>
        </w:trPr>
        <w:tc>
          <w:tcPr>
            <w:tcW w:w="4420" w:type="dxa"/>
            <w:vAlign w:val="bottom"/>
            <w:shd w:val="clear" w:color="auto" w:fill="DBDBDB"/>
          </w:tcPr>
          <w:p>
            <w:pPr>
              <w:ind w:left="600"/>
              <w:spacing w:after="0"/>
              <w:rPr>
                <w:sz w:val="20"/>
                <w:szCs w:val="20"/>
                <w:color w:val="auto"/>
              </w:rPr>
            </w:pPr>
            <w:r>
              <w:rPr>
                <w:rFonts w:ascii="Arial" w:cs="Arial" w:eastAsia="Arial" w:hAnsi="Arial"/>
                <w:sz w:val="15"/>
                <w:szCs w:val="15"/>
                <w:color w:val="auto"/>
              </w:rPr>
              <w:t>2025</w:t>
            </w:r>
          </w:p>
        </w:tc>
        <w:tc>
          <w:tcPr>
            <w:tcW w:w="10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33,371</w:t>
            </w: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13,747</w:t>
            </w:r>
          </w:p>
        </w:tc>
      </w:tr>
      <w:tr>
        <w:trPr>
          <w:trHeight w:val="194"/>
        </w:trPr>
        <w:tc>
          <w:tcPr>
            <w:tcW w:w="4420" w:type="dxa"/>
            <w:vAlign w:val="bottom"/>
            <w:tcBorders>
              <w:bottom w:val="single" w:sz="8" w:color="DBDBDB"/>
            </w:tcBorders>
          </w:tcPr>
          <w:p>
            <w:pPr>
              <w:ind w:left="600"/>
              <w:spacing w:after="0"/>
              <w:rPr>
                <w:sz w:val="20"/>
                <w:szCs w:val="20"/>
                <w:color w:val="auto"/>
              </w:rPr>
            </w:pPr>
            <w:r>
              <w:rPr>
                <w:rFonts w:ascii="Arial" w:cs="Arial" w:eastAsia="Arial" w:hAnsi="Arial"/>
                <w:sz w:val="15"/>
                <w:szCs w:val="15"/>
                <w:color w:val="auto"/>
              </w:rPr>
              <w:t>Thereafter</w:t>
            </w:r>
          </w:p>
        </w:tc>
        <w:tc>
          <w:tcPr>
            <w:tcW w:w="1020" w:type="dxa"/>
            <w:vAlign w:val="bottom"/>
            <w:tcBorders>
              <w:bottom w:val="single" w:sz="8" w:color="DBDBDB"/>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76,957</w:t>
            </w:r>
          </w:p>
        </w:tc>
        <w:tc>
          <w:tcPr>
            <w:tcW w:w="8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22,841</w:t>
            </w:r>
          </w:p>
        </w:tc>
      </w:tr>
      <w:tr>
        <w:trPr>
          <w:trHeight w:val="192"/>
        </w:trPr>
        <w:tc>
          <w:tcPr>
            <w:tcW w:w="4420" w:type="dxa"/>
            <w:vAlign w:val="bottom"/>
            <w:shd w:val="clear" w:color="auto" w:fill="DBDBDB"/>
          </w:tcPr>
          <w:p>
            <w:pPr>
              <w:ind w:left="800"/>
              <w:spacing w:after="0"/>
              <w:rPr>
                <w:sz w:val="20"/>
                <w:szCs w:val="20"/>
                <w:color w:val="auto"/>
              </w:rPr>
            </w:pPr>
            <w:r>
              <w:rPr>
                <w:rFonts w:ascii="Arial" w:cs="Arial" w:eastAsia="Arial" w:hAnsi="Arial"/>
                <w:sz w:val="15"/>
                <w:szCs w:val="15"/>
                <w:color w:val="auto"/>
              </w:rPr>
              <w:t>Total lease payments</w:t>
            </w:r>
          </w:p>
        </w:tc>
        <w:tc>
          <w:tcPr>
            <w:tcW w:w="10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276,332</w:t>
            </w:r>
          </w:p>
        </w:tc>
        <w:tc>
          <w:tcPr>
            <w:tcW w:w="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92,320</w:t>
            </w:r>
          </w:p>
        </w:tc>
      </w:tr>
      <w:tr>
        <w:trPr>
          <w:trHeight w:val="194"/>
        </w:trPr>
        <w:tc>
          <w:tcPr>
            <w:tcW w:w="4420" w:type="dxa"/>
            <w:vAlign w:val="bottom"/>
            <w:tcBorders>
              <w:bottom w:val="single" w:sz="8" w:color="DBDBDB"/>
            </w:tcBorders>
          </w:tcPr>
          <w:p>
            <w:pPr>
              <w:ind w:left="600"/>
              <w:spacing w:after="0"/>
              <w:rPr>
                <w:sz w:val="20"/>
                <w:szCs w:val="20"/>
                <w:color w:val="auto"/>
              </w:rPr>
            </w:pPr>
            <w:r>
              <w:rPr>
                <w:rFonts w:ascii="Arial" w:cs="Arial" w:eastAsia="Arial" w:hAnsi="Arial"/>
                <w:sz w:val="15"/>
                <w:szCs w:val="15"/>
                <w:color w:val="auto"/>
              </w:rPr>
              <w:t>Less: interest</w:t>
            </w:r>
          </w:p>
        </w:tc>
        <w:tc>
          <w:tcPr>
            <w:tcW w:w="1020" w:type="dxa"/>
            <w:vAlign w:val="bottom"/>
            <w:tcBorders>
              <w:bottom w:val="single" w:sz="8" w:color="DBDBDB"/>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(42,745)</w:t>
            </w:r>
          </w:p>
        </w:tc>
        <w:tc>
          <w:tcPr>
            <w:tcW w:w="8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(6,720)</w:t>
            </w:r>
          </w:p>
        </w:tc>
      </w:tr>
      <w:tr>
        <w:trPr>
          <w:trHeight w:val="209"/>
        </w:trPr>
        <w:tc>
          <w:tcPr>
            <w:tcW w:w="4420" w:type="dxa"/>
            <w:vAlign w:val="bottom"/>
            <w:shd w:val="clear" w:color="auto" w:fill="DBDBDB"/>
          </w:tcPr>
          <w:p>
            <w:pPr>
              <w:ind w:left="600"/>
              <w:spacing w:after="0"/>
              <w:rPr>
                <w:sz w:val="20"/>
                <w:szCs w:val="20"/>
                <w:color w:val="auto"/>
              </w:rPr>
            </w:pPr>
            <w:r>
              <w:rPr>
                <w:rFonts w:ascii="Arial" w:cs="Arial" w:eastAsia="Arial" w:hAnsi="Arial"/>
                <w:sz w:val="15"/>
                <w:szCs w:val="15"/>
                <w:color w:val="auto"/>
              </w:rPr>
              <w:t>Present value of lease liabilities</w:t>
            </w:r>
          </w:p>
        </w:tc>
        <w:tc>
          <w:tcPr>
            <w:tcW w:w="1920" w:type="dxa"/>
            <w:vAlign w:val="bottom"/>
            <w:gridSpan w:val="2"/>
            <w:shd w:val="clear" w:color="auto" w:fill="DBDBDB"/>
          </w:tcPr>
          <w:p>
            <w:pPr>
              <w:jc w:val="right"/>
              <w:ind w:right="220"/>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233,587</w:t>
            </w:r>
          </w:p>
        </w:tc>
        <w:tc>
          <w:tcPr>
            <w:tcW w:w="8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85,600</w:t>
            </w:r>
          </w:p>
        </w:tc>
      </w:tr>
      <w:tr>
        <w:trPr>
          <w:trHeight w:val="20"/>
        </w:trPr>
        <w:tc>
          <w:tcPr>
            <w:tcW w:w="442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condensed consolidated balance sheets.</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Company’s lease activity during the nine months ended September 30, 2021 and 2020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80" w:type="dxa"/>
            <w:vAlign w:val="bottom"/>
            <w:shd w:val="clear" w:color="auto" w:fill="1D2758"/>
          </w:tcPr>
          <w:p>
            <w:pPr>
              <w:spacing w:after="0"/>
              <w:rPr>
                <w:sz w:val="17"/>
                <w:szCs w:val="17"/>
                <w:color w:val="auto"/>
              </w:rPr>
            </w:pPr>
          </w:p>
        </w:tc>
        <w:tc>
          <w:tcPr>
            <w:tcW w:w="4420" w:type="dxa"/>
            <w:vAlign w:val="bottom"/>
            <w:gridSpan w:val="4"/>
            <w:shd w:val="clear" w:color="auto" w:fill="1D2758"/>
          </w:tcPr>
          <w:p>
            <w:pPr>
              <w:jc w:val="right"/>
              <w:ind w:right="1206"/>
              <w:spacing w:after="0"/>
              <w:rPr>
                <w:sz w:val="20"/>
                <w:szCs w:val="20"/>
                <w:color w:val="auto"/>
              </w:rPr>
            </w:pPr>
            <w:r>
              <w:rPr>
                <w:rFonts w:ascii="Arial" w:cs="Arial" w:eastAsia="Arial" w:hAnsi="Arial"/>
                <w:sz w:val="15"/>
                <w:szCs w:val="15"/>
                <w:b w:val="1"/>
                <w:bCs w:val="1"/>
                <w:color w:val="FFFFFF"/>
              </w:rPr>
              <w:t>Nine Months Ended September 30,</w:t>
            </w:r>
          </w:p>
        </w:tc>
      </w:tr>
      <w:tr>
        <w:trPr>
          <w:trHeight w:val="197"/>
        </w:trPr>
        <w:tc>
          <w:tcPr>
            <w:tcW w:w="62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Financial Statement Line</w:t>
            </w:r>
          </w:p>
        </w:tc>
        <w:tc>
          <w:tcPr>
            <w:tcW w:w="58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100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58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6"/>
              <w:spacing w:after="0"/>
              <w:rPr>
                <w:sz w:val="20"/>
                <w:szCs w:val="20"/>
                <w:color w:val="auto"/>
              </w:rPr>
            </w:pPr>
            <w:r>
              <w:rPr>
                <w:rFonts w:ascii="Arial" w:cs="Arial" w:eastAsia="Arial" w:hAnsi="Arial"/>
                <w:sz w:val="15"/>
                <w:szCs w:val="15"/>
                <w:b w:val="1"/>
                <w:bCs w:val="1"/>
                <w:color w:val="FFFFFF"/>
              </w:rPr>
              <w:t>2020</w:t>
            </w:r>
          </w:p>
        </w:tc>
      </w:tr>
      <w:tr>
        <w:trPr>
          <w:trHeight w:val="197"/>
        </w:trPr>
        <w:tc>
          <w:tcPr>
            <w:tcW w:w="6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194"/>
        </w:trPr>
        <w:tc>
          <w:tcPr>
            <w:tcW w:w="6240" w:type="dxa"/>
            <w:vAlign w:val="bottom"/>
          </w:tcPr>
          <w:p>
            <w:pPr>
              <w:ind w:left="300"/>
              <w:spacing w:after="0"/>
              <w:rPr>
                <w:sz w:val="20"/>
                <w:szCs w:val="20"/>
                <w:color w:val="auto"/>
              </w:rPr>
            </w:pPr>
            <w:r>
              <w:rPr>
                <w:rFonts w:ascii="Arial" w:cs="Arial" w:eastAsia="Arial" w:hAnsi="Arial"/>
                <w:sz w:val="15"/>
                <w:szCs w:val="15"/>
                <w:color w:val="auto"/>
              </w:rPr>
              <w:t>Amortization of finance lease assets</w:t>
            </w:r>
          </w:p>
        </w:tc>
        <w:tc>
          <w:tcPr>
            <w:tcW w:w="580" w:type="dxa"/>
            <w:vAlign w:val="bottom"/>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6"/>
              <w:spacing w:after="0"/>
              <w:rPr>
                <w:sz w:val="20"/>
                <w:szCs w:val="20"/>
                <w:color w:val="auto"/>
              </w:rPr>
            </w:pPr>
            <w:r>
              <w:rPr>
                <w:rFonts w:ascii="Arial" w:cs="Arial" w:eastAsia="Arial" w:hAnsi="Arial"/>
                <w:sz w:val="15"/>
                <w:szCs w:val="15"/>
                <w:color w:val="auto"/>
              </w:rPr>
              <w:t>14,231</w:t>
            </w:r>
          </w:p>
        </w:tc>
        <w:tc>
          <w:tcPr>
            <w:tcW w:w="80" w:type="dxa"/>
            <w:vAlign w:val="bottom"/>
          </w:tcPr>
          <w:p>
            <w:pPr>
              <w:spacing w:after="0"/>
              <w:rPr>
                <w:sz w:val="16"/>
                <w:szCs w:val="16"/>
                <w:color w:val="auto"/>
              </w:rPr>
            </w:pPr>
          </w:p>
        </w:tc>
        <w:tc>
          <w:tcPr>
            <w:tcW w:w="580" w:type="dxa"/>
            <w:vAlign w:val="bottom"/>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4,360</w:t>
            </w:r>
          </w:p>
        </w:tc>
      </w:tr>
      <w:tr>
        <w:trPr>
          <w:trHeight w:val="197"/>
        </w:trPr>
        <w:tc>
          <w:tcPr>
            <w:tcW w:w="6240" w:type="dxa"/>
            <w:vAlign w:val="bottom"/>
            <w:shd w:val="clear" w:color="auto" w:fill="DBDBDB"/>
          </w:tcPr>
          <w:p>
            <w:pPr>
              <w:ind w:left="300"/>
              <w:spacing w:after="0"/>
              <w:rPr>
                <w:sz w:val="20"/>
                <w:szCs w:val="20"/>
                <w:color w:val="auto"/>
              </w:rPr>
            </w:pPr>
            <w:r>
              <w:rPr>
                <w:rFonts w:ascii="Arial" w:cs="Arial" w:eastAsia="Arial" w:hAnsi="Arial"/>
                <w:sz w:val="15"/>
                <w:szCs w:val="15"/>
                <w:color w:val="auto"/>
              </w:rPr>
              <w:t>Interest on obligations under finance leases</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1,674</w:t>
            </w:r>
          </w:p>
        </w:tc>
        <w:tc>
          <w:tcPr>
            <w:tcW w:w="80" w:type="dxa"/>
            <w:vAlign w:val="bottom"/>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512</w:t>
            </w:r>
          </w:p>
        </w:tc>
      </w:tr>
      <w:tr>
        <w:trPr>
          <w:trHeight w:val="192"/>
        </w:trPr>
        <w:tc>
          <w:tcPr>
            <w:tcW w:w="624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15,905</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4,872</w:t>
            </w:r>
          </w:p>
        </w:tc>
      </w:tr>
      <w:tr>
        <w:trPr>
          <w:trHeight w:val="20"/>
        </w:trPr>
        <w:tc>
          <w:tcPr>
            <w:tcW w:w="624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8"/>
        </w:trPr>
        <w:tc>
          <w:tcPr>
            <w:tcW w:w="624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194"/>
        </w:trPr>
        <w:tc>
          <w:tcPr>
            <w:tcW w:w="624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9"/>
        </w:trPr>
        <w:tc>
          <w:tcPr>
            <w:tcW w:w="6240" w:type="dxa"/>
            <w:vAlign w:val="bottom"/>
            <w:shd w:val="clear" w:color="auto" w:fill="DBDBDB"/>
          </w:tcPr>
          <w:p>
            <w:pPr>
              <w:ind w:left="300"/>
              <w:spacing w:after="0"/>
              <w:rPr>
                <w:sz w:val="20"/>
                <w:szCs w:val="20"/>
                <w:color w:val="auto"/>
              </w:rPr>
            </w:pPr>
            <w:r>
              <w:rPr>
                <w:rFonts w:ascii="Arial" w:cs="Arial" w:eastAsia="Arial" w:hAnsi="Arial"/>
                <w:sz w:val="15"/>
                <w:szCs w:val="15"/>
                <w:color w:val="auto"/>
              </w:rPr>
              <w:t>Fixed lease expense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194"/>
        </w:trPr>
        <w:tc>
          <w:tcPr>
            <w:tcW w:w="6240" w:type="dxa"/>
            <w:vAlign w:val="bottom"/>
          </w:tcPr>
          <w:p>
            <w:pPr>
              <w:ind w:left="50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6"/>
              <w:spacing w:after="0"/>
              <w:rPr>
                <w:sz w:val="20"/>
                <w:szCs w:val="20"/>
                <w:color w:val="auto"/>
              </w:rPr>
            </w:pPr>
            <w:r>
              <w:rPr>
                <w:rFonts w:ascii="Arial" w:cs="Arial" w:eastAsia="Arial" w:hAnsi="Arial"/>
                <w:sz w:val="15"/>
                <w:szCs w:val="15"/>
                <w:color w:val="auto"/>
              </w:rPr>
              <w:t>3,019</w:t>
            </w:r>
          </w:p>
        </w:tc>
        <w:tc>
          <w:tcPr>
            <w:tcW w:w="80" w:type="dxa"/>
            <w:vAlign w:val="bottom"/>
          </w:tcPr>
          <w:p>
            <w:pPr>
              <w:spacing w:after="0"/>
              <w:rPr>
                <w:sz w:val="16"/>
                <w:szCs w:val="16"/>
                <w:color w:val="auto"/>
              </w:rPr>
            </w:pPr>
          </w:p>
        </w:tc>
        <w:tc>
          <w:tcPr>
            <w:tcW w:w="580" w:type="dxa"/>
            <w:vAlign w:val="bottom"/>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4,444</w:t>
            </w:r>
          </w:p>
        </w:tc>
      </w:tr>
      <w:tr>
        <w:trPr>
          <w:trHeight w:val="199"/>
        </w:trPr>
        <w:tc>
          <w:tcPr>
            <w:tcW w:w="6240" w:type="dxa"/>
            <w:vAlign w:val="bottom"/>
            <w:shd w:val="clear" w:color="auto" w:fill="DBDBDB"/>
          </w:tcPr>
          <w:p>
            <w:pPr>
              <w:ind w:left="50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44,732</w:t>
            </w: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29,682</w:t>
            </w:r>
          </w:p>
        </w:tc>
      </w:tr>
      <w:tr>
        <w:trPr>
          <w:trHeight w:val="194"/>
        </w:trPr>
        <w:tc>
          <w:tcPr>
            <w:tcW w:w="6240" w:type="dxa"/>
            <w:vAlign w:val="bottom"/>
          </w:tcPr>
          <w:p>
            <w:pPr>
              <w:ind w:left="50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1,571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2,103</w:t>
            </w:r>
          </w:p>
        </w:tc>
      </w:tr>
      <w:tr>
        <w:trPr>
          <w:trHeight w:val="199"/>
        </w:trPr>
        <w:tc>
          <w:tcPr>
            <w:tcW w:w="62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Short-term lease expense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194"/>
        </w:trPr>
        <w:tc>
          <w:tcPr>
            <w:tcW w:w="6240" w:type="dxa"/>
            <w:vAlign w:val="bottom"/>
          </w:tcPr>
          <w:p>
            <w:pPr>
              <w:ind w:left="50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17,751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19,765</w:t>
            </w:r>
          </w:p>
        </w:tc>
      </w:tr>
      <w:tr>
        <w:trPr>
          <w:trHeight w:val="199"/>
        </w:trPr>
        <w:tc>
          <w:tcPr>
            <w:tcW w:w="6240" w:type="dxa"/>
            <w:vAlign w:val="bottom"/>
            <w:shd w:val="clear" w:color="auto" w:fill="DBDBDB"/>
          </w:tcPr>
          <w:p>
            <w:pPr>
              <w:ind w:left="50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680</w:t>
            </w: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1,612</w:t>
            </w:r>
          </w:p>
        </w:tc>
      </w:tr>
      <w:tr>
        <w:trPr>
          <w:trHeight w:val="194"/>
        </w:trPr>
        <w:tc>
          <w:tcPr>
            <w:tcW w:w="6240" w:type="dxa"/>
            <w:vAlign w:val="bottom"/>
          </w:tcPr>
          <w:p>
            <w:pPr>
              <w:ind w:left="50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471</w:t>
            </w:r>
          </w:p>
        </w:tc>
      </w:tr>
      <w:tr>
        <w:trPr>
          <w:trHeight w:val="199"/>
        </w:trPr>
        <w:tc>
          <w:tcPr>
            <w:tcW w:w="62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Variable lease expense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194"/>
        </w:trPr>
        <w:tc>
          <w:tcPr>
            <w:tcW w:w="6240" w:type="dxa"/>
            <w:vAlign w:val="bottom"/>
          </w:tcPr>
          <w:p>
            <w:pPr>
              <w:ind w:left="50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5,442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5,277</w:t>
            </w:r>
          </w:p>
        </w:tc>
      </w:tr>
      <w:tr>
        <w:trPr>
          <w:trHeight w:val="199"/>
        </w:trPr>
        <w:tc>
          <w:tcPr>
            <w:tcW w:w="6240" w:type="dxa"/>
            <w:vAlign w:val="bottom"/>
            <w:shd w:val="clear" w:color="auto" w:fill="DBDBDB"/>
          </w:tcPr>
          <w:p>
            <w:pPr>
              <w:ind w:left="50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5,702</w:t>
            </w: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3,645</w:t>
            </w:r>
          </w:p>
        </w:tc>
      </w:tr>
      <w:tr>
        <w:trPr>
          <w:trHeight w:val="194"/>
        </w:trPr>
        <w:tc>
          <w:tcPr>
            <w:tcW w:w="6240" w:type="dxa"/>
            <w:vAlign w:val="bottom"/>
            <w:tcBorders>
              <w:bottom w:val="single" w:sz="8" w:color="DBDBDB"/>
            </w:tcBorders>
          </w:tcPr>
          <w:p>
            <w:pPr>
              <w:ind w:left="50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w:t>
            </w:r>
          </w:p>
        </w:tc>
        <w:tc>
          <w:tcPr>
            <w:tcW w:w="80" w:type="dxa"/>
            <w:vAlign w:val="bottom"/>
            <w:tcBorders>
              <w:bottom w:val="single" w:sz="8" w:color="DBDBDB"/>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w:t>
            </w:r>
          </w:p>
        </w:tc>
      </w:tr>
      <w:tr>
        <w:trPr>
          <w:trHeight w:val="217"/>
        </w:trPr>
        <w:tc>
          <w:tcPr>
            <w:tcW w:w="6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operating lease expense</w:t>
            </w:r>
          </w:p>
        </w:tc>
        <w:tc>
          <w:tcPr>
            <w:tcW w:w="580" w:type="dxa"/>
            <w:vAlign w:val="bottom"/>
            <w:tcBorders>
              <w:bottom w:val="single" w:sz="8" w:color="auto"/>
            </w:tcBorders>
            <w:shd w:val="clear" w:color="auto" w:fill="DBDBDB"/>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79,299</w:t>
            </w:r>
          </w:p>
        </w:tc>
        <w:tc>
          <w:tcPr>
            <w:tcW w:w="8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67,665</w:t>
            </w:r>
          </w:p>
        </w:tc>
      </w:tr>
      <w:tr>
        <w:trPr>
          <w:trHeight w:val="20"/>
        </w:trPr>
        <w:tc>
          <w:tcPr>
            <w:tcW w:w="624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Lease impairment expense and other related charges relate to closed locations that are no longer used in operations as a result of consolidation activities within the Company. During the nine months ended September 30, 2021, the Company recorded $2.3 million in lease impairment expense and other related charges which is comprised of $0.3 million loss on lease exit and impairment charges and $2.0 million in closed location rent expense. During the nine months ended September 30, 2020, the Company recorded $4.0 million in lease impairment expense and other related charges which is comprised of $0.7 million loss on lease exit and $3.3 million in closed location rent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8"/>
        </w:trPr>
        <w:tc>
          <w:tcPr>
            <w:tcW w:w="8960" w:type="dxa"/>
            <w:vAlign w:val="bottom"/>
            <w:gridSpan w:val="3"/>
          </w:tcPr>
          <w:p>
            <w:pPr>
              <w:ind w:left="580"/>
              <w:spacing w:after="0"/>
              <w:rPr>
                <w:sz w:val="20"/>
                <w:szCs w:val="20"/>
                <w:color w:val="auto"/>
              </w:rPr>
            </w:pPr>
            <w:r>
              <w:rPr>
                <w:rFonts w:ascii="Arial" w:cs="Arial" w:eastAsia="Arial" w:hAnsi="Arial"/>
                <w:sz w:val="15"/>
                <w:szCs w:val="15"/>
                <w:color w:val="auto"/>
                <w:w w:val="99"/>
              </w:rPr>
              <w:t>Supplemental cash flow information related to leases for the nine months ended September 30, 2021 and 2020 was as follows:</w:t>
            </w:r>
          </w:p>
        </w:tc>
        <w:tc>
          <w:tcPr>
            <w:tcW w:w="3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16"/>
        </w:trPr>
        <w:tc>
          <w:tcPr>
            <w:tcW w:w="6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300" w:type="dxa"/>
            <w:vAlign w:val="bottom"/>
            <w:gridSpan w:val="3"/>
          </w:tcPr>
          <w:p>
            <w:pPr>
              <w:spacing w:after="0"/>
              <w:rPr>
                <w:sz w:val="10"/>
                <w:szCs w:val="10"/>
                <w:color w:val="auto"/>
              </w:rPr>
            </w:pPr>
          </w:p>
        </w:tc>
      </w:tr>
      <w:tr>
        <w:trPr>
          <w:trHeight w:val="196"/>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0" w:type="dxa"/>
            <w:vAlign w:val="bottom"/>
            <w:shd w:val="clear" w:color="auto" w:fill="1D2758"/>
          </w:tcPr>
          <w:p>
            <w:pPr>
              <w:spacing w:after="0"/>
              <w:rPr>
                <w:sz w:val="17"/>
                <w:szCs w:val="17"/>
                <w:color w:val="auto"/>
              </w:rPr>
            </w:pPr>
          </w:p>
        </w:tc>
        <w:tc>
          <w:tcPr>
            <w:tcW w:w="4300" w:type="dxa"/>
            <w:vAlign w:val="bottom"/>
            <w:gridSpan w:val="3"/>
            <w:shd w:val="clear" w:color="auto" w:fill="1D2758"/>
          </w:tcPr>
          <w:p>
            <w:pPr>
              <w:jc w:val="right"/>
              <w:ind w:right="966"/>
              <w:spacing w:after="0"/>
              <w:rPr>
                <w:sz w:val="20"/>
                <w:szCs w:val="20"/>
                <w:color w:val="auto"/>
              </w:rPr>
            </w:pPr>
            <w:r>
              <w:rPr>
                <w:rFonts w:ascii="Arial" w:cs="Arial" w:eastAsia="Arial" w:hAnsi="Arial"/>
                <w:sz w:val="15"/>
                <w:szCs w:val="15"/>
                <w:b w:val="1"/>
                <w:bCs w:val="1"/>
                <w:color w:val="FFFFFF"/>
              </w:rPr>
              <w:t>Nine Months Ended September 30,</w:t>
            </w:r>
          </w:p>
        </w:tc>
      </w:tr>
      <w:tr>
        <w:trPr>
          <w:trHeight w:val="198"/>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Supplemental Cash Flow Information</w:t>
            </w:r>
          </w:p>
        </w:tc>
        <w:tc>
          <w:tcPr>
            <w:tcW w:w="200" w:type="dxa"/>
            <w:vAlign w:val="bottom"/>
            <w:shd w:val="clear" w:color="auto" w:fill="1D2758"/>
          </w:tcPr>
          <w:p>
            <w:pPr>
              <w:spacing w:after="0"/>
              <w:rPr>
                <w:sz w:val="17"/>
                <w:szCs w:val="17"/>
                <w:color w:val="auto"/>
              </w:rPr>
            </w:pPr>
          </w:p>
        </w:tc>
        <w:tc>
          <w:tcPr>
            <w:tcW w:w="2020" w:type="dxa"/>
            <w:vAlign w:val="bottom"/>
            <w:shd w:val="clear" w:color="auto" w:fill="1D2758"/>
          </w:tcPr>
          <w:p>
            <w:pPr>
              <w:jc w:val="right"/>
              <w:ind w:right="886"/>
              <w:spacing w:after="0"/>
              <w:rPr>
                <w:sz w:val="20"/>
                <w:szCs w:val="20"/>
                <w:color w:val="auto"/>
              </w:rPr>
            </w:pPr>
            <w:r>
              <w:rPr>
                <w:rFonts w:ascii="Arial" w:cs="Arial" w:eastAsia="Arial" w:hAnsi="Arial"/>
                <w:sz w:val="15"/>
                <w:szCs w:val="15"/>
                <w:b w:val="1"/>
                <w:bCs w:val="1"/>
                <w:color w:val="FFFFFF"/>
              </w:rPr>
              <w:t>2021</w:t>
            </w:r>
          </w:p>
        </w:tc>
        <w:tc>
          <w:tcPr>
            <w:tcW w:w="320" w:type="dxa"/>
            <w:vAlign w:val="bottom"/>
            <w:shd w:val="clear" w:color="auto" w:fill="1D2758"/>
          </w:tcPr>
          <w:p>
            <w:pPr>
              <w:spacing w:after="0"/>
              <w:rPr>
                <w:sz w:val="17"/>
                <w:szCs w:val="17"/>
                <w:color w:val="auto"/>
              </w:rPr>
            </w:pPr>
          </w:p>
        </w:tc>
        <w:tc>
          <w:tcPr>
            <w:tcW w:w="1960" w:type="dxa"/>
            <w:vAlign w:val="bottom"/>
            <w:shd w:val="clear" w:color="auto" w:fill="1D2758"/>
          </w:tcPr>
          <w:p>
            <w:pPr>
              <w:jc w:val="right"/>
              <w:ind w:right="866"/>
              <w:spacing w:after="0"/>
              <w:rPr>
                <w:sz w:val="20"/>
                <w:szCs w:val="20"/>
                <w:color w:val="auto"/>
              </w:rPr>
            </w:pPr>
            <w:r>
              <w:rPr>
                <w:rFonts w:ascii="Arial" w:cs="Arial" w:eastAsia="Arial" w:hAnsi="Arial"/>
                <w:sz w:val="15"/>
                <w:szCs w:val="15"/>
                <w:b w:val="1"/>
                <w:bCs w:val="1"/>
                <w:color w:val="FFFFFF"/>
              </w:rPr>
              <w:t>2020</w:t>
            </w:r>
          </w:p>
        </w:tc>
      </w:tr>
      <w:tr>
        <w:trPr>
          <w:trHeight w:val="197"/>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200" w:type="dxa"/>
            <w:vAlign w:val="bottom"/>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r>
      <w:tr>
        <w:trPr>
          <w:trHeight w:val="194"/>
        </w:trPr>
        <w:tc>
          <w:tcPr>
            <w:tcW w:w="674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2020" w:type="dxa"/>
            <w:vAlign w:val="bottom"/>
          </w:tcPr>
          <w:p>
            <w:pPr>
              <w:jc w:val="center"/>
              <w:ind w:left="1346"/>
              <w:spacing w:after="0"/>
              <w:rPr>
                <w:sz w:val="20"/>
                <w:szCs w:val="20"/>
                <w:color w:val="auto"/>
              </w:rPr>
            </w:pPr>
            <w:r>
              <w:rPr>
                <w:rFonts w:ascii="Arial" w:cs="Arial" w:eastAsia="Arial" w:hAnsi="Arial"/>
                <w:sz w:val="15"/>
                <w:szCs w:val="15"/>
                <w:color w:val="auto"/>
                <w:w w:val="95"/>
              </w:rPr>
              <w:t>48,403</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35,065</w:t>
            </w:r>
          </w:p>
        </w:tc>
      </w:tr>
      <w:tr>
        <w:trPr>
          <w:trHeight w:val="199"/>
        </w:trPr>
        <w:tc>
          <w:tcPr>
            <w:tcW w:w="67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1,669</w:t>
            </w:r>
          </w:p>
        </w:tc>
        <w:tc>
          <w:tcPr>
            <w:tcW w:w="3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w:t>
            </w:r>
          </w:p>
        </w:tc>
      </w:tr>
      <w:tr>
        <w:trPr>
          <w:trHeight w:val="194"/>
        </w:trPr>
        <w:tc>
          <w:tcPr>
            <w:tcW w:w="674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2020" w:type="dxa"/>
            <w:vAlign w:val="bottom"/>
          </w:tcPr>
          <w:p>
            <w:pPr>
              <w:jc w:val="center"/>
              <w:ind w:left="1346"/>
              <w:spacing w:after="0"/>
              <w:rPr>
                <w:sz w:val="20"/>
                <w:szCs w:val="20"/>
                <w:color w:val="auto"/>
              </w:rPr>
            </w:pPr>
            <w:r>
              <w:rPr>
                <w:rFonts w:ascii="Arial" w:cs="Arial" w:eastAsia="Arial" w:hAnsi="Arial"/>
                <w:sz w:val="15"/>
                <w:szCs w:val="15"/>
                <w:color w:val="auto"/>
                <w:w w:val="95"/>
              </w:rPr>
              <w:t>12,388</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3,434</w:t>
            </w:r>
          </w:p>
        </w:tc>
      </w:tr>
      <w:tr>
        <w:trPr>
          <w:trHeight w:val="236"/>
        </w:trPr>
        <w:tc>
          <w:tcPr>
            <w:tcW w:w="67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202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960" w:type="dxa"/>
            <w:vAlign w:val="bottom"/>
            <w:shd w:val="clear" w:color="auto" w:fill="DBDBDB"/>
          </w:tcPr>
          <w:p>
            <w:pPr>
              <w:spacing w:after="0"/>
              <w:rPr>
                <w:sz w:val="20"/>
                <w:szCs w:val="20"/>
                <w:color w:val="auto"/>
              </w:rPr>
            </w:pPr>
          </w:p>
        </w:tc>
      </w:tr>
      <w:tr>
        <w:trPr>
          <w:trHeight w:val="194"/>
        </w:trPr>
        <w:tc>
          <w:tcPr>
            <w:tcW w:w="674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2020" w:type="dxa"/>
            <w:vAlign w:val="bottom"/>
          </w:tcPr>
          <w:p>
            <w:pPr>
              <w:jc w:val="center"/>
              <w:ind w:left="1346"/>
              <w:spacing w:after="0"/>
              <w:rPr>
                <w:sz w:val="20"/>
                <w:szCs w:val="20"/>
                <w:color w:val="auto"/>
              </w:rPr>
            </w:pPr>
            <w:r>
              <w:rPr>
                <w:rFonts w:ascii="Arial" w:cs="Arial" w:eastAsia="Arial" w:hAnsi="Arial"/>
                <w:sz w:val="15"/>
                <w:szCs w:val="15"/>
                <w:color w:val="auto"/>
                <w:w w:val="95"/>
              </w:rPr>
              <w:t>43,448</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26,727</w:t>
            </w:r>
          </w:p>
        </w:tc>
      </w:tr>
      <w:tr>
        <w:trPr>
          <w:trHeight w:val="199"/>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2020" w:type="dxa"/>
            <w:vAlign w:val="bottom"/>
            <w:shd w:val="clear" w:color="auto" w:fill="DBDBDB"/>
          </w:tcPr>
          <w:p>
            <w:pPr>
              <w:jc w:val="center"/>
              <w:ind w:left="1346"/>
              <w:spacing w:after="0"/>
              <w:rPr>
                <w:sz w:val="20"/>
                <w:szCs w:val="20"/>
                <w:color w:val="auto"/>
              </w:rPr>
            </w:pPr>
            <w:r>
              <w:rPr>
                <w:rFonts w:ascii="Arial" w:cs="Arial" w:eastAsia="Arial" w:hAnsi="Arial"/>
                <w:sz w:val="15"/>
                <w:szCs w:val="15"/>
                <w:color w:val="auto"/>
                <w:w w:val="95"/>
              </w:rPr>
              <w:t>19,947</w:t>
            </w:r>
          </w:p>
        </w:tc>
        <w:tc>
          <w:tcPr>
            <w:tcW w:w="3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6,322</w:t>
            </w:r>
          </w:p>
        </w:tc>
      </w:tr>
      <w:tr>
        <w:trPr>
          <w:trHeight w:val="413"/>
        </w:trPr>
        <w:tc>
          <w:tcPr>
            <w:tcW w:w="11240" w:type="dxa"/>
            <w:vAlign w:val="bottom"/>
            <w:gridSpan w:val="5"/>
          </w:tcPr>
          <w:p>
            <w:pPr>
              <w:ind w:left="580"/>
              <w:spacing w:after="0"/>
              <w:rPr>
                <w:sz w:val="20"/>
                <w:szCs w:val="20"/>
                <w:color w:val="auto"/>
              </w:rPr>
            </w:pPr>
            <w:r>
              <w:rPr>
                <w:rFonts w:ascii="Arial" w:cs="Arial" w:eastAsia="Arial" w:hAnsi="Arial"/>
                <w:sz w:val="15"/>
                <w:szCs w:val="15"/>
                <w:color w:val="auto"/>
                <w:w w:val="99"/>
              </w:rPr>
              <w:t>Weighted-average remaining operating lease terms and the weighted average discount rates as of September 30, 2021 and December 31, 2020 were as follows:</w:t>
            </w:r>
          </w:p>
        </w:tc>
      </w:tr>
      <w:tr>
        <w:trPr>
          <w:trHeight w:val="165"/>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97"/>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200" w:type="dxa"/>
            <w:vAlign w:val="bottom"/>
            <w:shd w:val="clear" w:color="auto" w:fill="1D2758"/>
          </w:tcPr>
          <w:p>
            <w:pPr>
              <w:spacing w:after="0"/>
              <w:rPr>
                <w:sz w:val="17"/>
                <w:szCs w:val="17"/>
                <w:color w:val="auto"/>
              </w:rPr>
            </w:pPr>
          </w:p>
        </w:tc>
        <w:tc>
          <w:tcPr>
            <w:tcW w:w="2020" w:type="dxa"/>
            <w:vAlign w:val="bottom"/>
            <w:shd w:val="clear" w:color="auto" w:fill="1D2758"/>
          </w:tcPr>
          <w:p>
            <w:pPr>
              <w:ind w:left="80"/>
              <w:spacing w:after="0"/>
              <w:rPr>
                <w:sz w:val="20"/>
                <w:szCs w:val="20"/>
                <w:color w:val="auto"/>
              </w:rPr>
            </w:pPr>
            <w:r>
              <w:rPr>
                <w:rFonts w:ascii="Arial" w:cs="Arial" w:eastAsia="Arial" w:hAnsi="Arial"/>
                <w:sz w:val="15"/>
                <w:szCs w:val="15"/>
                <w:b w:val="1"/>
                <w:bCs w:val="1"/>
                <w:color w:val="FFFFFF"/>
              </w:rPr>
              <w:t>September 30, 2021</w:t>
            </w:r>
          </w:p>
        </w:tc>
        <w:tc>
          <w:tcPr>
            <w:tcW w:w="320" w:type="dxa"/>
            <w:vAlign w:val="bottom"/>
            <w:shd w:val="clear" w:color="auto" w:fill="1D2758"/>
          </w:tcPr>
          <w:p>
            <w:pPr>
              <w:spacing w:after="0"/>
              <w:rPr>
                <w:sz w:val="17"/>
                <w:szCs w:val="17"/>
                <w:color w:val="auto"/>
              </w:rPr>
            </w:pPr>
          </w:p>
        </w:tc>
        <w:tc>
          <w:tcPr>
            <w:tcW w:w="1960" w:type="dxa"/>
            <w:vAlign w:val="bottom"/>
            <w:shd w:val="clear" w:color="auto" w:fill="1D2758"/>
          </w:tcPr>
          <w:p>
            <w:pPr>
              <w:jc w:val="right"/>
              <w:ind w:right="406"/>
              <w:spacing w:after="0"/>
              <w:rPr>
                <w:sz w:val="20"/>
                <w:szCs w:val="20"/>
                <w:color w:val="auto"/>
              </w:rPr>
            </w:pPr>
            <w:r>
              <w:rPr>
                <w:rFonts w:ascii="Arial" w:cs="Arial" w:eastAsia="Arial" w:hAnsi="Arial"/>
                <w:sz w:val="15"/>
                <w:szCs w:val="15"/>
                <w:b w:val="1"/>
                <w:bCs w:val="1"/>
                <w:color w:val="FFFFFF"/>
              </w:rPr>
              <w:t>December 31, 2020</w:t>
            </w:r>
          </w:p>
        </w:tc>
      </w:tr>
      <w:tr>
        <w:trPr>
          <w:trHeight w:val="197"/>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operating leases</w:t>
            </w:r>
          </w:p>
        </w:tc>
        <w:tc>
          <w:tcPr>
            <w:tcW w:w="200" w:type="dxa"/>
            <w:vAlign w:val="bottom"/>
            <w:shd w:val="clear" w:color="auto" w:fill="DBDBDB"/>
          </w:tcPr>
          <w:p>
            <w:pPr>
              <w:spacing w:after="0"/>
              <w:rPr>
                <w:sz w:val="17"/>
                <w:szCs w:val="17"/>
                <w:color w:val="auto"/>
              </w:rPr>
            </w:pPr>
          </w:p>
        </w:tc>
        <w:tc>
          <w:tcPr>
            <w:tcW w:w="2020" w:type="dxa"/>
            <w:vAlign w:val="bottom"/>
            <w:shd w:val="clear" w:color="auto" w:fill="DBDBDB"/>
          </w:tcPr>
          <w:p>
            <w:pPr>
              <w:ind w:left="1300"/>
              <w:spacing w:after="0"/>
              <w:rPr>
                <w:sz w:val="20"/>
                <w:szCs w:val="20"/>
                <w:color w:val="auto"/>
              </w:rPr>
            </w:pPr>
            <w:r>
              <w:rPr>
                <w:rFonts w:ascii="Arial" w:cs="Arial" w:eastAsia="Arial" w:hAnsi="Arial"/>
                <w:sz w:val="15"/>
                <w:szCs w:val="15"/>
                <w:color w:val="auto"/>
              </w:rPr>
              <w:t>6.0 years</w:t>
            </w:r>
          </w:p>
        </w:tc>
        <w:tc>
          <w:tcPr>
            <w:tcW w:w="32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 years</w:t>
            </w:r>
          </w:p>
        </w:tc>
      </w:tr>
      <w:tr>
        <w:trPr>
          <w:trHeight w:val="194"/>
        </w:trPr>
        <w:tc>
          <w:tcPr>
            <w:tcW w:w="6740" w:type="dxa"/>
            <w:vAlign w:val="bottom"/>
          </w:tcPr>
          <w:p>
            <w:pPr>
              <w:ind w:left="20"/>
              <w:spacing w:after="0"/>
              <w:rPr>
                <w:sz w:val="20"/>
                <w:szCs w:val="20"/>
                <w:color w:val="auto"/>
              </w:rPr>
            </w:pPr>
            <w:r>
              <w:rPr>
                <w:rFonts w:ascii="Arial" w:cs="Arial" w:eastAsia="Arial" w:hAnsi="Arial"/>
                <w:sz w:val="15"/>
                <w:szCs w:val="15"/>
                <w:color w:val="auto"/>
              </w:rPr>
              <w:t>Weighted-average discount rate - operating leases</w:t>
            </w:r>
          </w:p>
        </w:tc>
        <w:tc>
          <w:tcPr>
            <w:tcW w:w="200" w:type="dxa"/>
            <w:vAlign w:val="bottom"/>
          </w:tcPr>
          <w:p>
            <w:pPr>
              <w:spacing w:after="0"/>
              <w:rPr>
                <w:sz w:val="16"/>
                <w:szCs w:val="16"/>
                <w:color w:val="auto"/>
              </w:rPr>
            </w:pPr>
          </w:p>
        </w:tc>
        <w:tc>
          <w:tcPr>
            <w:tcW w:w="2020" w:type="dxa"/>
            <w:vAlign w:val="bottom"/>
          </w:tcPr>
          <w:p>
            <w:pPr>
              <w:jc w:val="center"/>
              <w:ind w:left="1346"/>
              <w:spacing w:after="0"/>
              <w:rPr>
                <w:sz w:val="20"/>
                <w:szCs w:val="20"/>
                <w:color w:val="auto"/>
              </w:rPr>
            </w:pPr>
            <w:r>
              <w:rPr>
                <w:rFonts w:ascii="Arial" w:cs="Arial" w:eastAsia="Arial" w:hAnsi="Arial"/>
                <w:sz w:val="15"/>
                <w:szCs w:val="15"/>
                <w:color w:val="auto"/>
                <w:w w:val="93"/>
              </w:rPr>
              <w:t>5.3 %</w:t>
            </w:r>
          </w:p>
        </w:tc>
        <w:tc>
          <w:tcPr>
            <w:tcW w:w="3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5.7 %</w:t>
            </w:r>
          </w:p>
        </w:tc>
      </w:tr>
      <w:tr>
        <w:trPr>
          <w:trHeight w:val="199"/>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finance leases</w:t>
            </w:r>
          </w:p>
        </w:tc>
        <w:tc>
          <w:tcPr>
            <w:tcW w:w="200" w:type="dxa"/>
            <w:vAlign w:val="bottom"/>
            <w:shd w:val="clear" w:color="auto" w:fill="DBDBDB"/>
          </w:tcPr>
          <w:p>
            <w:pPr>
              <w:spacing w:after="0"/>
              <w:rPr>
                <w:sz w:val="17"/>
                <w:szCs w:val="17"/>
                <w:color w:val="auto"/>
              </w:rPr>
            </w:pPr>
          </w:p>
        </w:tc>
        <w:tc>
          <w:tcPr>
            <w:tcW w:w="2020" w:type="dxa"/>
            <w:vAlign w:val="bottom"/>
            <w:shd w:val="clear" w:color="auto" w:fill="DBDBDB"/>
          </w:tcPr>
          <w:p>
            <w:pPr>
              <w:ind w:left="1300"/>
              <w:spacing w:after="0"/>
              <w:rPr>
                <w:sz w:val="20"/>
                <w:szCs w:val="20"/>
                <w:color w:val="auto"/>
              </w:rPr>
            </w:pPr>
            <w:r>
              <w:rPr>
                <w:rFonts w:ascii="Arial" w:cs="Arial" w:eastAsia="Arial" w:hAnsi="Arial"/>
                <w:sz w:val="15"/>
                <w:szCs w:val="15"/>
                <w:color w:val="auto"/>
              </w:rPr>
              <w:t>4.5 years</w:t>
            </w:r>
          </w:p>
        </w:tc>
        <w:tc>
          <w:tcPr>
            <w:tcW w:w="32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 years</w:t>
            </w:r>
          </w:p>
        </w:tc>
      </w:tr>
      <w:tr>
        <w:trPr>
          <w:trHeight w:val="192"/>
        </w:trPr>
        <w:tc>
          <w:tcPr>
            <w:tcW w:w="6740" w:type="dxa"/>
            <w:vAlign w:val="bottom"/>
          </w:tcPr>
          <w:p>
            <w:pPr>
              <w:ind w:left="20"/>
              <w:spacing w:after="0"/>
              <w:rPr>
                <w:sz w:val="20"/>
                <w:szCs w:val="20"/>
                <w:color w:val="auto"/>
              </w:rPr>
            </w:pPr>
            <w:r>
              <w:rPr>
                <w:rFonts w:ascii="Arial" w:cs="Arial" w:eastAsia="Arial" w:hAnsi="Arial"/>
                <w:sz w:val="15"/>
                <w:szCs w:val="15"/>
                <w:color w:val="auto"/>
              </w:rPr>
              <w:t>Weighted-average discount rate - finance leases</w:t>
            </w:r>
          </w:p>
        </w:tc>
        <w:tc>
          <w:tcPr>
            <w:tcW w:w="200" w:type="dxa"/>
            <w:vAlign w:val="bottom"/>
          </w:tcPr>
          <w:p>
            <w:pPr>
              <w:spacing w:after="0"/>
              <w:rPr>
                <w:sz w:val="16"/>
                <w:szCs w:val="16"/>
                <w:color w:val="auto"/>
              </w:rPr>
            </w:pPr>
          </w:p>
        </w:tc>
        <w:tc>
          <w:tcPr>
            <w:tcW w:w="2020" w:type="dxa"/>
            <w:vAlign w:val="bottom"/>
          </w:tcPr>
          <w:p>
            <w:pPr>
              <w:jc w:val="center"/>
              <w:ind w:left="1346"/>
              <w:spacing w:after="0"/>
              <w:rPr>
                <w:sz w:val="20"/>
                <w:szCs w:val="20"/>
                <w:color w:val="auto"/>
              </w:rPr>
            </w:pPr>
            <w:r>
              <w:rPr>
                <w:rFonts w:ascii="Arial" w:cs="Arial" w:eastAsia="Arial" w:hAnsi="Arial"/>
                <w:sz w:val="15"/>
                <w:szCs w:val="15"/>
                <w:color w:val="auto"/>
                <w:w w:val="93"/>
              </w:rPr>
              <w:t>2.9 %</w:t>
            </w:r>
          </w:p>
        </w:tc>
        <w:tc>
          <w:tcPr>
            <w:tcW w:w="3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2.9 %</w:t>
            </w:r>
          </w:p>
        </w:tc>
      </w:tr>
      <w:tr>
        <w:trPr>
          <w:trHeight w:val="357"/>
        </w:trPr>
        <w:tc>
          <w:tcPr>
            <w:tcW w:w="6740" w:type="dxa"/>
            <w:vAlign w:val="bottom"/>
          </w:tcPr>
          <w:p>
            <w:pPr>
              <w:ind w:left="580"/>
              <w:spacing w:after="0"/>
              <w:rPr>
                <w:sz w:val="20"/>
                <w:szCs w:val="20"/>
                <w:color w:val="auto"/>
              </w:rPr>
            </w:pPr>
            <w:r>
              <w:rPr>
                <w:rFonts w:ascii="Arial" w:cs="Arial" w:eastAsia="Arial" w:hAnsi="Arial"/>
                <w:sz w:val="15"/>
                <w:szCs w:val="15"/>
                <w:color w:val="auto"/>
              </w:rPr>
              <w:t>The Company presents information related to leasing revenues in Note 3.</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1D2758"/>
        </w:rPr>
        <w:t>NOTE 5 - Inventories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8"/>
                <w:szCs w:val="18"/>
                <w:color w:val="auto"/>
              </w:rPr>
            </w:pPr>
          </w:p>
        </w:tc>
        <w:tc>
          <w:tcPr>
            <w:tcW w:w="2040" w:type="dxa"/>
            <w:vAlign w:val="bottom"/>
            <w:gridSpan w:val="2"/>
            <w:vMerge w:val="restart"/>
            <w:shd w:val="clear" w:color="auto" w:fill="1D2758"/>
          </w:tcPr>
          <w:p>
            <w:pPr>
              <w:ind w:left="160"/>
              <w:spacing w:after="0"/>
              <w:rPr>
                <w:sz w:val="20"/>
                <w:szCs w:val="20"/>
                <w:color w:val="auto"/>
              </w:rPr>
            </w:pPr>
            <w:r>
              <w:rPr>
                <w:rFonts w:ascii="Arial" w:cs="Arial" w:eastAsia="Arial" w:hAnsi="Arial"/>
                <w:sz w:val="15"/>
                <w:szCs w:val="15"/>
                <w:b w:val="1"/>
                <w:bCs w:val="1"/>
                <w:color w:val="FFFFFF"/>
              </w:rPr>
              <w:t>September 30, 2021</w:t>
            </w:r>
          </w:p>
        </w:tc>
        <w:tc>
          <w:tcPr>
            <w:tcW w:w="260" w:type="dxa"/>
            <w:vAlign w:val="bottom"/>
            <w:shd w:val="clear" w:color="auto" w:fill="1D2758"/>
          </w:tcPr>
          <w:p>
            <w:pPr>
              <w:spacing w:after="0"/>
              <w:rPr>
                <w:sz w:val="18"/>
                <w:szCs w:val="18"/>
                <w:color w:val="auto"/>
              </w:rPr>
            </w:pPr>
          </w:p>
        </w:tc>
        <w:tc>
          <w:tcPr>
            <w:tcW w:w="1940" w:type="dxa"/>
            <w:vAlign w:val="bottom"/>
            <w:vMerge w:val="restart"/>
            <w:shd w:val="clear" w:color="auto" w:fill="1D2758"/>
          </w:tcPr>
          <w:p>
            <w:pPr>
              <w:jc w:val="right"/>
              <w:ind w:right="366"/>
              <w:spacing w:after="0"/>
              <w:rPr>
                <w:sz w:val="20"/>
                <w:szCs w:val="20"/>
                <w:color w:val="auto"/>
              </w:rPr>
            </w:pPr>
            <w:r>
              <w:rPr>
                <w:rFonts w:ascii="Arial" w:cs="Arial" w:eastAsia="Arial" w:hAnsi="Arial"/>
                <w:sz w:val="15"/>
                <w:szCs w:val="15"/>
                <w:b w:val="1"/>
                <w:bCs w:val="1"/>
                <w:color w:val="FFFFFF"/>
              </w:rPr>
              <w:t>December 31, 2020</w:t>
            </w:r>
          </w:p>
        </w:tc>
        <w:tc>
          <w:tcPr>
            <w:tcW w:w="0" w:type="dxa"/>
            <w:vAlign w:val="bottom"/>
          </w:tcPr>
          <w:p>
            <w:pPr>
              <w:spacing w:after="0"/>
              <w:rPr>
                <w:sz w:val="1"/>
                <w:szCs w:val="1"/>
                <w:color w:val="auto"/>
              </w:rPr>
            </w:pPr>
          </w:p>
        </w:tc>
      </w:tr>
      <w:tr>
        <w:trPr>
          <w:trHeight w:val="67"/>
        </w:trPr>
        <w:tc>
          <w:tcPr>
            <w:tcW w:w="6740" w:type="dxa"/>
            <w:vAlign w:val="bottom"/>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204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4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24,472</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19,560</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6,471</w:t>
            </w: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4,171</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2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30,943</w:t>
            </w:r>
          </w:p>
        </w:tc>
        <w:tc>
          <w:tcPr>
            <w:tcW w:w="8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23,731</w:t>
            </w:r>
          </w:p>
        </w:tc>
        <w:tc>
          <w:tcPr>
            <w:tcW w:w="0" w:type="dxa"/>
            <w:vAlign w:val="bottom"/>
          </w:tcPr>
          <w:p>
            <w:pPr>
              <w:spacing w:after="0"/>
              <w:rPr>
                <w:sz w:val="1"/>
                <w:szCs w:val="1"/>
                <w:color w:val="auto"/>
              </w:rPr>
            </w:pPr>
          </w:p>
        </w:tc>
      </w:tr>
      <w:tr>
        <w:trPr>
          <w:trHeight w:val="20"/>
        </w:trPr>
        <w:tc>
          <w:tcPr>
            <w:tcW w:w="67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1D2758"/>
        </w:rPr>
        <w:t>NOTE 6 - Rental Equipment, net</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8"/>
                <w:szCs w:val="18"/>
                <w:color w:val="auto"/>
              </w:rPr>
            </w:pPr>
          </w:p>
        </w:tc>
        <w:tc>
          <w:tcPr>
            <w:tcW w:w="2040" w:type="dxa"/>
            <w:vAlign w:val="bottom"/>
            <w:gridSpan w:val="2"/>
            <w:vMerge w:val="restart"/>
            <w:shd w:val="clear" w:color="auto" w:fill="1D2758"/>
          </w:tcPr>
          <w:p>
            <w:pPr>
              <w:ind w:left="160"/>
              <w:spacing w:after="0"/>
              <w:rPr>
                <w:sz w:val="20"/>
                <w:szCs w:val="20"/>
                <w:color w:val="auto"/>
              </w:rPr>
            </w:pPr>
            <w:r>
              <w:rPr>
                <w:rFonts w:ascii="Arial" w:cs="Arial" w:eastAsia="Arial" w:hAnsi="Arial"/>
                <w:sz w:val="15"/>
                <w:szCs w:val="15"/>
                <w:b w:val="1"/>
                <w:bCs w:val="1"/>
                <w:color w:val="FFFFFF"/>
              </w:rPr>
              <w:t>September 30, 2021</w:t>
            </w:r>
          </w:p>
        </w:tc>
        <w:tc>
          <w:tcPr>
            <w:tcW w:w="260" w:type="dxa"/>
            <w:vAlign w:val="bottom"/>
            <w:shd w:val="clear" w:color="auto" w:fill="1D2758"/>
          </w:tcPr>
          <w:p>
            <w:pPr>
              <w:spacing w:after="0"/>
              <w:rPr>
                <w:sz w:val="18"/>
                <w:szCs w:val="18"/>
                <w:color w:val="auto"/>
              </w:rPr>
            </w:pPr>
          </w:p>
        </w:tc>
        <w:tc>
          <w:tcPr>
            <w:tcW w:w="1940" w:type="dxa"/>
            <w:vAlign w:val="bottom"/>
            <w:vMerge w:val="restart"/>
            <w:shd w:val="clear" w:color="auto" w:fill="1D2758"/>
          </w:tcPr>
          <w:p>
            <w:pPr>
              <w:jc w:val="right"/>
              <w:ind w:right="366"/>
              <w:spacing w:after="0"/>
              <w:rPr>
                <w:sz w:val="20"/>
                <w:szCs w:val="20"/>
                <w:color w:val="auto"/>
              </w:rPr>
            </w:pPr>
            <w:r>
              <w:rPr>
                <w:rFonts w:ascii="Arial" w:cs="Arial" w:eastAsia="Arial" w:hAnsi="Arial"/>
                <w:sz w:val="15"/>
                <w:szCs w:val="15"/>
                <w:b w:val="1"/>
                <w:bCs w:val="1"/>
                <w:color w:val="FFFFFF"/>
              </w:rPr>
              <w:t>December 31, 2020</w:t>
            </w:r>
          </w:p>
        </w:tc>
        <w:tc>
          <w:tcPr>
            <w:tcW w:w="0" w:type="dxa"/>
            <w:vAlign w:val="bottom"/>
          </w:tcPr>
          <w:p>
            <w:pPr>
              <w:spacing w:after="0"/>
              <w:rPr>
                <w:sz w:val="1"/>
                <w:szCs w:val="1"/>
                <w:color w:val="auto"/>
              </w:rPr>
            </w:pPr>
          </w:p>
        </w:tc>
      </w:tr>
      <w:tr>
        <w:trPr>
          <w:trHeight w:val="67"/>
        </w:trPr>
        <w:tc>
          <w:tcPr>
            <w:tcW w:w="6740" w:type="dxa"/>
            <w:vAlign w:val="bottom"/>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204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4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2,901,998</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2,796,284</w:t>
            </w:r>
          </w:p>
        </w:tc>
        <w:tc>
          <w:tcPr>
            <w:tcW w:w="0" w:type="dxa"/>
            <w:vAlign w:val="bottom"/>
          </w:tcPr>
          <w:p>
            <w:pPr>
              <w:spacing w:after="0"/>
              <w:rPr>
                <w:sz w:val="1"/>
                <w:szCs w:val="1"/>
                <w:color w:val="auto"/>
              </w:rPr>
            </w:pPr>
          </w:p>
        </w:tc>
      </w:tr>
      <w:tr>
        <w:trPr>
          <w:trHeight w:val="194"/>
        </w:trPr>
        <w:tc>
          <w:tcPr>
            <w:tcW w:w="674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60" w:type="dxa"/>
            <w:vAlign w:val="bottom"/>
          </w:tcPr>
          <w:p>
            <w:pPr>
              <w:spacing w:after="0"/>
              <w:rPr>
                <w:sz w:val="16"/>
                <w:szCs w:val="16"/>
                <w:color w:val="auto"/>
              </w:rPr>
            </w:pPr>
          </w:p>
        </w:tc>
        <w:tc>
          <w:tcPr>
            <w:tcW w:w="1960" w:type="dxa"/>
            <w:vAlign w:val="bottom"/>
          </w:tcPr>
          <w:p>
            <w:pPr>
              <w:jc w:val="right"/>
              <w:ind w:right="6"/>
              <w:spacing w:after="0"/>
              <w:rPr>
                <w:sz w:val="20"/>
                <w:szCs w:val="20"/>
                <w:color w:val="auto"/>
              </w:rPr>
            </w:pPr>
            <w:r>
              <w:rPr>
                <w:rFonts w:ascii="Arial" w:cs="Arial" w:eastAsia="Arial" w:hAnsi="Arial"/>
                <w:sz w:val="15"/>
                <w:szCs w:val="15"/>
                <w:color w:val="auto"/>
              </w:rPr>
              <w:t>716,033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653,707</w:t>
            </w:r>
          </w:p>
        </w:tc>
        <w:tc>
          <w:tcPr>
            <w:tcW w:w="0" w:type="dxa"/>
            <w:vAlign w:val="bottom"/>
          </w:tcPr>
          <w:p>
            <w:pPr>
              <w:spacing w:after="0"/>
              <w:rPr>
                <w:sz w:val="1"/>
                <w:szCs w:val="1"/>
                <w:color w:val="auto"/>
              </w:rPr>
            </w:pPr>
          </w:p>
        </w:tc>
      </w:tr>
      <w:tr>
        <w:trPr>
          <w:trHeight w:val="199"/>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Tank and pump products</w:t>
            </w:r>
          </w:p>
        </w:tc>
        <w:tc>
          <w:tcPr>
            <w:tcW w:w="260" w:type="dxa"/>
            <w:vAlign w:val="bottom"/>
            <w:shd w:val="clear" w:color="auto" w:fill="DBDBDB"/>
          </w:tcPr>
          <w:p>
            <w:pPr>
              <w:spacing w:after="0"/>
              <w:rPr>
                <w:sz w:val="17"/>
                <w:szCs w:val="17"/>
                <w:color w:val="auto"/>
              </w:rPr>
            </w:pPr>
          </w:p>
        </w:tc>
        <w:tc>
          <w:tcPr>
            <w:tcW w:w="1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149,123</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132,071</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Value added products</w:t>
            </w: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158,336</w:t>
            </w: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143,652</w:t>
            </w:r>
          </w:p>
        </w:tc>
        <w:tc>
          <w:tcPr>
            <w:tcW w:w="0" w:type="dxa"/>
            <w:vAlign w:val="bottom"/>
          </w:tcPr>
          <w:p>
            <w:pPr>
              <w:spacing w:after="0"/>
              <w:rPr>
                <w:sz w:val="1"/>
                <w:szCs w:val="1"/>
                <w:color w:val="auto"/>
              </w:rPr>
            </w:pPr>
          </w:p>
        </w:tc>
      </w:tr>
      <w:tr>
        <w:trPr>
          <w:trHeight w:val="192"/>
        </w:trPr>
        <w:tc>
          <w:tcPr>
            <w:tcW w:w="6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rental equipment</w:t>
            </w:r>
          </w:p>
        </w:tc>
        <w:tc>
          <w:tcPr>
            <w:tcW w:w="260" w:type="dxa"/>
            <w:vAlign w:val="bottom"/>
            <w:shd w:val="clear" w:color="auto" w:fill="DBDBDB"/>
          </w:tcPr>
          <w:p>
            <w:pPr>
              <w:spacing w:after="0"/>
              <w:rPr>
                <w:sz w:val="16"/>
                <w:szCs w:val="16"/>
                <w:color w:val="auto"/>
              </w:rPr>
            </w:pPr>
          </w:p>
        </w:tc>
        <w:tc>
          <w:tcPr>
            <w:tcW w:w="1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3,925,490</w:t>
            </w: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3,725,714</w:t>
            </w:r>
          </w:p>
        </w:tc>
        <w:tc>
          <w:tcPr>
            <w:tcW w:w="0" w:type="dxa"/>
            <w:vAlign w:val="bottom"/>
          </w:tcPr>
          <w:p>
            <w:pPr>
              <w:spacing w:after="0"/>
              <w:rPr>
                <w:sz w:val="1"/>
                <w:szCs w:val="1"/>
                <w:color w:val="auto"/>
              </w:rPr>
            </w:pPr>
          </w:p>
        </w:tc>
      </w:tr>
      <w:tr>
        <w:trPr>
          <w:trHeight w:val="194"/>
        </w:trPr>
        <w:tc>
          <w:tcPr>
            <w:tcW w:w="6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accumulated depreciation</w:t>
            </w: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(956,595)</w:t>
            </w: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(794,068)</w:t>
            </w:r>
          </w:p>
        </w:tc>
        <w:tc>
          <w:tcPr>
            <w:tcW w:w="0" w:type="dxa"/>
            <w:vAlign w:val="bottom"/>
          </w:tcPr>
          <w:p>
            <w:pPr>
              <w:spacing w:after="0"/>
              <w:rPr>
                <w:sz w:val="1"/>
                <w:szCs w:val="1"/>
                <w:color w:val="auto"/>
              </w:rPr>
            </w:pPr>
          </w:p>
        </w:tc>
      </w:tr>
      <w:tr>
        <w:trPr>
          <w:trHeight w:val="214"/>
        </w:trPr>
        <w:tc>
          <w:tcPr>
            <w:tcW w:w="67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Rental equipment, net</w:t>
            </w:r>
          </w:p>
        </w:tc>
        <w:tc>
          <w:tcPr>
            <w:tcW w:w="2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2,968,895</w:t>
            </w:r>
          </w:p>
        </w:tc>
        <w:tc>
          <w:tcPr>
            <w:tcW w:w="8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2,931,646</w:t>
            </w:r>
          </w:p>
        </w:tc>
        <w:tc>
          <w:tcPr>
            <w:tcW w:w="0" w:type="dxa"/>
            <w:vAlign w:val="bottom"/>
          </w:tcPr>
          <w:p>
            <w:pPr>
              <w:spacing w:after="0"/>
              <w:rPr>
                <w:sz w:val="1"/>
                <w:szCs w:val="1"/>
                <w:color w:val="auto"/>
              </w:rPr>
            </w:pPr>
          </w:p>
        </w:tc>
      </w:tr>
      <w:tr>
        <w:trPr>
          <w:trHeight w:val="20"/>
        </w:trPr>
        <w:tc>
          <w:tcPr>
            <w:tcW w:w="67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590"/>
        <w:spacing w:after="0" w:line="230" w:lineRule="auto"/>
        <w:rPr>
          <w:sz w:val="20"/>
          <w:szCs w:val="20"/>
          <w:color w:val="auto"/>
        </w:rPr>
      </w:pPr>
      <w:r>
        <w:rPr>
          <w:rFonts w:ascii="Arial" w:cs="Arial" w:eastAsia="Arial" w:hAnsi="Arial"/>
          <w:sz w:val="15"/>
          <w:szCs w:val="15"/>
          <w:color w:val="auto"/>
        </w:rPr>
        <w:t>During the third quarter of 2021, certain of the Company’s rental equipment in Louisiana was adversely impacted by Hurricane Ida. The Company maintains insurance on its rental equipment, generally in the form of replacement cost policies. Such policies are subject to varying deductibles and other conditions. Based on management’s preliminary estimates of potential losses net of insurance recoveries, the impact to our financial statements in Q3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6" w:name="page17"/>
    <w:bookmarkEnd w:id="16"/>
    <w:p>
      <w:pPr>
        <w:spacing w:after="0"/>
        <w:rPr>
          <w:sz w:val="20"/>
          <w:szCs w:val="20"/>
          <w:color w:val="auto"/>
        </w:rPr>
      </w:pPr>
      <w:r>
        <w:rPr>
          <w:rFonts w:ascii="Arial" w:cs="Arial" w:eastAsia="Arial" w:hAnsi="Arial"/>
          <w:sz w:val="21"/>
          <w:szCs w:val="21"/>
          <w:color w:val="1D2758"/>
        </w:rPr>
        <w:t>NOTE 7 - Goodwill</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Changes in the carrying amount of goodwill were as follows:</w:t>
      </w:r>
    </w:p>
    <w:tbl>
      <w:tblPr>
        <w:tblLayout w:type="fixed"/>
        <w:tblInd w:w="0" w:type="dxa"/>
        <w:tblCellMar>
          <w:top w:w="0" w:type="dxa"/>
          <w:left w:w="0" w:type="dxa"/>
          <w:bottom w:w="0" w:type="dxa"/>
          <w:right w:w="0" w:type="dxa"/>
        </w:tblCellMar>
      </w:tblPr>
      <w:tr>
        <w:trPr>
          <w:trHeight w:val="170"/>
        </w:trPr>
        <w:tc>
          <w:tcPr>
            <w:tcW w:w="1540" w:type="dxa"/>
            <w:vAlign w:val="bottom"/>
            <w:shd w:val="clear" w:color="auto" w:fill="1D2758"/>
          </w:tcPr>
          <w:p>
            <w:pPr>
              <w:ind w:left="600"/>
              <w:spacing w:after="0" w:line="170" w:lineRule="exact"/>
              <w:rPr>
                <w:sz w:val="20"/>
                <w:szCs w:val="20"/>
                <w:color w:val="auto"/>
              </w:rPr>
            </w:pPr>
            <w:r>
              <w:rPr>
                <w:rFonts w:ascii="Arial" w:cs="Arial" w:eastAsia="Arial" w:hAnsi="Arial"/>
                <w:sz w:val="15"/>
                <w:szCs w:val="15"/>
                <w:b w:val="1"/>
                <w:bCs w:val="1"/>
                <w:i w:val="1"/>
                <w:iCs w:val="1"/>
                <w:color w:val="FFFFFF"/>
              </w:rPr>
              <w:t>(in</w:t>
            </w:r>
          </w:p>
        </w:tc>
        <w:tc>
          <w:tcPr>
            <w:tcW w:w="760" w:type="dxa"/>
            <w:vAlign w:val="bottom"/>
            <w:shd w:val="clear" w:color="auto" w:fill="1D2758"/>
          </w:tcPr>
          <w:p>
            <w:pPr>
              <w:spacing w:after="0"/>
              <w:rPr>
                <w:sz w:val="14"/>
                <w:szCs w:val="14"/>
                <w:color w:val="auto"/>
              </w:rPr>
            </w:pPr>
          </w:p>
        </w:tc>
        <w:tc>
          <w:tcPr>
            <w:tcW w:w="1440" w:type="dxa"/>
            <w:vAlign w:val="bottom"/>
            <w:vMerge w:val="restart"/>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NA Modular</w:t>
            </w:r>
          </w:p>
        </w:tc>
        <w:tc>
          <w:tcPr>
            <w:tcW w:w="520" w:type="dxa"/>
            <w:vAlign w:val="bottom"/>
            <w:shd w:val="clear" w:color="auto" w:fill="1D2758"/>
          </w:tcPr>
          <w:p>
            <w:pPr>
              <w:spacing w:after="0"/>
              <w:rPr>
                <w:sz w:val="14"/>
                <w:szCs w:val="14"/>
                <w:color w:val="auto"/>
              </w:rPr>
            </w:pPr>
          </w:p>
        </w:tc>
        <w:tc>
          <w:tcPr>
            <w:tcW w:w="1460" w:type="dxa"/>
            <w:vAlign w:val="bottom"/>
            <w:vMerge w:val="restart"/>
            <w:shd w:val="clear" w:color="auto" w:fill="1D2758"/>
          </w:tcPr>
          <w:p>
            <w:pPr>
              <w:jc w:val="right"/>
              <w:ind w:right="506"/>
              <w:spacing w:after="0"/>
              <w:rPr>
                <w:sz w:val="20"/>
                <w:szCs w:val="20"/>
                <w:color w:val="auto"/>
              </w:rPr>
            </w:pPr>
            <w:r>
              <w:rPr>
                <w:rFonts w:ascii="Arial" w:cs="Arial" w:eastAsia="Arial" w:hAnsi="Arial"/>
                <w:sz w:val="15"/>
                <w:szCs w:val="15"/>
                <w:b w:val="1"/>
                <w:bCs w:val="1"/>
                <w:color w:val="FFFFFF"/>
              </w:rPr>
              <w:t>NA Storage</w:t>
            </w:r>
          </w:p>
        </w:tc>
        <w:tc>
          <w:tcPr>
            <w:tcW w:w="500" w:type="dxa"/>
            <w:vAlign w:val="bottom"/>
            <w:shd w:val="clear" w:color="auto" w:fill="1D2758"/>
          </w:tcPr>
          <w:p>
            <w:pPr>
              <w:spacing w:after="0"/>
              <w:rPr>
                <w:sz w:val="14"/>
                <w:szCs w:val="14"/>
                <w:color w:val="auto"/>
              </w:rPr>
            </w:pPr>
          </w:p>
        </w:tc>
        <w:tc>
          <w:tcPr>
            <w:tcW w:w="1400" w:type="dxa"/>
            <w:vAlign w:val="bottom"/>
            <w:vMerge w:val="restart"/>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UK Storage</w:t>
            </w:r>
          </w:p>
        </w:tc>
        <w:tc>
          <w:tcPr>
            <w:tcW w:w="440" w:type="dxa"/>
            <w:vAlign w:val="bottom"/>
            <w:shd w:val="clear" w:color="auto" w:fill="1D2758"/>
          </w:tcPr>
          <w:p>
            <w:pPr>
              <w:spacing w:after="0"/>
              <w:rPr>
                <w:sz w:val="14"/>
                <w:szCs w:val="14"/>
                <w:color w:val="auto"/>
              </w:rPr>
            </w:pPr>
          </w:p>
        </w:tc>
        <w:tc>
          <w:tcPr>
            <w:tcW w:w="1520" w:type="dxa"/>
            <w:vAlign w:val="bottom"/>
            <w:vMerge w:val="restart"/>
            <w:shd w:val="clear" w:color="auto" w:fill="1D2758"/>
          </w:tcPr>
          <w:p>
            <w:pPr>
              <w:jc w:val="right"/>
              <w:ind w:right="366"/>
              <w:spacing w:after="0"/>
              <w:rPr>
                <w:sz w:val="20"/>
                <w:szCs w:val="20"/>
                <w:color w:val="auto"/>
              </w:rPr>
            </w:pPr>
            <w:r>
              <w:rPr>
                <w:rFonts w:ascii="Arial" w:cs="Arial" w:eastAsia="Arial" w:hAnsi="Arial"/>
                <w:sz w:val="15"/>
                <w:szCs w:val="15"/>
                <w:b w:val="1"/>
                <w:bCs w:val="1"/>
                <w:color w:val="FFFFFF"/>
                <w:w w:val="94"/>
              </w:rPr>
              <w:t>Tank and Pump</w:t>
            </w:r>
          </w:p>
        </w:tc>
        <w:tc>
          <w:tcPr>
            <w:tcW w:w="66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1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thousands)</w:t>
            </w:r>
          </w:p>
        </w:tc>
        <w:tc>
          <w:tcPr>
            <w:tcW w:w="760" w:type="dxa"/>
            <w:vAlign w:val="bottom"/>
            <w:shd w:val="clear" w:color="auto" w:fill="1D2758"/>
          </w:tcPr>
          <w:p>
            <w:pPr>
              <w:spacing w:after="0"/>
              <w:rPr>
                <w:sz w:val="17"/>
                <w:szCs w:val="17"/>
                <w:color w:val="auto"/>
              </w:rPr>
            </w:pPr>
          </w:p>
        </w:tc>
        <w:tc>
          <w:tcPr>
            <w:tcW w:w="1440" w:type="dxa"/>
            <w:vAlign w:val="bottom"/>
            <w:vMerge w:val="continue"/>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1460" w:type="dxa"/>
            <w:vAlign w:val="bottom"/>
            <w:vMerge w:val="continue"/>
            <w:shd w:val="clear" w:color="auto" w:fill="1D2758"/>
          </w:tcPr>
          <w:p>
            <w:pPr>
              <w:spacing w:after="0"/>
              <w:rPr>
                <w:sz w:val="17"/>
                <w:szCs w:val="17"/>
                <w:color w:val="auto"/>
              </w:rPr>
            </w:pPr>
          </w:p>
        </w:tc>
        <w:tc>
          <w:tcPr>
            <w:tcW w:w="500" w:type="dxa"/>
            <w:vAlign w:val="bottom"/>
            <w:shd w:val="clear" w:color="auto" w:fill="1D2758"/>
          </w:tcPr>
          <w:p>
            <w:pPr>
              <w:spacing w:after="0"/>
              <w:rPr>
                <w:sz w:val="17"/>
                <w:szCs w:val="17"/>
                <w:color w:val="auto"/>
              </w:rPr>
            </w:pPr>
          </w:p>
        </w:tc>
        <w:tc>
          <w:tcPr>
            <w:tcW w:w="1400" w:type="dxa"/>
            <w:vAlign w:val="bottom"/>
            <w:vMerge w:val="continue"/>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520" w:type="dxa"/>
            <w:vAlign w:val="bottom"/>
            <w:vMerge w:val="continue"/>
            <w:shd w:val="clear" w:color="auto" w:fill="1D2758"/>
          </w:tcPr>
          <w:p>
            <w:pPr>
              <w:spacing w:after="0"/>
              <w:rPr>
                <w:sz w:val="17"/>
                <w:szCs w:val="17"/>
                <w:color w:val="auto"/>
              </w:rPr>
            </w:pPr>
          </w:p>
        </w:tc>
        <w:tc>
          <w:tcPr>
            <w:tcW w:w="66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DBDBDB"/>
          </w:tcPr>
          <w:p>
            <w:pPr>
              <w:ind w:left="600"/>
              <w:spacing w:after="0" w:line="161" w:lineRule="exact"/>
              <w:rPr>
                <w:sz w:val="20"/>
                <w:szCs w:val="20"/>
                <w:color w:val="auto"/>
              </w:rPr>
            </w:pPr>
            <w:r>
              <w:rPr>
                <w:rFonts w:ascii="Arial" w:cs="Arial" w:eastAsia="Arial" w:hAnsi="Arial"/>
                <w:sz w:val="15"/>
                <w:szCs w:val="15"/>
                <w:color w:val="auto"/>
              </w:rPr>
              <w:t>Balance at</w:t>
            </w:r>
          </w:p>
        </w:tc>
        <w:tc>
          <w:tcPr>
            <w:tcW w:w="760" w:type="dxa"/>
            <w:vAlign w:val="bottom"/>
            <w:shd w:val="clear" w:color="auto" w:fill="DBDBDB"/>
          </w:tcPr>
          <w:p>
            <w:pPr>
              <w:jc w:val="right"/>
              <w:ind w:right="6"/>
              <w:spacing w:after="0" w:line="161" w:lineRule="exact"/>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306"/>
              <w:spacing w:after="0" w:line="161" w:lineRule="exact"/>
              <w:rPr>
                <w:sz w:val="20"/>
                <w:szCs w:val="20"/>
                <w:color w:val="auto"/>
              </w:rPr>
            </w:pPr>
            <w:r>
              <w:rPr>
                <w:rFonts w:ascii="Arial" w:cs="Arial" w:eastAsia="Arial" w:hAnsi="Arial"/>
                <w:sz w:val="15"/>
                <w:szCs w:val="15"/>
                <w:color w:val="auto"/>
              </w:rPr>
              <w:t>235,177</w:t>
            </w:r>
          </w:p>
        </w:tc>
        <w:tc>
          <w:tcPr>
            <w:tcW w:w="520" w:type="dxa"/>
            <w:vAlign w:val="bottom"/>
            <w:shd w:val="clear" w:color="auto" w:fill="DBDBDB"/>
          </w:tcPr>
          <w:p>
            <w:pPr>
              <w:jc w:val="right"/>
              <w:spacing w:after="0" w:line="161" w:lineRule="exact"/>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ind w:right="306"/>
              <w:spacing w:after="0" w:line="161" w:lineRule="exact"/>
              <w:rPr>
                <w:sz w:val="20"/>
                <w:szCs w:val="20"/>
                <w:color w:val="auto"/>
              </w:rPr>
            </w:pPr>
            <w:r>
              <w:rPr>
                <w:rFonts w:ascii="Arial" w:cs="Arial" w:eastAsia="Arial" w:hAnsi="Arial"/>
                <w:sz w:val="15"/>
                <w:szCs w:val="15"/>
                <w:color w:val="auto"/>
              </w:rPr>
              <w:t>—</w:t>
            </w:r>
          </w:p>
        </w:tc>
        <w:tc>
          <w:tcPr>
            <w:tcW w:w="500" w:type="dxa"/>
            <w:vAlign w:val="bottom"/>
            <w:shd w:val="clear" w:color="auto" w:fill="DBDBDB"/>
          </w:tcPr>
          <w:p>
            <w:pPr>
              <w:jc w:val="right"/>
              <w:spacing w:after="0" w:line="161" w:lineRule="exact"/>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26"/>
              <w:spacing w:after="0" w:line="161" w:lineRule="exact"/>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jc w:val="right"/>
              <w:spacing w:after="0" w:line="161" w:lineRule="exact"/>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ind w:right="306"/>
              <w:spacing w:after="0" w:line="161" w:lineRule="exact"/>
              <w:rPr>
                <w:sz w:val="20"/>
                <w:szCs w:val="20"/>
                <w:color w:val="auto"/>
              </w:rPr>
            </w:pPr>
            <w:r>
              <w:rPr>
                <w:rFonts w:ascii="Arial" w:cs="Arial" w:eastAsia="Arial" w:hAnsi="Arial"/>
                <w:sz w:val="15"/>
                <w:szCs w:val="15"/>
                <w:color w:val="auto"/>
              </w:rPr>
              <w:t>—</w:t>
            </w:r>
          </w:p>
        </w:tc>
        <w:tc>
          <w:tcPr>
            <w:tcW w:w="660" w:type="dxa"/>
            <w:vAlign w:val="bottom"/>
            <w:shd w:val="clear" w:color="auto" w:fill="DBDBDB"/>
          </w:tcPr>
          <w:p>
            <w:pPr>
              <w:jc w:val="right"/>
              <w:ind w:right="146"/>
              <w:spacing w:after="0" w:line="161" w:lineRule="exact"/>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line="161" w:lineRule="exact"/>
              <w:rPr>
                <w:sz w:val="20"/>
                <w:szCs w:val="20"/>
                <w:color w:val="auto"/>
              </w:rPr>
            </w:pPr>
            <w:r>
              <w:rPr>
                <w:rFonts w:ascii="Arial" w:cs="Arial" w:eastAsia="Arial" w:hAnsi="Arial"/>
                <w:sz w:val="15"/>
                <w:szCs w:val="15"/>
                <w:color w:val="auto"/>
              </w:rPr>
              <w:t>235,177</w:t>
            </w:r>
          </w:p>
        </w:tc>
        <w:tc>
          <w:tcPr>
            <w:tcW w:w="0" w:type="dxa"/>
            <w:vAlign w:val="bottom"/>
          </w:tcPr>
          <w:p>
            <w:pPr>
              <w:spacing w:after="0"/>
              <w:rPr>
                <w:sz w:val="1"/>
                <w:szCs w:val="1"/>
                <w:color w:val="auto"/>
              </w:rPr>
            </w:pPr>
          </w:p>
        </w:tc>
      </w:tr>
      <w:tr>
        <w:trPr>
          <w:trHeight w:val="183"/>
        </w:trPr>
        <w:tc>
          <w:tcPr>
            <w:tcW w:w="1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December 31, 2019</w:t>
            </w:r>
          </w:p>
        </w:tc>
        <w:tc>
          <w:tcPr>
            <w:tcW w:w="7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800"/>
              <w:spacing w:after="0" w:line="161" w:lineRule="exact"/>
              <w:rPr>
                <w:sz w:val="20"/>
                <w:szCs w:val="20"/>
                <w:color w:val="auto"/>
              </w:rPr>
            </w:pPr>
            <w:r>
              <w:rPr>
                <w:rFonts w:ascii="Arial" w:cs="Arial" w:eastAsia="Arial" w:hAnsi="Arial"/>
                <w:sz w:val="15"/>
                <w:szCs w:val="15"/>
                <w:color w:val="auto"/>
                <w:w w:val="99"/>
              </w:rPr>
              <w:t>Acquisition</w:t>
            </w:r>
          </w:p>
        </w:tc>
        <w:tc>
          <w:tcPr>
            <w:tcW w:w="760" w:type="dxa"/>
            <w:vAlign w:val="bottom"/>
          </w:tcPr>
          <w:p>
            <w:pPr>
              <w:spacing w:after="0"/>
              <w:rPr>
                <w:sz w:val="14"/>
                <w:szCs w:val="14"/>
                <w:color w:val="auto"/>
              </w:rPr>
            </w:pPr>
          </w:p>
        </w:tc>
        <w:tc>
          <w:tcPr>
            <w:tcW w:w="1440" w:type="dxa"/>
            <w:vAlign w:val="bottom"/>
          </w:tcPr>
          <w:p>
            <w:pPr>
              <w:jc w:val="right"/>
              <w:ind w:right="306"/>
              <w:spacing w:after="0" w:line="161"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4"/>
                <w:szCs w:val="14"/>
                <w:color w:val="auto"/>
              </w:rPr>
            </w:pPr>
          </w:p>
        </w:tc>
        <w:tc>
          <w:tcPr>
            <w:tcW w:w="1460" w:type="dxa"/>
            <w:vAlign w:val="bottom"/>
          </w:tcPr>
          <w:p>
            <w:pPr>
              <w:jc w:val="right"/>
              <w:ind w:right="306"/>
              <w:spacing w:after="0" w:line="161" w:lineRule="exact"/>
              <w:rPr>
                <w:sz w:val="20"/>
                <w:szCs w:val="20"/>
                <w:color w:val="auto"/>
              </w:rPr>
            </w:pPr>
            <w:r>
              <w:rPr>
                <w:rFonts w:ascii="Arial" w:cs="Arial" w:eastAsia="Arial" w:hAnsi="Arial"/>
                <w:sz w:val="15"/>
                <w:szCs w:val="15"/>
                <w:color w:val="auto"/>
              </w:rPr>
              <w:t>726,529</w:t>
            </w:r>
          </w:p>
        </w:tc>
        <w:tc>
          <w:tcPr>
            <w:tcW w:w="500" w:type="dxa"/>
            <w:vAlign w:val="bottom"/>
          </w:tcPr>
          <w:p>
            <w:pPr>
              <w:spacing w:after="0"/>
              <w:rPr>
                <w:sz w:val="14"/>
                <w:szCs w:val="14"/>
                <w:color w:val="auto"/>
              </w:rPr>
            </w:pPr>
          </w:p>
        </w:tc>
        <w:tc>
          <w:tcPr>
            <w:tcW w:w="1400" w:type="dxa"/>
            <w:vAlign w:val="bottom"/>
          </w:tcPr>
          <w:p>
            <w:pPr>
              <w:jc w:val="right"/>
              <w:ind w:right="326"/>
              <w:spacing w:after="0" w:line="161" w:lineRule="exact"/>
              <w:rPr>
                <w:sz w:val="20"/>
                <w:szCs w:val="20"/>
                <w:color w:val="auto"/>
              </w:rPr>
            </w:pPr>
            <w:r>
              <w:rPr>
                <w:rFonts w:ascii="Arial" w:cs="Arial" w:eastAsia="Arial" w:hAnsi="Arial"/>
                <w:sz w:val="15"/>
                <w:szCs w:val="15"/>
                <w:color w:val="auto"/>
              </w:rPr>
              <w:t>59,183</w:t>
            </w:r>
          </w:p>
        </w:tc>
        <w:tc>
          <w:tcPr>
            <w:tcW w:w="440" w:type="dxa"/>
            <w:vAlign w:val="bottom"/>
          </w:tcPr>
          <w:p>
            <w:pPr>
              <w:spacing w:after="0"/>
              <w:rPr>
                <w:sz w:val="14"/>
                <w:szCs w:val="14"/>
                <w:color w:val="auto"/>
              </w:rPr>
            </w:pPr>
          </w:p>
        </w:tc>
        <w:tc>
          <w:tcPr>
            <w:tcW w:w="1520" w:type="dxa"/>
            <w:vAlign w:val="bottom"/>
          </w:tcPr>
          <w:p>
            <w:pPr>
              <w:jc w:val="right"/>
              <w:ind w:right="306"/>
              <w:spacing w:after="0" w:line="161" w:lineRule="exact"/>
              <w:rPr>
                <w:sz w:val="20"/>
                <w:szCs w:val="20"/>
                <w:color w:val="auto"/>
              </w:rPr>
            </w:pPr>
            <w:r>
              <w:rPr>
                <w:rFonts w:ascii="Arial" w:cs="Arial" w:eastAsia="Arial" w:hAnsi="Arial"/>
                <w:sz w:val="15"/>
                <w:szCs w:val="15"/>
                <w:color w:val="auto"/>
              </w:rPr>
              <w:t>143,262</w:t>
            </w:r>
          </w:p>
        </w:tc>
        <w:tc>
          <w:tcPr>
            <w:tcW w:w="66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5"/>
                <w:szCs w:val="15"/>
                <w:color w:val="auto"/>
              </w:rPr>
              <w:t>928,974</w:t>
            </w:r>
          </w:p>
        </w:tc>
        <w:tc>
          <w:tcPr>
            <w:tcW w:w="0" w:type="dxa"/>
            <w:vAlign w:val="bottom"/>
          </w:tcPr>
          <w:p>
            <w:pPr>
              <w:spacing w:after="0"/>
              <w:rPr>
                <w:sz w:val="1"/>
                <w:szCs w:val="1"/>
                <w:color w:val="auto"/>
              </w:rPr>
            </w:pPr>
          </w:p>
        </w:tc>
      </w:tr>
      <w:tr>
        <w:trPr>
          <w:trHeight w:val="180"/>
        </w:trPr>
        <w:tc>
          <w:tcPr>
            <w:tcW w:w="1540" w:type="dxa"/>
            <w:vAlign w:val="bottom"/>
          </w:tcPr>
          <w:p>
            <w:pPr>
              <w:ind w:left="220"/>
              <w:spacing w:after="0"/>
              <w:rPr>
                <w:sz w:val="20"/>
                <w:szCs w:val="20"/>
                <w:color w:val="auto"/>
              </w:rPr>
            </w:pPr>
            <w:r>
              <w:rPr>
                <w:rFonts w:ascii="Arial" w:cs="Arial" w:eastAsia="Arial" w:hAnsi="Arial"/>
                <w:sz w:val="15"/>
                <w:szCs w:val="15"/>
                <w:color w:val="auto"/>
              </w:rPr>
              <w:t>of Mobile Mini</w:t>
            </w: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540" w:type="dxa"/>
            <w:vAlign w:val="bottom"/>
            <w:shd w:val="clear" w:color="auto" w:fill="DBDBDB"/>
          </w:tcPr>
          <w:p>
            <w:pPr>
              <w:ind w:left="800"/>
              <w:spacing w:after="0" w:line="164" w:lineRule="exact"/>
              <w:rPr>
                <w:sz w:val="20"/>
                <w:szCs w:val="20"/>
                <w:color w:val="auto"/>
              </w:rPr>
            </w:pPr>
            <w:r>
              <w:rPr>
                <w:rFonts w:ascii="Arial" w:cs="Arial" w:eastAsia="Arial" w:hAnsi="Arial"/>
                <w:sz w:val="15"/>
                <w:szCs w:val="15"/>
                <w:color w:val="auto"/>
              </w:rPr>
              <w:t>Effects of</w:t>
            </w:r>
          </w:p>
        </w:tc>
        <w:tc>
          <w:tcPr>
            <w:tcW w:w="760" w:type="dxa"/>
            <w:vAlign w:val="bottom"/>
            <w:shd w:val="clear" w:color="auto" w:fill="DBDBDB"/>
          </w:tcPr>
          <w:p>
            <w:pPr>
              <w:spacing w:after="0"/>
              <w:rPr>
                <w:sz w:val="14"/>
                <w:szCs w:val="14"/>
                <w:color w:val="auto"/>
              </w:rPr>
            </w:pPr>
          </w:p>
        </w:tc>
        <w:tc>
          <w:tcPr>
            <w:tcW w:w="1440" w:type="dxa"/>
            <w:vAlign w:val="bottom"/>
            <w:shd w:val="clear" w:color="auto" w:fill="DBDBDB"/>
          </w:tcPr>
          <w:p>
            <w:pPr>
              <w:jc w:val="right"/>
              <w:ind w:right="306"/>
              <w:spacing w:after="0" w:line="164" w:lineRule="exact"/>
              <w:rPr>
                <w:sz w:val="20"/>
                <w:szCs w:val="20"/>
                <w:color w:val="auto"/>
              </w:rPr>
            </w:pPr>
            <w:r>
              <w:rPr>
                <w:rFonts w:ascii="Arial" w:cs="Arial" w:eastAsia="Arial" w:hAnsi="Arial"/>
                <w:sz w:val="15"/>
                <w:szCs w:val="15"/>
                <w:color w:val="auto"/>
              </w:rPr>
              <w:t>651</w:t>
            </w:r>
          </w:p>
        </w:tc>
        <w:tc>
          <w:tcPr>
            <w:tcW w:w="520" w:type="dxa"/>
            <w:vAlign w:val="bottom"/>
            <w:shd w:val="clear" w:color="auto" w:fill="DBDBDB"/>
          </w:tcPr>
          <w:p>
            <w:pPr>
              <w:spacing w:after="0"/>
              <w:rPr>
                <w:sz w:val="14"/>
                <w:szCs w:val="14"/>
                <w:color w:val="auto"/>
              </w:rPr>
            </w:pPr>
          </w:p>
        </w:tc>
        <w:tc>
          <w:tcPr>
            <w:tcW w:w="1460" w:type="dxa"/>
            <w:vAlign w:val="bottom"/>
            <w:shd w:val="clear" w:color="auto" w:fill="DBDBDB"/>
          </w:tcPr>
          <w:p>
            <w:pPr>
              <w:jc w:val="right"/>
              <w:ind w:right="306"/>
              <w:spacing w:after="0" w:line="164" w:lineRule="exact"/>
              <w:rPr>
                <w:sz w:val="20"/>
                <w:szCs w:val="20"/>
                <w:color w:val="auto"/>
              </w:rPr>
            </w:pPr>
            <w:r>
              <w:rPr>
                <w:rFonts w:ascii="Arial" w:cs="Arial" w:eastAsia="Arial" w:hAnsi="Arial"/>
                <w:sz w:val="15"/>
                <w:szCs w:val="15"/>
                <w:color w:val="auto"/>
              </w:rPr>
              <w:t>—</w:t>
            </w:r>
          </w:p>
        </w:tc>
        <w:tc>
          <w:tcPr>
            <w:tcW w:w="500" w:type="dxa"/>
            <w:vAlign w:val="bottom"/>
            <w:shd w:val="clear" w:color="auto" w:fill="DBDBDB"/>
          </w:tcPr>
          <w:p>
            <w:pPr>
              <w:spacing w:after="0"/>
              <w:rPr>
                <w:sz w:val="14"/>
                <w:szCs w:val="14"/>
                <w:color w:val="auto"/>
              </w:rPr>
            </w:pPr>
          </w:p>
        </w:tc>
        <w:tc>
          <w:tcPr>
            <w:tcW w:w="1400" w:type="dxa"/>
            <w:vAlign w:val="bottom"/>
            <w:shd w:val="clear" w:color="auto" w:fill="DBDBDB"/>
          </w:tcPr>
          <w:p>
            <w:pPr>
              <w:jc w:val="right"/>
              <w:ind w:right="326"/>
              <w:spacing w:after="0" w:line="164" w:lineRule="exact"/>
              <w:rPr>
                <w:sz w:val="20"/>
                <w:szCs w:val="20"/>
                <w:color w:val="auto"/>
              </w:rPr>
            </w:pPr>
            <w:r>
              <w:rPr>
                <w:rFonts w:ascii="Arial" w:cs="Arial" w:eastAsia="Arial" w:hAnsi="Arial"/>
                <w:sz w:val="15"/>
                <w:szCs w:val="15"/>
                <w:color w:val="auto"/>
              </w:rPr>
              <w:t>6,417</w:t>
            </w:r>
          </w:p>
        </w:tc>
        <w:tc>
          <w:tcPr>
            <w:tcW w:w="44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306"/>
              <w:spacing w:after="0" w:line="164" w:lineRule="exact"/>
              <w:rPr>
                <w:sz w:val="20"/>
                <w:szCs w:val="20"/>
                <w:color w:val="auto"/>
              </w:rPr>
            </w:pPr>
            <w:r>
              <w:rPr>
                <w:rFonts w:ascii="Arial" w:cs="Arial" w:eastAsia="Arial" w:hAnsi="Arial"/>
                <w:sz w:val="15"/>
                <w:szCs w:val="15"/>
                <w:color w:val="auto"/>
              </w:rPr>
              <w:t>—</w:t>
            </w:r>
          </w:p>
        </w:tc>
        <w:tc>
          <w:tcPr>
            <w:tcW w:w="66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line="164" w:lineRule="exact"/>
              <w:rPr>
                <w:sz w:val="20"/>
                <w:szCs w:val="20"/>
                <w:color w:val="auto"/>
              </w:rPr>
            </w:pPr>
            <w:r>
              <w:rPr>
                <w:rFonts w:ascii="Arial" w:cs="Arial" w:eastAsia="Arial" w:hAnsi="Arial"/>
                <w:sz w:val="15"/>
                <w:szCs w:val="15"/>
                <w:color w:val="auto"/>
              </w:rPr>
              <w:t>7,068</w:t>
            </w:r>
          </w:p>
        </w:tc>
        <w:tc>
          <w:tcPr>
            <w:tcW w:w="0" w:type="dxa"/>
            <w:vAlign w:val="bottom"/>
          </w:tcPr>
          <w:p>
            <w:pPr>
              <w:spacing w:after="0"/>
              <w:rPr>
                <w:sz w:val="1"/>
                <w:szCs w:val="1"/>
                <w:color w:val="auto"/>
              </w:rPr>
            </w:pPr>
          </w:p>
        </w:tc>
      </w:tr>
      <w:tr>
        <w:trPr>
          <w:trHeight w:val="148"/>
        </w:trPr>
        <w:tc>
          <w:tcPr>
            <w:tcW w:w="1540" w:type="dxa"/>
            <w:vAlign w:val="bottom"/>
            <w:shd w:val="clear" w:color="auto" w:fill="DBDBDB"/>
          </w:tcPr>
          <w:p>
            <w:pPr>
              <w:ind w:left="220"/>
              <w:spacing w:after="0" w:line="148" w:lineRule="exact"/>
              <w:rPr>
                <w:sz w:val="20"/>
                <w:szCs w:val="20"/>
                <w:color w:val="auto"/>
              </w:rPr>
            </w:pPr>
            <w:r>
              <w:rPr>
                <w:rFonts w:ascii="Arial" w:cs="Arial" w:eastAsia="Arial" w:hAnsi="Arial"/>
                <w:sz w:val="15"/>
                <w:szCs w:val="15"/>
                <w:color w:val="auto"/>
              </w:rPr>
              <w:t>movements in</w:t>
            </w:r>
          </w:p>
        </w:tc>
        <w:tc>
          <w:tcPr>
            <w:tcW w:w="76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40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5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DBDBDB"/>
          </w:tcPr>
          <w:p>
            <w:pPr>
              <w:ind w:left="220"/>
              <w:spacing w:after="0" w:line="148" w:lineRule="exact"/>
              <w:rPr>
                <w:sz w:val="20"/>
                <w:szCs w:val="20"/>
                <w:color w:val="auto"/>
              </w:rPr>
            </w:pPr>
            <w:r>
              <w:rPr>
                <w:rFonts w:ascii="Arial" w:cs="Arial" w:eastAsia="Arial" w:hAnsi="Arial"/>
                <w:sz w:val="15"/>
                <w:szCs w:val="15"/>
                <w:color w:val="auto"/>
              </w:rPr>
              <w:t>foreign exchange</w:t>
            </w:r>
          </w:p>
        </w:tc>
        <w:tc>
          <w:tcPr>
            <w:tcW w:w="76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40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5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rates</w:t>
            </w:r>
          </w:p>
        </w:tc>
        <w:tc>
          <w:tcPr>
            <w:tcW w:w="76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1400" w:type="dxa"/>
            <w:vAlign w:val="bottom"/>
            <w:tcBorders>
              <w:bottom w:val="single" w:sz="8" w:color="auto"/>
            </w:tcBorders>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600"/>
              <w:spacing w:after="0" w:line="141" w:lineRule="exact"/>
              <w:rPr>
                <w:sz w:val="20"/>
                <w:szCs w:val="20"/>
                <w:color w:val="auto"/>
              </w:rPr>
            </w:pPr>
            <w:r>
              <w:rPr>
                <w:rFonts w:ascii="Arial" w:cs="Arial" w:eastAsia="Arial" w:hAnsi="Arial"/>
                <w:sz w:val="15"/>
                <w:szCs w:val="15"/>
                <w:color w:val="auto"/>
              </w:rPr>
              <w:t>Balance at</w:t>
            </w:r>
          </w:p>
        </w:tc>
        <w:tc>
          <w:tcPr>
            <w:tcW w:w="760" w:type="dxa"/>
            <w:vAlign w:val="bottom"/>
          </w:tcPr>
          <w:p>
            <w:pPr>
              <w:spacing w:after="0"/>
              <w:rPr>
                <w:sz w:val="12"/>
                <w:szCs w:val="12"/>
                <w:color w:val="auto"/>
              </w:rPr>
            </w:pPr>
          </w:p>
        </w:tc>
        <w:tc>
          <w:tcPr>
            <w:tcW w:w="1440" w:type="dxa"/>
            <w:vAlign w:val="bottom"/>
          </w:tcPr>
          <w:p>
            <w:pPr>
              <w:jc w:val="right"/>
              <w:ind w:right="306"/>
              <w:spacing w:after="0" w:line="141" w:lineRule="exact"/>
              <w:rPr>
                <w:sz w:val="20"/>
                <w:szCs w:val="20"/>
                <w:color w:val="auto"/>
              </w:rPr>
            </w:pPr>
            <w:r>
              <w:rPr>
                <w:rFonts w:ascii="Arial" w:cs="Arial" w:eastAsia="Arial" w:hAnsi="Arial"/>
                <w:sz w:val="15"/>
                <w:szCs w:val="15"/>
                <w:color w:val="auto"/>
              </w:rPr>
              <w:t>235,828</w:t>
            </w:r>
          </w:p>
        </w:tc>
        <w:tc>
          <w:tcPr>
            <w:tcW w:w="520" w:type="dxa"/>
            <w:vAlign w:val="bottom"/>
          </w:tcPr>
          <w:p>
            <w:pPr>
              <w:spacing w:after="0"/>
              <w:rPr>
                <w:sz w:val="12"/>
                <w:szCs w:val="12"/>
                <w:color w:val="auto"/>
              </w:rPr>
            </w:pPr>
          </w:p>
        </w:tc>
        <w:tc>
          <w:tcPr>
            <w:tcW w:w="1460" w:type="dxa"/>
            <w:vAlign w:val="bottom"/>
          </w:tcPr>
          <w:p>
            <w:pPr>
              <w:jc w:val="right"/>
              <w:ind w:right="306"/>
              <w:spacing w:after="0" w:line="141" w:lineRule="exact"/>
              <w:rPr>
                <w:sz w:val="20"/>
                <w:szCs w:val="20"/>
                <w:color w:val="auto"/>
              </w:rPr>
            </w:pPr>
            <w:r>
              <w:rPr>
                <w:rFonts w:ascii="Arial" w:cs="Arial" w:eastAsia="Arial" w:hAnsi="Arial"/>
                <w:sz w:val="15"/>
                <w:szCs w:val="15"/>
                <w:color w:val="auto"/>
              </w:rPr>
              <w:t>726,529</w:t>
            </w:r>
          </w:p>
        </w:tc>
        <w:tc>
          <w:tcPr>
            <w:tcW w:w="500" w:type="dxa"/>
            <w:vAlign w:val="bottom"/>
          </w:tcPr>
          <w:p>
            <w:pPr>
              <w:spacing w:after="0"/>
              <w:rPr>
                <w:sz w:val="12"/>
                <w:szCs w:val="12"/>
                <w:color w:val="auto"/>
              </w:rPr>
            </w:pPr>
          </w:p>
        </w:tc>
        <w:tc>
          <w:tcPr>
            <w:tcW w:w="1400" w:type="dxa"/>
            <w:vAlign w:val="bottom"/>
          </w:tcPr>
          <w:p>
            <w:pPr>
              <w:jc w:val="right"/>
              <w:ind w:right="326"/>
              <w:spacing w:after="0" w:line="141" w:lineRule="exact"/>
              <w:rPr>
                <w:sz w:val="20"/>
                <w:szCs w:val="20"/>
                <w:color w:val="auto"/>
              </w:rPr>
            </w:pPr>
            <w:r>
              <w:rPr>
                <w:rFonts w:ascii="Arial" w:cs="Arial" w:eastAsia="Arial" w:hAnsi="Arial"/>
                <w:sz w:val="15"/>
                <w:szCs w:val="15"/>
                <w:color w:val="auto"/>
              </w:rPr>
              <w:t>65,600</w:t>
            </w:r>
          </w:p>
        </w:tc>
        <w:tc>
          <w:tcPr>
            <w:tcW w:w="440" w:type="dxa"/>
            <w:vAlign w:val="bottom"/>
          </w:tcPr>
          <w:p>
            <w:pPr>
              <w:spacing w:after="0"/>
              <w:rPr>
                <w:sz w:val="12"/>
                <w:szCs w:val="12"/>
                <w:color w:val="auto"/>
              </w:rPr>
            </w:pPr>
          </w:p>
        </w:tc>
        <w:tc>
          <w:tcPr>
            <w:tcW w:w="1520" w:type="dxa"/>
            <w:vAlign w:val="bottom"/>
          </w:tcPr>
          <w:p>
            <w:pPr>
              <w:jc w:val="right"/>
              <w:ind w:right="306"/>
              <w:spacing w:after="0" w:line="141" w:lineRule="exact"/>
              <w:rPr>
                <w:sz w:val="20"/>
                <w:szCs w:val="20"/>
                <w:color w:val="auto"/>
              </w:rPr>
            </w:pPr>
            <w:r>
              <w:rPr>
                <w:rFonts w:ascii="Arial" w:cs="Arial" w:eastAsia="Arial" w:hAnsi="Arial"/>
                <w:sz w:val="15"/>
                <w:szCs w:val="15"/>
                <w:color w:val="auto"/>
              </w:rPr>
              <w:t>143,262</w:t>
            </w:r>
          </w:p>
        </w:tc>
        <w:tc>
          <w:tcPr>
            <w:tcW w:w="660" w:type="dxa"/>
            <w:vAlign w:val="bottom"/>
          </w:tcPr>
          <w:p>
            <w:pPr>
              <w:spacing w:after="0"/>
              <w:rPr>
                <w:sz w:val="12"/>
                <w:szCs w:val="12"/>
                <w:color w:val="auto"/>
              </w:rPr>
            </w:pPr>
          </w:p>
        </w:tc>
        <w:tc>
          <w:tcPr>
            <w:tcW w:w="1100" w:type="dxa"/>
            <w:vAlign w:val="bottom"/>
          </w:tcPr>
          <w:p>
            <w:pPr>
              <w:jc w:val="right"/>
              <w:spacing w:after="0" w:line="141" w:lineRule="exact"/>
              <w:rPr>
                <w:sz w:val="20"/>
                <w:szCs w:val="20"/>
                <w:color w:val="auto"/>
              </w:rPr>
            </w:pPr>
            <w:r>
              <w:rPr>
                <w:rFonts w:ascii="Arial" w:cs="Arial" w:eastAsia="Arial" w:hAnsi="Arial"/>
                <w:sz w:val="15"/>
                <w:szCs w:val="15"/>
                <w:color w:val="auto"/>
              </w:rPr>
              <w:t>1,171,219</w:t>
            </w:r>
          </w:p>
        </w:tc>
        <w:tc>
          <w:tcPr>
            <w:tcW w:w="0" w:type="dxa"/>
            <w:vAlign w:val="bottom"/>
          </w:tcPr>
          <w:p>
            <w:pPr>
              <w:spacing w:after="0"/>
              <w:rPr>
                <w:sz w:val="1"/>
                <w:szCs w:val="1"/>
                <w:color w:val="auto"/>
              </w:rPr>
            </w:pPr>
          </w:p>
        </w:tc>
      </w:tr>
      <w:tr>
        <w:trPr>
          <w:trHeight w:val="180"/>
        </w:trPr>
        <w:tc>
          <w:tcPr>
            <w:tcW w:w="1540" w:type="dxa"/>
            <w:vAlign w:val="bottom"/>
          </w:tcPr>
          <w:p>
            <w:pPr>
              <w:ind w:left="20"/>
              <w:spacing w:after="0"/>
              <w:rPr>
                <w:sz w:val="20"/>
                <w:szCs w:val="20"/>
                <w:color w:val="auto"/>
              </w:rPr>
            </w:pPr>
            <w:r>
              <w:rPr>
                <w:rFonts w:ascii="Arial" w:cs="Arial" w:eastAsia="Arial" w:hAnsi="Arial"/>
                <w:sz w:val="15"/>
                <w:szCs w:val="15"/>
                <w:color w:val="auto"/>
              </w:rPr>
              <w:t>December 31, 2020</w:t>
            </w: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540" w:type="dxa"/>
            <w:vAlign w:val="bottom"/>
            <w:shd w:val="clear" w:color="auto" w:fill="DBDBDB"/>
          </w:tcPr>
          <w:p>
            <w:pPr>
              <w:ind w:left="800"/>
              <w:spacing w:after="0" w:line="164" w:lineRule="exact"/>
              <w:rPr>
                <w:sz w:val="20"/>
                <w:szCs w:val="20"/>
                <w:color w:val="auto"/>
              </w:rPr>
            </w:pPr>
            <w:r>
              <w:rPr>
                <w:rFonts w:ascii="Arial" w:cs="Arial" w:eastAsia="Arial" w:hAnsi="Arial"/>
                <w:sz w:val="15"/>
                <w:szCs w:val="15"/>
                <w:color w:val="auto"/>
              </w:rPr>
              <w:t>Changes</w:t>
            </w:r>
          </w:p>
        </w:tc>
        <w:tc>
          <w:tcPr>
            <w:tcW w:w="76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DBDBDB"/>
          </w:tcPr>
          <w:p>
            <w:pPr>
              <w:ind w:left="220"/>
              <w:spacing w:after="0" w:line="148" w:lineRule="exact"/>
              <w:rPr>
                <w:sz w:val="20"/>
                <w:szCs w:val="20"/>
                <w:color w:val="auto"/>
              </w:rPr>
            </w:pPr>
            <w:r>
              <w:rPr>
                <w:rFonts w:ascii="Arial" w:cs="Arial" w:eastAsia="Arial" w:hAnsi="Arial"/>
                <w:sz w:val="15"/>
                <w:szCs w:val="15"/>
                <w:color w:val="auto"/>
              </w:rPr>
              <w:t>to Mobile Mini</w:t>
            </w:r>
          </w:p>
        </w:tc>
        <w:tc>
          <w:tcPr>
            <w:tcW w:w="76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40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5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DBDBDB"/>
          </w:tcPr>
          <w:p>
            <w:pPr>
              <w:ind w:left="220"/>
              <w:spacing w:after="0" w:line="148" w:lineRule="exact"/>
              <w:rPr>
                <w:sz w:val="20"/>
                <w:szCs w:val="20"/>
                <w:color w:val="auto"/>
              </w:rPr>
            </w:pPr>
            <w:r>
              <w:rPr>
                <w:rFonts w:ascii="Arial" w:cs="Arial" w:eastAsia="Arial" w:hAnsi="Arial"/>
                <w:sz w:val="15"/>
                <w:szCs w:val="15"/>
                <w:color w:val="auto"/>
              </w:rPr>
              <w:t>purchase</w:t>
            </w:r>
          </w:p>
        </w:tc>
        <w:tc>
          <w:tcPr>
            <w:tcW w:w="76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40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5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accounting</w:t>
            </w:r>
          </w:p>
        </w:tc>
        <w:tc>
          <w:tcPr>
            <w:tcW w:w="760" w:type="dxa"/>
            <w:vAlign w:val="bottom"/>
            <w:shd w:val="clear" w:color="auto" w:fill="DBDBDB"/>
          </w:tcPr>
          <w:p>
            <w:pPr>
              <w:spacing w:after="0"/>
              <w:rPr>
                <w:sz w:val="15"/>
                <w:szCs w:val="15"/>
                <w:color w:val="auto"/>
              </w:rPr>
            </w:pPr>
          </w:p>
        </w:tc>
        <w:tc>
          <w:tcPr>
            <w:tcW w:w="1440" w:type="dxa"/>
            <w:vAlign w:val="bottom"/>
            <w:shd w:val="clear" w:color="auto" w:fill="DBDBDB"/>
          </w:tcPr>
          <w:p>
            <w:pPr>
              <w:jc w:val="right"/>
              <w:ind w:right="306"/>
              <w:spacing w:after="0"/>
              <w:rPr>
                <w:sz w:val="20"/>
                <w:szCs w:val="20"/>
                <w:color w:val="auto"/>
              </w:rPr>
            </w:pPr>
            <w:r>
              <w:rPr>
                <w:rFonts w:ascii="Arial" w:cs="Arial" w:eastAsia="Arial" w:hAnsi="Arial"/>
                <w:sz w:val="15"/>
                <w:szCs w:val="15"/>
                <w:color w:val="auto"/>
              </w:rPr>
              <w:t>285,000</w:t>
            </w:r>
          </w:p>
        </w:tc>
        <w:tc>
          <w:tcPr>
            <w:tcW w:w="52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266"/>
              <w:spacing w:after="0"/>
              <w:rPr>
                <w:sz w:val="20"/>
                <w:szCs w:val="20"/>
                <w:color w:val="auto"/>
              </w:rPr>
            </w:pPr>
            <w:r>
              <w:rPr>
                <w:rFonts w:ascii="Arial" w:cs="Arial" w:eastAsia="Arial" w:hAnsi="Arial"/>
                <w:sz w:val="15"/>
                <w:szCs w:val="15"/>
                <w:color w:val="auto"/>
              </w:rPr>
              <w:t>(233,666)</w:t>
            </w:r>
          </w:p>
        </w:tc>
        <w:tc>
          <w:tcPr>
            <w:tcW w:w="50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326"/>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266"/>
              <w:spacing w:after="0"/>
              <w:rPr>
                <w:sz w:val="20"/>
                <w:szCs w:val="20"/>
                <w:color w:val="auto"/>
              </w:rPr>
            </w:pPr>
            <w:r>
              <w:rPr>
                <w:rFonts w:ascii="Arial" w:cs="Arial" w:eastAsia="Arial" w:hAnsi="Arial"/>
                <w:sz w:val="15"/>
                <w:szCs w:val="15"/>
                <w:color w:val="auto"/>
              </w:rPr>
              <w:t>(43,173)</w:t>
            </w:r>
          </w:p>
        </w:tc>
        <w:tc>
          <w:tcPr>
            <w:tcW w:w="6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8,161</w:t>
            </w:r>
          </w:p>
        </w:tc>
        <w:tc>
          <w:tcPr>
            <w:tcW w:w="0" w:type="dxa"/>
            <w:vAlign w:val="bottom"/>
          </w:tcPr>
          <w:p>
            <w:pPr>
              <w:spacing w:after="0"/>
              <w:rPr>
                <w:sz w:val="1"/>
                <w:szCs w:val="1"/>
                <w:color w:val="auto"/>
              </w:rPr>
            </w:pPr>
          </w:p>
        </w:tc>
      </w:tr>
      <w:tr>
        <w:trPr>
          <w:trHeight w:val="162"/>
        </w:trPr>
        <w:tc>
          <w:tcPr>
            <w:tcW w:w="1540" w:type="dxa"/>
            <w:vAlign w:val="bottom"/>
          </w:tcPr>
          <w:p>
            <w:pPr>
              <w:ind w:left="800"/>
              <w:spacing w:after="0" w:line="161" w:lineRule="exact"/>
              <w:rPr>
                <w:sz w:val="20"/>
                <w:szCs w:val="20"/>
                <w:color w:val="auto"/>
              </w:rPr>
            </w:pPr>
            <w:r>
              <w:rPr>
                <w:rFonts w:ascii="Arial" w:cs="Arial" w:eastAsia="Arial" w:hAnsi="Arial"/>
                <w:sz w:val="15"/>
                <w:szCs w:val="15"/>
                <w:color w:val="auto"/>
              </w:rPr>
              <w:t>Effects of</w:t>
            </w:r>
          </w:p>
        </w:tc>
        <w:tc>
          <w:tcPr>
            <w:tcW w:w="760" w:type="dxa"/>
            <w:vAlign w:val="bottom"/>
          </w:tcPr>
          <w:p>
            <w:pPr>
              <w:spacing w:after="0"/>
              <w:rPr>
                <w:sz w:val="14"/>
                <w:szCs w:val="14"/>
                <w:color w:val="auto"/>
              </w:rPr>
            </w:pPr>
          </w:p>
        </w:tc>
        <w:tc>
          <w:tcPr>
            <w:tcW w:w="1440" w:type="dxa"/>
            <w:vAlign w:val="bottom"/>
          </w:tcPr>
          <w:p>
            <w:pPr>
              <w:jc w:val="right"/>
              <w:ind w:right="306"/>
              <w:spacing w:after="0" w:line="161" w:lineRule="exact"/>
              <w:rPr>
                <w:sz w:val="20"/>
                <w:szCs w:val="20"/>
                <w:color w:val="auto"/>
              </w:rPr>
            </w:pPr>
            <w:r>
              <w:rPr>
                <w:rFonts w:ascii="Arial" w:cs="Arial" w:eastAsia="Arial" w:hAnsi="Arial"/>
                <w:sz w:val="15"/>
                <w:szCs w:val="15"/>
                <w:color w:val="auto"/>
              </w:rPr>
              <w:t>113</w:t>
            </w:r>
          </w:p>
        </w:tc>
        <w:tc>
          <w:tcPr>
            <w:tcW w:w="520" w:type="dxa"/>
            <w:vAlign w:val="bottom"/>
          </w:tcPr>
          <w:p>
            <w:pPr>
              <w:spacing w:after="0"/>
              <w:rPr>
                <w:sz w:val="14"/>
                <w:szCs w:val="14"/>
                <w:color w:val="auto"/>
              </w:rPr>
            </w:pPr>
          </w:p>
        </w:tc>
        <w:tc>
          <w:tcPr>
            <w:tcW w:w="1460" w:type="dxa"/>
            <w:vAlign w:val="bottom"/>
          </w:tcPr>
          <w:p>
            <w:pPr>
              <w:jc w:val="right"/>
              <w:ind w:right="266"/>
              <w:spacing w:after="0" w:line="161" w:lineRule="exact"/>
              <w:rPr>
                <w:sz w:val="20"/>
                <w:szCs w:val="20"/>
                <w:color w:val="auto"/>
              </w:rPr>
            </w:pPr>
            <w:r>
              <w:rPr>
                <w:rFonts w:ascii="Arial" w:cs="Arial" w:eastAsia="Arial" w:hAnsi="Arial"/>
                <w:sz w:val="15"/>
                <w:szCs w:val="15"/>
                <w:color w:val="auto"/>
              </w:rPr>
              <w:t>(311)</w:t>
            </w:r>
          </w:p>
        </w:tc>
        <w:tc>
          <w:tcPr>
            <w:tcW w:w="500" w:type="dxa"/>
            <w:vAlign w:val="bottom"/>
          </w:tcPr>
          <w:p>
            <w:pPr>
              <w:spacing w:after="0"/>
              <w:rPr>
                <w:sz w:val="14"/>
                <w:szCs w:val="14"/>
                <w:color w:val="auto"/>
              </w:rPr>
            </w:pPr>
          </w:p>
        </w:tc>
        <w:tc>
          <w:tcPr>
            <w:tcW w:w="1400" w:type="dxa"/>
            <w:vAlign w:val="bottom"/>
          </w:tcPr>
          <w:p>
            <w:pPr>
              <w:jc w:val="right"/>
              <w:ind w:right="286"/>
              <w:spacing w:after="0" w:line="161" w:lineRule="exact"/>
              <w:rPr>
                <w:sz w:val="20"/>
                <w:szCs w:val="20"/>
                <w:color w:val="auto"/>
              </w:rPr>
            </w:pPr>
            <w:r>
              <w:rPr>
                <w:rFonts w:ascii="Arial" w:cs="Arial" w:eastAsia="Arial" w:hAnsi="Arial"/>
                <w:sz w:val="15"/>
                <w:szCs w:val="15"/>
                <w:color w:val="auto"/>
              </w:rPr>
              <w:t>(910)</w:t>
            </w:r>
          </w:p>
        </w:tc>
        <w:tc>
          <w:tcPr>
            <w:tcW w:w="440" w:type="dxa"/>
            <w:vAlign w:val="bottom"/>
          </w:tcPr>
          <w:p>
            <w:pPr>
              <w:spacing w:after="0"/>
              <w:rPr>
                <w:sz w:val="14"/>
                <w:szCs w:val="14"/>
                <w:color w:val="auto"/>
              </w:rPr>
            </w:pPr>
          </w:p>
        </w:tc>
        <w:tc>
          <w:tcPr>
            <w:tcW w:w="1520" w:type="dxa"/>
            <w:vAlign w:val="bottom"/>
          </w:tcPr>
          <w:p>
            <w:pPr>
              <w:jc w:val="right"/>
              <w:ind w:right="306"/>
              <w:spacing w:after="0" w:line="161" w:lineRule="exact"/>
              <w:rPr>
                <w:sz w:val="20"/>
                <w:szCs w:val="20"/>
                <w:color w:val="auto"/>
              </w:rPr>
            </w:pPr>
            <w:r>
              <w:rPr>
                <w:rFonts w:ascii="Arial" w:cs="Arial" w:eastAsia="Arial" w:hAnsi="Arial"/>
                <w:sz w:val="15"/>
                <w:szCs w:val="15"/>
                <w:color w:val="auto"/>
              </w:rPr>
              <w:t>18</w:t>
            </w:r>
          </w:p>
        </w:tc>
        <w:tc>
          <w:tcPr>
            <w:tcW w:w="66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5"/>
                <w:szCs w:val="15"/>
                <w:color w:val="auto"/>
              </w:rPr>
              <w:t>(1,090)</w:t>
            </w:r>
          </w:p>
        </w:tc>
        <w:tc>
          <w:tcPr>
            <w:tcW w:w="0" w:type="dxa"/>
            <w:vAlign w:val="bottom"/>
          </w:tcPr>
          <w:p>
            <w:pPr>
              <w:spacing w:after="0"/>
              <w:rPr>
                <w:sz w:val="1"/>
                <w:szCs w:val="1"/>
                <w:color w:val="auto"/>
              </w:rPr>
            </w:pPr>
          </w:p>
        </w:tc>
      </w:tr>
      <w:tr>
        <w:trPr>
          <w:trHeight w:val="148"/>
        </w:trPr>
        <w:tc>
          <w:tcPr>
            <w:tcW w:w="1540" w:type="dxa"/>
            <w:vAlign w:val="bottom"/>
          </w:tcPr>
          <w:p>
            <w:pPr>
              <w:ind w:left="220"/>
              <w:spacing w:after="0" w:line="148" w:lineRule="exact"/>
              <w:rPr>
                <w:sz w:val="20"/>
                <w:szCs w:val="20"/>
                <w:color w:val="auto"/>
              </w:rPr>
            </w:pPr>
            <w:r>
              <w:rPr>
                <w:rFonts w:ascii="Arial" w:cs="Arial" w:eastAsia="Arial" w:hAnsi="Arial"/>
                <w:sz w:val="15"/>
                <w:szCs w:val="15"/>
                <w:color w:val="auto"/>
              </w:rPr>
              <w:t>movements in</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20"/>
              <w:spacing w:after="0" w:line="148" w:lineRule="exact"/>
              <w:rPr>
                <w:sz w:val="20"/>
                <w:szCs w:val="20"/>
                <w:color w:val="auto"/>
              </w:rPr>
            </w:pPr>
            <w:r>
              <w:rPr>
                <w:rFonts w:ascii="Arial" w:cs="Arial" w:eastAsia="Arial" w:hAnsi="Arial"/>
                <w:sz w:val="15"/>
                <w:szCs w:val="15"/>
                <w:color w:val="auto"/>
              </w:rPr>
              <w:t>foreign exchange</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rates</w:t>
            </w:r>
          </w:p>
        </w:tc>
        <w:tc>
          <w:tcPr>
            <w:tcW w:w="7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40" w:type="dxa"/>
            <w:vAlign w:val="bottom"/>
            <w:shd w:val="clear" w:color="auto" w:fill="DBDBDB"/>
          </w:tcPr>
          <w:p>
            <w:pPr>
              <w:ind w:left="600"/>
              <w:spacing w:after="0" w:line="144" w:lineRule="exact"/>
              <w:rPr>
                <w:sz w:val="20"/>
                <w:szCs w:val="20"/>
                <w:color w:val="auto"/>
              </w:rPr>
            </w:pPr>
            <w:r>
              <w:rPr>
                <w:rFonts w:ascii="Arial" w:cs="Arial" w:eastAsia="Arial" w:hAnsi="Arial"/>
                <w:sz w:val="15"/>
                <w:szCs w:val="15"/>
                <w:color w:val="auto"/>
              </w:rPr>
              <w:t>Balance at</w:t>
            </w:r>
          </w:p>
        </w:tc>
        <w:tc>
          <w:tcPr>
            <w:tcW w:w="760" w:type="dxa"/>
            <w:vAlign w:val="bottom"/>
            <w:shd w:val="clear" w:color="auto" w:fill="DBDBDB"/>
          </w:tcPr>
          <w:p>
            <w:pPr>
              <w:jc w:val="right"/>
              <w:ind w:right="6"/>
              <w:spacing w:after="0" w:line="144" w:lineRule="exact"/>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306"/>
              <w:spacing w:after="0" w:line="144" w:lineRule="exact"/>
              <w:rPr>
                <w:sz w:val="20"/>
                <w:szCs w:val="20"/>
                <w:color w:val="auto"/>
              </w:rPr>
            </w:pPr>
            <w:r>
              <w:rPr>
                <w:rFonts w:ascii="Arial" w:cs="Arial" w:eastAsia="Arial" w:hAnsi="Arial"/>
                <w:sz w:val="15"/>
                <w:szCs w:val="15"/>
                <w:color w:val="auto"/>
              </w:rPr>
              <w:t>520,941</w:t>
            </w:r>
          </w:p>
        </w:tc>
        <w:tc>
          <w:tcPr>
            <w:tcW w:w="520" w:type="dxa"/>
            <w:vAlign w:val="bottom"/>
            <w:shd w:val="clear" w:color="auto" w:fill="DBDBDB"/>
          </w:tcPr>
          <w:p>
            <w:pPr>
              <w:jc w:val="right"/>
              <w:spacing w:after="0" w:line="144" w:lineRule="exact"/>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ind w:right="306"/>
              <w:spacing w:after="0" w:line="144" w:lineRule="exact"/>
              <w:rPr>
                <w:sz w:val="20"/>
                <w:szCs w:val="20"/>
                <w:color w:val="auto"/>
              </w:rPr>
            </w:pPr>
            <w:r>
              <w:rPr>
                <w:rFonts w:ascii="Arial" w:cs="Arial" w:eastAsia="Arial" w:hAnsi="Arial"/>
                <w:sz w:val="15"/>
                <w:szCs w:val="15"/>
                <w:color w:val="auto"/>
              </w:rPr>
              <w:t>492,552</w:t>
            </w:r>
          </w:p>
        </w:tc>
        <w:tc>
          <w:tcPr>
            <w:tcW w:w="500" w:type="dxa"/>
            <w:vAlign w:val="bottom"/>
            <w:shd w:val="clear" w:color="auto" w:fill="DBDBDB"/>
          </w:tcPr>
          <w:p>
            <w:pPr>
              <w:jc w:val="right"/>
              <w:spacing w:after="0" w:line="144" w:lineRule="exact"/>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26"/>
              <w:spacing w:after="0" w:line="144" w:lineRule="exact"/>
              <w:rPr>
                <w:sz w:val="20"/>
                <w:szCs w:val="20"/>
                <w:color w:val="auto"/>
              </w:rPr>
            </w:pPr>
            <w:r>
              <w:rPr>
                <w:rFonts w:ascii="Arial" w:cs="Arial" w:eastAsia="Arial" w:hAnsi="Arial"/>
                <w:sz w:val="15"/>
                <w:szCs w:val="15"/>
                <w:color w:val="auto"/>
              </w:rPr>
              <w:t>64,690</w:t>
            </w:r>
          </w:p>
        </w:tc>
        <w:tc>
          <w:tcPr>
            <w:tcW w:w="440" w:type="dxa"/>
            <w:vAlign w:val="bottom"/>
            <w:shd w:val="clear" w:color="auto" w:fill="DBDBDB"/>
          </w:tcPr>
          <w:p>
            <w:pPr>
              <w:jc w:val="right"/>
              <w:spacing w:after="0" w:line="144" w:lineRule="exact"/>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ind w:right="306"/>
              <w:spacing w:after="0" w:line="144" w:lineRule="exact"/>
              <w:rPr>
                <w:sz w:val="20"/>
                <w:szCs w:val="20"/>
                <w:color w:val="auto"/>
              </w:rPr>
            </w:pPr>
            <w:r>
              <w:rPr>
                <w:rFonts w:ascii="Arial" w:cs="Arial" w:eastAsia="Arial" w:hAnsi="Arial"/>
                <w:sz w:val="15"/>
                <w:szCs w:val="15"/>
                <w:color w:val="auto"/>
              </w:rPr>
              <w:t>100,107</w:t>
            </w:r>
          </w:p>
        </w:tc>
        <w:tc>
          <w:tcPr>
            <w:tcW w:w="660" w:type="dxa"/>
            <w:vAlign w:val="bottom"/>
            <w:shd w:val="clear" w:color="auto" w:fill="DBDBDB"/>
          </w:tcPr>
          <w:p>
            <w:pPr>
              <w:jc w:val="right"/>
              <w:ind w:right="146"/>
              <w:spacing w:after="0" w:line="144" w:lineRule="exact"/>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line="144" w:lineRule="exact"/>
              <w:rPr>
                <w:sz w:val="20"/>
                <w:szCs w:val="20"/>
                <w:color w:val="auto"/>
              </w:rPr>
            </w:pPr>
            <w:r>
              <w:rPr>
                <w:rFonts w:ascii="Arial" w:cs="Arial" w:eastAsia="Arial" w:hAnsi="Arial"/>
                <w:sz w:val="15"/>
                <w:szCs w:val="15"/>
                <w:color w:val="auto"/>
              </w:rPr>
              <w:t>1,178,290</w:t>
            </w:r>
          </w:p>
        </w:tc>
        <w:tc>
          <w:tcPr>
            <w:tcW w:w="0" w:type="dxa"/>
            <w:vAlign w:val="bottom"/>
          </w:tcPr>
          <w:p>
            <w:pPr>
              <w:spacing w:after="0"/>
              <w:rPr>
                <w:sz w:val="1"/>
                <w:szCs w:val="1"/>
                <w:color w:val="auto"/>
              </w:rPr>
            </w:pPr>
          </w:p>
        </w:tc>
      </w:tr>
      <w:tr>
        <w:trPr>
          <w:trHeight w:val="183"/>
        </w:trPr>
        <w:tc>
          <w:tcPr>
            <w:tcW w:w="1540" w:type="dxa"/>
            <w:vAlign w:val="bottom"/>
            <w:tcBorders>
              <w:bottom w:val="single" w:sz="8" w:color="DBDBDB"/>
            </w:tcBorders>
            <w:shd w:val="clear" w:color="auto" w:fill="DBDBDB"/>
          </w:tcPr>
          <w:p>
            <w:pPr>
              <w:ind w:left="20"/>
              <w:spacing w:after="0" w:line="159" w:lineRule="exact"/>
              <w:rPr>
                <w:sz w:val="20"/>
                <w:szCs w:val="20"/>
                <w:color w:val="auto"/>
              </w:rPr>
            </w:pPr>
            <w:r>
              <w:rPr>
                <w:rFonts w:ascii="Arial" w:cs="Arial" w:eastAsia="Arial" w:hAnsi="Arial"/>
                <w:sz w:val="15"/>
                <w:szCs w:val="15"/>
                <w:color w:val="auto"/>
              </w:rPr>
              <w:t>September 30, 2021</w:t>
            </w:r>
          </w:p>
        </w:tc>
        <w:tc>
          <w:tcPr>
            <w:tcW w:w="76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1400" w:type="dxa"/>
            <w:vAlign w:val="bottom"/>
            <w:tcBorders>
              <w:bottom w:val="single" w:sz="8" w:color="auto"/>
            </w:tcBorders>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right="100" w:firstLine="590"/>
        <w:spacing w:after="0" w:line="246" w:lineRule="auto"/>
        <w:rPr>
          <w:sz w:val="20"/>
          <w:szCs w:val="20"/>
          <w:color w:val="auto"/>
        </w:rPr>
      </w:pPr>
      <w:r>
        <w:rPr>
          <w:rFonts w:ascii="Arial" w:cs="Arial" w:eastAsia="Arial" w:hAnsi="Arial"/>
          <w:sz w:val="15"/>
          <w:szCs w:val="15"/>
          <w:color w:val="auto"/>
        </w:rPr>
        <w:t>The Company had no goodwill impairment during the nine months ended September 30, 2021 or the year ended December 31, 2020. Changes to Mobile Mini purchase accounting are largely the result of the finalization of the assignment of goodwill to the reporting units during the measurement period.</w:t>
      </w: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1D2758"/>
        </w:rPr>
        <w:t>NOTE 8 - Intangibles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shd w:val="clear" w:color="auto" w:fill="1D2758"/>
          </w:tcPr>
          <w:p>
            <w:pPr>
              <w:spacing w:after="0"/>
              <w:rPr>
                <w:sz w:val="17"/>
                <w:szCs w:val="17"/>
                <w:color w:val="auto"/>
              </w:rPr>
            </w:pPr>
          </w:p>
        </w:tc>
        <w:tc>
          <w:tcPr>
            <w:tcW w:w="15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w w:val="98"/>
              </w:rPr>
              <w:t>September 30, 2021</w:t>
            </w:r>
          </w:p>
        </w:tc>
        <w:tc>
          <w:tcPr>
            <w:tcW w:w="1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80" w:type="dxa"/>
            <w:vAlign w:val="bottom"/>
            <w:shd w:val="clear" w:color="auto" w:fill="1D2758"/>
          </w:tcPr>
          <w:p>
            <w:pPr>
              <w:spacing w:after="0"/>
              <w:rPr>
                <w:sz w:val="12"/>
                <w:szCs w:val="12"/>
                <w:color w:val="auto"/>
              </w:rPr>
            </w:pPr>
          </w:p>
        </w:tc>
        <w:tc>
          <w:tcPr>
            <w:tcW w:w="1580" w:type="dxa"/>
            <w:vAlign w:val="bottom"/>
            <w:shd w:val="clear" w:color="auto" w:fill="1D2758"/>
          </w:tcPr>
          <w:p>
            <w:pPr>
              <w:jc w:val="center"/>
              <w:ind w:right="6"/>
              <w:spacing w:after="0" w:line="148" w:lineRule="exact"/>
              <w:rPr>
                <w:sz w:val="20"/>
                <w:szCs w:val="20"/>
                <w:color w:val="auto"/>
              </w:rPr>
            </w:pPr>
            <w:r>
              <w:rPr>
                <w:rFonts w:ascii="Arial" w:cs="Arial" w:eastAsia="Arial" w:hAnsi="Arial"/>
                <w:sz w:val="15"/>
                <w:szCs w:val="15"/>
                <w:b w:val="1"/>
                <w:bCs w:val="1"/>
                <w:color w:val="FFFFFF"/>
                <w:w w:val="98"/>
              </w:rPr>
              <w:t>Weighted average</w:t>
            </w:r>
          </w:p>
        </w:tc>
        <w:tc>
          <w:tcPr>
            <w:tcW w:w="140" w:type="dxa"/>
            <w:vAlign w:val="bottom"/>
            <w:shd w:val="clear" w:color="auto" w:fill="1D2758"/>
          </w:tcPr>
          <w:p>
            <w:pPr>
              <w:spacing w:after="0"/>
              <w:rPr>
                <w:sz w:val="12"/>
                <w:szCs w:val="12"/>
                <w:color w:val="auto"/>
              </w:rPr>
            </w:pPr>
          </w:p>
        </w:tc>
        <w:tc>
          <w:tcPr>
            <w:tcW w:w="1420" w:type="dxa"/>
            <w:vAlign w:val="bottom"/>
            <w:gridSpan w:val="2"/>
            <w:vMerge w:val="restart"/>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w w:val="99"/>
              </w:rPr>
              <w:t>Gross carrying</w:t>
            </w:r>
          </w:p>
        </w:tc>
        <w:tc>
          <w:tcPr>
            <w:tcW w:w="180" w:type="dxa"/>
            <w:vAlign w:val="bottom"/>
            <w:shd w:val="clear" w:color="auto" w:fill="1D2758"/>
          </w:tcPr>
          <w:p>
            <w:pPr>
              <w:spacing w:after="0"/>
              <w:rPr>
                <w:sz w:val="12"/>
                <w:szCs w:val="12"/>
                <w:color w:val="auto"/>
              </w:rPr>
            </w:pPr>
          </w:p>
        </w:tc>
        <w:tc>
          <w:tcPr>
            <w:tcW w:w="138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w w:val="99"/>
              </w:rPr>
              <w:t>Accumulated</w:t>
            </w:r>
          </w:p>
        </w:tc>
        <w:tc>
          <w:tcPr>
            <w:tcW w:w="140" w:type="dxa"/>
            <w:vAlign w:val="bottom"/>
            <w:shd w:val="clear" w:color="auto" w:fill="1D2758"/>
          </w:tcPr>
          <w:p>
            <w:pPr>
              <w:spacing w:after="0"/>
              <w:rPr>
                <w:sz w:val="12"/>
                <w:szCs w:val="12"/>
                <w:color w:val="auto"/>
              </w:rPr>
            </w:pPr>
          </w:p>
        </w:tc>
        <w:tc>
          <w:tcPr>
            <w:tcW w:w="132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80" w:type="dxa"/>
            <w:vAlign w:val="bottom"/>
            <w:shd w:val="clear" w:color="auto" w:fill="1D2758"/>
          </w:tcPr>
          <w:p>
            <w:pPr>
              <w:jc w:val="center"/>
              <w:ind w:right="6"/>
              <w:spacing w:after="0" w:line="148" w:lineRule="exact"/>
              <w:rPr>
                <w:sz w:val="20"/>
                <w:szCs w:val="20"/>
                <w:color w:val="auto"/>
              </w:rPr>
            </w:pPr>
            <w:r>
              <w:rPr>
                <w:rFonts w:ascii="Arial" w:cs="Arial" w:eastAsia="Arial" w:hAnsi="Arial"/>
                <w:sz w:val="15"/>
                <w:szCs w:val="15"/>
                <w:b w:val="1"/>
                <w:bCs w:val="1"/>
                <w:color w:val="FFFFFF"/>
                <w:w w:val="98"/>
              </w:rPr>
              <w:t>remaining life (in</w:t>
            </w:r>
          </w:p>
        </w:tc>
        <w:tc>
          <w:tcPr>
            <w:tcW w:w="140" w:type="dxa"/>
            <w:vAlign w:val="bottom"/>
            <w:shd w:val="clear" w:color="auto" w:fill="1D2758"/>
          </w:tcPr>
          <w:p>
            <w:pPr>
              <w:spacing w:after="0"/>
              <w:rPr>
                <w:sz w:val="12"/>
                <w:szCs w:val="12"/>
                <w:color w:val="auto"/>
              </w:rPr>
            </w:pPr>
          </w:p>
        </w:tc>
        <w:tc>
          <w:tcPr>
            <w:tcW w:w="1420" w:type="dxa"/>
            <w:vAlign w:val="bottom"/>
            <w:gridSpan w:val="2"/>
            <w:vMerge w:val="continue"/>
            <w:shd w:val="clear" w:color="auto" w:fill="1D2758"/>
          </w:tcPr>
          <w:p>
            <w:pPr>
              <w:spacing w:after="0"/>
              <w:rPr>
                <w:sz w:val="12"/>
                <w:szCs w:val="12"/>
                <w:color w:val="auto"/>
              </w:rPr>
            </w:pPr>
          </w:p>
        </w:tc>
        <w:tc>
          <w:tcPr>
            <w:tcW w:w="180" w:type="dxa"/>
            <w:vAlign w:val="bottom"/>
            <w:shd w:val="clear" w:color="auto" w:fill="1D2758"/>
          </w:tcPr>
          <w:p>
            <w:pPr>
              <w:spacing w:after="0"/>
              <w:rPr>
                <w:sz w:val="12"/>
                <w:szCs w:val="12"/>
                <w:color w:val="auto"/>
              </w:rPr>
            </w:pPr>
          </w:p>
        </w:tc>
        <w:tc>
          <w:tcPr>
            <w:tcW w:w="1380" w:type="dxa"/>
            <w:vAlign w:val="bottom"/>
            <w:gridSpan w:val="2"/>
            <w:vMerge w:val="continue"/>
            <w:shd w:val="clear" w:color="auto" w:fill="1D2758"/>
          </w:tcPr>
          <w:p>
            <w:pPr>
              <w:spacing w:after="0"/>
              <w:rPr>
                <w:sz w:val="12"/>
                <w:szCs w:val="12"/>
                <w:color w:val="auto"/>
              </w:rPr>
            </w:pPr>
          </w:p>
        </w:tc>
        <w:tc>
          <w:tcPr>
            <w:tcW w:w="140" w:type="dxa"/>
            <w:vAlign w:val="bottom"/>
            <w:shd w:val="clear" w:color="auto" w:fill="1D2758"/>
          </w:tcPr>
          <w:p>
            <w:pPr>
              <w:spacing w:after="0"/>
              <w:rPr>
                <w:sz w:val="12"/>
                <w:szCs w:val="12"/>
                <w:color w:val="auto"/>
              </w:rPr>
            </w:pPr>
          </w:p>
        </w:tc>
        <w:tc>
          <w:tcPr>
            <w:tcW w:w="1320" w:type="dxa"/>
            <w:vAlign w:val="bottom"/>
            <w:vMerge w:val="restart"/>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197"/>
        </w:trPr>
        <w:tc>
          <w:tcPr>
            <w:tcW w:w="5080" w:type="dxa"/>
            <w:vAlign w:val="bottom"/>
            <w:vMerge w:val="continue"/>
            <w:shd w:val="clear" w:color="auto" w:fill="1D2758"/>
          </w:tcPr>
          <w:p>
            <w:pPr>
              <w:spacing w:after="0"/>
              <w:rPr>
                <w:sz w:val="17"/>
                <w:szCs w:val="17"/>
                <w:color w:val="auto"/>
              </w:rPr>
            </w:pPr>
          </w:p>
        </w:tc>
        <w:tc>
          <w:tcPr>
            <w:tcW w:w="1580" w:type="dxa"/>
            <w:vAlign w:val="bottom"/>
            <w:shd w:val="clear" w:color="auto" w:fill="1D2758"/>
          </w:tcPr>
          <w:p>
            <w:pPr>
              <w:jc w:val="center"/>
              <w:ind w:right="26"/>
              <w:spacing w:after="0"/>
              <w:rPr>
                <w:sz w:val="20"/>
                <w:szCs w:val="20"/>
                <w:color w:val="auto"/>
              </w:rPr>
            </w:pPr>
            <w:r>
              <w:rPr>
                <w:rFonts w:ascii="Arial" w:cs="Arial" w:eastAsia="Arial" w:hAnsi="Arial"/>
                <w:sz w:val="15"/>
                <w:szCs w:val="15"/>
                <w:b w:val="1"/>
                <w:bCs w:val="1"/>
                <w:color w:val="FFFFFF"/>
                <w:w w:val="99"/>
              </w:rPr>
              <w:t>years)</w:t>
            </w:r>
          </w:p>
        </w:tc>
        <w:tc>
          <w:tcPr>
            <w:tcW w:w="140" w:type="dxa"/>
            <w:vAlign w:val="bottom"/>
            <w:shd w:val="clear" w:color="auto" w:fill="1D2758"/>
          </w:tcPr>
          <w:p>
            <w:pPr>
              <w:spacing w:after="0"/>
              <w:rPr>
                <w:sz w:val="17"/>
                <w:szCs w:val="17"/>
                <w:color w:val="auto"/>
              </w:rPr>
            </w:pPr>
          </w:p>
        </w:tc>
        <w:tc>
          <w:tcPr>
            <w:tcW w:w="14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w w:val="99"/>
              </w:rPr>
              <w:t>amount</w:t>
            </w:r>
          </w:p>
        </w:tc>
        <w:tc>
          <w:tcPr>
            <w:tcW w:w="180" w:type="dxa"/>
            <w:vAlign w:val="bottom"/>
            <w:shd w:val="clear" w:color="auto" w:fill="1D2758"/>
          </w:tcPr>
          <w:p>
            <w:pPr>
              <w:spacing w:after="0"/>
              <w:rPr>
                <w:sz w:val="17"/>
                <w:szCs w:val="17"/>
                <w:color w:val="auto"/>
              </w:rPr>
            </w:pPr>
          </w:p>
        </w:tc>
        <w:tc>
          <w:tcPr>
            <w:tcW w:w="138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w w:val="96"/>
              </w:rPr>
              <w:t>amortization</w:t>
            </w:r>
          </w:p>
        </w:tc>
        <w:tc>
          <w:tcPr>
            <w:tcW w:w="14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tcPr>
          <w:p>
            <w:pPr>
              <w:ind w:left="220"/>
              <w:spacing w:after="0"/>
              <w:rPr>
                <w:sz w:val="20"/>
                <w:szCs w:val="20"/>
                <w:color w:val="auto"/>
              </w:rPr>
            </w:pPr>
            <w:r>
              <w:rPr>
                <w:rFonts w:ascii="Arial" w:cs="Arial" w:eastAsia="Arial" w:hAnsi="Arial"/>
                <w:sz w:val="15"/>
                <w:szCs w:val="15"/>
                <w:color w:val="auto"/>
              </w:rPr>
              <w:t>Trade name - ModSpace</w:t>
            </w:r>
          </w:p>
        </w:tc>
        <w:tc>
          <w:tcPr>
            <w:tcW w:w="1580" w:type="dxa"/>
            <w:vAlign w:val="bottom"/>
          </w:tcPr>
          <w:p>
            <w:pPr>
              <w:jc w:val="center"/>
              <w:ind w:right="26"/>
              <w:spacing w:after="0"/>
              <w:rPr>
                <w:sz w:val="20"/>
                <w:szCs w:val="20"/>
                <w:color w:val="auto"/>
              </w:rPr>
            </w:pPr>
            <w:r>
              <w:rPr>
                <w:rFonts w:ascii="Arial" w:cs="Arial" w:eastAsia="Arial" w:hAnsi="Arial"/>
                <w:sz w:val="16"/>
                <w:szCs w:val="16"/>
                <w:color w:val="auto"/>
                <w:w w:val="99"/>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3,000</w:t>
            </w:r>
          </w:p>
        </w:tc>
        <w:tc>
          <w:tcPr>
            <w:tcW w:w="100" w:type="dxa"/>
            <w:vAlign w:val="bottom"/>
          </w:tcPr>
          <w:p>
            <w:pPr>
              <w:spacing w:after="0"/>
              <w:rPr>
                <w:sz w:val="18"/>
                <w:szCs w:val="18"/>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Mobile Mini customer relationships</w:t>
            </w:r>
          </w:p>
        </w:tc>
        <w:tc>
          <w:tcPr>
            <w:tcW w:w="1580" w:type="dxa"/>
            <w:vAlign w:val="bottom"/>
            <w:shd w:val="clear" w:color="auto" w:fill="DBDBDB"/>
          </w:tcPr>
          <w:p>
            <w:pPr>
              <w:jc w:val="center"/>
              <w:ind w:right="26"/>
              <w:spacing w:after="0"/>
              <w:rPr>
                <w:sz w:val="20"/>
                <w:szCs w:val="20"/>
                <w:color w:val="auto"/>
              </w:rPr>
            </w:pPr>
            <w:r>
              <w:rPr>
                <w:rFonts w:ascii="Arial" w:cs="Arial" w:eastAsia="Arial" w:hAnsi="Arial"/>
                <w:sz w:val="15"/>
                <w:szCs w:val="15"/>
                <w:color w:val="auto"/>
                <w:w w:val="95"/>
              </w:rPr>
              <w:t>6.8</w:t>
            </w: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209,000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(31,898)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177,102</w:t>
            </w:r>
          </w:p>
        </w:tc>
        <w:tc>
          <w:tcPr>
            <w:tcW w:w="0" w:type="dxa"/>
            <w:vAlign w:val="bottom"/>
          </w:tcPr>
          <w:p>
            <w:pPr>
              <w:spacing w:after="0"/>
              <w:rPr>
                <w:sz w:val="1"/>
                <w:szCs w:val="1"/>
                <w:color w:val="auto"/>
              </w:rPr>
            </w:pPr>
          </w:p>
        </w:tc>
      </w:tr>
      <w:tr>
        <w:trPr>
          <w:trHeight w:val="194"/>
        </w:trPr>
        <w:tc>
          <w:tcPr>
            <w:tcW w:w="5080" w:type="dxa"/>
            <w:vAlign w:val="bottom"/>
          </w:tcPr>
          <w:p>
            <w:pPr>
              <w:ind w:left="220"/>
              <w:spacing w:after="0"/>
              <w:rPr>
                <w:sz w:val="20"/>
                <w:szCs w:val="20"/>
                <w:color w:val="auto"/>
              </w:rPr>
            </w:pPr>
            <w:r>
              <w:rPr>
                <w:rFonts w:ascii="Arial" w:cs="Arial" w:eastAsia="Arial" w:hAnsi="Arial"/>
                <w:sz w:val="15"/>
                <w:szCs w:val="15"/>
                <w:color w:val="auto"/>
              </w:rPr>
              <w:t>Technology</w:t>
            </w:r>
          </w:p>
        </w:tc>
        <w:tc>
          <w:tcPr>
            <w:tcW w:w="1580" w:type="dxa"/>
            <w:vAlign w:val="bottom"/>
          </w:tcPr>
          <w:p>
            <w:pPr>
              <w:jc w:val="center"/>
              <w:ind w:right="26"/>
              <w:spacing w:after="0"/>
              <w:rPr>
                <w:sz w:val="20"/>
                <w:szCs w:val="20"/>
                <w:color w:val="auto"/>
              </w:rPr>
            </w:pPr>
            <w:r>
              <w:rPr>
                <w:rFonts w:ascii="Arial" w:cs="Arial" w:eastAsia="Arial" w:hAnsi="Arial"/>
                <w:sz w:val="15"/>
                <w:szCs w:val="15"/>
                <w:color w:val="auto"/>
                <w:w w:val="95"/>
              </w:rPr>
              <w:t>4.8</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1,187</w:t>
            </w:r>
          </w:p>
        </w:tc>
        <w:tc>
          <w:tcPr>
            <w:tcW w:w="0" w:type="dxa"/>
            <w:vAlign w:val="bottom"/>
          </w:tcPr>
          <w:p>
            <w:pPr>
              <w:spacing w:after="0"/>
              <w:rPr>
                <w:sz w:val="1"/>
                <w:szCs w:val="1"/>
                <w:color w:val="auto"/>
              </w:rPr>
            </w:pPr>
          </w:p>
        </w:tc>
      </w:tr>
      <w:tr>
        <w:trPr>
          <w:trHeight w:val="212"/>
        </w:trPr>
        <w:tc>
          <w:tcPr>
            <w:tcW w:w="5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80" w:type="dxa"/>
            <w:vAlign w:val="bottom"/>
          </w:tcPr>
          <w:p>
            <w:pPr>
              <w:ind w:left="220"/>
              <w:spacing w:after="0"/>
              <w:rPr>
                <w:sz w:val="20"/>
                <w:szCs w:val="20"/>
                <w:color w:val="auto"/>
              </w:rPr>
            </w:pPr>
            <w:r>
              <w:rPr>
                <w:rFonts w:ascii="Arial" w:cs="Arial" w:eastAsia="Arial" w:hAnsi="Arial"/>
                <w:sz w:val="15"/>
                <w:szCs w:val="15"/>
                <w:color w:val="auto"/>
              </w:rPr>
              <w:t>Trade name - Mobile Mini</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164,000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1"/>
        </w:trPr>
        <w:tc>
          <w:tcPr>
            <w:tcW w:w="5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WillScot</w:t>
            </w:r>
          </w:p>
        </w:tc>
        <w:tc>
          <w:tcPr>
            <w:tcW w:w="15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190"/>
        </w:trPr>
        <w:tc>
          <w:tcPr>
            <w:tcW w:w="5080" w:type="dxa"/>
            <w:vAlign w:val="bottom"/>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502,500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(35,211)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467,289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1D2758"/>
          </w:tcPr>
          <w:p>
            <w:pPr>
              <w:spacing w:after="0"/>
              <w:rPr>
                <w:sz w:val="17"/>
                <w:szCs w:val="17"/>
                <w:color w:val="auto"/>
              </w:rPr>
            </w:pPr>
          </w:p>
        </w:tc>
        <w:tc>
          <w:tcPr>
            <w:tcW w:w="15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w w:val="99"/>
              </w:rPr>
              <w:t>December 31, 2020</w:t>
            </w:r>
          </w:p>
        </w:tc>
        <w:tc>
          <w:tcPr>
            <w:tcW w:w="1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1D2758"/>
          </w:tcPr>
          <w:p>
            <w:pPr>
              <w:spacing w:after="0"/>
              <w:rPr>
                <w:sz w:val="12"/>
                <w:szCs w:val="12"/>
                <w:color w:val="auto"/>
              </w:rPr>
            </w:pPr>
          </w:p>
        </w:tc>
        <w:tc>
          <w:tcPr>
            <w:tcW w:w="1580" w:type="dxa"/>
            <w:vAlign w:val="bottom"/>
            <w:shd w:val="clear" w:color="auto" w:fill="1D2758"/>
          </w:tcPr>
          <w:p>
            <w:pPr>
              <w:jc w:val="center"/>
              <w:ind w:right="6"/>
              <w:spacing w:after="0" w:line="149" w:lineRule="exact"/>
              <w:rPr>
                <w:sz w:val="20"/>
                <w:szCs w:val="20"/>
                <w:color w:val="auto"/>
              </w:rPr>
            </w:pPr>
            <w:r>
              <w:rPr>
                <w:rFonts w:ascii="Arial" w:cs="Arial" w:eastAsia="Arial" w:hAnsi="Arial"/>
                <w:sz w:val="15"/>
                <w:szCs w:val="15"/>
                <w:b w:val="1"/>
                <w:bCs w:val="1"/>
                <w:color w:val="FFFFFF"/>
                <w:w w:val="98"/>
              </w:rPr>
              <w:t>Weighted average</w:t>
            </w:r>
          </w:p>
        </w:tc>
        <w:tc>
          <w:tcPr>
            <w:tcW w:w="140" w:type="dxa"/>
            <w:vAlign w:val="bottom"/>
            <w:shd w:val="clear" w:color="auto" w:fill="1D2758"/>
          </w:tcPr>
          <w:p>
            <w:pPr>
              <w:spacing w:after="0"/>
              <w:rPr>
                <w:sz w:val="12"/>
                <w:szCs w:val="12"/>
                <w:color w:val="auto"/>
              </w:rPr>
            </w:pPr>
          </w:p>
        </w:tc>
        <w:tc>
          <w:tcPr>
            <w:tcW w:w="1420" w:type="dxa"/>
            <w:vAlign w:val="bottom"/>
            <w:gridSpan w:val="2"/>
            <w:vMerge w:val="restart"/>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w w:val="99"/>
              </w:rPr>
              <w:t>Gross carrying</w:t>
            </w:r>
          </w:p>
        </w:tc>
        <w:tc>
          <w:tcPr>
            <w:tcW w:w="180" w:type="dxa"/>
            <w:vAlign w:val="bottom"/>
            <w:shd w:val="clear" w:color="auto" w:fill="1D2758"/>
          </w:tcPr>
          <w:p>
            <w:pPr>
              <w:spacing w:after="0"/>
              <w:rPr>
                <w:sz w:val="12"/>
                <w:szCs w:val="12"/>
                <w:color w:val="auto"/>
              </w:rPr>
            </w:pPr>
          </w:p>
        </w:tc>
        <w:tc>
          <w:tcPr>
            <w:tcW w:w="138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w w:val="99"/>
              </w:rPr>
              <w:t>Accumulated</w:t>
            </w:r>
          </w:p>
        </w:tc>
        <w:tc>
          <w:tcPr>
            <w:tcW w:w="140" w:type="dxa"/>
            <w:vAlign w:val="bottom"/>
            <w:shd w:val="clear" w:color="auto" w:fill="1D2758"/>
          </w:tcPr>
          <w:p>
            <w:pPr>
              <w:spacing w:after="0"/>
              <w:rPr>
                <w:sz w:val="12"/>
                <w:szCs w:val="12"/>
                <w:color w:val="auto"/>
              </w:rPr>
            </w:pPr>
          </w:p>
        </w:tc>
        <w:tc>
          <w:tcPr>
            <w:tcW w:w="132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80" w:type="dxa"/>
            <w:vAlign w:val="bottom"/>
            <w:shd w:val="clear" w:color="auto" w:fill="1D2758"/>
          </w:tcPr>
          <w:p>
            <w:pPr>
              <w:jc w:val="center"/>
              <w:ind w:right="6"/>
              <w:spacing w:after="0" w:line="148" w:lineRule="exact"/>
              <w:rPr>
                <w:sz w:val="20"/>
                <w:szCs w:val="20"/>
                <w:color w:val="auto"/>
              </w:rPr>
            </w:pPr>
            <w:r>
              <w:rPr>
                <w:rFonts w:ascii="Arial" w:cs="Arial" w:eastAsia="Arial" w:hAnsi="Arial"/>
                <w:sz w:val="15"/>
                <w:szCs w:val="15"/>
                <w:b w:val="1"/>
                <w:bCs w:val="1"/>
                <w:color w:val="FFFFFF"/>
                <w:w w:val="98"/>
              </w:rPr>
              <w:t>remaining life (in</w:t>
            </w:r>
          </w:p>
        </w:tc>
        <w:tc>
          <w:tcPr>
            <w:tcW w:w="140" w:type="dxa"/>
            <w:vAlign w:val="bottom"/>
            <w:shd w:val="clear" w:color="auto" w:fill="1D2758"/>
          </w:tcPr>
          <w:p>
            <w:pPr>
              <w:spacing w:after="0"/>
              <w:rPr>
                <w:sz w:val="12"/>
                <w:szCs w:val="12"/>
                <w:color w:val="auto"/>
              </w:rPr>
            </w:pPr>
          </w:p>
        </w:tc>
        <w:tc>
          <w:tcPr>
            <w:tcW w:w="1420" w:type="dxa"/>
            <w:vAlign w:val="bottom"/>
            <w:gridSpan w:val="2"/>
            <w:vMerge w:val="continue"/>
            <w:shd w:val="clear" w:color="auto" w:fill="1D2758"/>
          </w:tcPr>
          <w:p>
            <w:pPr>
              <w:spacing w:after="0"/>
              <w:rPr>
                <w:sz w:val="12"/>
                <w:szCs w:val="12"/>
                <w:color w:val="auto"/>
              </w:rPr>
            </w:pPr>
          </w:p>
        </w:tc>
        <w:tc>
          <w:tcPr>
            <w:tcW w:w="180" w:type="dxa"/>
            <w:vAlign w:val="bottom"/>
            <w:shd w:val="clear" w:color="auto" w:fill="1D2758"/>
          </w:tcPr>
          <w:p>
            <w:pPr>
              <w:spacing w:after="0"/>
              <w:rPr>
                <w:sz w:val="12"/>
                <w:szCs w:val="12"/>
                <w:color w:val="auto"/>
              </w:rPr>
            </w:pPr>
          </w:p>
        </w:tc>
        <w:tc>
          <w:tcPr>
            <w:tcW w:w="1380" w:type="dxa"/>
            <w:vAlign w:val="bottom"/>
            <w:gridSpan w:val="2"/>
            <w:vMerge w:val="continue"/>
            <w:shd w:val="clear" w:color="auto" w:fill="1D2758"/>
          </w:tcPr>
          <w:p>
            <w:pPr>
              <w:spacing w:after="0"/>
              <w:rPr>
                <w:sz w:val="12"/>
                <w:szCs w:val="12"/>
                <w:color w:val="auto"/>
              </w:rPr>
            </w:pPr>
          </w:p>
        </w:tc>
        <w:tc>
          <w:tcPr>
            <w:tcW w:w="140" w:type="dxa"/>
            <w:vAlign w:val="bottom"/>
            <w:shd w:val="clear" w:color="auto" w:fill="1D2758"/>
          </w:tcPr>
          <w:p>
            <w:pPr>
              <w:spacing w:after="0"/>
              <w:rPr>
                <w:sz w:val="12"/>
                <w:szCs w:val="12"/>
                <w:color w:val="auto"/>
              </w:rPr>
            </w:pPr>
          </w:p>
        </w:tc>
        <w:tc>
          <w:tcPr>
            <w:tcW w:w="1320" w:type="dxa"/>
            <w:vAlign w:val="bottom"/>
            <w:vMerge w:val="restart"/>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197"/>
        </w:trPr>
        <w:tc>
          <w:tcPr>
            <w:tcW w:w="5080" w:type="dxa"/>
            <w:vAlign w:val="bottom"/>
            <w:vMerge w:val="continue"/>
            <w:shd w:val="clear" w:color="auto" w:fill="1D2758"/>
          </w:tcPr>
          <w:p>
            <w:pPr>
              <w:spacing w:after="0"/>
              <w:rPr>
                <w:sz w:val="17"/>
                <w:szCs w:val="17"/>
                <w:color w:val="auto"/>
              </w:rPr>
            </w:pPr>
          </w:p>
        </w:tc>
        <w:tc>
          <w:tcPr>
            <w:tcW w:w="1580" w:type="dxa"/>
            <w:vAlign w:val="bottom"/>
            <w:shd w:val="clear" w:color="auto" w:fill="1D2758"/>
          </w:tcPr>
          <w:p>
            <w:pPr>
              <w:jc w:val="center"/>
              <w:ind w:right="26"/>
              <w:spacing w:after="0"/>
              <w:rPr>
                <w:sz w:val="20"/>
                <w:szCs w:val="20"/>
                <w:color w:val="auto"/>
              </w:rPr>
            </w:pPr>
            <w:r>
              <w:rPr>
                <w:rFonts w:ascii="Arial" w:cs="Arial" w:eastAsia="Arial" w:hAnsi="Arial"/>
                <w:sz w:val="15"/>
                <w:szCs w:val="15"/>
                <w:b w:val="1"/>
                <w:bCs w:val="1"/>
                <w:color w:val="FFFFFF"/>
                <w:w w:val="99"/>
              </w:rPr>
              <w:t>years)</w:t>
            </w:r>
          </w:p>
        </w:tc>
        <w:tc>
          <w:tcPr>
            <w:tcW w:w="140" w:type="dxa"/>
            <w:vAlign w:val="bottom"/>
            <w:shd w:val="clear" w:color="auto" w:fill="1D2758"/>
          </w:tcPr>
          <w:p>
            <w:pPr>
              <w:spacing w:after="0"/>
              <w:rPr>
                <w:sz w:val="17"/>
                <w:szCs w:val="17"/>
                <w:color w:val="auto"/>
              </w:rPr>
            </w:pPr>
          </w:p>
        </w:tc>
        <w:tc>
          <w:tcPr>
            <w:tcW w:w="14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w w:val="99"/>
              </w:rPr>
              <w:t>amount</w:t>
            </w:r>
          </w:p>
        </w:tc>
        <w:tc>
          <w:tcPr>
            <w:tcW w:w="180" w:type="dxa"/>
            <w:vAlign w:val="bottom"/>
            <w:shd w:val="clear" w:color="auto" w:fill="1D2758"/>
          </w:tcPr>
          <w:p>
            <w:pPr>
              <w:spacing w:after="0"/>
              <w:rPr>
                <w:sz w:val="17"/>
                <w:szCs w:val="17"/>
                <w:color w:val="auto"/>
              </w:rPr>
            </w:pPr>
          </w:p>
        </w:tc>
        <w:tc>
          <w:tcPr>
            <w:tcW w:w="138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w w:val="96"/>
              </w:rPr>
              <w:t>amortization</w:t>
            </w:r>
          </w:p>
        </w:tc>
        <w:tc>
          <w:tcPr>
            <w:tcW w:w="14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80" w:type="dxa"/>
            <w:vAlign w:val="bottom"/>
          </w:tcPr>
          <w:p>
            <w:pPr>
              <w:ind w:left="220"/>
              <w:spacing w:after="0"/>
              <w:rPr>
                <w:sz w:val="20"/>
                <w:szCs w:val="20"/>
                <w:color w:val="auto"/>
              </w:rPr>
            </w:pPr>
            <w:r>
              <w:rPr>
                <w:rFonts w:ascii="Arial" w:cs="Arial" w:eastAsia="Arial" w:hAnsi="Arial"/>
                <w:sz w:val="15"/>
                <w:szCs w:val="15"/>
                <w:color w:val="auto"/>
              </w:rPr>
              <w:t>Trade name - ModSpace</w:t>
            </w:r>
          </w:p>
        </w:tc>
        <w:tc>
          <w:tcPr>
            <w:tcW w:w="1580" w:type="dxa"/>
            <w:vAlign w:val="bottom"/>
          </w:tcPr>
          <w:p>
            <w:pPr>
              <w:jc w:val="center"/>
              <w:ind w:right="26"/>
              <w:spacing w:after="0"/>
              <w:rPr>
                <w:sz w:val="20"/>
                <w:szCs w:val="20"/>
                <w:color w:val="auto"/>
              </w:rPr>
            </w:pPr>
            <w:r>
              <w:rPr>
                <w:rFonts w:ascii="Arial" w:cs="Arial" w:eastAsia="Arial" w:hAnsi="Arial"/>
                <w:sz w:val="15"/>
                <w:szCs w:val="15"/>
                <w:color w:val="auto"/>
                <w:w w:val="95"/>
              </w:rPr>
              <w:t>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3,000</w:t>
            </w:r>
          </w:p>
        </w:tc>
        <w:tc>
          <w:tcPr>
            <w:tcW w:w="10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(2,375)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r>
        <w:trPr>
          <w:trHeight w:val="212"/>
        </w:trPr>
        <w:tc>
          <w:tcPr>
            <w:tcW w:w="5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Mobile Mini customer relationships</w:t>
            </w:r>
          </w:p>
        </w:tc>
        <w:tc>
          <w:tcPr>
            <w:tcW w:w="1580" w:type="dxa"/>
            <w:vAlign w:val="bottom"/>
            <w:shd w:val="clear" w:color="auto" w:fill="DBDBDB"/>
          </w:tcPr>
          <w:p>
            <w:pPr>
              <w:jc w:val="center"/>
              <w:ind w:right="26"/>
              <w:spacing w:after="0"/>
              <w:rPr>
                <w:sz w:val="20"/>
                <w:szCs w:val="20"/>
                <w:color w:val="auto"/>
              </w:rPr>
            </w:pPr>
            <w:r>
              <w:rPr>
                <w:rFonts w:ascii="Arial" w:cs="Arial" w:eastAsia="Arial" w:hAnsi="Arial"/>
                <w:sz w:val="15"/>
                <w:szCs w:val="15"/>
                <w:color w:val="auto"/>
                <w:w w:val="95"/>
              </w:rPr>
              <w:t>8.0</w:t>
            </w: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217,000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(12,053)</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204,947</w:t>
            </w:r>
          </w:p>
        </w:tc>
        <w:tc>
          <w:tcPr>
            <w:tcW w:w="0" w:type="dxa"/>
            <w:vAlign w:val="bottom"/>
          </w:tcPr>
          <w:p>
            <w:pPr>
              <w:spacing w:after="0"/>
              <w:rPr>
                <w:sz w:val="1"/>
                <w:szCs w:val="1"/>
                <w:color w:val="auto"/>
              </w:rPr>
            </w:pPr>
          </w:p>
        </w:tc>
      </w:tr>
      <w:tr>
        <w:trPr>
          <w:trHeight w:val="194"/>
        </w:trPr>
        <w:tc>
          <w:tcPr>
            <w:tcW w:w="5080" w:type="dxa"/>
            <w:vAlign w:val="bottom"/>
          </w:tcPr>
          <w:p>
            <w:pPr>
              <w:ind w:left="220"/>
              <w:spacing w:after="0"/>
              <w:rPr>
                <w:sz w:val="20"/>
                <w:szCs w:val="20"/>
                <w:color w:val="auto"/>
              </w:rPr>
            </w:pPr>
            <w:r>
              <w:rPr>
                <w:rFonts w:ascii="Arial" w:cs="Arial" w:eastAsia="Arial" w:hAnsi="Arial"/>
                <w:sz w:val="15"/>
                <w:szCs w:val="15"/>
                <w:color w:val="auto"/>
              </w:rPr>
              <w:t>Technology</w:t>
            </w:r>
          </w:p>
        </w:tc>
        <w:tc>
          <w:tcPr>
            <w:tcW w:w="1580" w:type="dxa"/>
            <w:vAlign w:val="bottom"/>
          </w:tcPr>
          <w:p>
            <w:pPr>
              <w:jc w:val="center"/>
              <w:ind w:right="26"/>
              <w:spacing w:after="0"/>
              <w:rPr>
                <w:sz w:val="20"/>
                <w:szCs w:val="20"/>
                <w:color w:val="auto"/>
              </w:rPr>
            </w:pPr>
            <w:r>
              <w:rPr>
                <w:rFonts w:ascii="Arial" w:cs="Arial" w:eastAsia="Arial" w:hAnsi="Arial"/>
                <w:sz w:val="15"/>
                <w:szCs w:val="15"/>
                <w:color w:val="auto"/>
                <w:w w:val="95"/>
              </w:rPr>
              <w:t>5.5</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1,375</w:t>
            </w:r>
          </w:p>
        </w:tc>
        <w:tc>
          <w:tcPr>
            <w:tcW w:w="0" w:type="dxa"/>
            <w:vAlign w:val="bottom"/>
          </w:tcPr>
          <w:p>
            <w:pPr>
              <w:spacing w:after="0"/>
              <w:rPr>
                <w:sz w:val="1"/>
                <w:szCs w:val="1"/>
                <w:color w:val="auto"/>
              </w:rPr>
            </w:pPr>
          </w:p>
        </w:tc>
      </w:tr>
      <w:tr>
        <w:trPr>
          <w:trHeight w:val="212"/>
        </w:trPr>
        <w:tc>
          <w:tcPr>
            <w:tcW w:w="5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80" w:type="dxa"/>
            <w:vAlign w:val="bottom"/>
          </w:tcPr>
          <w:p>
            <w:pPr>
              <w:ind w:left="220"/>
              <w:spacing w:after="0"/>
              <w:rPr>
                <w:sz w:val="20"/>
                <w:szCs w:val="20"/>
                <w:color w:val="auto"/>
              </w:rPr>
            </w:pPr>
            <w:r>
              <w:rPr>
                <w:rFonts w:ascii="Arial" w:cs="Arial" w:eastAsia="Arial" w:hAnsi="Arial"/>
                <w:sz w:val="15"/>
                <w:szCs w:val="15"/>
                <w:color w:val="auto"/>
              </w:rPr>
              <w:t>Trade name - Mobile Mini</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164,000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1"/>
        </w:trPr>
        <w:tc>
          <w:tcPr>
            <w:tcW w:w="5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WillScot</w:t>
            </w:r>
          </w:p>
        </w:tc>
        <w:tc>
          <w:tcPr>
            <w:tcW w:w="15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190"/>
        </w:trPr>
        <w:tc>
          <w:tcPr>
            <w:tcW w:w="5080" w:type="dxa"/>
            <w:vAlign w:val="bottom"/>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510,500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(14,553)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495,947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100" w:firstLine="590"/>
        <w:spacing w:after="0" w:line="246" w:lineRule="auto"/>
        <w:rPr>
          <w:sz w:val="20"/>
          <w:szCs w:val="20"/>
          <w:color w:val="auto"/>
        </w:rPr>
      </w:pPr>
      <w:r>
        <w:rPr>
          <w:rFonts w:ascii="Arial" w:cs="Arial" w:eastAsia="Arial" w:hAnsi="Arial"/>
          <w:sz w:val="15"/>
          <w:szCs w:val="15"/>
          <w:color w:val="auto"/>
        </w:rPr>
        <w:t>Amortization expense related to intangible assets was $6.8 million and $5.4 million for the three months ended September 30, 2021 and 2020, respectively, and $20.6 million and $5.9 million for the nine months ended September 30, 2021 and 2020, respectively.</w:t>
      </w:r>
    </w:p>
    <w:p>
      <w:pPr>
        <w:spacing w:after="0" w:line="40" w:lineRule="exact"/>
        <w:rPr>
          <w:sz w:val="20"/>
          <w:szCs w:val="20"/>
          <w:color w:val="auto"/>
        </w:rPr>
      </w:pPr>
    </w:p>
    <w:p>
      <w:pPr>
        <w:jc w:val="both"/>
        <w:ind w:right="100" w:firstLine="590"/>
        <w:spacing w:after="0" w:line="246" w:lineRule="auto"/>
        <w:rPr>
          <w:sz w:val="20"/>
          <w:szCs w:val="20"/>
          <w:color w:val="auto"/>
        </w:rPr>
      </w:pPr>
      <w:r>
        <w:rPr>
          <w:rFonts w:ascii="Arial" w:cs="Arial" w:eastAsia="Arial" w:hAnsi="Arial"/>
          <w:sz w:val="15"/>
          <w:szCs w:val="15"/>
          <w:color w:val="auto"/>
        </w:rPr>
        <w:t>As discussed in Note 2, the Company acquired Mobile Mini on July 1, 2020. The Company recorded $164.0 million to indefinite-lived intangible assets related to the Mobile Mini trade name and $210.5 million of intangibles subject to amortization related to Mobile Mini customer relationships and technology.</w:t>
      </w:r>
    </w:p>
    <w:p>
      <w:pPr>
        <w:sectPr>
          <w:pgSz w:w="11900" w:h="16838" w:orient="portrait"/>
          <w:cols w:equalWidth="0" w:num="1">
            <w:col w:w="11340"/>
          </w:cols>
          <w:pgMar w:left="320" w:top="10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53340</wp:posOffset>
            </wp:positionV>
            <wp:extent cx="71697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320" w:top="1029" w:right="239" w:bottom="1440" w:gutter="0" w:footer="0" w:header="0"/>
          <w:type w:val="continuous"/>
        </w:sectPr>
      </w:pPr>
    </w:p>
    <w:bookmarkStart w:id="17" w:name="page18"/>
    <w:bookmarkEnd w:id="17"/>
    <w:p>
      <w:pPr>
        <w:jc w:val="center"/>
        <w:ind w:right="-41"/>
        <w:spacing w:after="0"/>
        <w:rPr>
          <w:sz w:val="20"/>
          <w:szCs w:val="20"/>
          <w:color w:val="auto"/>
        </w:rPr>
      </w:pPr>
      <w:r>
        <w:rPr>
          <w:rFonts w:ascii="Arial" w:cs="Arial" w:eastAsia="Arial" w:hAnsi="Arial"/>
          <w:sz w:val="15"/>
          <w:szCs w:val="15"/>
          <w:color w:val="auto"/>
        </w:rPr>
        <w:t>Based on the carrying value at September 30, 2021, future amortization of intangible assets is expected to be as follows for the years ended December 31:</w:t>
      </w:r>
    </w:p>
    <w:p>
      <w:pPr>
        <w:spacing w:after="0" w:line="72"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8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shd w:val="clear" w:color="auto" w:fill="1D2758"/>
          </w:tcPr>
          <w:p>
            <w:pPr>
              <w:spacing w:after="0"/>
              <w:rPr>
                <w:sz w:val="17"/>
                <w:szCs w:val="17"/>
                <w:color w:val="auto"/>
              </w:rPr>
            </w:pPr>
          </w:p>
        </w:tc>
        <w:tc>
          <w:tcPr>
            <w:tcW w:w="1480" w:type="dxa"/>
            <w:vAlign w:val="bottom"/>
            <w:shd w:val="clear" w:color="auto" w:fill="1D2758"/>
          </w:tcPr>
          <w:p>
            <w:pPr>
              <w:spacing w:after="0"/>
              <w:rPr>
                <w:sz w:val="17"/>
                <w:szCs w:val="17"/>
                <w:color w:val="auto"/>
              </w:rPr>
            </w:pPr>
          </w:p>
        </w:tc>
      </w:tr>
      <w:tr>
        <w:trPr>
          <w:trHeight w:val="194"/>
        </w:trPr>
        <w:tc>
          <w:tcPr>
            <w:tcW w:w="8780" w:type="dxa"/>
            <w:vAlign w:val="bottom"/>
          </w:tcPr>
          <w:p>
            <w:pPr>
              <w:ind w:left="20"/>
              <w:spacing w:after="0"/>
              <w:rPr>
                <w:sz w:val="20"/>
                <w:szCs w:val="20"/>
                <w:color w:val="auto"/>
              </w:rPr>
            </w:pPr>
            <w:r>
              <w:rPr>
                <w:rFonts w:ascii="Arial" w:cs="Arial" w:eastAsia="Arial" w:hAnsi="Arial"/>
                <w:sz w:val="15"/>
                <w:szCs w:val="15"/>
                <w:color w:val="auto"/>
              </w:rPr>
              <w:t>2021 (remaining)</w:t>
            </w:r>
          </w:p>
        </w:tc>
        <w:tc>
          <w:tcPr>
            <w:tcW w:w="980" w:type="dxa"/>
            <w:vAlign w:val="bottom"/>
          </w:tcPr>
          <w:p>
            <w:pPr>
              <w:jc w:val="right"/>
              <w:ind w:right="806"/>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6,604</w:t>
            </w:r>
          </w:p>
        </w:tc>
      </w:tr>
      <w:tr>
        <w:trPr>
          <w:trHeight w:val="199"/>
        </w:trPr>
        <w:tc>
          <w:tcPr>
            <w:tcW w:w="8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2022</w:t>
            </w:r>
          </w:p>
        </w:tc>
        <w:tc>
          <w:tcPr>
            <w:tcW w:w="98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26,416</w:t>
            </w:r>
          </w:p>
        </w:tc>
      </w:tr>
      <w:tr>
        <w:trPr>
          <w:trHeight w:val="194"/>
        </w:trPr>
        <w:tc>
          <w:tcPr>
            <w:tcW w:w="8780" w:type="dxa"/>
            <w:vAlign w:val="bottom"/>
          </w:tcPr>
          <w:p>
            <w:pPr>
              <w:ind w:left="20"/>
              <w:spacing w:after="0"/>
              <w:rPr>
                <w:sz w:val="20"/>
                <w:szCs w:val="20"/>
                <w:color w:val="auto"/>
              </w:rPr>
            </w:pPr>
            <w:r>
              <w:rPr>
                <w:rFonts w:ascii="Arial" w:cs="Arial" w:eastAsia="Arial" w:hAnsi="Arial"/>
                <w:sz w:val="15"/>
                <w:szCs w:val="15"/>
                <w:color w:val="auto"/>
              </w:rPr>
              <w:t>2023</w:t>
            </w:r>
          </w:p>
        </w:tc>
        <w:tc>
          <w:tcPr>
            <w:tcW w:w="9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26,416</w:t>
            </w:r>
          </w:p>
        </w:tc>
      </w:tr>
      <w:tr>
        <w:trPr>
          <w:trHeight w:val="199"/>
        </w:trPr>
        <w:tc>
          <w:tcPr>
            <w:tcW w:w="8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2024</w:t>
            </w:r>
          </w:p>
        </w:tc>
        <w:tc>
          <w:tcPr>
            <w:tcW w:w="98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26,416</w:t>
            </w:r>
          </w:p>
        </w:tc>
      </w:tr>
      <w:tr>
        <w:trPr>
          <w:trHeight w:val="194"/>
        </w:trPr>
        <w:tc>
          <w:tcPr>
            <w:tcW w:w="8780" w:type="dxa"/>
            <w:vAlign w:val="bottom"/>
          </w:tcPr>
          <w:p>
            <w:pPr>
              <w:ind w:left="20"/>
              <w:spacing w:after="0"/>
              <w:rPr>
                <w:sz w:val="20"/>
                <w:szCs w:val="20"/>
                <w:color w:val="auto"/>
              </w:rPr>
            </w:pPr>
            <w:r>
              <w:rPr>
                <w:rFonts w:ascii="Arial" w:cs="Arial" w:eastAsia="Arial" w:hAnsi="Arial"/>
                <w:sz w:val="15"/>
                <w:szCs w:val="15"/>
                <w:color w:val="auto"/>
              </w:rPr>
              <w:t>2025</w:t>
            </w:r>
          </w:p>
        </w:tc>
        <w:tc>
          <w:tcPr>
            <w:tcW w:w="9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26,416</w:t>
            </w:r>
          </w:p>
        </w:tc>
      </w:tr>
      <w:tr>
        <w:trPr>
          <w:trHeight w:val="197"/>
        </w:trPr>
        <w:tc>
          <w:tcPr>
            <w:tcW w:w="8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Thereafter</w:t>
            </w:r>
          </w:p>
        </w:tc>
        <w:tc>
          <w:tcPr>
            <w:tcW w:w="98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66,021</w:t>
            </w:r>
          </w:p>
        </w:tc>
      </w:tr>
      <w:tr>
        <w:trPr>
          <w:trHeight w:val="192"/>
        </w:trPr>
        <w:tc>
          <w:tcPr>
            <w:tcW w:w="8780" w:type="dxa"/>
            <w:vAlign w:val="bottom"/>
          </w:tcPr>
          <w:p>
            <w:pPr>
              <w:ind w:left="120"/>
              <w:spacing w:after="0"/>
              <w:rPr>
                <w:sz w:val="20"/>
                <w:szCs w:val="20"/>
                <w:color w:val="auto"/>
              </w:rPr>
            </w:pPr>
            <w:r>
              <w:rPr>
                <w:rFonts w:ascii="Arial" w:cs="Arial" w:eastAsia="Arial" w:hAnsi="Arial"/>
                <w:sz w:val="15"/>
                <w:szCs w:val="15"/>
                <w:color w:val="auto"/>
              </w:rPr>
              <w:t>Total</w:t>
            </w: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178,289</w:t>
            </w:r>
          </w:p>
        </w:tc>
      </w:tr>
      <w:tr>
        <w:trPr>
          <w:trHeight w:val="20"/>
        </w:trPr>
        <w:tc>
          <w:tcPr>
            <w:tcW w:w="8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2"/>
        <w:spacing w:after="0"/>
        <w:rPr>
          <w:sz w:val="20"/>
          <w:szCs w:val="20"/>
          <w:color w:val="auto"/>
        </w:rPr>
      </w:pPr>
      <w:r>
        <w:rPr>
          <w:rFonts w:ascii="Arial" w:cs="Arial" w:eastAsia="Arial" w:hAnsi="Arial"/>
          <w:sz w:val="21"/>
          <w:szCs w:val="21"/>
          <w:color w:val="1D2758"/>
        </w:rPr>
        <w:t>NOTE 9 - Debt</w:t>
      </w:r>
    </w:p>
    <w:p>
      <w:pPr>
        <w:spacing w:after="0" w:line="101" w:lineRule="exact"/>
        <w:rPr>
          <w:sz w:val="20"/>
          <w:szCs w:val="20"/>
          <w:color w:val="auto"/>
        </w:rPr>
      </w:pPr>
    </w:p>
    <w:tbl>
      <w:tblPr>
        <w:tblLayout w:type="fixed"/>
        <w:tblInd w:w="2" w:type="dxa"/>
        <w:tblCellMar>
          <w:top w:w="0" w:type="dxa"/>
          <w:left w:w="0" w:type="dxa"/>
          <w:bottom w:w="0" w:type="dxa"/>
          <w:right w:w="0" w:type="dxa"/>
        </w:tblCellMar>
      </w:tblPr>
      <w:tr>
        <w:trPr>
          <w:trHeight w:val="178"/>
        </w:trPr>
        <w:tc>
          <w:tcPr>
            <w:tcW w:w="7760" w:type="dxa"/>
            <w:vAlign w:val="bottom"/>
            <w:gridSpan w:val="3"/>
          </w:tcPr>
          <w:p>
            <w:pPr>
              <w:ind w:left="58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16"/>
        </w:trPr>
        <w:tc>
          <w:tcPr>
            <w:tcW w:w="35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97"/>
        </w:trPr>
        <w:tc>
          <w:tcPr>
            <w:tcW w:w="3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2300" w:type="dxa"/>
            <w:vAlign w:val="bottom"/>
            <w:shd w:val="clear" w:color="auto" w:fill="1D2758"/>
          </w:tcPr>
          <w:p>
            <w:pPr>
              <w:jc w:val="center"/>
              <w:ind w:left="606"/>
              <w:spacing w:after="0"/>
              <w:rPr>
                <w:sz w:val="20"/>
                <w:szCs w:val="20"/>
                <w:color w:val="auto"/>
              </w:rPr>
            </w:pPr>
            <w:r>
              <w:rPr>
                <w:rFonts w:ascii="Arial" w:cs="Arial" w:eastAsia="Arial" w:hAnsi="Arial"/>
                <w:sz w:val="15"/>
                <w:szCs w:val="15"/>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w w:val="98"/>
              </w:rPr>
              <w:t>Year of maturity</w:t>
            </w:r>
          </w:p>
        </w:tc>
        <w:tc>
          <w:tcPr>
            <w:tcW w:w="140" w:type="dxa"/>
            <w:vAlign w:val="bottom"/>
            <w:shd w:val="clear" w:color="auto" w:fill="1D2758"/>
          </w:tcPr>
          <w:p>
            <w:pPr>
              <w:spacing w:after="0"/>
              <w:rPr>
                <w:sz w:val="17"/>
                <w:szCs w:val="17"/>
                <w:color w:val="auto"/>
              </w:rPr>
            </w:pPr>
          </w:p>
        </w:tc>
        <w:tc>
          <w:tcPr>
            <w:tcW w:w="166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September 30, 2021</w:t>
            </w:r>
          </w:p>
        </w:tc>
        <w:tc>
          <w:tcPr>
            <w:tcW w:w="14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106"/>
              <w:spacing w:after="0"/>
              <w:rPr>
                <w:sz w:val="20"/>
                <w:szCs w:val="20"/>
                <w:color w:val="auto"/>
              </w:rPr>
            </w:pPr>
            <w:r>
              <w:rPr>
                <w:rFonts w:ascii="Arial" w:cs="Arial" w:eastAsia="Arial" w:hAnsi="Arial"/>
                <w:sz w:val="15"/>
                <w:szCs w:val="15"/>
                <w:b w:val="1"/>
                <w:bCs w:val="1"/>
                <w:color w:val="FFFFFF"/>
                <w:w w:val="99"/>
              </w:rPr>
              <w:t>December 31, 2020</w:t>
            </w:r>
          </w:p>
        </w:tc>
      </w:tr>
      <w:tr>
        <w:trPr>
          <w:trHeight w:val="197"/>
        </w:trPr>
        <w:tc>
          <w:tcPr>
            <w:tcW w:w="3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300" w:type="dxa"/>
            <w:vAlign w:val="bottom"/>
            <w:shd w:val="clear" w:color="auto" w:fill="DBDBDB"/>
          </w:tcPr>
          <w:p>
            <w:pPr>
              <w:jc w:val="center"/>
              <w:ind w:left="606"/>
              <w:spacing w:after="0"/>
              <w:rPr>
                <w:sz w:val="20"/>
                <w:szCs w:val="20"/>
                <w:color w:val="auto"/>
              </w:rPr>
            </w:pPr>
            <w:r>
              <w:rPr>
                <w:rFonts w:ascii="Arial" w:cs="Arial" w:eastAsia="Arial" w:hAnsi="Arial"/>
                <w:sz w:val="15"/>
                <w:szCs w:val="15"/>
                <w:color w:val="auto"/>
                <w:w w:val="98"/>
              </w:rPr>
              <w:t>6.125%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2025</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517,581</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637,068</w:t>
            </w:r>
          </w:p>
        </w:tc>
      </w:tr>
      <w:tr>
        <w:trPr>
          <w:trHeight w:val="197"/>
        </w:trPr>
        <w:tc>
          <w:tcPr>
            <w:tcW w:w="3580" w:type="dxa"/>
            <w:vAlign w:val="bottom"/>
          </w:tcPr>
          <w:p>
            <w:pPr>
              <w:ind w:left="20"/>
              <w:spacing w:after="0" w:line="197" w:lineRule="exact"/>
              <w:rPr>
                <w:sz w:val="20"/>
                <w:szCs w:val="20"/>
                <w:color w:val="auto"/>
              </w:rPr>
            </w:pPr>
            <w:r>
              <w:rPr>
                <w:rFonts w:ascii="Arial" w:cs="Arial" w:eastAsia="Arial" w:hAnsi="Arial"/>
                <w:sz w:val="15"/>
                <w:szCs w:val="15"/>
                <w:color w:val="auto"/>
              </w:rPr>
              <w:t>ABL Facility</w:t>
            </w:r>
            <w:r>
              <w:rPr>
                <w:rFonts w:ascii="Arial" w:cs="Arial" w:eastAsia="Arial" w:hAnsi="Arial"/>
                <w:sz w:val="19"/>
                <w:szCs w:val="19"/>
                <w:color w:val="auto"/>
                <w:vertAlign w:val="superscript"/>
              </w:rPr>
              <w:t>(a)</w:t>
            </w:r>
          </w:p>
        </w:tc>
        <w:tc>
          <w:tcPr>
            <w:tcW w:w="2300" w:type="dxa"/>
            <w:vAlign w:val="bottom"/>
          </w:tcPr>
          <w:p>
            <w:pPr>
              <w:jc w:val="center"/>
              <w:ind w:left="606"/>
              <w:spacing w:after="0"/>
              <w:rPr>
                <w:sz w:val="20"/>
                <w:szCs w:val="20"/>
                <w:color w:val="auto"/>
              </w:rPr>
            </w:pPr>
            <w:r>
              <w:rPr>
                <w:rFonts w:ascii="Arial" w:cs="Arial" w:eastAsia="Arial" w:hAnsi="Arial"/>
                <w:sz w:val="15"/>
                <w:szCs w:val="15"/>
                <w:color w:val="auto"/>
                <w:w w:val="98"/>
              </w:rPr>
              <w:t>Varies</w:t>
            </w:r>
          </w:p>
        </w:tc>
        <w:tc>
          <w:tcPr>
            <w:tcW w:w="1880" w:type="dxa"/>
            <w:vAlign w:val="bottom"/>
          </w:tcPr>
          <w:p>
            <w:pPr>
              <w:jc w:val="center"/>
              <w:spacing w:after="0"/>
              <w:rPr>
                <w:sz w:val="20"/>
                <w:szCs w:val="20"/>
                <w:color w:val="auto"/>
              </w:rPr>
            </w:pPr>
            <w:r>
              <w:rPr>
                <w:rFonts w:ascii="Arial" w:cs="Arial" w:eastAsia="Arial" w:hAnsi="Arial"/>
                <w:sz w:val="15"/>
                <w:szCs w:val="15"/>
                <w:color w:val="auto"/>
                <w:w w:val="95"/>
              </w:rPr>
              <w:t>2025</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1,521,518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1,263,833</w:t>
            </w:r>
          </w:p>
        </w:tc>
      </w:tr>
      <w:tr>
        <w:trPr>
          <w:trHeight w:val="197"/>
        </w:trPr>
        <w:tc>
          <w:tcPr>
            <w:tcW w:w="3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2300" w:type="dxa"/>
            <w:vAlign w:val="bottom"/>
            <w:shd w:val="clear" w:color="auto" w:fill="DBDBDB"/>
          </w:tcPr>
          <w:p>
            <w:pPr>
              <w:jc w:val="center"/>
              <w:ind w:left="606"/>
              <w:spacing w:after="0"/>
              <w:rPr>
                <w:sz w:val="20"/>
                <w:szCs w:val="20"/>
                <w:color w:val="auto"/>
              </w:rPr>
            </w:pPr>
            <w:r>
              <w:rPr>
                <w:rFonts w:ascii="Arial" w:cs="Arial" w:eastAsia="Arial" w:hAnsi="Arial"/>
                <w:sz w:val="15"/>
                <w:szCs w:val="15"/>
                <w:color w:val="auto"/>
                <w:w w:val="98"/>
              </w:rPr>
              <w:t>4.625%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2028</w:t>
            </w: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492,253</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491,555</w:t>
            </w:r>
          </w:p>
        </w:tc>
      </w:tr>
      <w:tr>
        <w:trPr>
          <w:trHeight w:val="194"/>
        </w:trPr>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2300" w:type="dxa"/>
            <w:vAlign w:val="bottom"/>
            <w:tcBorders>
              <w:bottom w:val="single" w:sz="8" w:color="DBDBDB"/>
            </w:tcBorders>
          </w:tcPr>
          <w:p>
            <w:pPr>
              <w:jc w:val="center"/>
              <w:ind w:left="606"/>
              <w:spacing w:after="0"/>
              <w:rPr>
                <w:sz w:val="20"/>
                <w:szCs w:val="20"/>
                <w:color w:val="auto"/>
              </w:rPr>
            </w:pPr>
            <w:r>
              <w:rPr>
                <w:rFonts w:ascii="Arial" w:cs="Arial" w:eastAsia="Arial" w:hAnsi="Arial"/>
                <w:sz w:val="15"/>
                <w:szCs w:val="15"/>
                <w:color w:val="auto"/>
                <w:w w:val="98"/>
              </w:rPr>
              <w:t>Varies</w:t>
            </w:r>
          </w:p>
        </w:tc>
        <w:tc>
          <w:tcPr>
            <w:tcW w:w="188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w w:val="93"/>
              </w:rPr>
              <w:t>Varies</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85,600</w:t>
            </w: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77,874</w:t>
            </w:r>
          </w:p>
        </w:tc>
      </w:tr>
      <w:tr>
        <w:trPr>
          <w:trHeight w:val="192"/>
        </w:trPr>
        <w:tc>
          <w:tcPr>
            <w:tcW w:w="3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2300" w:type="dxa"/>
            <w:vAlign w:val="bottom"/>
            <w:shd w:val="clear" w:color="auto" w:fill="DBDBDB"/>
          </w:tcPr>
          <w:p>
            <w:pPr>
              <w:spacing w:after="0"/>
              <w:rPr>
                <w:sz w:val="16"/>
                <w:szCs w:val="16"/>
                <w:color w:val="auto"/>
              </w:rPr>
            </w:pPr>
          </w:p>
        </w:tc>
        <w:tc>
          <w:tcPr>
            <w:tcW w:w="18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2,616,952</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2,470,330</w:t>
            </w:r>
          </w:p>
        </w:tc>
      </w:tr>
      <w:tr>
        <w:trPr>
          <w:trHeight w:val="194"/>
        </w:trPr>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2300" w:type="dxa"/>
            <w:vAlign w:val="bottom"/>
            <w:tcBorders>
              <w:bottom w:val="single" w:sz="8" w:color="DBDBDB"/>
            </w:tcBorders>
          </w:tcPr>
          <w:p>
            <w:pPr>
              <w:spacing w:after="0"/>
              <w:rPr>
                <w:sz w:val="16"/>
                <w:szCs w:val="16"/>
                <w:color w:val="auto"/>
              </w:rPr>
            </w:pPr>
          </w:p>
        </w:tc>
        <w:tc>
          <w:tcPr>
            <w:tcW w:w="18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18,652</w:t>
            </w: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16,521</w:t>
            </w:r>
          </w:p>
        </w:tc>
      </w:tr>
      <w:tr>
        <w:trPr>
          <w:trHeight w:val="214"/>
        </w:trPr>
        <w:tc>
          <w:tcPr>
            <w:tcW w:w="3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long-term debt</w:t>
            </w:r>
          </w:p>
        </w:tc>
        <w:tc>
          <w:tcPr>
            <w:tcW w:w="2300" w:type="dxa"/>
            <w:vAlign w:val="bottom"/>
            <w:tcBorders>
              <w:bottom w:val="single" w:sz="8" w:color="DBDBDB"/>
            </w:tcBorders>
            <w:shd w:val="clear" w:color="auto" w:fill="DBDBDB"/>
          </w:tcPr>
          <w:p>
            <w:pPr>
              <w:spacing w:after="0"/>
              <w:rPr>
                <w:sz w:val="18"/>
                <w:szCs w:val="18"/>
                <w:color w:val="auto"/>
              </w:rPr>
            </w:pPr>
          </w:p>
        </w:tc>
        <w:tc>
          <w:tcPr>
            <w:tcW w:w="188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2,598,300</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2,453,809</w:t>
            </w:r>
          </w:p>
        </w:tc>
      </w:tr>
      <w:tr>
        <w:trPr>
          <w:trHeight w:val="20"/>
        </w:trPr>
        <w:tc>
          <w:tcPr>
            <w:tcW w:w="358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2" w:hanging="2"/>
        <w:spacing w:after="0" w:line="242" w:lineRule="auto"/>
        <w:tabs>
          <w:tab w:leader="none" w:pos="201"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both September 30, 2021 and December 31, 2020, the Company had no outstanding principal borrowings on the Multicurrency Facility and $6.6 million and $7.9 million, respectively, of related debt issuance costs. No related debt issuance costs were recorded as a direct offset against the principal borrowings on the Multicurrency Facility, and the $6.6 million and $7.9 million in excess of principal was included in other non-current assets on the condensed consolidated balance sheets.</w:t>
      </w:r>
    </w:p>
    <w:p>
      <w:pPr>
        <w:spacing w:after="0" w:line="6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Asset Backed Lending Facilities ("ABL Facility")</w:t>
      </w:r>
    </w:p>
    <w:p>
      <w:pPr>
        <w:spacing w:after="0" w:line="134" w:lineRule="exact"/>
        <w:rPr>
          <w:sz w:val="20"/>
          <w:szCs w:val="20"/>
          <w:color w:val="auto"/>
        </w:rPr>
      </w:pPr>
    </w:p>
    <w:p>
      <w:pPr>
        <w:jc w:val="both"/>
        <w:ind w:left="2" w:firstLine="590"/>
        <w:spacing w:after="0"/>
        <w:rPr>
          <w:sz w:val="20"/>
          <w:szCs w:val="20"/>
          <w:color w:val="auto"/>
        </w:rPr>
      </w:pPr>
      <w:r>
        <w:rPr>
          <w:rFonts w:ascii="Arial" w:cs="Arial" w:eastAsia="Arial" w:hAnsi="Arial"/>
          <w:sz w:val="15"/>
          <w:szCs w:val="15"/>
          <w:color w:val="auto"/>
        </w:rPr>
        <w:t>On November 29, 2017, Williams Scotsman Holdings Corp ("Holdings"), Williams Scotsman International, Inc. ("WSII") and certain of its subsidiaries entered into an ABL credit agreement (the “2017 ABL Facility”), as amended, that provided a senior secured revolving credit facility that matured on May 29, 2022. The 2017 ABL Facility consisted of (i) a $1.3 billion asset-backed revolving credit facility for WSII and certain of its domestic subsidiaries (the "2017 US ABL Facility"), (ii) a $140.0 million asset-based revolving credit facility (the "2017 Canadian ABL Facility") for certain Canadian subsidiaries of WSII, and (iii) an accordion feature that permitted the borrowers to increase the lenders’ commitments in an aggregate amount not to exceed $375.0 million, subject to the satisfaction of customary conditions and lender approval, plus any voluntary prepayments that are accompanied by permanent commitment reductions under the 2017 ABL Facility.</w:t>
      </w:r>
    </w:p>
    <w:p>
      <w:pPr>
        <w:spacing w:after="0" w:line="47" w:lineRule="exact"/>
        <w:rPr>
          <w:sz w:val="20"/>
          <w:szCs w:val="20"/>
          <w:color w:val="auto"/>
        </w:rPr>
      </w:pPr>
    </w:p>
    <w:p>
      <w:pPr>
        <w:jc w:val="both"/>
        <w:ind w:left="2" w:firstLine="590"/>
        <w:spacing w:after="0"/>
        <w:rPr>
          <w:sz w:val="20"/>
          <w:szCs w:val="20"/>
          <w:color w:val="auto"/>
        </w:rPr>
      </w:pPr>
      <w:r>
        <w:rPr>
          <w:rFonts w:ascii="Arial" w:cs="Arial" w:eastAsia="Arial" w:hAnsi="Arial"/>
          <w:sz w:val="15"/>
          <w:szCs w:val="15"/>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$400.0 million senior secured asset-based multicurrency revolving credit facility (the "Multicurrency Facility" together with the US Facility, the “2020 ABL Facility”), available to be drawn in US Dollars, Canadian Dollars, British Pounds Sterling or Euros by the US Borrowers, and certain of WSII’s wholly-owned subsidiaries organized in Canada and in the UK. On July 1, 2020, in connection with the completion of the Merger, approximately $1.5 billion of proceeds from the 2020 ABL Facility were used to repay the 2017 ABL Facility and the asset-backed lending facility assumed in the transaction with Mobile Mini, as well as to pay fees and expenses related to the Merger and the debt financing transactions. In connection with the repayment of the 2017 ABL facility, the Company wrote off $4.4 million of deferred financing costs to loss on extinguishment of debt in the third quarter of 2020. The 2020 ABL Facility matures July 1,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6978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027" w:right="339" w:bottom="1440" w:gutter="0" w:footer="0" w:header="0"/>
        </w:sectPr>
      </w:pPr>
    </w:p>
    <w:bookmarkStart w:id="18" w:name="page19"/>
    <w:bookmarkEnd w:id="18"/>
    <w:p>
      <w:pPr>
        <w:jc w:val="both"/>
        <w:ind w:firstLine="590"/>
        <w:spacing w:after="0"/>
        <w:rPr>
          <w:sz w:val="20"/>
          <w:szCs w:val="20"/>
          <w:color w:val="auto"/>
        </w:rPr>
      </w:pPr>
      <w:r>
        <w:rPr>
          <w:rFonts w:ascii="Arial" w:cs="Arial" w:eastAsia="Arial" w:hAnsi="Arial"/>
          <w:sz w:val="15"/>
          <w:szCs w:val="15"/>
          <w:color w:val="auto"/>
        </w:rPr>
        <w:t>Borrowings under the 2020 ABL Facility initially bear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 The 2020 ABL Facility requires the payment of an annual commitment fee on the unused available borrowings of 0.225% per annum. At September 30, 2021, the weighted average interest rate for borrowings under the 2020 ABL Facility was 1.97%. The weighted average interest rate on the balance outstanding as of September 30, 2021, as adjusted for the effects of the interest rate swap agreements, was 2.73%. Refer to Note 16 for a more detailed discussion on interest rate management.</w:t>
      </w:r>
    </w:p>
    <w:p>
      <w:pPr>
        <w:spacing w:after="0" w:line="4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Line Cap. At September 30, 2021, the Line Cap was $2.4 billion and the Borrowers had $831.6 million of available borrowing capacity under the 2020 ABL Facility, including $431.6 million under the US Facility and $400.0 million under the Multicurrency Facility. At September 30, 2021, borrowing capacity under the 2020 ABL Facility allowed for up to $207.1 million of letters of credit and up to $170.0 million of swingline loans. At September 30, 2021, letters of credit and bank guarantees carried fees of 2.00%. The Company had issued $12.9 million of standby letters of credit under the 2020 ABL Facility at September 30, 2021.</w:t>
      </w:r>
    </w:p>
    <w:p>
      <w:pPr>
        <w:spacing w:after="0" w:line="4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Company had $1.6 billion outstanding principal under the 2020 ABL Facility at September 30, 2021. Debt issuance costs of $34.0 million were included in the carrying value of the 2020 ABL Facility at September 30,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Senior Secured Notes</w:t>
      </w:r>
    </w:p>
    <w:p>
      <w:pPr>
        <w:spacing w:after="0" w:line="8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WSII had $270.0 million aggregate principal amount of 7.875% senior secured notes due December 15, 2022 (the “2022 Secured Notes”). In connection with the Merger and related financing transactions in the third quarter of 2020, using proceeds from the 2025 Secured Notes discussed below, the Company redeemed all of its 2022 Secured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Senior Secured Notes</w:t>
      </w:r>
    </w:p>
    <w:p>
      <w:pPr>
        <w:spacing w:after="0" w:line="8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WSII had $490.0 million of 6.875% senior secured notes due August 15, 2023 (the “2023 Secured Notes”). On August 11, 2020, WSII redeemed 10% of the outstanding principal amount of the 2023 Secured Notes, $49.0 million. On August 25, 2020, the Company completed a private offering of its 2028 Secured Notes, discussed below, and used the offering proceeds to repay, along with expenses, the $441.0 million outstanding principal amount of its 2023 Secured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Senior Secured Notes</w:t>
      </w:r>
    </w:p>
    <w:p>
      <w:pPr>
        <w:spacing w:after="0" w:line="8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 Notes”). Finance Sub was merged into WSII on July 1, 2020. The offering proceeds were used to repay the 2022 Secured Notes, repay Mobile Mini senior notes assumed in the acquisition and pay certain fees and expenses related to the Merger and the related financing transactions.</w:t>
      </w:r>
    </w:p>
    <w:p>
      <w:pPr>
        <w:spacing w:after="0" w:line="45"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On March 26, 2021, using cash on hand and borrowings on the 2020 ABL Facility, the Company redeemed 10% of the outstanding principal, or $65.0 million, of its 2025 Secured Notes and recorded a loss on extinguishment of debt in the condensed consolidated statement of operations of $3.2 million comprised of a redemption premium of $1.9 million and write- off of unamortized deferred financing fees of $1.3 million in the first quarter of 2021.</w:t>
      </w:r>
    </w:p>
    <w:p>
      <w:pPr>
        <w:spacing w:after="0" w:line="42"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On June 16, 2021, using cash on hand and borrowings on the 2020 ABL Facility, the Company redeemed 10% of the outstanding principal, or $58.5 million, of its 2025 Secured Notes and recorded a loss on extinguishment of debt in the condensed consolidated statement of operations of $2.8 million comprised of a redemption premium of $1.8 million and write-off of unamortized deferred financing fees of $1.0 million in the second quarter of 2021.</w:t>
      </w:r>
    </w:p>
    <w:p>
      <w:pPr>
        <w:spacing w:after="0" w:line="42" w:lineRule="exact"/>
        <w:rPr>
          <w:sz w:val="20"/>
          <w:szCs w:val="20"/>
          <w:color w:val="auto"/>
        </w:rPr>
      </w:pPr>
    </w:p>
    <w:p>
      <w:pPr>
        <w:jc w:val="both"/>
        <w:ind w:firstLine="590"/>
        <w:spacing w:after="0" w:line="281" w:lineRule="auto"/>
        <w:rPr>
          <w:sz w:val="20"/>
          <w:szCs w:val="20"/>
          <w:color w:val="auto"/>
        </w:rPr>
      </w:pPr>
      <w:r>
        <w:rPr>
          <w:rFonts w:ascii="Arial" w:cs="Arial" w:eastAsia="Arial" w:hAnsi="Arial"/>
          <w:sz w:val="14"/>
          <w:szCs w:val="14"/>
          <w:color w:val="auto"/>
        </w:rPr>
        <w:t>The 2025 Secured Notes mature on June 15, 2025 and bear interest at a rate of 6.125% per annum. Interest is payable semi-annually on June 15 and December 15 of each year, beginning December 15, 2020. Unamortized deferred financing costs pertaining to the 2025 Secured Notes were $8.9 million as of September 30, 2021.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2028 Senior Secured Notes</w:t>
      </w:r>
    </w:p>
    <w:p>
      <w:pPr>
        <w:spacing w:after="0" w:line="8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August 25, 2020, the Company, completed a private offering of $500.0 million in aggregate principal amount of 4.625% senior secured notes due 2028 (the “2028 Secured Notes”). The 2028 Secured Notes mature on August 15, 2028. They bear interest at a rate of 4.625% per annum. Interest is payable semi-annually on August 15 and February 15 of each year, beginning February 15, 2021. Unamortized deferred financing cost pertaining to the 2028 Secured Notes were $7.7 million as of September 30, 2021.</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Leases</w:t>
      </w:r>
    </w:p>
    <w:p>
      <w:pPr>
        <w:spacing w:after="0" w:line="8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Company maintains finance leases primarily related to transportation equipment. At September 30, 2021 and December 31, 2020, obligations under finance leases for certain real property and transportation related equipment were $85.6 million and $77.9 million, respectively. Refer to Note 4 for further information.</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Company is in compliance with all debt covenants and restrictions for the aforementioned debt instruments as of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9" w:name="page20"/>
    <w:bookmarkEnd w:id="19"/>
    <w:p>
      <w:pPr>
        <w:spacing w:after="0"/>
        <w:rPr>
          <w:sz w:val="20"/>
          <w:szCs w:val="20"/>
          <w:color w:val="auto"/>
        </w:rPr>
      </w:pPr>
      <w:r>
        <w:rPr>
          <w:rFonts w:ascii="Arial" w:cs="Arial" w:eastAsia="Arial" w:hAnsi="Arial"/>
          <w:sz w:val="21"/>
          <w:szCs w:val="21"/>
          <w:color w:val="1D2758"/>
        </w:rPr>
        <w:t>NOTE 10 – Equity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84"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On June 30, 2020, as contemplated by the merger agreement, Sapphire Holding S.à r.l. ("Sapphire Holdings"), an affiliate of TDR Capital LLP (“TDR Capital”), exchanged each of its shares of common stock of Holdings for 1.3261 shares of newly issued WillScot Class A Common Stock (the "Sapphire Exchange"). As a result of the Sapphire Exchange, all issued and outstanding shares of WillScot’s Class B Common Stock, par value $0.0001 per share (the "Class B Common Stock"), were automatically canceled for no consideration and the existing exchange agreement was automatically terminated. As a result of the Sapphire Exchange, Holdings became a wholly-owned subsidiary of WillScot. Sapphire Holdings received 10,641,182 shares of Common Stock of WillScot in the Sapphire Exchange. Prior to the Sapphire Exchange, Sapphire Holdings' ownership of Holdings was recorded as a non-controlling interest in the consolidated financial statements. Subsequent to the Sapphire Exchange, the 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condensed consolidated balance sheet.</w:t>
      </w:r>
    </w:p>
    <w:p>
      <w:pPr>
        <w:spacing w:after="0" w:line="46"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In connection with the Merger on July 1, 2020, the Company issued 106,426,722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$0.0001 per share, of WillScot Mobile Mini.</w:t>
      </w:r>
    </w:p>
    <w:p>
      <w:pPr>
        <w:spacing w:after="0" w:line="4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In connection with the stock compensation vesting events and stock option exercises described in Note 15, and the warrant exercises described below, the Company issued 5,273,466 shares of Common Stock during the nine months ended September 30,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Repurchase Program</w:t>
      </w:r>
    </w:p>
    <w:p>
      <w:pPr>
        <w:spacing w:after="0" w:line="13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August 7, 2020, the Company's Board of Directors approved a stock repurchase program that authorizes the Company to repurchase up to $250 million of its outstanding shares of Common Stock. On April 29, 2021, the Board of Directors approved an increase in repurchase authority to $500 million. The stock repurchase program does not obligate the Company to purchase any particular number of shares, and the timing and exact amount of any repurchases will depend on various factors, including market pricing and conditions, business, legal, accounting, and other considerations.</w:t>
      </w:r>
    </w:p>
    <w:p>
      <w:pPr>
        <w:spacing w:after="0" w:line="4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4"/>
          <w:szCs w:val="14"/>
          <w:color w:val="auto"/>
        </w:rPr>
        <w:t>The Company may repurchase its shares in open market transactions from time to time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is conducted subject to the covenants in the agreements governing the Company's indebtedness.</w:t>
      </w:r>
    </w:p>
    <w:p>
      <w:pPr>
        <w:spacing w:after="0" w:line="2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During the nine months ended September 30, 2021, the Company repurchased 11,656,552 shares of Common Stock and stock equivalents for $322.6 million. As of September 30, 2021, $142.2 million of the approved repurchase pool remained available. In October of 2021, the Company's Board of Directors replaced the existing share repurchase program with a new share repurchase program that authorizes the Company to repurchase up to $1.0 billion of its outstanding shares of Common Stock and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Other Comprehensive Loss</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changes in accumulated other comprehensive income (loss) ("AOCI"), net of tax, for the nine months ended September 30, 2021 and 2020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40" w:type="dxa"/>
            <w:vAlign w:val="bottom"/>
            <w:shd w:val="clear" w:color="auto" w:fill="1D2758"/>
          </w:tcPr>
          <w:p>
            <w:pPr>
              <w:spacing w:after="0"/>
              <w:rPr>
                <w:sz w:val="15"/>
                <w:szCs w:val="15"/>
                <w:color w:val="auto"/>
              </w:rPr>
            </w:pPr>
          </w:p>
        </w:tc>
        <w:tc>
          <w:tcPr>
            <w:tcW w:w="148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w w:val="97"/>
              </w:rPr>
              <w:t>Foreign currency</w:t>
            </w:r>
          </w:p>
        </w:tc>
        <w:tc>
          <w:tcPr>
            <w:tcW w:w="1640" w:type="dxa"/>
            <w:vAlign w:val="bottom"/>
            <w:gridSpan w:val="3"/>
            <w:shd w:val="clear" w:color="auto" w:fill="1D2758"/>
          </w:tcPr>
          <w:p>
            <w:pPr>
              <w:jc w:val="center"/>
              <w:ind w:right="60"/>
              <w:spacing w:after="0"/>
              <w:rPr>
                <w:sz w:val="20"/>
                <w:szCs w:val="20"/>
                <w:color w:val="auto"/>
              </w:rPr>
            </w:pPr>
            <w:r>
              <w:rPr>
                <w:rFonts w:ascii="Arial" w:cs="Arial" w:eastAsia="Arial" w:hAnsi="Arial"/>
                <w:sz w:val="15"/>
                <w:szCs w:val="15"/>
                <w:b w:val="1"/>
                <w:bCs w:val="1"/>
                <w:color w:val="FFFFFF"/>
                <w:w w:val="97"/>
              </w:rPr>
              <w:t>Unrealized losses on</w:t>
            </w:r>
          </w:p>
        </w:tc>
        <w:tc>
          <w:tcPr>
            <w:tcW w:w="360" w:type="dxa"/>
            <w:vAlign w:val="bottom"/>
            <w:shd w:val="clear" w:color="auto" w:fill="1D2758"/>
          </w:tcPr>
          <w:p>
            <w:pPr>
              <w:spacing w:after="0"/>
              <w:rPr>
                <w:sz w:val="15"/>
                <w:szCs w:val="15"/>
                <w:color w:val="auto"/>
              </w:rPr>
            </w:pPr>
          </w:p>
        </w:tc>
        <w:tc>
          <w:tcPr>
            <w:tcW w:w="1200" w:type="dxa"/>
            <w:vAlign w:val="bottom"/>
            <w:vMerge w:val="restart"/>
            <w:shd w:val="clear" w:color="auto" w:fill="1D2758"/>
          </w:tcPr>
          <w:p>
            <w:pPr>
              <w:jc w:val="right"/>
              <w:ind w:right="52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4960" w:type="dxa"/>
            <w:vAlign w:val="bottom"/>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48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w w:val="99"/>
              </w:rPr>
              <w:t>translation</w:t>
            </w:r>
          </w:p>
        </w:tc>
        <w:tc>
          <w:tcPr>
            <w:tcW w:w="140" w:type="dxa"/>
            <w:vAlign w:val="bottom"/>
            <w:shd w:val="clear" w:color="auto" w:fill="1D2758"/>
          </w:tcPr>
          <w:p>
            <w:pPr>
              <w:spacing w:after="0"/>
              <w:rPr>
                <w:sz w:val="17"/>
                <w:szCs w:val="17"/>
                <w:color w:val="auto"/>
              </w:rPr>
            </w:pPr>
          </w:p>
        </w:tc>
        <w:tc>
          <w:tcPr>
            <w:tcW w:w="150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w w:val="99"/>
              </w:rPr>
              <w:t>hedging activities</w:t>
            </w:r>
          </w:p>
        </w:tc>
        <w:tc>
          <w:tcPr>
            <w:tcW w:w="360" w:type="dxa"/>
            <w:vAlign w:val="bottom"/>
            <w:shd w:val="clear" w:color="auto" w:fill="1D2758"/>
          </w:tcPr>
          <w:p>
            <w:pPr>
              <w:spacing w:after="0"/>
              <w:rPr>
                <w:sz w:val="17"/>
                <w:szCs w:val="17"/>
                <w:color w:val="auto"/>
              </w:rPr>
            </w:pPr>
          </w:p>
        </w:tc>
        <w:tc>
          <w:tcPr>
            <w:tcW w:w="12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(24,694)</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(12,513)</w:t>
            </w:r>
          </w:p>
        </w:tc>
        <w:tc>
          <w:tcPr>
            <w:tcW w:w="6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0" w:type="dxa"/>
            <w:vAlign w:val="bottom"/>
          </w:tcPr>
          <w:p>
            <w:pPr>
              <w:spacing w:after="0"/>
              <w:rPr>
                <w:sz w:val="1"/>
                <w:szCs w:val="1"/>
                <w:color w:val="auto"/>
              </w:rPr>
            </w:pPr>
          </w:p>
        </w:tc>
      </w:tr>
      <w:tr>
        <w:trPr>
          <w:trHeight w:val="194"/>
        </w:trPr>
        <w:tc>
          <w:tcPr>
            <w:tcW w:w="496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4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5,034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(760)</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4,274</w:t>
            </w:r>
          </w:p>
        </w:tc>
        <w:tc>
          <w:tcPr>
            <w:tcW w:w="0" w:type="dxa"/>
            <w:vAlign w:val="bottom"/>
          </w:tcPr>
          <w:p>
            <w:pPr>
              <w:spacing w:after="0"/>
              <w:rPr>
                <w:sz w:val="1"/>
                <w:szCs w:val="1"/>
                <w:color w:val="auto"/>
              </w:rPr>
            </w:pPr>
          </w:p>
        </w:tc>
      </w:tr>
      <w:tr>
        <w:trPr>
          <w:trHeight w:val="19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40" w:type="dxa"/>
            <w:vAlign w:val="bottom"/>
            <w:shd w:val="clear" w:color="auto" w:fill="DBDBDB"/>
          </w:tcPr>
          <w:p>
            <w:pPr>
              <w:spacing w:after="0"/>
              <w:rPr>
                <w:sz w:val="17"/>
                <w:szCs w:val="17"/>
                <w:color w:val="auto"/>
              </w:rPr>
            </w:pPr>
          </w:p>
        </w:tc>
        <w:tc>
          <w:tcPr>
            <w:tcW w:w="1480" w:type="dxa"/>
            <w:vAlign w:val="bottom"/>
            <w:gridSpan w:val="2"/>
            <w:shd w:val="clear" w:color="auto" w:fill="DBDBDB"/>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2,937</w:t>
            </w:r>
          </w:p>
        </w:tc>
        <w:tc>
          <w:tcPr>
            <w:tcW w:w="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2,937</w:t>
            </w:r>
          </w:p>
        </w:tc>
        <w:tc>
          <w:tcPr>
            <w:tcW w:w="0" w:type="dxa"/>
            <w:vAlign w:val="bottom"/>
          </w:tcPr>
          <w:p>
            <w:pPr>
              <w:spacing w:after="0"/>
              <w:rPr>
                <w:sz w:val="1"/>
                <w:szCs w:val="1"/>
                <w:color w:val="auto"/>
              </w:rPr>
            </w:pPr>
          </w:p>
        </w:tc>
      </w:tr>
      <w:tr>
        <w:trPr>
          <w:trHeight w:val="186"/>
        </w:trPr>
        <w:tc>
          <w:tcPr>
            <w:tcW w:w="496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(19,660)</w:t>
            </w: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(10,336)</w:t>
            </w:r>
          </w:p>
        </w:tc>
        <w:tc>
          <w:tcPr>
            <w:tcW w:w="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(29,996)</w:t>
            </w:r>
          </w:p>
        </w:tc>
        <w:tc>
          <w:tcPr>
            <w:tcW w:w="0" w:type="dxa"/>
            <w:vAlign w:val="bottom"/>
          </w:tcPr>
          <w:p>
            <w:pPr>
              <w:spacing w:after="0"/>
              <w:rPr>
                <w:sz w:val="1"/>
                <w:szCs w:val="1"/>
                <w:color w:val="auto"/>
              </w:rPr>
            </w:pPr>
          </w:p>
        </w:tc>
      </w:tr>
      <w:tr>
        <w:trPr>
          <w:trHeight w:val="19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4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3,093</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(848)</w:t>
            </w:r>
          </w:p>
        </w:tc>
        <w:tc>
          <w:tcPr>
            <w:tcW w:w="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2,245</w:t>
            </w:r>
          </w:p>
        </w:tc>
        <w:tc>
          <w:tcPr>
            <w:tcW w:w="0" w:type="dxa"/>
            <w:vAlign w:val="bottom"/>
          </w:tcPr>
          <w:p>
            <w:pPr>
              <w:spacing w:after="0"/>
              <w:rPr>
                <w:sz w:val="1"/>
                <w:szCs w:val="1"/>
                <w:color w:val="auto"/>
              </w:rPr>
            </w:pPr>
          </w:p>
        </w:tc>
      </w:tr>
      <w:tr>
        <w:trPr>
          <w:trHeight w:val="194"/>
        </w:trPr>
        <w:tc>
          <w:tcPr>
            <w:tcW w:w="4960" w:type="dxa"/>
            <w:vAlign w:val="bottom"/>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4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2,994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2,994</w:t>
            </w:r>
          </w:p>
        </w:tc>
        <w:tc>
          <w:tcPr>
            <w:tcW w:w="0" w:type="dxa"/>
            <w:vAlign w:val="bottom"/>
          </w:tcPr>
          <w:p>
            <w:pPr>
              <w:spacing w:after="0"/>
              <w:rPr>
                <w:sz w:val="1"/>
                <w:szCs w:val="1"/>
                <w:color w:val="auto"/>
              </w:rPr>
            </w:pPr>
          </w:p>
        </w:tc>
      </w:tr>
      <w:tr>
        <w:trPr>
          <w:trHeight w:val="192"/>
        </w:trPr>
        <w:tc>
          <w:tcPr>
            <w:tcW w:w="4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2021</w:t>
            </w:r>
          </w:p>
        </w:tc>
        <w:tc>
          <w:tcPr>
            <w:tcW w:w="140" w:type="dxa"/>
            <w:vAlign w:val="bottom"/>
            <w:tcBorders>
              <w:top w:val="single" w:sz="8" w:color="auto"/>
            </w:tcBorders>
            <w:shd w:val="clear" w:color="auto" w:fill="DBDBDB"/>
          </w:tcPr>
          <w:p>
            <w:pPr>
              <w:spacing w:after="0"/>
              <w:rPr>
                <w:sz w:val="16"/>
                <w:szCs w:val="16"/>
                <w:color w:val="auto"/>
              </w:rPr>
            </w:pP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(16,567)</w:t>
            </w:r>
          </w:p>
        </w:tc>
        <w:tc>
          <w:tcPr>
            <w:tcW w:w="60" w:type="dxa"/>
            <w:vAlign w:val="bottom"/>
            <w:tcBorders>
              <w:top w:val="single" w:sz="8" w:color="DBDBDB"/>
            </w:tcBorders>
            <w:shd w:val="clear" w:color="auto" w:fill="DBDBDB"/>
          </w:tcPr>
          <w:p>
            <w:pPr>
              <w:spacing w:after="0"/>
              <w:rPr>
                <w:sz w:val="16"/>
                <w:szCs w:val="16"/>
                <w:color w:val="auto"/>
              </w:rPr>
            </w:pPr>
          </w:p>
        </w:tc>
        <w:tc>
          <w:tcPr>
            <w:tcW w:w="140" w:type="dxa"/>
            <w:vAlign w:val="bottom"/>
            <w:tcBorders>
              <w:top w:val="single" w:sz="8" w:color="auto"/>
            </w:tcBorders>
            <w:shd w:val="clear" w:color="auto" w:fill="DBDBDB"/>
          </w:tcPr>
          <w:p>
            <w:pPr>
              <w:spacing w:after="0"/>
              <w:rPr>
                <w:sz w:val="16"/>
                <w:szCs w:val="16"/>
                <w:color w:val="auto"/>
              </w:rPr>
            </w:pP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(8,190)</w:t>
            </w:r>
          </w:p>
        </w:tc>
        <w:tc>
          <w:tcPr>
            <w:tcW w:w="60" w:type="dxa"/>
            <w:vAlign w:val="bottom"/>
            <w:tcBorders>
              <w:top w:val="single" w:sz="8" w:color="DBDBDB"/>
            </w:tcBorders>
            <w:shd w:val="clear" w:color="auto" w:fill="DBDBDB"/>
          </w:tcPr>
          <w:p>
            <w:pPr>
              <w:spacing w:after="0"/>
              <w:rPr>
                <w:sz w:val="16"/>
                <w:szCs w:val="16"/>
                <w:color w:val="auto"/>
              </w:rPr>
            </w:pPr>
          </w:p>
        </w:tc>
        <w:tc>
          <w:tcPr>
            <w:tcW w:w="360" w:type="dxa"/>
            <w:vAlign w:val="bottom"/>
            <w:tcBorders>
              <w:top w:val="single" w:sz="8" w:color="auto"/>
            </w:tcBorders>
            <w:shd w:val="clear" w:color="auto" w:fill="DBDBDB"/>
          </w:tcPr>
          <w:p>
            <w:pPr>
              <w:spacing w:after="0"/>
              <w:rPr>
                <w:sz w:val="16"/>
                <w:szCs w:val="16"/>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(24,757)</w:t>
            </w:r>
          </w:p>
        </w:tc>
        <w:tc>
          <w:tcPr>
            <w:tcW w:w="0" w:type="dxa"/>
            <w:vAlign w:val="bottom"/>
          </w:tcPr>
          <w:p>
            <w:pPr>
              <w:spacing w:after="0"/>
              <w:rPr>
                <w:sz w:val="1"/>
                <w:szCs w:val="1"/>
                <w:color w:val="auto"/>
              </w:rPr>
            </w:pPr>
          </w:p>
        </w:tc>
      </w:tr>
      <w:tr>
        <w:trPr>
          <w:trHeight w:val="194"/>
        </w:trPr>
        <w:tc>
          <w:tcPr>
            <w:tcW w:w="496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(11,162)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(830)</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(11,992)</w:t>
            </w:r>
          </w:p>
        </w:tc>
        <w:tc>
          <w:tcPr>
            <w:tcW w:w="0" w:type="dxa"/>
            <w:vAlign w:val="bottom"/>
          </w:tcPr>
          <w:p>
            <w:pPr>
              <w:spacing w:after="0"/>
              <w:rPr>
                <w:sz w:val="1"/>
                <w:szCs w:val="1"/>
                <w:color w:val="auto"/>
              </w:rPr>
            </w:pPr>
          </w:p>
        </w:tc>
      </w:tr>
      <w:tr>
        <w:trPr>
          <w:trHeight w:val="19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40" w:type="dxa"/>
            <w:vAlign w:val="bottom"/>
            <w:shd w:val="clear" w:color="auto" w:fill="DBDBDB"/>
          </w:tcPr>
          <w:p>
            <w:pPr>
              <w:spacing w:after="0"/>
              <w:rPr>
                <w:sz w:val="17"/>
                <w:szCs w:val="17"/>
                <w:color w:val="auto"/>
              </w:rPr>
            </w:pPr>
          </w:p>
        </w:tc>
        <w:tc>
          <w:tcPr>
            <w:tcW w:w="1480" w:type="dxa"/>
            <w:vAlign w:val="bottom"/>
            <w:gridSpan w:val="2"/>
            <w:shd w:val="clear" w:color="auto" w:fill="DBDBDB"/>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3,036</w:t>
            </w:r>
          </w:p>
        </w:tc>
        <w:tc>
          <w:tcPr>
            <w:tcW w:w="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3,036</w:t>
            </w:r>
          </w:p>
        </w:tc>
        <w:tc>
          <w:tcPr>
            <w:tcW w:w="0" w:type="dxa"/>
            <w:vAlign w:val="bottom"/>
          </w:tcPr>
          <w:p>
            <w:pPr>
              <w:spacing w:after="0"/>
              <w:rPr>
                <w:sz w:val="1"/>
                <w:szCs w:val="1"/>
                <w:color w:val="auto"/>
              </w:rPr>
            </w:pPr>
          </w:p>
        </w:tc>
      </w:tr>
      <w:tr>
        <w:trPr>
          <w:trHeight w:val="186"/>
        </w:trPr>
        <w:tc>
          <w:tcPr>
            <w:tcW w:w="4960" w:type="dxa"/>
            <w:vAlign w:val="bottom"/>
          </w:tcPr>
          <w:p>
            <w:pPr>
              <w:ind w:left="20"/>
              <w:spacing w:after="0"/>
              <w:rPr>
                <w:sz w:val="20"/>
                <w:szCs w:val="20"/>
                <w:color w:val="auto"/>
              </w:rPr>
            </w:pPr>
            <w:r>
              <w:rPr>
                <w:rFonts w:ascii="Arial" w:cs="Arial" w:eastAsia="Arial" w:hAnsi="Arial"/>
                <w:sz w:val="15"/>
                <w:szCs w:val="15"/>
                <w:color w:val="auto"/>
              </w:rPr>
              <w:t>Balance at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(27,729)</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(5,984)</w:t>
            </w:r>
          </w:p>
        </w:tc>
        <w:tc>
          <w:tcPr>
            <w:tcW w:w="6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(33,713)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2"/>
        </w:trPr>
        <w:tc>
          <w:tcPr>
            <w:tcW w:w="57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4"/>
                <w:szCs w:val="14"/>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w w:val="99"/>
              </w:rPr>
              <w:t>Foreign currency</w:t>
            </w:r>
          </w:p>
        </w:tc>
        <w:tc>
          <w:tcPr>
            <w:tcW w:w="120" w:type="dxa"/>
            <w:vAlign w:val="bottom"/>
            <w:shd w:val="clear" w:color="auto" w:fill="1D2758"/>
          </w:tcPr>
          <w:p>
            <w:pPr>
              <w:spacing w:after="0"/>
              <w:rPr>
                <w:sz w:val="14"/>
                <w:szCs w:val="14"/>
                <w:color w:val="auto"/>
              </w:rPr>
            </w:pPr>
          </w:p>
        </w:tc>
        <w:tc>
          <w:tcPr>
            <w:tcW w:w="176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w w:val="97"/>
              </w:rPr>
              <w:t>Unrealized losses on</w:t>
            </w:r>
          </w:p>
        </w:tc>
        <w:tc>
          <w:tcPr>
            <w:tcW w:w="400" w:type="dxa"/>
            <w:vAlign w:val="bottom"/>
            <w:shd w:val="clear" w:color="auto" w:fill="1D2758"/>
          </w:tcPr>
          <w:p>
            <w:pPr>
              <w:spacing w:after="0"/>
              <w:rPr>
                <w:sz w:val="14"/>
                <w:szCs w:val="14"/>
                <w:color w:val="auto"/>
              </w:rPr>
            </w:pPr>
          </w:p>
        </w:tc>
        <w:tc>
          <w:tcPr>
            <w:tcW w:w="1380" w:type="dxa"/>
            <w:vAlign w:val="bottom"/>
            <w:vMerge w:val="restart"/>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570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w w:val="96"/>
              </w:rPr>
              <w:t>translation</w:t>
            </w:r>
          </w:p>
        </w:tc>
        <w:tc>
          <w:tcPr>
            <w:tcW w:w="120" w:type="dxa"/>
            <w:vAlign w:val="bottom"/>
            <w:shd w:val="clear" w:color="auto" w:fill="1D2758"/>
          </w:tcPr>
          <w:p>
            <w:pPr>
              <w:spacing w:after="0"/>
              <w:rPr>
                <w:sz w:val="17"/>
                <w:szCs w:val="17"/>
                <w:color w:val="auto"/>
              </w:rPr>
            </w:pPr>
          </w:p>
        </w:tc>
        <w:tc>
          <w:tcPr>
            <w:tcW w:w="176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w w:val="99"/>
              </w:rPr>
              <w:t>hedging activities</w:t>
            </w:r>
          </w:p>
        </w:tc>
        <w:tc>
          <w:tcPr>
            <w:tcW w:w="400" w:type="dxa"/>
            <w:vAlign w:val="bottom"/>
            <w:shd w:val="clear" w:color="auto" w:fill="1D2758"/>
          </w:tcPr>
          <w:p>
            <w:pPr>
              <w:spacing w:after="0"/>
              <w:rPr>
                <w:sz w:val="17"/>
                <w:szCs w:val="17"/>
                <w:color w:val="auto"/>
              </w:rPr>
            </w:pPr>
          </w:p>
        </w:tc>
        <w:tc>
          <w:tcPr>
            <w:tcW w:w="13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2019</w:t>
            </w:r>
          </w:p>
        </w:tc>
        <w:tc>
          <w:tcPr>
            <w:tcW w:w="1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(52,982)</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(9,793)</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(62,775)</w:t>
            </w:r>
          </w:p>
        </w:tc>
        <w:tc>
          <w:tcPr>
            <w:tcW w:w="0" w:type="dxa"/>
            <w:vAlign w:val="bottom"/>
          </w:tcPr>
          <w:p>
            <w:pPr>
              <w:spacing w:after="0"/>
              <w:rPr>
                <w:sz w:val="1"/>
                <w:szCs w:val="1"/>
                <w:color w:val="auto"/>
              </w:rPr>
            </w:pPr>
          </w:p>
        </w:tc>
      </w:tr>
      <w:tr>
        <w:trPr>
          <w:trHeight w:val="194"/>
        </w:trPr>
        <w:tc>
          <w:tcPr>
            <w:tcW w:w="570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(21,144)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(10,330)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(31,474)</w:t>
            </w:r>
          </w:p>
        </w:tc>
        <w:tc>
          <w:tcPr>
            <w:tcW w:w="0" w:type="dxa"/>
            <w:vAlign w:val="bottom"/>
          </w:tcPr>
          <w:p>
            <w:pPr>
              <w:spacing w:after="0"/>
              <w:rPr>
                <w:sz w:val="1"/>
                <w:szCs w:val="1"/>
                <w:color w:val="auto"/>
              </w:rPr>
            </w:pPr>
          </w:p>
        </w:tc>
      </w:tr>
      <w:tr>
        <w:trPr>
          <w:trHeight w:val="199"/>
        </w:trPr>
        <w:tc>
          <w:tcPr>
            <w:tcW w:w="5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17"/>
                <w:szCs w:val="17"/>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1,572</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1,572</w:t>
            </w:r>
          </w:p>
        </w:tc>
        <w:tc>
          <w:tcPr>
            <w:tcW w:w="0" w:type="dxa"/>
            <w:vAlign w:val="bottom"/>
          </w:tcPr>
          <w:p>
            <w:pPr>
              <w:spacing w:after="0"/>
              <w:rPr>
                <w:sz w:val="1"/>
                <w:szCs w:val="1"/>
                <w:color w:val="auto"/>
              </w:rPr>
            </w:pPr>
          </w:p>
        </w:tc>
      </w:tr>
      <w:tr>
        <w:trPr>
          <w:trHeight w:val="194"/>
        </w:trPr>
        <w:tc>
          <w:tcPr>
            <w:tcW w:w="57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Less other comprehensive loss attributable to non-controlling interest</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2,703</w:t>
            </w:r>
          </w:p>
        </w:tc>
        <w:tc>
          <w:tcPr>
            <w:tcW w:w="0" w:type="dxa"/>
            <w:vAlign w:val="bottom"/>
          </w:tcPr>
          <w:p>
            <w:pPr>
              <w:spacing w:after="0"/>
              <w:rPr>
                <w:sz w:val="1"/>
                <w:szCs w:val="1"/>
                <w:color w:val="auto"/>
              </w:rPr>
            </w:pPr>
          </w:p>
        </w:tc>
      </w:tr>
      <w:tr>
        <w:trPr>
          <w:trHeight w:val="192"/>
        </w:trPr>
        <w:tc>
          <w:tcPr>
            <w:tcW w:w="5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March 31, 2020</w:t>
            </w:r>
          </w:p>
        </w:tc>
        <w:tc>
          <w:tcPr>
            <w:tcW w:w="180" w:type="dxa"/>
            <w:vAlign w:val="bottom"/>
            <w:shd w:val="clear" w:color="auto" w:fill="DBDBDB"/>
          </w:tcPr>
          <w:p>
            <w:pPr>
              <w:spacing w:after="0"/>
              <w:rPr>
                <w:sz w:val="16"/>
                <w:szCs w:val="16"/>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(72,213)</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(17,761)</w:t>
            </w: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(89,974)</w:t>
            </w:r>
          </w:p>
        </w:tc>
        <w:tc>
          <w:tcPr>
            <w:tcW w:w="0" w:type="dxa"/>
            <w:vAlign w:val="bottom"/>
          </w:tcPr>
          <w:p>
            <w:pPr>
              <w:spacing w:after="0"/>
              <w:rPr>
                <w:sz w:val="1"/>
                <w:szCs w:val="1"/>
                <w:color w:val="auto"/>
              </w:rPr>
            </w:pPr>
          </w:p>
        </w:tc>
      </w:tr>
      <w:tr>
        <w:trPr>
          <w:trHeight w:val="194"/>
        </w:trPr>
        <w:tc>
          <w:tcPr>
            <w:tcW w:w="570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7,982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(1,642)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6,340</w:t>
            </w:r>
          </w:p>
        </w:tc>
        <w:tc>
          <w:tcPr>
            <w:tcW w:w="0" w:type="dxa"/>
            <w:vAlign w:val="bottom"/>
          </w:tcPr>
          <w:p>
            <w:pPr>
              <w:spacing w:after="0"/>
              <w:rPr>
                <w:sz w:val="1"/>
                <w:szCs w:val="1"/>
                <w:color w:val="auto"/>
              </w:rPr>
            </w:pPr>
          </w:p>
        </w:tc>
      </w:tr>
      <w:tr>
        <w:trPr>
          <w:trHeight w:val="199"/>
        </w:trPr>
        <w:tc>
          <w:tcPr>
            <w:tcW w:w="5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17"/>
                <w:szCs w:val="17"/>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7"/>
                <w:szCs w:val="17"/>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2,617</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2,617</w:t>
            </w:r>
          </w:p>
        </w:tc>
        <w:tc>
          <w:tcPr>
            <w:tcW w:w="0" w:type="dxa"/>
            <w:vAlign w:val="bottom"/>
          </w:tcPr>
          <w:p>
            <w:pPr>
              <w:spacing w:after="0"/>
              <w:rPr>
                <w:sz w:val="1"/>
                <w:szCs w:val="1"/>
                <w:color w:val="auto"/>
              </w:rPr>
            </w:pPr>
          </w:p>
        </w:tc>
      </w:tr>
      <w:tr>
        <w:trPr>
          <w:trHeight w:val="194"/>
        </w:trPr>
        <w:tc>
          <w:tcPr>
            <w:tcW w:w="5700" w:type="dxa"/>
            <w:vAlign w:val="bottom"/>
          </w:tcPr>
          <w:p>
            <w:pPr>
              <w:ind w:left="220"/>
              <w:spacing w:after="0"/>
              <w:rPr>
                <w:sz w:val="20"/>
                <w:szCs w:val="20"/>
                <w:color w:val="auto"/>
              </w:rPr>
            </w:pPr>
            <w:r>
              <w:rPr>
                <w:rFonts w:ascii="Arial" w:cs="Arial" w:eastAsia="Arial" w:hAnsi="Arial"/>
                <w:sz w:val="15"/>
                <w:szCs w:val="15"/>
                <w:color w:val="auto"/>
              </w:rPr>
              <w:t>Less other comprehensive income attributable to non-controlling interest</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r>
        <w:trPr>
          <w:trHeight w:val="164"/>
        </w:trPr>
        <w:tc>
          <w:tcPr>
            <w:tcW w:w="5700" w:type="dxa"/>
            <w:vAlign w:val="bottom"/>
            <w:shd w:val="clear" w:color="auto" w:fill="DBDBDB"/>
          </w:tcPr>
          <w:p>
            <w:pPr>
              <w:ind w:left="220"/>
              <w:spacing w:after="0" w:line="164" w:lineRule="exact"/>
              <w:rPr>
                <w:sz w:val="20"/>
                <w:szCs w:val="20"/>
                <w:color w:val="auto"/>
              </w:rPr>
            </w:pPr>
            <w:r>
              <w:rPr>
                <w:rFonts w:ascii="Arial" w:cs="Arial" w:eastAsia="Arial" w:hAnsi="Arial"/>
                <w:sz w:val="15"/>
                <w:szCs w:val="15"/>
                <w:color w:val="auto"/>
              </w:rPr>
              <w:t>Impact of elimination of non-controlling interest on accumulated other</w:t>
            </w:r>
          </w:p>
        </w:tc>
        <w:tc>
          <w:tcPr>
            <w:tcW w:w="180" w:type="dxa"/>
            <w:vAlign w:val="bottom"/>
            <w:shd w:val="clear" w:color="auto" w:fill="DBDBDB"/>
          </w:tcPr>
          <w:p>
            <w:pPr>
              <w:spacing w:after="0"/>
              <w:rPr>
                <w:sz w:val="14"/>
                <w:szCs w:val="14"/>
                <w:color w:val="auto"/>
              </w:rPr>
            </w:pPr>
          </w:p>
        </w:tc>
        <w:tc>
          <w:tcPr>
            <w:tcW w:w="16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6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comprehensive income</w:t>
            </w:r>
          </w:p>
        </w:tc>
        <w:tc>
          <w:tcPr>
            <w:tcW w:w="180" w:type="dxa"/>
            <w:vAlign w:val="bottom"/>
            <w:tcBorders>
              <w:bottom w:val="single" w:sz="8" w:color="auto"/>
            </w:tcBorders>
            <w:shd w:val="clear" w:color="auto" w:fill="DBDBDB"/>
          </w:tcPr>
          <w:p>
            <w:pPr>
              <w:spacing w:after="0"/>
              <w:rPr>
                <w:sz w:val="15"/>
                <w:szCs w:val="15"/>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(1,299)</w:t>
            </w:r>
          </w:p>
        </w:tc>
        <w:tc>
          <w:tcPr>
            <w:tcW w:w="10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(1,673)</w:t>
            </w:r>
          </w:p>
        </w:tc>
        <w:tc>
          <w:tcPr>
            <w:tcW w:w="100" w:type="dxa"/>
            <w:vAlign w:val="bottom"/>
            <w:tcBorders>
              <w:bottom w:val="single" w:sz="8" w:color="auto"/>
            </w:tcBorders>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(2,972)</w:t>
            </w:r>
          </w:p>
        </w:tc>
        <w:tc>
          <w:tcPr>
            <w:tcW w:w="0" w:type="dxa"/>
            <w:vAlign w:val="bottom"/>
          </w:tcPr>
          <w:p>
            <w:pPr>
              <w:spacing w:after="0"/>
              <w:rPr>
                <w:sz w:val="1"/>
                <w:szCs w:val="1"/>
                <w:color w:val="auto"/>
              </w:rPr>
            </w:pPr>
          </w:p>
        </w:tc>
      </w:tr>
      <w:tr>
        <w:trPr>
          <w:trHeight w:val="186"/>
        </w:trPr>
        <w:tc>
          <w:tcPr>
            <w:tcW w:w="5700" w:type="dxa"/>
            <w:vAlign w:val="bottom"/>
          </w:tcPr>
          <w:p>
            <w:pPr>
              <w:ind w:left="20"/>
              <w:spacing w:after="0"/>
              <w:rPr>
                <w:sz w:val="20"/>
                <w:szCs w:val="20"/>
                <w:color w:val="auto"/>
              </w:rPr>
            </w:pPr>
            <w:r>
              <w:rPr>
                <w:rFonts w:ascii="Arial" w:cs="Arial" w:eastAsia="Arial" w:hAnsi="Arial"/>
                <w:sz w:val="15"/>
                <w:szCs w:val="15"/>
                <w:color w:val="auto"/>
              </w:rPr>
              <w:t>Balance at June 30, 2020</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(66,260)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(18,547)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(84,807)</w:t>
            </w:r>
          </w:p>
        </w:tc>
        <w:tc>
          <w:tcPr>
            <w:tcW w:w="0" w:type="dxa"/>
            <w:vAlign w:val="bottom"/>
          </w:tcPr>
          <w:p>
            <w:pPr>
              <w:spacing w:after="0"/>
              <w:rPr>
                <w:sz w:val="1"/>
                <w:szCs w:val="1"/>
                <w:color w:val="auto"/>
              </w:rPr>
            </w:pPr>
          </w:p>
        </w:tc>
      </w:tr>
      <w:tr>
        <w:trPr>
          <w:trHeight w:val="199"/>
        </w:trPr>
        <w:tc>
          <w:tcPr>
            <w:tcW w:w="5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prior to reclassifications</w:t>
            </w:r>
          </w:p>
        </w:tc>
        <w:tc>
          <w:tcPr>
            <w:tcW w:w="18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14,619</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947</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15,566</w:t>
            </w:r>
          </w:p>
        </w:tc>
        <w:tc>
          <w:tcPr>
            <w:tcW w:w="0" w:type="dxa"/>
            <w:vAlign w:val="bottom"/>
          </w:tcPr>
          <w:p>
            <w:pPr>
              <w:spacing w:after="0"/>
              <w:rPr>
                <w:sz w:val="1"/>
                <w:szCs w:val="1"/>
                <w:color w:val="auto"/>
              </w:rPr>
            </w:pPr>
          </w:p>
        </w:tc>
      </w:tr>
      <w:tr>
        <w:trPr>
          <w:trHeight w:val="194"/>
        </w:trPr>
        <w:tc>
          <w:tcPr>
            <w:tcW w:w="5700" w:type="dxa"/>
            <w:vAlign w:val="bottom"/>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2,958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2,958</w:t>
            </w:r>
          </w:p>
        </w:tc>
        <w:tc>
          <w:tcPr>
            <w:tcW w:w="0" w:type="dxa"/>
            <w:vAlign w:val="bottom"/>
          </w:tcPr>
          <w:p>
            <w:pPr>
              <w:spacing w:after="0"/>
              <w:rPr>
                <w:sz w:val="1"/>
                <w:szCs w:val="1"/>
                <w:color w:val="auto"/>
              </w:rPr>
            </w:pPr>
          </w:p>
        </w:tc>
      </w:tr>
      <w:tr>
        <w:trPr>
          <w:trHeight w:val="214"/>
        </w:trPr>
        <w:tc>
          <w:tcPr>
            <w:tcW w:w="5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September 30, 2020</w:t>
            </w:r>
          </w:p>
        </w:tc>
        <w:tc>
          <w:tcPr>
            <w:tcW w:w="18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(51,641)</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(14,642)</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400" w:type="dxa"/>
            <w:vAlign w:val="bottom"/>
            <w:tcBorders>
              <w:top w:val="single" w:sz="8" w:color="auto"/>
              <w:bottom w:val="single" w:sz="8" w:color="auto"/>
            </w:tcBorders>
            <w:shd w:val="clear" w:color="auto" w:fill="DBDBDB"/>
          </w:tcPr>
          <w:p>
            <w:pPr>
              <w:jc w:val="right"/>
              <w:ind w:right="226"/>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(66,283)</w:t>
            </w:r>
          </w:p>
        </w:tc>
        <w:tc>
          <w:tcPr>
            <w:tcW w:w="0" w:type="dxa"/>
            <w:vAlign w:val="bottom"/>
          </w:tcPr>
          <w:p>
            <w:pPr>
              <w:spacing w:after="0"/>
              <w:rPr>
                <w:sz w:val="1"/>
                <w:szCs w:val="1"/>
                <w:color w:val="auto"/>
              </w:rPr>
            </w:pPr>
          </w:p>
        </w:tc>
      </w:tr>
      <w:tr>
        <w:trPr>
          <w:trHeight w:val="20"/>
        </w:trPr>
        <w:tc>
          <w:tcPr>
            <w:tcW w:w="57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For the nine months ended September 30, 2021 and 2020, $9.0 million and $7.1 million, respectively, was reclassified from AOCI into the condensed consolidated statements of operations within interest expense related to the interest rate swaps discussed in Note 16. The Company recorded a tax expense of $0.7 million and $2.0 million for the three and nine months ended September 30, 2021, respectively, and an income tax benefit of $1.2 million for the three and nine months ended September 30, 2020 associated with this reclassification.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1D2758"/>
        </w:rPr>
        <w:t>NOTE 11 – Warrants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Warrants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2015 Public Warrants</w:t>
      </w:r>
    </w:p>
    <w:p>
      <w:pPr>
        <w:spacing w:after="0" w:line="67"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WillScot was incorporated under the name Double Eagle Acquisition Corporation ("DEAC") on June 26, 2015. On November 29, 2017, DEAC acquired WSII from Algeco Scotsman Global S.à.r.l., which is majority owned by an investment fund managed by TDR Capital, and DEAC domesticated to Delaware and changed its name to WillScot Corporation.</w:t>
      </w:r>
    </w:p>
    <w:p>
      <w:pPr>
        <w:spacing w:after="0" w:line="42"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As part of its initial public offering, DEAC issued warrants (the “2015 Public Warrants”). Each 2015 Public Warrant entitled the holder to purchase one-half of one share of Common Stock at a price of $5.75 per half share (or $11.50 per whole share), subject to adjustment. On January 24, 2020, the Company delivered a notice (the "Redemption Notice") to redeem all of its 2015 Public Warrants that remained unexercised on February 24, 2020. As further described in the Redemption Notice and permitted under the Warrant Agreement, holders of these warrants who exercised them following the date of the Redemption Notice were required to do so on a cashless basis. From January 1, 2020 through January 24, 2020, 796,610 warrants were exercised for cash, resulting in the Company receiving cash proceeds of $4.6 million and the Company issuing 398,305 shares of the Company's Class A Common Stock. After January 24, 2020 through February 24, 2020, 5,836,048 warrants were exercised on a cashless basis. An aggregate of 1,097,162 shares of the Company's Class A Common Stock was issued in connection with these exercises. On February 24, 2020, the Company completed the redemption of 38,509 remaining warrants under the Redemption Notice for $0.01 per warrant. No Public Warrants remain outstanding.</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2015 Private Warrants</w:t>
      </w:r>
    </w:p>
    <w:p>
      <w:pPr>
        <w:spacing w:after="0" w:line="67"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DEAC also issued warrants to purchase its Common Stock in a private placement concurrently with its initial public offering (the “2015 Private Warrants”). Each 2015 Private Warrant entitled the holder to purchase one-half of one share of Common Stock at a price of $5.75 per half share (or $11.50 per whole share), subject to adjustment. Additionally, if held by certain original investors (or their permitted assignees), the 2015 Private Warrants could be exercised on a cashless basis and are not subject to redemption. During the six months ended June 30, 2021, 3,055,000 2015 Private Warrants were repurchased for $25.5 million and cancelled. In addition, during the six months ended June 30, 2021, 9,655,000 warrants were exercised on a cashless basis, resulting in the issuance of 2,939,898 shares of Common Stock. As a result of these transactions, no 2015 private warrants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i w:val="1"/>
          <w:iCs w:val="1"/>
          <w:color w:val="1D2758"/>
        </w:rPr>
        <w:t>2018 Warrants</w:t>
      </w:r>
    </w:p>
    <w:p>
      <w:pPr>
        <w:spacing w:after="0" w:line="67"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4"/>
          <w:szCs w:val="14"/>
          <w:color w:val="auto"/>
        </w:rPr>
        <w:t>In connection with the Modular Space Holdings ("ModSpace") acquisition in 2018, WillScot issued warrants to purchase approximately 10.0 million shares of Common Stock (the "2018 Warrants") to former shareholders of ModSpace. Each 2018 Warrant entitles the holder thereof to purchase one share of Common Stock at an exercise price of $15.50 per share, subject to potential adjustment. The 2018 Warrants expire on November 29, 2022. During the nine months ended September 30, 2021, 223,310 of these 2018 Warrants were repurchased for $2.3 million and cancelled. In addition, during the nine months ended September 30, 2021, 2,981,195 2018 Warrants were exercised on a cashless basis, resulting in the issuance of 1,372,548 shares of common stock. At September 30, 2021, 6,525,736 2018 Warrants were outstanding.</w:t>
      </w:r>
    </w:p>
    <w:p>
      <w:pPr>
        <w:spacing w:after="0" w:line="31"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Company accounted for its warrants in the following ways: (i) the 2015 Public Warrants as liabilities through their final redemption in February 2020, (ii) the 2015 Private Warrants as liabilities through their final repurchase or exercise in May 2021, and (iii) the 2018 Warrants as liabilities until June 30, 2020, the date all issued and outstanding shares of the Company's Class B Common Stock were cancelled. Subsequent to June 30, 2020, the 2018 Warrants were equity classified.</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determined the following fair values for the outstanding common stock warrants recorded as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160" w:type="dxa"/>
            <w:vAlign w:val="bottom"/>
            <w:vMerge w:val="restart"/>
            <w:shd w:val="clear" w:color="auto" w:fill="1D2758"/>
          </w:tcPr>
          <w:p>
            <w:pPr>
              <w:ind w:left="2640"/>
              <w:spacing w:after="0"/>
              <w:rPr>
                <w:sz w:val="20"/>
                <w:szCs w:val="20"/>
                <w:color w:val="auto"/>
              </w:rPr>
            </w:pPr>
            <w:r>
              <w:rPr>
                <w:rFonts w:ascii="Arial" w:cs="Arial" w:eastAsia="Arial" w:hAnsi="Arial"/>
                <w:sz w:val="15"/>
                <w:szCs w:val="15"/>
                <w:b w:val="1"/>
                <w:bCs w:val="1"/>
                <w:color w:val="FFFFFF"/>
              </w:rPr>
              <w:t>September 30, 2021</w:t>
            </w:r>
          </w:p>
        </w:tc>
        <w:tc>
          <w:tcPr>
            <w:tcW w:w="840" w:type="dxa"/>
            <w:vAlign w:val="bottom"/>
            <w:shd w:val="clear" w:color="auto" w:fill="1D2758"/>
          </w:tcPr>
          <w:p>
            <w:pPr>
              <w:spacing w:after="0"/>
              <w:rPr>
                <w:sz w:val="18"/>
                <w:szCs w:val="18"/>
                <w:color w:val="auto"/>
              </w:rPr>
            </w:pPr>
          </w:p>
        </w:tc>
        <w:tc>
          <w:tcPr>
            <w:tcW w:w="2120" w:type="dxa"/>
            <w:vAlign w:val="bottom"/>
            <w:vMerge w:val="restart"/>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December 31, 2020</w:t>
            </w:r>
          </w:p>
        </w:tc>
        <w:tc>
          <w:tcPr>
            <w:tcW w:w="0" w:type="dxa"/>
            <w:vAlign w:val="bottom"/>
          </w:tcPr>
          <w:p>
            <w:pPr>
              <w:spacing w:after="0"/>
              <w:rPr>
                <w:sz w:val="1"/>
                <w:szCs w:val="1"/>
                <w:color w:val="auto"/>
              </w:rPr>
            </w:pPr>
          </w:p>
        </w:tc>
      </w:tr>
      <w:tr>
        <w:trPr>
          <w:trHeight w:val="67"/>
        </w:trPr>
        <w:tc>
          <w:tcPr>
            <w:tcW w:w="4120" w:type="dxa"/>
            <w:vAlign w:val="bottom"/>
            <w:shd w:val="clear" w:color="auto" w:fill="1D2758"/>
          </w:tcPr>
          <w:p>
            <w:pPr>
              <w:spacing w:after="0"/>
              <w:rPr>
                <w:sz w:val="5"/>
                <w:szCs w:val="5"/>
                <w:color w:val="auto"/>
              </w:rPr>
            </w:pPr>
          </w:p>
        </w:tc>
        <w:tc>
          <w:tcPr>
            <w:tcW w:w="4160" w:type="dxa"/>
            <w:vAlign w:val="bottom"/>
            <w:vMerge w:val="continue"/>
            <w:shd w:val="clear" w:color="auto" w:fill="1D2758"/>
          </w:tcPr>
          <w:p>
            <w:pPr>
              <w:spacing w:after="0"/>
              <w:rPr>
                <w:sz w:val="5"/>
                <w:szCs w:val="5"/>
                <w:color w:val="auto"/>
              </w:rPr>
            </w:pPr>
          </w:p>
        </w:tc>
        <w:tc>
          <w:tcPr>
            <w:tcW w:w="840" w:type="dxa"/>
            <w:vAlign w:val="bottom"/>
            <w:shd w:val="clear" w:color="auto" w:fill="1D2758"/>
          </w:tcPr>
          <w:p>
            <w:pPr>
              <w:spacing w:after="0"/>
              <w:rPr>
                <w:sz w:val="5"/>
                <w:szCs w:val="5"/>
                <w:color w:val="auto"/>
              </w:rPr>
            </w:pPr>
          </w:p>
        </w:tc>
        <w:tc>
          <w:tcPr>
            <w:tcW w:w="212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2015 Private Warrants</w:t>
            </w:r>
          </w:p>
        </w:tc>
        <w:tc>
          <w:tcPr>
            <w:tcW w:w="4160" w:type="dxa"/>
            <w:vAlign w:val="bottom"/>
            <w:shd w:val="clear" w:color="auto" w:fill="DBDBDB"/>
          </w:tcPr>
          <w:p>
            <w:pPr>
              <w:spacing w:after="0"/>
              <w:rPr>
                <w:sz w:val="17"/>
                <w:szCs w:val="17"/>
                <w:color w:val="auto"/>
              </w:rPr>
            </w:pPr>
          </w:p>
        </w:tc>
        <w:tc>
          <w:tcPr>
            <w:tcW w:w="840" w:type="dxa"/>
            <w:vAlign w:val="bottom"/>
            <w:shd w:val="clear" w:color="auto" w:fill="DBDBDB"/>
          </w:tcPr>
          <w:p>
            <w:pPr>
              <w:ind w:left="140"/>
              <w:spacing w:after="0"/>
              <w:rPr>
                <w:sz w:val="20"/>
                <w:szCs w:val="20"/>
                <w:color w:val="auto"/>
              </w:rPr>
            </w:pPr>
            <w:r>
              <w:rPr>
                <w:rFonts w:ascii="Arial" w:cs="Arial" w:eastAsia="Arial" w:hAnsi="Arial"/>
                <w:sz w:val="15"/>
                <w:szCs w:val="15"/>
                <w:color w:val="auto"/>
              </w:rPr>
              <w:t>N/A  $</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77,404</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1"/>
          <w:szCs w:val="21"/>
          <w:color w:val="1D2758"/>
        </w:rPr>
        <w:t>NOTE 12 – Income Taxes</w:t>
      </w:r>
    </w:p>
    <w:p>
      <w:pPr>
        <w:spacing w:after="0" w:line="10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 recorded $6.6 million and $36.0 million of income tax expense for the three and nine months ended September 30, 2021, respectively, and $66.7 million and $66.2 million of income tax benefit for the three and nine months ended September 30, 2020, respectively. The Company’s effective tax rate for the three and nine months ended September 30, 2021 was 9.8% and 29.5%, respectively. The Company's effective tax rate for the three and nine months ended September 30, 2020 was 91.7% and (1,247.5)%, respectively.</w:t>
      </w:r>
    </w:p>
    <w:p>
      <w:pPr>
        <w:spacing w:after="0" w:line="45"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effective tax rate for the three months ended September 30, 2021 differs from the US federal statutory rate of 21% primarily due to the reversal of approximately $12.8 million in reserves for uncertain tax positions (“UTP”) due to the expiration of relevant statutes of limitation. The effective tax rate for the nine months ended September 30, 2021 differs from the US federal statutory rate of 21% primarily due to the permanent add-backs related to fair value accounting on the Company’s warrants and executive compensation with an offset related to the discrete tax benefit from the reversal of reserves for UTP.</w:t>
      </w:r>
    </w:p>
    <w:p>
      <w:pPr>
        <w:spacing w:after="0" w:line="45"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effective tax rate for the three months ended September 30, 2020 is different from the US statutory rate of 21% primarily as a result of a pre-tax loss approximately equal to the discrete tax benefit from the reversal of the Company’s valuation allowance on net operating losses prior to the merger with Mobile Mini and the reversal of reserves for UTP due to the expiration of statutes of limitations. The effective tax rate for the nine months ended September 30, 2020 is different from the US statutory rate of 21% primarily as a result of discrete benefits from the reversal of valuation allowances and reserves for UTP.</w:t>
      </w:r>
    </w:p>
    <w:p>
      <w:pPr>
        <w:spacing w:after="0" w:line="367" w:lineRule="exact"/>
        <w:rPr>
          <w:sz w:val="20"/>
          <w:szCs w:val="20"/>
          <w:color w:val="auto"/>
        </w:rPr>
      </w:pPr>
    </w:p>
    <w:p>
      <w:pPr>
        <w:spacing w:after="0"/>
        <w:rPr>
          <w:sz w:val="20"/>
          <w:szCs w:val="20"/>
          <w:color w:val="auto"/>
        </w:rPr>
      </w:pPr>
      <w:r>
        <w:rPr>
          <w:rFonts w:ascii="Arial" w:cs="Arial" w:eastAsia="Arial" w:hAnsi="Arial"/>
          <w:sz w:val="21"/>
          <w:szCs w:val="21"/>
          <w:color w:val="1D2758"/>
        </w:rPr>
        <w:t>NOTE 13 - Fair Value Measures</w:t>
      </w:r>
    </w:p>
    <w:p>
      <w:pPr>
        <w:spacing w:after="0" w:line="101"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utilizes the suggested accounting guidance for the three levels of inputs that may be used to measure fair value:</w:t>
      </w:r>
    </w:p>
    <w:p>
      <w:pPr>
        <w:spacing w:after="0" w:line="8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4"/>
          <w:szCs w:val="14"/>
          <w:color w:val="auto"/>
        </w:rPr>
        <w:t>Observable inputs such as quoted prices in active markets for identical assets or liabilities;</w:t>
      </w:r>
    </w:p>
    <w:p>
      <w:pPr>
        <w:spacing w:after="0" w:line="2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4"/>
          <w:szCs w:val="14"/>
          <w:color w:val="auto"/>
        </w:rPr>
        <w:t>Observable inputs, other than Level 1 inputs in active markets, that are observable either directly or indirectly; and</w:t>
      </w:r>
    </w:p>
    <w:p>
      <w:pPr>
        <w:spacing w:after="0" w:line="2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4"/>
          <w:szCs w:val="14"/>
          <w:color w:val="auto"/>
        </w:rPr>
        <w:t>Unobservable inputs for which there is little or no market data, which require the reporting entity to develop its own assumptions</w:t>
      </w:r>
    </w:p>
    <w:p>
      <w:pPr>
        <w:spacing w:after="0" w:line="18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September 30, 2021 approximate their respective book values.</w:t>
      </w:r>
    </w:p>
    <w:p>
      <w:pPr>
        <w:spacing w:after="0" w:line="42"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Prior to their redemption, the Company’s 2015 Public Warrants traded in active markets. When classified as liabilities, warrants traded in active markets with sufficient trading volume represent Level 1 financial instruments as they are publicly traded in active markets and thus have observable market prices which are used to estimate the fair value adjustments for the related common stock warrant liabilities. When classified as liabilities, warrants not traded in active markets, or traded with insufficient volume, represent Level 3 financial instruments that are valued using a Black-Scholes option-pricing model to estimate the fair value adjustments for the related common stock warrant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2" w:name="page23"/>
    <w:bookmarkEnd w:id="22"/>
    <w:p>
      <w:pPr>
        <w:jc w:val="both"/>
        <w:ind w:firstLine="590"/>
        <w:spacing w:after="0" w:line="246" w:lineRule="auto"/>
        <w:rPr>
          <w:sz w:val="20"/>
          <w:szCs w:val="20"/>
          <w:color w:val="auto"/>
        </w:rPr>
      </w:pPr>
      <w:r>
        <w:rPr>
          <w:rFonts w:ascii="Arial" w:cs="Arial" w:eastAsia="Arial" w:hAnsi="Arial"/>
          <w:sz w:val="15"/>
          <w:szCs w:val="15"/>
          <w:color w:val="auto"/>
        </w:rPr>
        <w:t>The following table shows the carrying amounts and fair values of financial liabilities which are disclosed, but not measured, at fair value, including their levels in the fair value hierarchy: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4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96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2060" w:type="dxa"/>
            <w:vAlign w:val="bottom"/>
            <w:gridSpan w:val="2"/>
            <w:shd w:val="clear" w:color="auto" w:fill="1D2758"/>
          </w:tcPr>
          <w:p>
            <w:pPr>
              <w:jc w:val="right"/>
              <w:ind w:right="366"/>
              <w:spacing w:after="0"/>
              <w:rPr>
                <w:sz w:val="20"/>
                <w:szCs w:val="20"/>
                <w:color w:val="auto"/>
              </w:rPr>
            </w:pPr>
            <w:r>
              <w:rPr>
                <w:rFonts w:ascii="Arial" w:cs="Arial" w:eastAsia="Arial" w:hAnsi="Arial"/>
                <w:sz w:val="15"/>
                <w:szCs w:val="15"/>
                <w:b w:val="1"/>
                <w:bCs w:val="1"/>
                <w:color w:val="FFFFFF"/>
              </w:rPr>
              <w:t>September 30, 2021</w:t>
            </w:r>
          </w:p>
        </w:tc>
        <w:tc>
          <w:tcPr>
            <w:tcW w:w="240" w:type="dxa"/>
            <w:vAlign w:val="bottom"/>
            <w:shd w:val="clear" w:color="auto" w:fill="1D2758"/>
          </w:tcPr>
          <w:p>
            <w:pPr>
              <w:spacing w:after="0"/>
              <w:rPr>
                <w:sz w:val="16"/>
                <w:szCs w:val="16"/>
                <w:color w:val="auto"/>
              </w:rPr>
            </w:pPr>
          </w:p>
        </w:tc>
        <w:tc>
          <w:tcPr>
            <w:tcW w:w="1140" w:type="dxa"/>
            <w:vAlign w:val="bottom"/>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2060" w:type="dxa"/>
            <w:vAlign w:val="bottom"/>
            <w:gridSpan w:val="2"/>
            <w:shd w:val="clear" w:color="auto" w:fill="1D2758"/>
          </w:tcPr>
          <w:p>
            <w:pPr>
              <w:jc w:val="right"/>
              <w:ind w:right="386"/>
              <w:spacing w:after="0"/>
              <w:rPr>
                <w:sz w:val="20"/>
                <w:szCs w:val="20"/>
                <w:color w:val="auto"/>
              </w:rPr>
            </w:pPr>
            <w:r>
              <w:rPr>
                <w:rFonts w:ascii="Arial" w:cs="Arial" w:eastAsia="Arial" w:hAnsi="Arial"/>
                <w:sz w:val="15"/>
                <w:szCs w:val="15"/>
                <w:b w:val="1"/>
                <w:bCs w:val="1"/>
                <w:color w:val="FFFFFF"/>
              </w:rPr>
              <w:t>December 31, 2020</w:t>
            </w:r>
          </w:p>
        </w:tc>
        <w:tc>
          <w:tcPr>
            <w:tcW w:w="240" w:type="dxa"/>
            <w:vAlign w:val="bottom"/>
            <w:shd w:val="clear" w:color="auto" w:fill="1D2758"/>
          </w:tcPr>
          <w:p>
            <w:pPr>
              <w:spacing w:after="0"/>
              <w:rPr>
                <w:sz w:val="16"/>
                <w:szCs w:val="16"/>
                <w:color w:val="auto"/>
              </w:rPr>
            </w:pPr>
          </w:p>
        </w:tc>
        <w:tc>
          <w:tcPr>
            <w:tcW w:w="94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vMerge w:val="restart"/>
            <w:shd w:val="clear" w:color="auto" w:fill="1D2758"/>
          </w:tcPr>
          <w:p>
            <w:pPr>
              <w:jc w:val="right"/>
              <w:ind w:right="186"/>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7"/>
                <w:szCs w:val="17"/>
                <w:color w:val="auto"/>
              </w:rPr>
            </w:pPr>
          </w:p>
        </w:tc>
        <w:tc>
          <w:tcPr>
            <w:tcW w:w="1140" w:type="dxa"/>
            <w:vAlign w:val="bottom"/>
            <w:shd w:val="clear" w:color="auto" w:fill="1D2758"/>
          </w:tcPr>
          <w:p>
            <w:pPr>
              <w:spacing w:after="0"/>
              <w:rPr>
                <w:sz w:val="17"/>
                <w:szCs w:val="17"/>
                <w:color w:val="auto"/>
              </w:rPr>
            </w:pPr>
          </w:p>
        </w:tc>
        <w:tc>
          <w:tcPr>
            <w:tcW w:w="940" w:type="dxa"/>
            <w:vAlign w:val="bottom"/>
            <w:vMerge w:val="restart"/>
            <w:shd w:val="clear" w:color="auto" w:fill="1D2758"/>
          </w:tcPr>
          <w:p>
            <w:pPr>
              <w:jc w:val="right"/>
              <w:ind w:right="186"/>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9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7"/>
                <w:szCs w:val="7"/>
                <w:color w:val="auto"/>
              </w:rPr>
            </w:pP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60" w:type="dxa"/>
            <w:vAlign w:val="bottom"/>
            <w:vMerge w:val="restart"/>
            <w:shd w:val="clear" w:color="auto" w:fill="1D2758"/>
          </w:tcPr>
          <w:p>
            <w:pPr>
              <w:jc w:val="right"/>
              <w:ind w:right="226"/>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1140" w:type="dxa"/>
            <w:vAlign w:val="bottom"/>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Level 3</w:t>
            </w:r>
          </w:p>
        </w:tc>
        <w:tc>
          <w:tcPr>
            <w:tcW w:w="94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60" w:type="dxa"/>
            <w:vAlign w:val="bottom"/>
            <w:vMerge w:val="restart"/>
            <w:shd w:val="clear" w:color="auto" w:fill="1D2758"/>
          </w:tcPr>
          <w:p>
            <w:pPr>
              <w:jc w:val="right"/>
              <w:ind w:right="226"/>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940" w:type="dxa"/>
            <w:vAlign w:val="bottom"/>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rPr>
                <w:sz w:val="1"/>
                <w:szCs w:val="1"/>
                <w:color w:val="auto"/>
              </w:rPr>
            </w:pPr>
          </w:p>
        </w:tc>
      </w:tr>
      <w:tr>
        <w:trPr>
          <w:trHeight w:val="196"/>
        </w:trPr>
        <w:tc>
          <w:tcPr>
            <w:tcW w:w="194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06"/>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96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40" w:type="dxa"/>
            <w:vAlign w:val="bottom"/>
            <w:vMerge w:val="continue"/>
            <w:shd w:val="clear" w:color="auto" w:fill="1D2758"/>
          </w:tcPr>
          <w:p>
            <w:pPr>
              <w:spacing w:after="0"/>
              <w:rPr>
                <w:sz w:val="17"/>
                <w:szCs w:val="17"/>
                <w:color w:val="auto"/>
              </w:rPr>
            </w:pPr>
          </w:p>
        </w:tc>
        <w:tc>
          <w:tcPr>
            <w:tcW w:w="940" w:type="dxa"/>
            <w:vAlign w:val="bottom"/>
            <w:shd w:val="clear" w:color="auto" w:fill="1D2758"/>
          </w:tcPr>
          <w:p>
            <w:pPr>
              <w:jc w:val="right"/>
              <w:ind w:right="206"/>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96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9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94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40" w:type="dxa"/>
            <w:vAlign w:val="bottom"/>
            <w:shd w:val="clear" w:color="auto" w:fill="1D2758"/>
          </w:tcPr>
          <w:p>
            <w:pPr>
              <w:spacing w:after="0"/>
              <w:rPr>
                <w:sz w:val="7"/>
                <w:szCs w:val="7"/>
                <w:color w:val="auto"/>
              </w:rPr>
            </w:pPr>
          </w:p>
        </w:tc>
        <w:tc>
          <w:tcPr>
            <w:tcW w:w="94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94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ABL Facilities</w:t>
            </w:r>
          </w:p>
        </w:tc>
        <w:tc>
          <w:tcPr>
            <w:tcW w:w="1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1,521,518</w:t>
            </w:r>
          </w:p>
        </w:tc>
        <w:tc>
          <w:tcPr>
            <w:tcW w:w="24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1,555,500</w:t>
            </w:r>
          </w:p>
        </w:tc>
        <w:tc>
          <w:tcPr>
            <w:tcW w:w="24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BDBDB"/>
          </w:tcPr>
          <w:p>
            <w:pPr>
              <w:ind w:left="740"/>
              <w:spacing w:after="0"/>
              <w:rPr>
                <w:sz w:val="20"/>
                <w:szCs w:val="20"/>
                <w:color w:val="auto"/>
              </w:rPr>
            </w:pPr>
            <w:r>
              <w:rPr>
                <w:rFonts w:ascii="Arial" w:cs="Arial" w:eastAsia="Arial" w:hAnsi="Arial"/>
                <w:sz w:val="15"/>
                <w:szCs w:val="15"/>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1,263,833</w:t>
            </w:r>
          </w:p>
        </w:tc>
        <w:tc>
          <w:tcPr>
            <w:tcW w:w="24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1,304,612</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940" w:type="dxa"/>
            <w:vAlign w:val="bottom"/>
          </w:tcPr>
          <w:p>
            <w:pPr>
              <w:ind w:left="20"/>
              <w:spacing w:after="0"/>
              <w:rPr>
                <w:sz w:val="20"/>
                <w:szCs w:val="20"/>
                <w:color w:val="auto"/>
              </w:rPr>
            </w:pPr>
            <w:r>
              <w:rPr>
                <w:rFonts w:ascii="Arial" w:cs="Arial" w:eastAsia="Arial" w:hAnsi="Arial"/>
                <w:sz w:val="15"/>
                <w:szCs w:val="15"/>
                <w:color w:val="auto"/>
              </w:rPr>
              <w:t>2025 Secured Notes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517,581</w:t>
            </w:r>
          </w:p>
        </w:tc>
        <w:tc>
          <w:tcPr>
            <w:tcW w:w="240" w:type="dxa"/>
            <w:vAlign w:val="bottom"/>
          </w:tcPr>
          <w:p>
            <w:pPr>
              <w:spacing w:after="0"/>
              <w:rPr>
                <w:sz w:val="16"/>
                <w:szCs w:val="16"/>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556,374</w:t>
            </w:r>
          </w:p>
        </w:tc>
        <w:tc>
          <w:tcPr>
            <w:tcW w:w="240" w:type="dxa"/>
            <w:vAlign w:val="bottom"/>
          </w:tcPr>
          <w:p>
            <w:pPr>
              <w:spacing w:after="0"/>
              <w:rPr>
                <w:sz w:val="16"/>
                <w:szCs w:val="16"/>
                <w:color w:val="auto"/>
              </w:rPr>
            </w:pPr>
          </w:p>
        </w:tc>
        <w:tc>
          <w:tcPr>
            <w:tcW w:w="1140" w:type="dxa"/>
            <w:vAlign w:val="bottom"/>
          </w:tcPr>
          <w:p>
            <w:pPr>
              <w:ind w:left="7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637,068</w:t>
            </w:r>
          </w:p>
        </w:tc>
        <w:tc>
          <w:tcPr>
            <w:tcW w:w="240" w:type="dxa"/>
            <w:vAlign w:val="bottom"/>
          </w:tcPr>
          <w:p>
            <w:pPr>
              <w:spacing w:after="0"/>
              <w:rPr>
                <w:sz w:val="16"/>
                <w:szCs w:val="16"/>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694,876</w:t>
            </w:r>
          </w:p>
        </w:tc>
        <w:tc>
          <w:tcPr>
            <w:tcW w:w="240" w:type="dxa"/>
            <w:vAlign w:val="bottom"/>
          </w:tcPr>
          <w:p>
            <w:pPr>
              <w:spacing w:after="0"/>
              <w:rPr>
                <w:sz w:val="16"/>
                <w:szCs w:val="16"/>
                <w:color w:val="auto"/>
              </w:rPr>
            </w:pPr>
          </w:p>
        </w:tc>
        <w:tc>
          <w:tcPr>
            <w:tcW w:w="940" w:type="dxa"/>
            <w:vAlign w:val="bottom"/>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1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492,253</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521,435</w:t>
            </w:r>
          </w:p>
        </w:tc>
        <w:tc>
          <w:tcPr>
            <w:tcW w:w="2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491,555</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518,820</w:t>
            </w:r>
          </w:p>
        </w:tc>
        <w:tc>
          <w:tcPr>
            <w:tcW w:w="24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2,531,352</w:t>
            </w: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2,633,309</w:t>
            </w: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2,392,456</w:t>
            </w: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2,518,308</w:t>
            </w:r>
          </w:p>
        </w:tc>
        <w:tc>
          <w:tcPr>
            <w:tcW w:w="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As of September 30, 2021, the carrying values of the ABL Facilities, the 2025 Secured Notes, and the 2028 Secured Notes include $34.0 million, $8.9 million, and $7.7 million, respectively, of unamortized debt issuance costs, which are presented as a direct reduction of the corresponding liability. As of December 31, 2020, the carrying value of the ABL Facilities, the 2025 Secured Notes, and the 2028 Secured Notes includes $40.8 million, $12.9 million, and $8.4 million, respectively, of unamortized debt issuance costs, which are presented as a direct reduction of the corresponding liability.</w:t>
      </w:r>
    </w:p>
    <w:p>
      <w:pPr>
        <w:spacing w:after="0" w:line="45"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carrying value of the ABL Facilities, excluding debt issuance costs, approximates fair value as the interest rates are variable and reflective of current market rates. The fair value of the 2025 Secured Notes and the 2028 Secured Notes is based on their last trading price at the end of each period obtained from a third party. The classification and the fair value of derivative assets and liabilities designated as hedges in the condensed consolidated balance sheets are disclosed in Note 16.</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shows the carrying amounts and fair values of financial liabilities which are measured at fair value: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160" w:type="dxa"/>
            <w:vAlign w:val="bottom"/>
            <w:shd w:val="clear" w:color="auto" w:fill="1D2758"/>
          </w:tcPr>
          <w:p>
            <w:pPr>
              <w:spacing w:after="0"/>
              <w:rPr>
                <w:sz w:val="17"/>
                <w:szCs w:val="17"/>
                <w:color w:val="auto"/>
              </w:rPr>
            </w:pPr>
          </w:p>
        </w:tc>
        <w:tc>
          <w:tcPr>
            <w:tcW w:w="2280" w:type="dxa"/>
            <w:vAlign w:val="bottom"/>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September 30, 2021</w:t>
            </w:r>
          </w:p>
        </w:tc>
        <w:tc>
          <w:tcPr>
            <w:tcW w:w="112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840" w:type="dxa"/>
            <w:vAlign w:val="bottom"/>
            <w:gridSpan w:val="2"/>
            <w:shd w:val="clear" w:color="auto" w:fill="1D2758"/>
          </w:tcPr>
          <w:p>
            <w:pPr>
              <w:jc w:val="center"/>
              <w:ind w:right="6"/>
              <w:spacing w:after="0"/>
              <w:rPr>
                <w:sz w:val="20"/>
                <w:szCs w:val="20"/>
                <w:color w:val="auto"/>
              </w:rPr>
            </w:pPr>
            <w:r>
              <w:rPr>
                <w:rFonts w:ascii="Arial" w:cs="Arial" w:eastAsia="Arial" w:hAnsi="Arial"/>
                <w:sz w:val="15"/>
                <w:szCs w:val="15"/>
                <w:b w:val="1"/>
                <w:bCs w:val="1"/>
                <w:color w:val="FFFFFF"/>
                <w:w w:val="97"/>
              </w:rPr>
              <w:t>December 31, 2020</w:t>
            </w:r>
          </w:p>
        </w:tc>
        <w:tc>
          <w:tcPr>
            <w:tcW w:w="420" w:type="dxa"/>
            <w:vAlign w:val="bottom"/>
            <w:shd w:val="clear" w:color="auto" w:fill="1D2758"/>
          </w:tcPr>
          <w:p>
            <w:pPr>
              <w:spacing w:after="0"/>
              <w:rPr>
                <w:sz w:val="17"/>
                <w:szCs w:val="17"/>
                <w:color w:val="auto"/>
              </w:rPr>
            </w:pPr>
          </w:p>
        </w:tc>
        <w:tc>
          <w:tcPr>
            <w:tcW w:w="8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160" w:type="dxa"/>
            <w:vAlign w:val="bottom"/>
            <w:vMerge w:val="restart"/>
            <w:shd w:val="clear" w:color="auto" w:fill="1D2758"/>
          </w:tcPr>
          <w:p>
            <w:pPr>
              <w:jc w:val="center"/>
              <w:ind w:right="306"/>
              <w:spacing w:after="0"/>
              <w:rPr>
                <w:sz w:val="20"/>
                <w:szCs w:val="20"/>
                <w:color w:val="auto"/>
              </w:rPr>
            </w:pPr>
            <w:r>
              <w:rPr>
                <w:rFonts w:ascii="Arial" w:cs="Arial" w:eastAsia="Arial" w:hAnsi="Arial"/>
                <w:sz w:val="15"/>
                <w:szCs w:val="15"/>
                <w:b w:val="1"/>
                <w:bCs w:val="1"/>
                <w:color w:val="FFFFFF"/>
              </w:rPr>
              <w:t>Carrying</w:t>
            </w:r>
          </w:p>
        </w:tc>
        <w:tc>
          <w:tcPr>
            <w:tcW w:w="1100" w:type="dxa"/>
            <w:vAlign w:val="bottom"/>
            <w:shd w:val="clear" w:color="auto" w:fill="1D2758"/>
          </w:tcPr>
          <w:p>
            <w:pPr>
              <w:spacing w:after="0"/>
              <w:rPr>
                <w:sz w:val="17"/>
                <w:szCs w:val="17"/>
                <w:color w:val="auto"/>
              </w:rPr>
            </w:pPr>
          </w:p>
        </w:tc>
        <w:tc>
          <w:tcPr>
            <w:tcW w:w="1180" w:type="dxa"/>
            <w:vAlign w:val="bottom"/>
            <w:shd w:val="clear" w:color="auto" w:fill="1D2758"/>
          </w:tcPr>
          <w:p>
            <w:pPr>
              <w:jc w:val="center"/>
              <w:ind w:right="286"/>
              <w:spacing w:after="0"/>
              <w:rPr>
                <w:sz w:val="20"/>
                <w:szCs w:val="20"/>
                <w:color w:val="auto"/>
              </w:rPr>
            </w:pPr>
            <w:r>
              <w:rPr>
                <w:rFonts w:ascii="Arial" w:cs="Arial" w:eastAsia="Arial" w:hAnsi="Arial"/>
                <w:sz w:val="15"/>
                <w:szCs w:val="15"/>
                <w:b w:val="1"/>
                <w:bCs w:val="1"/>
                <w:color w:val="FFFFFF"/>
                <w:w w:val="97"/>
              </w:rPr>
              <w:t>Fair Value</w:t>
            </w:r>
          </w:p>
        </w:tc>
        <w:tc>
          <w:tcPr>
            <w:tcW w:w="1120" w:type="dxa"/>
            <w:vAlign w:val="bottom"/>
            <w:shd w:val="clear" w:color="auto" w:fill="1D2758"/>
          </w:tcPr>
          <w:p>
            <w:pPr>
              <w:spacing w:after="0"/>
              <w:rPr>
                <w:sz w:val="17"/>
                <w:szCs w:val="17"/>
                <w:color w:val="auto"/>
              </w:rPr>
            </w:pPr>
          </w:p>
        </w:tc>
        <w:tc>
          <w:tcPr>
            <w:tcW w:w="940" w:type="dxa"/>
            <w:vAlign w:val="bottom"/>
            <w:vMerge w:val="restart"/>
            <w:shd w:val="clear" w:color="auto" w:fill="1D2758"/>
          </w:tcPr>
          <w:p>
            <w:pPr>
              <w:jc w:val="right"/>
              <w:ind w:right="166"/>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7"/>
                <w:szCs w:val="17"/>
                <w:color w:val="auto"/>
              </w:rPr>
            </w:pPr>
          </w:p>
        </w:tc>
        <w:tc>
          <w:tcPr>
            <w:tcW w:w="660" w:type="dxa"/>
            <w:vAlign w:val="bottom"/>
            <w:shd w:val="clear" w:color="auto" w:fill="1D2758"/>
          </w:tcPr>
          <w:p>
            <w:pPr>
              <w:spacing w:after="0"/>
              <w:rPr>
                <w:sz w:val="17"/>
                <w:szCs w:val="17"/>
                <w:color w:val="auto"/>
              </w:rPr>
            </w:pPr>
          </w:p>
        </w:tc>
        <w:tc>
          <w:tcPr>
            <w:tcW w:w="1180" w:type="dxa"/>
            <w:vAlign w:val="bottom"/>
            <w:shd w:val="clear" w:color="auto" w:fill="1D2758"/>
          </w:tcPr>
          <w:p>
            <w:pPr>
              <w:ind w:left="440"/>
              <w:spacing w:after="0"/>
              <w:rPr>
                <w:sz w:val="20"/>
                <w:szCs w:val="20"/>
                <w:color w:val="auto"/>
              </w:rPr>
            </w:pPr>
            <w:r>
              <w:rPr>
                <w:rFonts w:ascii="Arial" w:cs="Arial" w:eastAsia="Arial" w:hAnsi="Arial"/>
                <w:sz w:val="15"/>
                <w:szCs w:val="15"/>
                <w:b w:val="1"/>
                <w:bCs w:val="1"/>
                <w:color w:val="FFFFFF"/>
              </w:rPr>
              <w:t>Fair Value</w:t>
            </w:r>
          </w:p>
        </w:tc>
        <w:tc>
          <w:tcPr>
            <w:tcW w:w="420" w:type="dxa"/>
            <w:vAlign w:val="bottom"/>
            <w:shd w:val="clear" w:color="auto" w:fill="1D2758"/>
          </w:tcPr>
          <w:p>
            <w:pPr>
              <w:spacing w:after="0"/>
              <w:rPr>
                <w:sz w:val="17"/>
                <w:szCs w:val="17"/>
                <w:color w:val="auto"/>
              </w:rPr>
            </w:pPr>
          </w:p>
        </w:tc>
        <w:tc>
          <w:tcPr>
            <w:tcW w:w="8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2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7"/>
                <w:szCs w:val="7"/>
                <w:color w:val="auto"/>
              </w:rPr>
            </w:pPr>
          </w:p>
        </w:tc>
        <w:tc>
          <w:tcPr>
            <w:tcW w:w="1160" w:type="dxa"/>
            <w:vAlign w:val="bottom"/>
            <w:vMerge w:val="continue"/>
            <w:shd w:val="clear" w:color="auto" w:fill="1D2758"/>
          </w:tcPr>
          <w:p>
            <w:pPr>
              <w:spacing w:after="0"/>
              <w:rPr>
                <w:sz w:val="7"/>
                <w:szCs w:val="7"/>
                <w:color w:val="auto"/>
              </w:rPr>
            </w:pPr>
          </w:p>
        </w:tc>
        <w:tc>
          <w:tcPr>
            <w:tcW w:w="1100" w:type="dxa"/>
            <w:vAlign w:val="bottom"/>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Level 1</w:t>
            </w:r>
          </w:p>
        </w:tc>
        <w:tc>
          <w:tcPr>
            <w:tcW w:w="1180" w:type="dxa"/>
            <w:vAlign w:val="bottom"/>
            <w:vMerge w:val="restart"/>
            <w:shd w:val="clear" w:color="auto" w:fill="1D2758"/>
          </w:tcPr>
          <w:p>
            <w:pPr>
              <w:jc w:val="center"/>
              <w:ind w:right="286"/>
              <w:spacing w:after="0"/>
              <w:rPr>
                <w:sz w:val="20"/>
                <w:szCs w:val="20"/>
                <w:color w:val="auto"/>
              </w:rPr>
            </w:pPr>
            <w:r>
              <w:rPr>
                <w:rFonts w:ascii="Arial" w:cs="Arial" w:eastAsia="Arial" w:hAnsi="Arial"/>
                <w:sz w:val="15"/>
                <w:szCs w:val="15"/>
                <w:b w:val="1"/>
                <w:bCs w:val="1"/>
                <w:color w:val="FFFFFF"/>
                <w:w w:val="98"/>
              </w:rPr>
              <w:t>Level 2</w:t>
            </w:r>
          </w:p>
        </w:tc>
        <w:tc>
          <w:tcPr>
            <w:tcW w:w="1120" w:type="dxa"/>
            <w:vAlign w:val="bottom"/>
            <w:vMerge w:val="restart"/>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rPr>
              <w:t>Level 3</w:t>
            </w:r>
          </w:p>
        </w:tc>
        <w:tc>
          <w:tcPr>
            <w:tcW w:w="94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66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1180" w:type="dxa"/>
            <w:vAlign w:val="bottom"/>
            <w:vMerge w:val="restart"/>
            <w:shd w:val="clear" w:color="auto" w:fill="1D2758"/>
          </w:tcPr>
          <w:p>
            <w:pPr>
              <w:ind w:left="600"/>
              <w:spacing w:after="0"/>
              <w:rPr>
                <w:sz w:val="20"/>
                <w:szCs w:val="20"/>
                <w:color w:val="auto"/>
              </w:rPr>
            </w:pPr>
            <w:r>
              <w:rPr>
                <w:rFonts w:ascii="Arial" w:cs="Arial" w:eastAsia="Arial" w:hAnsi="Arial"/>
                <w:sz w:val="15"/>
                <w:szCs w:val="15"/>
                <w:b w:val="1"/>
                <w:bCs w:val="1"/>
                <w:color w:val="FFFFFF"/>
              </w:rPr>
              <w:t>Level 2</w:t>
            </w:r>
          </w:p>
        </w:tc>
        <w:tc>
          <w:tcPr>
            <w:tcW w:w="420" w:type="dxa"/>
            <w:vAlign w:val="bottom"/>
            <w:shd w:val="clear" w:color="auto" w:fill="1D2758"/>
          </w:tcPr>
          <w:p>
            <w:pPr>
              <w:spacing w:after="0"/>
              <w:rPr>
                <w:sz w:val="7"/>
                <w:szCs w:val="7"/>
                <w:color w:val="auto"/>
              </w:rPr>
            </w:pPr>
          </w:p>
        </w:tc>
        <w:tc>
          <w:tcPr>
            <w:tcW w:w="860" w:type="dxa"/>
            <w:vAlign w:val="bottom"/>
            <w:vMerge w:val="restart"/>
            <w:shd w:val="clear" w:color="auto" w:fill="1D2758"/>
          </w:tcPr>
          <w:p>
            <w:pPr>
              <w:jc w:val="right"/>
              <w:ind w:right="186"/>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rPr>
                <w:sz w:val="1"/>
                <w:szCs w:val="1"/>
                <w:color w:val="auto"/>
              </w:rPr>
            </w:pPr>
          </w:p>
        </w:tc>
      </w:tr>
      <w:tr>
        <w:trPr>
          <w:trHeight w:val="196"/>
        </w:trPr>
        <w:tc>
          <w:tcPr>
            <w:tcW w:w="220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160" w:type="dxa"/>
            <w:vAlign w:val="bottom"/>
            <w:shd w:val="clear" w:color="auto" w:fill="1D2758"/>
          </w:tcPr>
          <w:p>
            <w:pPr>
              <w:jc w:val="center"/>
              <w:ind w:right="286"/>
              <w:spacing w:after="0"/>
              <w:rPr>
                <w:sz w:val="20"/>
                <w:szCs w:val="20"/>
                <w:color w:val="auto"/>
              </w:rPr>
            </w:pPr>
            <w:r>
              <w:rPr>
                <w:rFonts w:ascii="Arial" w:cs="Arial" w:eastAsia="Arial" w:hAnsi="Arial"/>
                <w:sz w:val="15"/>
                <w:szCs w:val="15"/>
                <w:b w:val="1"/>
                <w:bCs w:val="1"/>
                <w:color w:val="FFFFFF"/>
                <w:w w:val="98"/>
              </w:rPr>
              <w:t>Amount</w:t>
            </w:r>
          </w:p>
        </w:tc>
        <w:tc>
          <w:tcPr>
            <w:tcW w:w="1100" w:type="dxa"/>
            <w:vAlign w:val="bottom"/>
            <w:vMerge w:val="continue"/>
            <w:shd w:val="clear" w:color="auto" w:fill="1D2758"/>
          </w:tcPr>
          <w:p>
            <w:pPr>
              <w:spacing w:after="0"/>
              <w:rPr>
                <w:sz w:val="17"/>
                <w:szCs w:val="17"/>
                <w:color w:val="auto"/>
              </w:rPr>
            </w:pPr>
          </w:p>
        </w:tc>
        <w:tc>
          <w:tcPr>
            <w:tcW w:w="1180" w:type="dxa"/>
            <w:vAlign w:val="bottom"/>
            <w:vMerge w:val="continue"/>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940" w:type="dxa"/>
            <w:vAlign w:val="bottom"/>
            <w:shd w:val="clear" w:color="auto" w:fill="1D2758"/>
          </w:tcPr>
          <w:p>
            <w:pPr>
              <w:jc w:val="right"/>
              <w:ind w:right="186"/>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7"/>
                <w:szCs w:val="17"/>
                <w:color w:val="auto"/>
              </w:rPr>
            </w:pPr>
          </w:p>
        </w:tc>
        <w:tc>
          <w:tcPr>
            <w:tcW w:w="660" w:type="dxa"/>
            <w:vAlign w:val="bottom"/>
            <w:vMerge w:val="continue"/>
            <w:shd w:val="clear" w:color="auto" w:fill="1D2758"/>
          </w:tcPr>
          <w:p>
            <w:pPr>
              <w:spacing w:after="0"/>
              <w:rPr>
                <w:sz w:val="17"/>
                <w:szCs w:val="17"/>
                <w:color w:val="auto"/>
              </w:rPr>
            </w:pPr>
          </w:p>
        </w:tc>
        <w:tc>
          <w:tcPr>
            <w:tcW w:w="1180" w:type="dxa"/>
            <w:vAlign w:val="bottom"/>
            <w:vMerge w:val="continue"/>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86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20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16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1180" w:type="dxa"/>
            <w:vAlign w:val="bottom"/>
            <w:shd w:val="clear" w:color="auto" w:fill="1D2758"/>
          </w:tcPr>
          <w:p>
            <w:pPr>
              <w:spacing w:after="0"/>
              <w:rPr>
                <w:sz w:val="7"/>
                <w:szCs w:val="7"/>
                <w:color w:val="auto"/>
              </w:rPr>
            </w:pPr>
          </w:p>
        </w:tc>
        <w:tc>
          <w:tcPr>
            <w:tcW w:w="1120" w:type="dxa"/>
            <w:vAlign w:val="bottom"/>
            <w:shd w:val="clear" w:color="auto" w:fill="1D2758"/>
          </w:tcPr>
          <w:p>
            <w:pPr>
              <w:spacing w:after="0"/>
              <w:rPr>
                <w:sz w:val="7"/>
                <w:szCs w:val="7"/>
                <w:color w:val="auto"/>
              </w:rPr>
            </w:pPr>
          </w:p>
        </w:tc>
        <w:tc>
          <w:tcPr>
            <w:tcW w:w="94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660" w:type="dxa"/>
            <w:vAlign w:val="bottom"/>
            <w:shd w:val="clear" w:color="auto" w:fill="1D2758"/>
          </w:tcPr>
          <w:p>
            <w:pPr>
              <w:spacing w:after="0"/>
              <w:rPr>
                <w:sz w:val="7"/>
                <w:szCs w:val="7"/>
                <w:color w:val="auto"/>
              </w:rPr>
            </w:pPr>
          </w:p>
        </w:tc>
        <w:tc>
          <w:tcPr>
            <w:tcW w:w="1180" w:type="dxa"/>
            <w:vAlign w:val="bottom"/>
            <w:shd w:val="clear" w:color="auto" w:fill="1D2758"/>
          </w:tcPr>
          <w:p>
            <w:pPr>
              <w:spacing w:after="0"/>
              <w:rPr>
                <w:sz w:val="7"/>
                <w:szCs w:val="7"/>
                <w:color w:val="auto"/>
              </w:rPr>
            </w:pPr>
          </w:p>
        </w:tc>
        <w:tc>
          <w:tcPr>
            <w:tcW w:w="420" w:type="dxa"/>
            <w:vAlign w:val="bottom"/>
            <w:shd w:val="clear" w:color="auto" w:fill="1D2758"/>
          </w:tcPr>
          <w:p>
            <w:pPr>
              <w:spacing w:after="0"/>
              <w:rPr>
                <w:sz w:val="7"/>
                <w:szCs w:val="7"/>
                <w:color w:val="auto"/>
              </w:rPr>
            </w:pPr>
          </w:p>
        </w:tc>
        <w:tc>
          <w:tcPr>
            <w:tcW w:w="8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2015 Private warrants</w:t>
            </w:r>
          </w:p>
        </w:tc>
        <w:tc>
          <w:tcPr>
            <w:tcW w:w="18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N/A</w:t>
            </w:r>
          </w:p>
        </w:tc>
        <w:tc>
          <w:tcPr>
            <w:tcW w:w="1100" w:type="dxa"/>
            <w:vAlign w:val="bottom"/>
            <w:tcBorders>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N/A</w:t>
            </w:r>
          </w:p>
        </w:tc>
        <w:tc>
          <w:tcPr>
            <w:tcW w:w="118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N/A</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N/A $</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77,404</w:t>
            </w:r>
          </w:p>
        </w:tc>
        <w:tc>
          <w:tcPr>
            <w:tcW w:w="240" w:type="dxa"/>
            <w:vAlign w:val="bottom"/>
            <w:tcBorders>
              <w:bottom w:val="single" w:sz="8" w:color="auto"/>
            </w:tcBorders>
            <w:shd w:val="clear" w:color="auto" w:fill="DBDBDB"/>
          </w:tcPr>
          <w:p>
            <w:pPr>
              <w:jc w:val="right"/>
              <w:ind w:right="4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DBDBDB"/>
          </w:tcPr>
          <w:p>
            <w:pPr>
              <w:spacing w:after="0"/>
              <w:rPr>
                <w:sz w:val="16"/>
                <w:szCs w:val="16"/>
                <w:color w:val="auto"/>
              </w:rPr>
            </w:pPr>
          </w:p>
        </w:tc>
        <w:tc>
          <w:tcPr>
            <w:tcW w:w="1180" w:type="dxa"/>
            <w:vAlign w:val="bottom"/>
            <w:tcBorders>
              <w:bottom w:val="single" w:sz="8" w:color="auto"/>
            </w:tcBorders>
            <w:shd w:val="clear" w:color="auto" w:fill="DBDBDB"/>
          </w:tcPr>
          <w:p>
            <w:pPr>
              <w:jc w:val="center"/>
              <w:ind w:right="686"/>
              <w:spacing w:after="0"/>
              <w:rPr>
                <w:sz w:val="20"/>
                <w:szCs w:val="20"/>
                <w:color w:val="auto"/>
              </w:rPr>
            </w:pPr>
            <w:r>
              <w:rPr>
                <w:rFonts w:ascii="Arial" w:cs="Arial" w:eastAsia="Arial" w:hAnsi="Arial"/>
                <w:sz w:val="15"/>
                <w:szCs w:val="15"/>
                <w:color w:val="auto"/>
              </w:rPr>
              <w:t>— $</w:t>
            </w:r>
          </w:p>
        </w:tc>
        <w:tc>
          <w:tcPr>
            <w:tcW w:w="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 $</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77,404</w:t>
            </w:r>
          </w:p>
        </w:tc>
        <w:tc>
          <w:tcPr>
            <w:tcW w:w="0" w:type="dxa"/>
            <w:vAlign w:val="bottom"/>
          </w:tcPr>
          <w:p>
            <w:pPr>
              <w:spacing w:after="0"/>
              <w:rPr>
                <w:sz w:val="1"/>
                <w:szCs w:val="1"/>
                <w:color w:val="auto"/>
              </w:rPr>
            </w:pPr>
          </w:p>
        </w:tc>
      </w:tr>
      <w:tr>
        <w:trPr>
          <w:trHeight w:val="192"/>
        </w:trPr>
        <w:tc>
          <w:tcPr>
            <w:tcW w:w="2200" w:type="dxa"/>
            <w:vAlign w:val="bottom"/>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5"/>
                <w:szCs w:val="15"/>
                <w:color w:val="auto"/>
              </w:rPr>
              <w:t>— $</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77,404</w:t>
            </w: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86"/>
              <w:spacing w:after="0"/>
              <w:rPr>
                <w:sz w:val="20"/>
                <w:szCs w:val="20"/>
                <w:color w:val="auto"/>
              </w:rPr>
            </w:pPr>
            <w:r>
              <w:rPr>
                <w:rFonts w:ascii="Arial" w:cs="Arial" w:eastAsia="Arial" w:hAnsi="Arial"/>
                <w:sz w:val="15"/>
                <w:szCs w:val="15"/>
                <w:color w:val="auto"/>
              </w:rPr>
              <w:t>— $</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77,404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Level 3 Disclosures</w:t>
      </w:r>
    </w:p>
    <w:p>
      <w:pPr>
        <w:spacing w:after="0" w:line="67"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When the 2015 Private Warrants and 2018 Warrants were classified as liabilities, the Company utilized a Black Scholes option-pricing model to value the warrants at each reporting period and transaction date, with changes in fair value recognized in the statements of operations. The estimated fair value of the common stock warrant liability was determined using Level 3 inputs. Inherent in the pricing model were assumptions related to expected share-price volatility, expected life, risk-free interest rate and dividend yield. The Company estimated the volatility of its ordinary shares based on historical volatility that matched the expected remaining life of the warrants. The risk-free interest rate was based on the U.S. Treasury zero-coupon yield curve on the grant date for a maturity similar to the expected remaining life of the warrants. The expected life of the warrants was assumed to be equivalent to their remaining contractual term. The dividend rate was based on the historical rate, which the Company anticipates to remain at zero.</w:t>
      </w:r>
    </w:p>
    <w:p>
      <w:pPr>
        <w:spacing w:after="0" w:line="47"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2018 Warrants were reclassified to equity at June 30, 2020, the date all issued and outstanding shares of the Company's Class B Common Stock were cancelled.</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provides quantitative information regarding Level 3 fair value measurements: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4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220" w:type="dxa"/>
            <w:vAlign w:val="bottom"/>
            <w:shd w:val="clear" w:color="auto" w:fill="1D2758"/>
          </w:tcPr>
          <w:p>
            <w:pPr>
              <w:jc w:val="right"/>
              <w:ind w:right="526"/>
              <w:spacing w:after="0"/>
              <w:rPr>
                <w:sz w:val="20"/>
                <w:szCs w:val="20"/>
                <w:color w:val="auto"/>
              </w:rPr>
            </w:pPr>
            <w:r>
              <w:rPr>
                <w:rFonts w:ascii="Arial" w:cs="Arial" w:eastAsia="Arial" w:hAnsi="Arial"/>
                <w:sz w:val="15"/>
                <w:szCs w:val="15"/>
                <w:b w:val="1"/>
                <w:bCs w:val="1"/>
                <w:color w:val="FFFFFF"/>
              </w:rPr>
              <w:t>December 31, 2020</w:t>
            </w:r>
          </w:p>
        </w:tc>
      </w:tr>
      <w:tr>
        <w:trPr>
          <w:trHeight w:val="197"/>
        </w:trPr>
        <w:tc>
          <w:tcPr>
            <w:tcW w:w="86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2220" w:type="dxa"/>
            <w:vAlign w:val="bottom"/>
            <w:shd w:val="clear" w:color="auto" w:fill="1D2758"/>
          </w:tcPr>
          <w:p>
            <w:pPr>
              <w:jc w:val="right"/>
              <w:ind w:right="386"/>
              <w:spacing w:after="0"/>
              <w:rPr>
                <w:sz w:val="20"/>
                <w:szCs w:val="20"/>
                <w:color w:val="auto"/>
              </w:rPr>
            </w:pPr>
            <w:r>
              <w:rPr>
                <w:rFonts w:ascii="Arial" w:cs="Arial" w:eastAsia="Arial" w:hAnsi="Arial"/>
                <w:sz w:val="15"/>
                <w:szCs w:val="15"/>
                <w:b w:val="1"/>
                <w:bCs w:val="1"/>
                <w:color w:val="FFFFFF"/>
              </w:rPr>
              <w:t>2015 Private Warrants</w:t>
            </w:r>
          </w:p>
        </w:tc>
      </w:tr>
      <w:tr>
        <w:trPr>
          <w:trHeight w:val="197"/>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Stock Price</w:t>
            </w:r>
          </w:p>
        </w:tc>
        <w:tc>
          <w:tcPr>
            <w:tcW w:w="38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rPr>
              <w:t>$</w:t>
            </w:r>
          </w:p>
        </w:tc>
        <w:tc>
          <w:tcPr>
            <w:tcW w:w="222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23.17</w:t>
            </w:r>
          </w:p>
        </w:tc>
      </w:tr>
      <w:tr>
        <w:trPr>
          <w:trHeight w:val="194"/>
        </w:trPr>
        <w:tc>
          <w:tcPr>
            <w:tcW w:w="8640" w:type="dxa"/>
            <w:vAlign w:val="bottom"/>
          </w:tcPr>
          <w:p>
            <w:pPr>
              <w:ind w:left="20"/>
              <w:spacing w:after="0"/>
              <w:rPr>
                <w:sz w:val="20"/>
                <w:szCs w:val="20"/>
                <w:color w:val="auto"/>
              </w:rPr>
            </w:pPr>
            <w:r>
              <w:rPr>
                <w:rFonts w:ascii="Arial" w:cs="Arial" w:eastAsia="Arial" w:hAnsi="Arial"/>
                <w:sz w:val="15"/>
                <w:szCs w:val="15"/>
                <w:color w:val="auto"/>
              </w:rPr>
              <w:t>Strike Price</w:t>
            </w:r>
          </w:p>
        </w:tc>
        <w:tc>
          <w:tcPr>
            <w:tcW w:w="3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220" w:type="dxa"/>
            <w:vAlign w:val="bottom"/>
          </w:tcPr>
          <w:p>
            <w:pPr>
              <w:jc w:val="right"/>
              <w:ind w:right="106"/>
              <w:spacing w:after="0"/>
              <w:rPr>
                <w:sz w:val="20"/>
                <w:szCs w:val="20"/>
                <w:color w:val="auto"/>
              </w:rPr>
            </w:pPr>
            <w:r>
              <w:rPr>
                <w:rFonts w:ascii="Arial" w:cs="Arial" w:eastAsia="Arial" w:hAnsi="Arial"/>
                <w:sz w:val="15"/>
                <w:szCs w:val="15"/>
                <w:color w:val="auto"/>
              </w:rPr>
              <w:t>11.50</w:t>
            </w:r>
          </w:p>
        </w:tc>
      </w:tr>
      <w:tr>
        <w:trPr>
          <w:trHeight w:val="199"/>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Expected Life</w:t>
            </w:r>
          </w:p>
        </w:tc>
        <w:tc>
          <w:tcPr>
            <w:tcW w:w="380" w:type="dxa"/>
            <w:vAlign w:val="bottom"/>
            <w:shd w:val="clear" w:color="auto" w:fill="DBDBDB"/>
          </w:tcPr>
          <w:p>
            <w:pPr>
              <w:spacing w:after="0"/>
              <w:rPr>
                <w:sz w:val="17"/>
                <w:szCs w:val="17"/>
                <w:color w:val="auto"/>
              </w:rPr>
            </w:pPr>
          </w:p>
        </w:tc>
        <w:tc>
          <w:tcPr>
            <w:tcW w:w="222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1.91</w:t>
            </w:r>
          </w:p>
        </w:tc>
      </w:tr>
      <w:tr>
        <w:trPr>
          <w:trHeight w:val="194"/>
        </w:trPr>
        <w:tc>
          <w:tcPr>
            <w:tcW w:w="8640" w:type="dxa"/>
            <w:vAlign w:val="bottom"/>
          </w:tcPr>
          <w:p>
            <w:pPr>
              <w:ind w:left="20"/>
              <w:spacing w:after="0"/>
              <w:rPr>
                <w:sz w:val="20"/>
                <w:szCs w:val="20"/>
                <w:color w:val="auto"/>
              </w:rPr>
            </w:pPr>
            <w:r>
              <w:rPr>
                <w:rFonts w:ascii="Arial" w:cs="Arial" w:eastAsia="Arial" w:hAnsi="Arial"/>
                <w:sz w:val="15"/>
                <w:szCs w:val="15"/>
                <w:color w:val="auto"/>
              </w:rPr>
              <w:t>Volatility</w:t>
            </w:r>
          </w:p>
        </w:tc>
        <w:tc>
          <w:tcPr>
            <w:tcW w:w="38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41.2 %</w:t>
            </w:r>
          </w:p>
        </w:tc>
      </w:tr>
      <w:tr>
        <w:trPr>
          <w:trHeight w:val="199"/>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Risk Free rate</w:t>
            </w:r>
          </w:p>
        </w:tc>
        <w:tc>
          <w:tcPr>
            <w:tcW w:w="380" w:type="dxa"/>
            <w:vAlign w:val="bottom"/>
            <w:shd w:val="clear" w:color="auto" w:fill="DBDBDB"/>
          </w:tcPr>
          <w:p>
            <w:pPr>
              <w:spacing w:after="0"/>
              <w:rPr>
                <w:sz w:val="17"/>
                <w:szCs w:val="17"/>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0.13 %</w:t>
            </w:r>
          </w:p>
        </w:tc>
      </w:tr>
      <w:tr>
        <w:trPr>
          <w:trHeight w:val="194"/>
        </w:trPr>
        <w:tc>
          <w:tcPr>
            <w:tcW w:w="864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380" w:type="dxa"/>
            <w:vAlign w:val="bottom"/>
          </w:tcPr>
          <w:p>
            <w:pPr>
              <w:spacing w:after="0"/>
              <w:rPr>
                <w:sz w:val="16"/>
                <w:szCs w:val="16"/>
                <w:color w:val="auto"/>
              </w:rPr>
            </w:pPr>
          </w:p>
        </w:tc>
        <w:tc>
          <w:tcPr>
            <w:tcW w:w="2220" w:type="dxa"/>
            <w:vAlign w:val="bottom"/>
          </w:tcPr>
          <w:p>
            <w:pPr>
              <w:jc w:val="right"/>
              <w:ind w:right="106"/>
              <w:spacing w:after="0"/>
              <w:rPr>
                <w:sz w:val="20"/>
                <w:szCs w:val="20"/>
                <w:color w:val="auto"/>
              </w:rPr>
            </w:pPr>
            <w:r>
              <w:rPr>
                <w:rFonts w:ascii="Arial" w:cs="Arial" w:eastAsia="Arial" w:hAnsi="Arial"/>
                <w:sz w:val="15"/>
                <w:szCs w:val="15"/>
                <w:color w:val="auto"/>
              </w:rPr>
              <w:t>—</w:t>
            </w:r>
          </w:p>
        </w:tc>
      </w:tr>
      <w:tr>
        <w:trPr>
          <w:trHeight w:val="199"/>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Fair value of warrants</w:t>
            </w:r>
          </w:p>
        </w:tc>
        <w:tc>
          <w:tcPr>
            <w:tcW w:w="38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rPr>
              <w:t>$</w:t>
            </w:r>
          </w:p>
        </w:tc>
        <w:tc>
          <w:tcPr>
            <w:tcW w:w="222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12.17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3" w:name="page24"/>
    <w:bookmarkEnd w:id="23"/>
    <w:p>
      <w:pPr>
        <w:ind w:left="580"/>
        <w:spacing w:after="0"/>
        <w:rPr>
          <w:sz w:val="20"/>
          <w:szCs w:val="20"/>
          <w:color w:val="auto"/>
        </w:rPr>
      </w:pPr>
      <w:r>
        <w:rPr>
          <w:rFonts w:ascii="Arial" w:cs="Arial" w:eastAsia="Arial" w:hAnsi="Arial"/>
          <w:sz w:val="15"/>
          <w:szCs w:val="15"/>
          <w:color w:val="auto"/>
        </w:rPr>
        <w:t>The following table presents changes in Level 3 liabilities measured at fair value for the three months ended September 30,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7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2015 Private Warrants</w:t>
            </w:r>
          </w:p>
        </w:tc>
        <w:tc>
          <w:tcPr>
            <w:tcW w:w="680" w:type="dxa"/>
            <w:vAlign w:val="bottom"/>
            <w:shd w:val="clear" w:color="auto" w:fill="1D2758"/>
          </w:tcPr>
          <w:p>
            <w:pPr>
              <w:spacing w:after="0"/>
              <w:rPr>
                <w:sz w:val="17"/>
                <w:szCs w:val="17"/>
                <w:color w:val="auto"/>
              </w:rPr>
            </w:pPr>
          </w:p>
        </w:tc>
      </w:tr>
      <w:tr>
        <w:trPr>
          <w:trHeight w:val="197"/>
        </w:trPr>
        <w:tc>
          <w:tcPr>
            <w:tcW w:w="88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 June 30, 2020</w:t>
            </w:r>
          </w:p>
        </w:tc>
        <w:tc>
          <w:tcPr>
            <w:tcW w:w="1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34,421</w:t>
            </w:r>
          </w:p>
        </w:tc>
      </w:tr>
      <w:tr>
        <w:trPr>
          <w:trHeight w:val="194"/>
        </w:trPr>
        <w:tc>
          <w:tcPr>
            <w:tcW w:w="88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Measurement adjustment</w:t>
            </w:r>
          </w:p>
        </w:tc>
        <w:tc>
          <w:tcPr>
            <w:tcW w:w="1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22,303</w:t>
            </w:r>
          </w:p>
        </w:tc>
      </w:tr>
      <w:tr>
        <w:trPr>
          <w:trHeight w:val="214"/>
        </w:trPr>
        <w:tc>
          <w:tcPr>
            <w:tcW w:w="8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 September 30, 2020</w:t>
            </w:r>
          </w:p>
        </w:tc>
        <w:tc>
          <w:tcPr>
            <w:tcW w:w="17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56,724</w:t>
            </w:r>
          </w:p>
        </w:tc>
      </w:tr>
      <w:tr>
        <w:trPr>
          <w:trHeight w:val="20"/>
        </w:trPr>
        <w:tc>
          <w:tcPr>
            <w:tcW w:w="8820" w:type="dxa"/>
            <w:vAlign w:val="bottom"/>
            <w:tcBorders>
              <w:top w:val="single" w:sz="8" w:color="DBDBDB"/>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following table presents changes in Level 3 liabilities measured at fair value for the nine months ended September 30, 2021 and September 30,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160" w:type="dxa"/>
            <w:vAlign w:val="bottom"/>
            <w:shd w:val="clear" w:color="auto" w:fill="1D2758"/>
          </w:tcPr>
          <w:p>
            <w:pPr>
              <w:jc w:val="right"/>
              <w:ind w:right="366"/>
              <w:spacing w:after="0"/>
              <w:rPr>
                <w:sz w:val="20"/>
                <w:szCs w:val="20"/>
                <w:color w:val="auto"/>
              </w:rPr>
            </w:pPr>
            <w:r>
              <w:rPr>
                <w:rFonts w:ascii="Arial" w:cs="Arial" w:eastAsia="Arial" w:hAnsi="Arial"/>
                <w:sz w:val="15"/>
                <w:szCs w:val="15"/>
                <w:b w:val="1"/>
                <w:bCs w:val="1"/>
                <w:color w:val="FFFFFF"/>
              </w:rPr>
              <w:t>2015 Private Warrants</w:t>
            </w:r>
          </w:p>
        </w:tc>
      </w:tr>
      <w:tr>
        <w:trPr>
          <w:trHeight w:val="197"/>
        </w:trPr>
        <w:tc>
          <w:tcPr>
            <w:tcW w:w="88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 December 31, 2020</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77,404</w:t>
            </w:r>
          </w:p>
        </w:tc>
      </w:tr>
      <w:tr>
        <w:trPr>
          <w:trHeight w:val="194"/>
        </w:trPr>
        <w:tc>
          <w:tcPr>
            <w:tcW w:w="8820" w:type="dxa"/>
            <w:vAlign w:val="bottom"/>
          </w:tcPr>
          <w:p>
            <w:pPr>
              <w:ind w:left="20"/>
              <w:spacing w:after="0"/>
              <w:rPr>
                <w:sz w:val="20"/>
                <w:szCs w:val="20"/>
                <w:color w:val="auto"/>
              </w:rPr>
            </w:pPr>
            <w:r>
              <w:rPr>
                <w:rFonts w:ascii="Arial" w:cs="Arial" w:eastAsia="Arial" w:hAnsi="Arial"/>
                <w:sz w:val="15"/>
                <w:szCs w:val="15"/>
                <w:color w:val="auto"/>
              </w:rPr>
              <w:t>Exercise or conversion</w:t>
            </w:r>
          </w:p>
        </w:tc>
        <w:tc>
          <w:tcPr>
            <w:tcW w:w="26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(78,495)</w:t>
            </w:r>
          </w:p>
        </w:tc>
      </w:tr>
      <w:tr>
        <w:trPr>
          <w:trHeight w:val="199"/>
        </w:trPr>
        <w:tc>
          <w:tcPr>
            <w:tcW w:w="88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Measurement adjustment</w:t>
            </w:r>
          </w:p>
        </w:tc>
        <w:tc>
          <w:tcPr>
            <w:tcW w:w="260" w:type="dxa"/>
            <w:vAlign w:val="bottom"/>
            <w:shd w:val="clear" w:color="auto" w:fill="DBDBDB"/>
          </w:tcPr>
          <w:p>
            <w:pPr>
              <w:spacing w:after="0"/>
              <w:rPr>
                <w:sz w:val="17"/>
                <w:szCs w:val="17"/>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25,486</w:t>
            </w:r>
          </w:p>
        </w:tc>
      </w:tr>
      <w:tr>
        <w:trPr>
          <w:trHeight w:val="194"/>
        </w:trPr>
        <w:tc>
          <w:tcPr>
            <w:tcW w:w="88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Repurchases</w:t>
            </w: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(24,395)</w:t>
            </w:r>
          </w:p>
        </w:tc>
      </w:tr>
      <w:tr>
        <w:trPr>
          <w:trHeight w:val="214"/>
        </w:trPr>
        <w:tc>
          <w:tcPr>
            <w:tcW w:w="8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 September 30, 2021</w:t>
            </w:r>
          </w:p>
        </w:tc>
        <w:tc>
          <w:tcPr>
            <w:tcW w:w="2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8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160" w:type="dxa"/>
            <w:vAlign w:val="bottom"/>
            <w:tcBorders>
              <w:top w:val="single" w:sz="8" w:color="DBDBDB"/>
              <w:bottom w:val="single" w:sz="8" w:color="auto"/>
            </w:tcBorders>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24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2015 Private Warrants</w:t>
            </w:r>
          </w:p>
        </w:tc>
        <w:tc>
          <w:tcPr>
            <w:tcW w:w="420" w:type="dxa"/>
            <w:vAlign w:val="bottom"/>
            <w:shd w:val="clear" w:color="auto" w:fill="1D2758"/>
          </w:tcPr>
          <w:p>
            <w:pPr>
              <w:spacing w:after="0"/>
              <w:rPr>
                <w:sz w:val="17"/>
                <w:szCs w:val="17"/>
                <w:color w:val="auto"/>
              </w:rPr>
            </w:pPr>
          </w:p>
        </w:tc>
        <w:tc>
          <w:tcPr>
            <w:tcW w:w="2000" w:type="dxa"/>
            <w:vAlign w:val="bottom"/>
            <w:shd w:val="clear" w:color="auto" w:fill="1D2758"/>
          </w:tcPr>
          <w:p>
            <w:pPr>
              <w:jc w:val="right"/>
              <w:ind w:right="626"/>
              <w:spacing w:after="0"/>
              <w:rPr>
                <w:sz w:val="20"/>
                <w:szCs w:val="20"/>
                <w:color w:val="auto"/>
              </w:rPr>
            </w:pPr>
            <w:r>
              <w:rPr>
                <w:rFonts w:ascii="Arial" w:cs="Arial" w:eastAsia="Arial" w:hAnsi="Arial"/>
                <w:sz w:val="15"/>
                <w:szCs w:val="15"/>
                <w:b w:val="1"/>
                <w:bCs w:val="1"/>
                <w:color w:val="FFFFFF"/>
              </w:rPr>
              <w:t>2018 Warrants</w:t>
            </w:r>
          </w:p>
        </w:tc>
      </w:tr>
      <w:tr>
        <w:trPr>
          <w:trHeight w:val="197"/>
        </w:trPr>
        <w:tc>
          <w:tcPr>
            <w:tcW w:w="6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 December 31, 2019</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72,705</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6"/>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58,369</w:t>
            </w:r>
          </w:p>
        </w:tc>
      </w:tr>
      <w:tr>
        <w:trPr>
          <w:trHeight w:val="194"/>
        </w:trPr>
        <w:tc>
          <w:tcPr>
            <w:tcW w:w="6320" w:type="dxa"/>
            <w:vAlign w:val="bottom"/>
          </w:tcPr>
          <w:p>
            <w:pPr>
              <w:ind w:left="20"/>
              <w:spacing w:after="0"/>
              <w:rPr>
                <w:sz w:val="20"/>
                <w:szCs w:val="20"/>
                <w:color w:val="auto"/>
              </w:rPr>
            </w:pPr>
            <w:r>
              <w:rPr>
                <w:rFonts w:ascii="Arial" w:cs="Arial" w:eastAsia="Arial" w:hAnsi="Arial"/>
                <w:sz w:val="15"/>
                <w:szCs w:val="15"/>
                <w:color w:val="auto"/>
              </w:rPr>
              <w:t>Exercise or conversion</w:t>
            </w:r>
          </w:p>
        </w:tc>
        <w:tc>
          <w:tcPr>
            <w:tcW w:w="260" w:type="dxa"/>
            <w:vAlign w:val="bottom"/>
          </w:tcPr>
          <w:p>
            <w:pPr>
              <w:spacing w:after="0"/>
              <w:rPr>
                <w:sz w:val="16"/>
                <w:szCs w:val="16"/>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(416)</w:t>
            </w:r>
          </w:p>
        </w:tc>
      </w:tr>
      <w:tr>
        <w:trPr>
          <w:trHeight w:val="199"/>
        </w:trPr>
        <w:tc>
          <w:tcPr>
            <w:tcW w:w="6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Measurement adjustment</w:t>
            </w:r>
          </w:p>
        </w:tc>
        <w:tc>
          <w:tcPr>
            <w:tcW w:w="260" w:type="dxa"/>
            <w:vAlign w:val="bottom"/>
            <w:shd w:val="clear" w:color="auto" w:fill="DBDBDB"/>
          </w:tcPr>
          <w:p>
            <w:pPr>
              <w:spacing w:after="0"/>
              <w:rPr>
                <w:sz w:val="17"/>
                <w:szCs w:val="17"/>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(15,981)</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(31,737)</w:t>
            </w:r>
          </w:p>
        </w:tc>
      </w:tr>
      <w:tr>
        <w:trPr>
          <w:trHeight w:val="194"/>
        </w:trPr>
        <w:tc>
          <w:tcPr>
            <w:tcW w:w="6320" w:type="dxa"/>
            <w:vAlign w:val="bottom"/>
          </w:tcPr>
          <w:p>
            <w:pPr>
              <w:ind w:left="20"/>
              <w:spacing w:after="0"/>
              <w:rPr>
                <w:sz w:val="20"/>
                <w:szCs w:val="20"/>
                <w:color w:val="auto"/>
              </w:rPr>
            </w:pPr>
            <w:r>
              <w:rPr>
                <w:rFonts w:ascii="Arial" w:cs="Arial" w:eastAsia="Arial" w:hAnsi="Arial"/>
                <w:sz w:val="15"/>
                <w:szCs w:val="15"/>
                <w:color w:val="auto"/>
              </w:rPr>
              <w:t>Reclassification to equity at June 30, 2020</w:t>
            </w:r>
          </w:p>
        </w:tc>
        <w:tc>
          <w:tcPr>
            <w:tcW w:w="260" w:type="dxa"/>
            <w:vAlign w:val="bottom"/>
          </w:tcPr>
          <w:p>
            <w:pPr>
              <w:spacing w:after="0"/>
              <w:rPr>
                <w:sz w:val="16"/>
                <w:szCs w:val="16"/>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(26,216)</w:t>
            </w:r>
          </w:p>
        </w:tc>
      </w:tr>
      <w:tr>
        <w:trPr>
          <w:trHeight w:val="214"/>
        </w:trPr>
        <w:tc>
          <w:tcPr>
            <w:tcW w:w="63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 September 30, 2020</w:t>
            </w:r>
          </w:p>
        </w:tc>
        <w:tc>
          <w:tcPr>
            <w:tcW w:w="260" w:type="dxa"/>
            <w:vAlign w:val="bottom"/>
            <w:tcBorders>
              <w:top w:val="single" w:sz="8" w:color="auto"/>
              <w:bottom w:val="single" w:sz="8" w:color="auto"/>
            </w:tcBorders>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2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56,724</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420" w:type="dxa"/>
            <w:vAlign w:val="bottom"/>
            <w:tcBorders>
              <w:top w:val="single" w:sz="8" w:color="auto"/>
              <w:bottom w:val="single" w:sz="8" w:color="auto"/>
            </w:tcBorders>
            <w:shd w:val="clear" w:color="auto" w:fill="DBDBDB"/>
          </w:tcPr>
          <w:p>
            <w:pPr>
              <w:jc w:val="right"/>
              <w:ind w:right="246"/>
              <w:spacing w:after="0"/>
              <w:rPr>
                <w:sz w:val="20"/>
                <w:szCs w:val="20"/>
                <w:color w:val="auto"/>
              </w:rPr>
            </w:pPr>
            <w:r>
              <w:rPr>
                <w:rFonts w:ascii="Arial" w:cs="Arial" w:eastAsia="Arial" w:hAnsi="Arial"/>
                <w:sz w:val="15"/>
                <w:szCs w:val="15"/>
                <w:color w:val="auto"/>
                <w:w w:val="95"/>
              </w:rPr>
              <w:t>$</w:t>
            </w:r>
          </w:p>
        </w:tc>
        <w:tc>
          <w:tcPr>
            <w:tcW w:w="2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1"/>
          <w:szCs w:val="21"/>
          <w:color w:val="1D2758"/>
        </w:rPr>
        <w:t>NOTE 14 - Restructuring</w:t>
      </w:r>
    </w:p>
    <w:p>
      <w:pPr>
        <w:spacing w:after="0" w:line="85"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 xml:space="preserve">Restructuring costs include charges associated with exit or disposal activities that meet the definition of restructuring under FASB ASC Topic 420, </w:t>
      </w:r>
      <w:r>
        <w:rPr>
          <w:rFonts w:ascii="Arial" w:cs="Arial" w:eastAsia="Arial" w:hAnsi="Arial"/>
          <w:sz w:val="15"/>
          <w:szCs w:val="15"/>
          <w:i w:val="1"/>
          <w:iCs w:val="1"/>
          <w:color w:val="auto"/>
        </w:rPr>
        <w:t>Exit or Disposal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Cost Obligations </w:t>
      </w:r>
      <w:r>
        <w:rPr>
          <w:rFonts w:ascii="Arial" w:cs="Arial" w:eastAsia="Arial" w:hAnsi="Arial"/>
          <w:sz w:val="15"/>
          <w:szCs w:val="15"/>
          <w:color w:val="auto"/>
        </w:rPr>
        <w:t>(“ASC 420”). The Company's restructuring plans are generally country or region specific and are typically completed within a one-year period.</w:t>
      </w:r>
      <w:r>
        <w:rPr>
          <w:rFonts w:ascii="Arial" w:cs="Arial" w:eastAsia="Arial" w:hAnsi="Arial"/>
          <w:sz w:val="15"/>
          <w:szCs w:val="15"/>
          <w:i w:val="1"/>
          <w:iCs w:val="1"/>
          <w:color w:val="auto"/>
        </w:rPr>
        <w:t xml:space="preserve"> </w:t>
      </w:r>
      <w:r>
        <w:rPr>
          <w:rFonts w:ascii="Arial" w:cs="Arial" w:eastAsia="Arial" w:hAnsi="Arial"/>
          <w:sz w:val="15"/>
          <w:szCs w:val="15"/>
          <w:color w:val="auto"/>
        </w:rPr>
        <w:t>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other than lease costs accounted for under ASC 842.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4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following is a summary of the activity in the Company’s restructuring accruals for the three and nine months ended September 30, 2021 and 2020, which primarily relate to employee costs: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15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w w:val="98"/>
              </w:rPr>
              <w:t>Three Months Ended</w:t>
            </w:r>
          </w:p>
        </w:tc>
        <w:tc>
          <w:tcPr>
            <w:tcW w:w="10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1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1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40" w:type="dxa"/>
            <w:vAlign w:val="bottom"/>
            <w:shd w:val="clear" w:color="auto" w:fill="1D2758"/>
          </w:tcPr>
          <w:p>
            <w:pPr>
              <w:spacing w:after="0"/>
              <w:rPr>
                <w:sz w:val="16"/>
                <w:szCs w:val="16"/>
                <w:color w:val="auto"/>
              </w:rPr>
            </w:pPr>
          </w:p>
        </w:tc>
        <w:tc>
          <w:tcPr>
            <w:tcW w:w="1080" w:type="dxa"/>
            <w:vAlign w:val="bottom"/>
            <w:shd w:val="clear" w:color="auto" w:fill="1D2758"/>
          </w:tcPr>
          <w:p>
            <w:pPr>
              <w:spacing w:after="0"/>
              <w:rPr>
                <w:sz w:val="16"/>
                <w:szCs w:val="16"/>
                <w:color w:val="auto"/>
              </w:rPr>
            </w:pPr>
          </w:p>
        </w:tc>
        <w:tc>
          <w:tcPr>
            <w:tcW w:w="1500" w:type="dxa"/>
            <w:vAlign w:val="bottom"/>
            <w:gridSpan w:val="3"/>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420" w:type="dxa"/>
            <w:vAlign w:val="bottom"/>
            <w:shd w:val="clear" w:color="auto" w:fill="1D2758"/>
          </w:tcPr>
          <w:p>
            <w:pPr>
              <w:spacing w:after="0"/>
              <w:rPr>
                <w:sz w:val="16"/>
                <w:szCs w:val="16"/>
                <w:color w:val="auto"/>
              </w:rPr>
            </w:pPr>
          </w:p>
        </w:tc>
        <w:tc>
          <w:tcPr>
            <w:tcW w:w="2140" w:type="dxa"/>
            <w:vAlign w:val="bottom"/>
            <w:gridSpan w:val="3"/>
            <w:shd w:val="clear" w:color="auto" w:fill="1D2758"/>
          </w:tcPr>
          <w:p>
            <w:pPr>
              <w:jc w:val="right"/>
              <w:ind w:right="146"/>
              <w:spacing w:after="0"/>
              <w:rPr>
                <w:sz w:val="20"/>
                <w:szCs w:val="20"/>
                <w:color w:val="auto"/>
              </w:rPr>
            </w:pPr>
            <w:r>
              <w:rPr>
                <w:rFonts w:ascii="Arial" w:cs="Arial" w:eastAsia="Arial" w:hAnsi="Arial"/>
                <w:sz w:val="15"/>
                <w:szCs w:val="15"/>
                <w:b w:val="1"/>
                <w:bCs w:val="1"/>
                <w:color w:val="FFFFFF"/>
              </w:rPr>
              <w:t>September 30,</w:t>
            </w:r>
          </w:p>
        </w:tc>
        <w:tc>
          <w:tcPr>
            <w:tcW w:w="11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7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700" w:type="dxa"/>
            <w:vAlign w:val="bottom"/>
            <w:shd w:val="clear" w:color="auto" w:fill="1D2758"/>
          </w:tcPr>
          <w:p>
            <w:pPr>
              <w:spacing w:after="0"/>
              <w:rPr>
                <w:sz w:val="17"/>
                <w:szCs w:val="17"/>
                <w:color w:val="auto"/>
              </w:rPr>
            </w:pPr>
          </w:p>
        </w:tc>
        <w:tc>
          <w:tcPr>
            <w:tcW w:w="1080" w:type="dxa"/>
            <w:vAlign w:val="bottom"/>
            <w:vMerge w:val="restart"/>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vMerge w:val="restart"/>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680" w:type="dxa"/>
            <w:vAlign w:val="bottom"/>
            <w:shd w:val="clear" w:color="auto" w:fill="1D2758"/>
          </w:tcPr>
          <w:p>
            <w:pPr>
              <w:spacing w:after="0"/>
              <w:rPr>
                <w:sz w:val="17"/>
                <w:szCs w:val="17"/>
                <w:color w:val="auto"/>
              </w:rPr>
            </w:pPr>
          </w:p>
        </w:tc>
        <w:tc>
          <w:tcPr>
            <w:tcW w:w="1100" w:type="dxa"/>
            <w:vAlign w:val="bottom"/>
            <w:vMerge w:val="restart"/>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91"/>
        </w:trPr>
        <w:tc>
          <w:tcPr>
            <w:tcW w:w="3840" w:type="dxa"/>
            <w:vAlign w:val="bottom"/>
            <w:shd w:val="clear" w:color="auto" w:fill="1D2758"/>
          </w:tcPr>
          <w:p>
            <w:pPr>
              <w:spacing w:after="0"/>
              <w:rPr>
                <w:sz w:val="7"/>
                <w:szCs w:val="7"/>
                <w:color w:val="auto"/>
              </w:rPr>
            </w:pPr>
          </w:p>
        </w:tc>
        <w:tc>
          <w:tcPr>
            <w:tcW w:w="1080" w:type="dxa"/>
            <w:vAlign w:val="bottom"/>
            <w:vMerge w:val="continue"/>
            <w:shd w:val="clear" w:color="auto" w:fill="1D2758"/>
          </w:tcPr>
          <w:p>
            <w:pPr>
              <w:spacing w:after="0"/>
              <w:rPr>
                <w:sz w:val="7"/>
                <w:szCs w:val="7"/>
                <w:color w:val="auto"/>
              </w:rPr>
            </w:pPr>
          </w:p>
        </w:tc>
        <w:tc>
          <w:tcPr>
            <w:tcW w:w="720" w:type="dxa"/>
            <w:vAlign w:val="bottom"/>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700" w:type="dxa"/>
            <w:vAlign w:val="bottom"/>
            <w:shd w:val="clear" w:color="auto" w:fill="1D2758"/>
          </w:tcPr>
          <w:p>
            <w:pPr>
              <w:spacing w:after="0"/>
              <w:rPr>
                <w:sz w:val="7"/>
                <w:szCs w:val="7"/>
                <w:color w:val="auto"/>
              </w:rPr>
            </w:pPr>
          </w:p>
        </w:tc>
        <w:tc>
          <w:tcPr>
            <w:tcW w:w="108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420" w:type="dxa"/>
            <w:vAlign w:val="bottom"/>
            <w:shd w:val="clear" w:color="auto" w:fill="1D2758"/>
          </w:tcPr>
          <w:p>
            <w:pPr>
              <w:spacing w:after="0"/>
              <w:rPr>
                <w:sz w:val="7"/>
                <w:szCs w:val="7"/>
                <w:color w:val="auto"/>
              </w:rPr>
            </w:pPr>
          </w:p>
        </w:tc>
        <w:tc>
          <w:tcPr>
            <w:tcW w:w="136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68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Beginning balance</w:t>
            </w:r>
          </w:p>
        </w:tc>
        <w:tc>
          <w:tcPr>
            <w:tcW w:w="1080" w:type="dxa"/>
            <w:vAlign w:val="bottom"/>
            <w:shd w:val="clear" w:color="auto" w:fill="DBDBDB"/>
          </w:tcPr>
          <w:p>
            <w:pPr>
              <w:jc w:val="right"/>
              <w:ind w:right="906"/>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4,380</w:t>
            </w:r>
          </w:p>
        </w:tc>
        <w:tc>
          <w:tcPr>
            <w:tcW w:w="8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52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6"/>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1,750</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jc w:val="right"/>
              <w:ind w:right="50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w:t>
            </w:r>
          </w:p>
        </w:tc>
        <w:tc>
          <w:tcPr>
            <w:tcW w:w="0" w:type="dxa"/>
            <w:vAlign w:val="bottom"/>
          </w:tcPr>
          <w:p>
            <w:pPr>
              <w:spacing w:after="0"/>
              <w:rPr>
                <w:sz w:val="1"/>
                <w:szCs w:val="1"/>
                <w:color w:val="auto"/>
              </w:rPr>
            </w:pPr>
          </w:p>
        </w:tc>
      </w:tr>
      <w:tr>
        <w:trPr>
          <w:trHeight w:val="194"/>
        </w:trPr>
        <w:tc>
          <w:tcPr>
            <w:tcW w:w="3840" w:type="dxa"/>
            <w:vAlign w:val="bottom"/>
          </w:tcPr>
          <w:p>
            <w:pPr>
              <w:ind w:left="220"/>
              <w:spacing w:after="0"/>
              <w:rPr>
                <w:sz w:val="20"/>
                <w:szCs w:val="20"/>
                <w:color w:val="auto"/>
              </w:rPr>
            </w:pPr>
            <w:r>
              <w:rPr>
                <w:rFonts w:ascii="Arial" w:cs="Arial" w:eastAsia="Arial" w:hAnsi="Arial"/>
                <w:sz w:val="15"/>
                <w:szCs w:val="15"/>
                <w:color w:val="auto"/>
              </w:rPr>
              <w:t>Charges</w:t>
            </w:r>
          </w:p>
        </w:tc>
        <w:tc>
          <w:tcPr>
            <w:tcW w:w="1080" w:type="dxa"/>
            <w:vAlign w:val="bottom"/>
          </w:tcPr>
          <w:p>
            <w:pPr>
              <w:spacing w:after="0"/>
              <w:rPr>
                <w:sz w:val="16"/>
                <w:szCs w:val="16"/>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color w:val="auto"/>
              </w:rPr>
              <w:t>1,856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3,854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11,958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4,543</w:t>
            </w:r>
          </w:p>
        </w:tc>
        <w:tc>
          <w:tcPr>
            <w:tcW w:w="0" w:type="dxa"/>
            <w:vAlign w:val="bottom"/>
          </w:tcPr>
          <w:p>
            <w:pPr>
              <w:spacing w:after="0"/>
              <w:rPr>
                <w:sz w:val="1"/>
                <w:szCs w:val="1"/>
                <w:color w:val="auto"/>
              </w:rPr>
            </w:pPr>
          </w:p>
        </w:tc>
      </w:tr>
      <w:tr>
        <w:trPr>
          <w:trHeight w:val="199"/>
        </w:trPr>
        <w:tc>
          <w:tcPr>
            <w:tcW w:w="3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payments</w:t>
            </w:r>
          </w:p>
        </w:tc>
        <w:tc>
          <w:tcPr>
            <w:tcW w:w="10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(3,845)</w:t>
            </w:r>
          </w:p>
        </w:tc>
        <w:tc>
          <w:tcPr>
            <w:tcW w:w="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(2,432)</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(5,548)</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(3,027)</w:t>
            </w:r>
          </w:p>
        </w:tc>
        <w:tc>
          <w:tcPr>
            <w:tcW w:w="0" w:type="dxa"/>
            <w:vAlign w:val="bottom"/>
          </w:tcPr>
          <w:p>
            <w:pPr>
              <w:spacing w:after="0"/>
              <w:rPr>
                <w:sz w:val="1"/>
                <w:szCs w:val="1"/>
                <w:color w:val="auto"/>
              </w:rPr>
            </w:pPr>
          </w:p>
        </w:tc>
      </w:tr>
      <w:tr>
        <w:trPr>
          <w:trHeight w:val="194"/>
        </w:trPr>
        <w:tc>
          <w:tcPr>
            <w:tcW w:w="3840" w:type="dxa"/>
            <w:vAlign w:val="bottom"/>
          </w:tcPr>
          <w:p>
            <w:pPr>
              <w:ind w:left="220"/>
              <w:spacing w:after="0"/>
              <w:rPr>
                <w:sz w:val="20"/>
                <w:szCs w:val="20"/>
                <w:color w:val="auto"/>
              </w:rPr>
            </w:pPr>
            <w:r>
              <w:rPr>
                <w:rFonts w:ascii="Arial" w:cs="Arial" w:eastAsia="Arial" w:hAnsi="Arial"/>
                <w:sz w:val="15"/>
                <w:szCs w:val="15"/>
                <w:color w:val="auto"/>
              </w:rPr>
              <w:t>Foreign currency translation</w:t>
            </w:r>
          </w:p>
        </w:tc>
        <w:tc>
          <w:tcPr>
            <w:tcW w:w="10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3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Non-cash movements</w:t>
            </w:r>
          </w:p>
        </w:tc>
        <w:tc>
          <w:tcPr>
            <w:tcW w:w="10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(1,442)</w:t>
            </w:r>
          </w:p>
        </w:tc>
        <w:tc>
          <w:tcPr>
            <w:tcW w:w="80" w:type="dxa"/>
            <w:vAlign w:val="bottom"/>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133</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100" w:type="dxa"/>
            <w:vAlign w:val="bottom"/>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108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949</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2,082</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949</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238"/>
        <w:spacing w:after="0" w:line="241" w:lineRule="auto"/>
        <w:rPr>
          <w:sz w:val="20"/>
          <w:szCs w:val="20"/>
          <w:color w:val="auto"/>
        </w:rPr>
      </w:pPr>
      <w:r>
        <w:rPr>
          <w:rFonts w:ascii="Arial" w:cs="Arial" w:eastAsia="Arial" w:hAnsi="Arial"/>
          <w:sz w:val="15"/>
          <w:szCs w:val="15"/>
          <w:color w:val="auto"/>
        </w:rPr>
        <w:t>The restructuring charges during the three and nine months ended September 30, 2021 are driven by employee termination costs as a result of the elimination of positions due to the Merger. The restructuring charges during the three months ended September 30, 2020 are primarily driven by termination costs as a result of the Merger, and restructuring charges for the nine months ended September 30, 2020 are primarily driven by employee termination costs due to reductions in force in response to the COVID-19 pandemic and termination costs as a result of the Merger.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4" w:name="page25"/>
    <w:bookmarkEnd w:id="24"/>
    <w:p>
      <w:pPr>
        <w:jc w:val="both"/>
        <w:ind w:firstLine="590"/>
        <w:spacing w:after="0" w:line="243" w:lineRule="auto"/>
        <w:rPr>
          <w:sz w:val="20"/>
          <w:szCs w:val="20"/>
          <w:color w:val="auto"/>
        </w:rPr>
      </w:pPr>
      <w:r>
        <w:rPr>
          <w:rFonts w:ascii="Arial" w:cs="Arial" w:eastAsia="Arial" w:hAnsi="Arial"/>
          <w:sz w:val="15"/>
          <w:szCs w:val="15"/>
          <w:color w:val="auto"/>
        </w:rPr>
        <w:t>The restructuring non-cash movements during the three and nine months ended September 30, 2021 primarily represent stock compensation costs recognized as a result of the modification of certain equity awards associated with the Transition, Separation and Release Agreement entered into on February 25, 2021 with the Company's former President and Chief Operating Officer.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Segments </w:t>
      </w:r>
      <w:r>
        <w:rPr>
          <w:rFonts w:ascii="Arial" w:cs="Arial" w:eastAsia="Arial" w:hAnsi="Arial"/>
          <w:sz w:val="16"/>
          <w:szCs w:val="16"/>
          <w:color w:val="auto"/>
        </w:rPr>
        <w:t>(</w:t>
      </w:r>
      <w:r>
        <w:rPr>
          <w:rFonts w:ascii="Arial" w:cs="Arial" w:eastAsia="Arial" w:hAnsi="Arial"/>
          <w:sz w:val="14"/>
          <w:szCs w:val="14"/>
          <w:color w:val="auto"/>
        </w:rPr>
        <w:t>as defined in Note 18</w:t>
      </w:r>
      <w:r>
        <w:rPr>
          <w:rFonts w:ascii="Arial" w:cs="Arial" w:eastAsia="Arial" w:hAnsi="Arial"/>
          <w:sz w:val="16"/>
          <w:szCs w:val="16"/>
          <w:color w:val="auto"/>
        </w:rPr>
        <w:t>)</w:t>
      </w:r>
    </w:p>
    <w:p>
      <w:pPr>
        <w:spacing w:after="0" w:line="8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$1.9 million of restructuring charges for the three months ended September 30, 2021 includes $0.1 million of charges related to the NA Modular segment, $0.4 million of charges related to the NA Storage segment, and $1.4 million of unallocated charges.</w:t>
      </w:r>
    </w:p>
    <w:p>
      <w:pPr>
        <w:spacing w:after="0" w:line="40"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$3.9 million of restructuring charges for the three months ended September 30, 2020 includes $0.3 million of charges related to the NA Modular segment, $3.3 million of charges related to the NA Storage segment and $0.3 million of charges related to the UK Storage segment.</w:t>
      </w:r>
    </w:p>
    <w:p>
      <w:pPr>
        <w:spacing w:after="0" w:line="40"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$12.0 million of restructuring charges for the nine months ended September 30, 2021 includes $1.6 million of charges related to the NA Modular segment, $3.2 million of charges related to the NA Storage segment, and $7.2 million of unallocated charges.</w:t>
      </w:r>
    </w:p>
    <w:p>
      <w:pPr>
        <w:spacing w:after="0" w:line="40"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$4.5 million of restructuring charges for the nine months ended September 30, 2020 includes $0.9 million of charges pertaining to the NA Modular segment, $3.3 million of charges related to the NA Storage segment and $0.3 million of charges related to the UK Storage segment.</w:t>
      </w: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color w:val="1D2758"/>
        </w:rPr>
        <w:t>NOTE 15 - Stock-Based Compensation</w:t>
      </w:r>
    </w:p>
    <w:p>
      <w:pPr>
        <w:spacing w:after="0" w:line="101"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Prior to the Merger, stock awards were granted under the WillScot Corporation 2017 Incentive Award Plan (the "2017 Incentive Plan"), which included Restricted Stock Awards ("RSAs") and Restricted Stock Units ("RSUs"). On June 24, 2020, WillScot's stockholders approved the WillScot Mobile Mini 2020 Incentive Award Plan ("2020 Incentive Plan") to take effect pending completion of the Merger. The plan amended and restated in its entirety the 2017 Incentive Plan. As a result, all historical and future incentive awards to the Company's Board of Directors, executive officers and employees, as determined by the Company's Compensation Committee ("the Comp Committee"), are granted under the 2020 Incentive Plan. The 2020 Incentive Plan is administered by the Comp Committee. Under the 2020 Incentive Plan, the Comp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47"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Stock-based compensation expense includes grants of stock options, time-based RSUs ("Time-Based RSUs") and performance-based RSUs ("Performance-Based RSUs", together with Time-Based RSUs, the "RSUs"). The 2020 Incentive Plan continues the former Market-Based RSUs renamed as "Performance-Based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Awards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summarizes the Company's RSA activity as of September 30,: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shd w:val="clear" w:color="auto" w:fill="1D2758"/>
          </w:tcPr>
          <w:p>
            <w:pPr>
              <w:spacing w:after="0"/>
              <w:rPr>
                <w:sz w:val="17"/>
                <w:szCs w:val="17"/>
                <w:color w:val="auto"/>
              </w:rPr>
            </w:pPr>
          </w:p>
        </w:tc>
        <w:tc>
          <w:tcPr>
            <w:tcW w:w="3480" w:type="dxa"/>
            <w:vAlign w:val="bottom"/>
            <w:gridSpan w:val="4"/>
            <w:shd w:val="clear" w:color="auto" w:fill="1D2758"/>
          </w:tcPr>
          <w:p>
            <w:pPr>
              <w:jc w:val="right"/>
              <w:ind w:right="150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3460" w:type="dxa"/>
            <w:vAlign w:val="bottom"/>
            <w:gridSpan w:val="4"/>
            <w:shd w:val="clear" w:color="auto" w:fill="1D2758"/>
          </w:tcPr>
          <w:p>
            <w:pPr>
              <w:jc w:val="right"/>
              <w:ind w:right="1486"/>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148"/>
        </w:trPr>
        <w:tc>
          <w:tcPr>
            <w:tcW w:w="4220" w:type="dxa"/>
            <w:vAlign w:val="bottom"/>
            <w:shd w:val="clear" w:color="auto" w:fill="1D2758"/>
          </w:tcPr>
          <w:p>
            <w:pPr>
              <w:spacing w:after="0"/>
              <w:rPr>
                <w:sz w:val="12"/>
                <w:szCs w:val="12"/>
                <w:color w:val="auto"/>
              </w:rPr>
            </w:pPr>
          </w:p>
        </w:tc>
        <w:tc>
          <w:tcPr>
            <w:tcW w:w="178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2"/>
                <w:szCs w:val="12"/>
                <w:color w:val="auto"/>
              </w:rPr>
            </w:pPr>
          </w:p>
        </w:tc>
        <w:tc>
          <w:tcPr>
            <w:tcW w:w="1680" w:type="dxa"/>
            <w:vAlign w:val="bottom"/>
            <w:gridSpan w:val="2"/>
            <w:shd w:val="clear" w:color="auto" w:fill="1D2758"/>
          </w:tcPr>
          <w:p>
            <w:pPr>
              <w:jc w:val="center"/>
              <w:ind w:right="180"/>
              <w:spacing w:after="0" w:line="148" w:lineRule="exact"/>
              <w:rPr>
                <w:sz w:val="20"/>
                <w:szCs w:val="20"/>
                <w:color w:val="auto"/>
              </w:rPr>
            </w:pPr>
            <w:r>
              <w:rPr>
                <w:rFonts w:ascii="Arial" w:cs="Arial" w:eastAsia="Arial" w:hAnsi="Arial"/>
                <w:sz w:val="15"/>
                <w:szCs w:val="15"/>
                <w:b w:val="1"/>
                <w:bCs w:val="1"/>
                <w:color w:val="FFFFFF"/>
                <w:w w:val="98"/>
              </w:rPr>
              <w:t>Weighted-Average</w:t>
            </w:r>
          </w:p>
        </w:tc>
        <w:tc>
          <w:tcPr>
            <w:tcW w:w="1780" w:type="dxa"/>
            <w:vAlign w:val="bottom"/>
            <w:gridSpan w:val="2"/>
            <w:vMerge w:val="restart"/>
            <w:shd w:val="clear" w:color="auto" w:fill="1D2758"/>
          </w:tcPr>
          <w:p>
            <w:pPr>
              <w:ind w:left="200"/>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2"/>
                <w:szCs w:val="12"/>
                <w:color w:val="auto"/>
              </w:rPr>
            </w:pPr>
          </w:p>
        </w:tc>
        <w:tc>
          <w:tcPr>
            <w:tcW w:w="1580" w:type="dxa"/>
            <w:vAlign w:val="bottom"/>
            <w:shd w:val="clear" w:color="auto" w:fill="1D2758"/>
          </w:tcPr>
          <w:p>
            <w:pPr>
              <w:jc w:val="right"/>
              <w:ind w:right="126"/>
              <w:spacing w:after="0" w:line="148" w:lineRule="exact"/>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97"/>
        </w:trPr>
        <w:tc>
          <w:tcPr>
            <w:tcW w:w="4220" w:type="dxa"/>
            <w:vAlign w:val="bottom"/>
            <w:shd w:val="clear" w:color="auto" w:fill="1D2758"/>
          </w:tcPr>
          <w:p>
            <w:pPr>
              <w:spacing w:after="0"/>
              <w:rPr>
                <w:sz w:val="17"/>
                <w:szCs w:val="17"/>
                <w:color w:val="auto"/>
              </w:rPr>
            </w:pPr>
          </w:p>
        </w:tc>
        <w:tc>
          <w:tcPr>
            <w:tcW w:w="1780" w:type="dxa"/>
            <w:vAlign w:val="bottom"/>
            <w:gridSpan w:val="2"/>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80" w:type="dxa"/>
            <w:vAlign w:val="bottom"/>
            <w:gridSpan w:val="2"/>
            <w:shd w:val="clear" w:color="auto" w:fill="1D2758"/>
          </w:tcPr>
          <w:p>
            <w:pPr>
              <w:jc w:val="center"/>
              <w:ind w:right="180"/>
              <w:spacing w:after="0"/>
              <w:rPr>
                <w:sz w:val="20"/>
                <w:szCs w:val="20"/>
                <w:color w:val="auto"/>
              </w:rPr>
            </w:pPr>
            <w:r>
              <w:rPr>
                <w:rFonts w:ascii="Arial" w:cs="Arial" w:eastAsia="Arial" w:hAnsi="Arial"/>
                <w:sz w:val="15"/>
                <w:szCs w:val="15"/>
                <w:b w:val="1"/>
                <w:bCs w:val="1"/>
                <w:color w:val="FFFFFF"/>
                <w:w w:val="98"/>
              </w:rPr>
              <w:t>Grant Date Fair Value</w:t>
            </w:r>
          </w:p>
        </w:tc>
        <w:tc>
          <w:tcPr>
            <w:tcW w:w="1780" w:type="dxa"/>
            <w:vAlign w:val="bottom"/>
            <w:gridSpan w:val="2"/>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580" w:type="dxa"/>
            <w:vAlign w:val="bottom"/>
            <w:shd w:val="clear" w:color="auto" w:fill="1D2758"/>
          </w:tcPr>
          <w:p>
            <w:pPr>
              <w:jc w:val="right"/>
              <w:ind w:right="26"/>
              <w:spacing w:after="0"/>
              <w:rPr>
                <w:sz w:val="20"/>
                <w:szCs w:val="20"/>
                <w:color w:val="auto"/>
              </w:rPr>
            </w:pPr>
            <w:r>
              <w:rPr>
                <w:rFonts w:ascii="Arial" w:cs="Arial" w:eastAsia="Arial" w:hAnsi="Arial"/>
                <w:sz w:val="15"/>
                <w:szCs w:val="15"/>
                <w:b w:val="1"/>
                <w:bCs w:val="1"/>
                <w:color w:val="FFFFFF"/>
                <w:w w:val="95"/>
              </w:rPr>
              <w:t>Grant Date Fair Value</w:t>
            </w:r>
          </w:p>
        </w:tc>
        <w:tc>
          <w:tcPr>
            <w:tcW w:w="0" w:type="dxa"/>
            <w:vAlign w:val="bottom"/>
          </w:tcPr>
          <w:p>
            <w:pPr>
              <w:spacing w:after="0"/>
              <w:rPr>
                <w:sz w:val="1"/>
                <w:szCs w:val="1"/>
                <w:color w:val="auto"/>
              </w:rPr>
            </w:pPr>
          </w:p>
        </w:tc>
      </w:tr>
      <w:tr>
        <w:trPr>
          <w:trHeight w:val="197"/>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w:t>
            </w: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57,448</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11.75</w:t>
            </w:r>
          </w:p>
        </w:tc>
        <w:tc>
          <w:tcPr>
            <w:tcW w:w="80" w:type="dxa"/>
            <w:vAlign w:val="bottom"/>
            <w:shd w:val="clear" w:color="auto" w:fill="DBDBDB"/>
          </w:tcPr>
          <w:p>
            <w:pPr>
              <w:spacing w:after="0"/>
              <w:rPr>
                <w:sz w:val="17"/>
                <w:szCs w:val="17"/>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52,755</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14.69</w:t>
            </w:r>
          </w:p>
        </w:tc>
        <w:tc>
          <w:tcPr>
            <w:tcW w:w="0" w:type="dxa"/>
            <w:vAlign w:val="bottom"/>
          </w:tcPr>
          <w:p>
            <w:pPr>
              <w:spacing w:after="0"/>
              <w:rPr>
                <w:sz w:val="1"/>
                <w:szCs w:val="1"/>
                <w:color w:val="auto"/>
              </w:rPr>
            </w:pPr>
          </w:p>
        </w:tc>
      </w:tr>
      <w:tr>
        <w:trPr>
          <w:trHeight w:val="194"/>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6"/>
              <w:spacing w:after="0"/>
              <w:rPr>
                <w:sz w:val="20"/>
                <w:szCs w:val="20"/>
                <w:color w:val="auto"/>
              </w:rPr>
            </w:pPr>
            <w:r>
              <w:rPr>
                <w:rFonts w:ascii="Arial" w:cs="Arial" w:eastAsia="Arial" w:hAnsi="Arial"/>
                <w:sz w:val="15"/>
                <w:szCs w:val="15"/>
                <w:color w:val="auto"/>
              </w:rPr>
              <w:t>44,708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29.30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65,959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199"/>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(8,532)</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80" w:type="dxa"/>
            <w:vAlign w:val="bottom"/>
            <w:shd w:val="clear" w:color="auto" w:fill="DBDBDB"/>
          </w:tcPr>
          <w:p>
            <w:pPr>
              <w:spacing w:after="0"/>
              <w:rPr>
                <w:sz w:val="17"/>
                <w:szCs w:val="17"/>
                <w:color w:val="auto"/>
              </w:rPr>
            </w:pPr>
          </w:p>
        </w:tc>
        <w:tc>
          <w:tcPr>
            <w:tcW w:w="1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(57,448)</w:t>
            </w:r>
          </w:p>
        </w:tc>
        <w:tc>
          <w:tcPr>
            <w:tcW w:w="8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11.75</w:t>
            </w:r>
          </w:p>
        </w:tc>
        <w:tc>
          <w:tcPr>
            <w:tcW w:w="8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(61,266)</w:t>
            </w: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14.28</w:t>
            </w:r>
          </w:p>
        </w:tc>
        <w:tc>
          <w:tcPr>
            <w:tcW w:w="0" w:type="dxa"/>
            <w:vAlign w:val="bottom"/>
          </w:tcPr>
          <w:p>
            <w:pPr>
              <w:spacing w:after="0"/>
              <w:rPr>
                <w:sz w:val="1"/>
                <w:szCs w:val="1"/>
                <w:color w:val="auto"/>
              </w:rPr>
            </w:pPr>
          </w:p>
        </w:tc>
      </w:tr>
      <w:tr>
        <w:trPr>
          <w:trHeight w:val="214"/>
        </w:trPr>
        <w:tc>
          <w:tcPr>
            <w:tcW w:w="4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September 30,</w:t>
            </w: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36,176</w:t>
            </w:r>
          </w:p>
        </w:tc>
        <w:tc>
          <w:tcPr>
            <w:tcW w:w="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80" w:type="dxa"/>
            <w:vAlign w:val="bottom"/>
            <w:tcBorders>
              <w:bottom w:val="single" w:sz="8" w:color="DBDBDB"/>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57,448</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Compensation expense for RSAs recognized in SG&amp;A on the condensed consolidated statements of operations was $0.3 million for each of the three months ended September 30, 2021 and 2020. Compensation expense for RSAs recognized in SG&amp;A on the condensed consolidated statements of operations was $0.6 million and $0.7 million for the nine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5" w:name="page26"/>
    <w:bookmarkEnd w:id="25"/>
    <w:p>
      <w:pPr>
        <w:jc w:val="both"/>
        <w:spacing w:after="0" w:line="246" w:lineRule="auto"/>
        <w:rPr>
          <w:sz w:val="20"/>
          <w:szCs w:val="20"/>
          <w:color w:val="auto"/>
        </w:rPr>
      </w:pPr>
      <w:r>
        <w:rPr>
          <w:rFonts w:ascii="Arial" w:cs="Arial" w:eastAsia="Arial" w:hAnsi="Arial"/>
          <w:sz w:val="15"/>
          <w:szCs w:val="15"/>
          <w:color w:val="auto"/>
        </w:rPr>
        <w:t>September 30, 2021 and 2020, respectively. At September 30, 2021, there was $0.7 million of unrecognized compensation cost related to RSAs that is expected to be recognized over the remaining weighted average vesting period of 0.7 years.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Time-Based RSUs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summarizes the Company's Time-Based RSU activity as of September 30,: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shd w:val="clear" w:color="auto" w:fill="1D2758"/>
          </w:tcPr>
          <w:p>
            <w:pPr>
              <w:spacing w:after="0"/>
              <w:rPr>
                <w:sz w:val="17"/>
                <w:szCs w:val="17"/>
                <w:color w:val="auto"/>
              </w:rPr>
            </w:pP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480" w:type="dxa"/>
            <w:vAlign w:val="bottom"/>
            <w:gridSpan w:val="4"/>
            <w:shd w:val="clear" w:color="auto" w:fill="1D2758"/>
          </w:tcPr>
          <w:p>
            <w:pPr>
              <w:jc w:val="right"/>
              <w:ind w:right="1486"/>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148"/>
        </w:trPr>
        <w:tc>
          <w:tcPr>
            <w:tcW w:w="4220" w:type="dxa"/>
            <w:vAlign w:val="bottom"/>
            <w:shd w:val="clear" w:color="auto" w:fill="1D2758"/>
          </w:tcPr>
          <w:p>
            <w:pPr>
              <w:spacing w:after="0"/>
              <w:rPr>
                <w:sz w:val="12"/>
                <w:szCs w:val="12"/>
                <w:color w:val="auto"/>
              </w:rPr>
            </w:pPr>
          </w:p>
        </w:tc>
        <w:tc>
          <w:tcPr>
            <w:tcW w:w="178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2"/>
                <w:szCs w:val="12"/>
                <w:color w:val="auto"/>
              </w:rPr>
            </w:pPr>
          </w:p>
        </w:tc>
        <w:tc>
          <w:tcPr>
            <w:tcW w:w="1600" w:type="dxa"/>
            <w:vAlign w:val="bottom"/>
            <w:gridSpan w:val="2"/>
            <w:shd w:val="clear" w:color="auto" w:fill="1D2758"/>
          </w:tcPr>
          <w:p>
            <w:pPr>
              <w:jc w:val="center"/>
              <w:ind w:right="240"/>
              <w:spacing w:after="0" w:line="148" w:lineRule="exact"/>
              <w:rPr>
                <w:sz w:val="20"/>
                <w:szCs w:val="20"/>
                <w:color w:val="auto"/>
              </w:rPr>
            </w:pPr>
            <w:r>
              <w:rPr>
                <w:rFonts w:ascii="Arial" w:cs="Arial" w:eastAsia="Arial" w:hAnsi="Arial"/>
                <w:sz w:val="15"/>
                <w:szCs w:val="15"/>
                <w:b w:val="1"/>
                <w:bCs w:val="1"/>
                <w:color w:val="FFFFFF"/>
                <w:w w:val="97"/>
              </w:rPr>
              <w:t>Weighted-Average</w:t>
            </w:r>
          </w:p>
        </w:tc>
        <w:tc>
          <w:tcPr>
            <w:tcW w:w="180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2"/>
                <w:szCs w:val="12"/>
                <w:color w:val="auto"/>
              </w:rPr>
            </w:pPr>
          </w:p>
        </w:tc>
        <w:tc>
          <w:tcPr>
            <w:tcW w:w="1580" w:type="dxa"/>
            <w:vAlign w:val="bottom"/>
            <w:shd w:val="clear" w:color="auto" w:fill="1D2758"/>
          </w:tcPr>
          <w:p>
            <w:pPr>
              <w:jc w:val="right"/>
              <w:ind w:right="126"/>
              <w:spacing w:after="0" w:line="148" w:lineRule="exact"/>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97"/>
        </w:trPr>
        <w:tc>
          <w:tcPr>
            <w:tcW w:w="4220" w:type="dxa"/>
            <w:vAlign w:val="bottom"/>
            <w:shd w:val="clear" w:color="auto" w:fill="1D2758"/>
          </w:tcPr>
          <w:p>
            <w:pPr>
              <w:spacing w:after="0"/>
              <w:rPr>
                <w:sz w:val="17"/>
                <w:szCs w:val="17"/>
                <w:color w:val="auto"/>
              </w:rPr>
            </w:pPr>
          </w:p>
        </w:tc>
        <w:tc>
          <w:tcPr>
            <w:tcW w:w="1780" w:type="dxa"/>
            <w:vAlign w:val="bottom"/>
            <w:gridSpan w:val="2"/>
            <w:vMerge w:val="continue"/>
            <w:shd w:val="clear" w:color="auto" w:fill="1D2758"/>
          </w:tcPr>
          <w:p>
            <w:pPr>
              <w:spacing w:after="0"/>
              <w:rPr>
                <w:sz w:val="17"/>
                <w:szCs w:val="17"/>
                <w:color w:val="auto"/>
              </w:rPr>
            </w:pPr>
          </w:p>
        </w:tc>
        <w:tc>
          <w:tcPr>
            <w:tcW w:w="176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w w:val="96"/>
              </w:rPr>
              <w:t>Grant Date Fair Value</w:t>
            </w:r>
          </w:p>
        </w:tc>
        <w:tc>
          <w:tcPr>
            <w:tcW w:w="1800" w:type="dxa"/>
            <w:vAlign w:val="bottom"/>
            <w:gridSpan w:val="2"/>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580" w:type="dxa"/>
            <w:vAlign w:val="bottom"/>
            <w:shd w:val="clear" w:color="auto" w:fill="1D2758"/>
          </w:tcPr>
          <w:p>
            <w:pPr>
              <w:jc w:val="right"/>
              <w:ind w:right="26"/>
              <w:spacing w:after="0"/>
              <w:rPr>
                <w:sz w:val="20"/>
                <w:szCs w:val="20"/>
                <w:color w:val="auto"/>
              </w:rPr>
            </w:pPr>
            <w:r>
              <w:rPr>
                <w:rFonts w:ascii="Arial" w:cs="Arial" w:eastAsia="Arial" w:hAnsi="Arial"/>
                <w:sz w:val="15"/>
                <w:szCs w:val="15"/>
                <w:b w:val="1"/>
                <w:bCs w:val="1"/>
                <w:color w:val="FFFFFF"/>
                <w:w w:val="95"/>
              </w:rPr>
              <w:t>Grant Date Fair Value</w:t>
            </w:r>
          </w:p>
        </w:tc>
        <w:tc>
          <w:tcPr>
            <w:tcW w:w="0" w:type="dxa"/>
            <w:vAlign w:val="bottom"/>
          </w:tcPr>
          <w:p>
            <w:pPr>
              <w:spacing w:after="0"/>
              <w:rPr>
                <w:sz w:val="1"/>
                <w:szCs w:val="1"/>
                <w:color w:val="auto"/>
              </w:rPr>
            </w:pPr>
          </w:p>
        </w:tc>
      </w:tr>
      <w:tr>
        <w:trPr>
          <w:trHeight w:val="197"/>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w:t>
            </w:r>
          </w:p>
        </w:tc>
        <w:tc>
          <w:tcPr>
            <w:tcW w:w="170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1,125,766</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13.44</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1,065,305</w:t>
            </w: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194"/>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6"/>
              <w:spacing w:after="0"/>
              <w:rPr>
                <w:sz w:val="20"/>
                <w:szCs w:val="20"/>
                <w:color w:val="auto"/>
              </w:rPr>
            </w:pPr>
            <w:r>
              <w:rPr>
                <w:rFonts w:ascii="Arial" w:cs="Arial" w:eastAsia="Arial" w:hAnsi="Arial"/>
                <w:sz w:val="15"/>
                <w:szCs w:val="15"/>
                <w:color w:val="auto"/>
              </w:rPr>
              <w:t>415,737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27.25</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632,864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14.37</w:t>
            </w:r>
          </w:p>
        </w:tc>
        <w:tc>
          <w:tcPr>
            <w:tcW w:w="0" w:type="dxa"/>
            <w:vAlign w:val="bottom"/>
          </w:tcPr>
          <w:p>
            <w:pPr>
              <w:spacing w:after="0"/>
              <w:rPr>
                <w:sz w:val="1"/>
                <w:szCs w:val="1"/>
                <w:color w:val="auto"/>
              </w:rPr>
            </w:pPr>
          </w:p>
        </w:tc>
      </w:tr>
      <w:tr>
        <w:trPr>
          <w:trHeight w:val="19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(65,153)</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5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16.74</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(22,728)</w:t>
            </w: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5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13.45</w:t>
            </w:r>
          </w:p>
        </w:tc>
        <w:tc>
          <w:tcPr>
            <w:tcW w:w="0" w:type="dxa"/>
            <w:vAlign w:val="bottom"/>
          </w:tcPr>
          <w:p>
            <w:pPr>
              <w:spacing w:after="0"/>
              <w:rPr>
                <w:sz w:val="1"/>
                <w:szCs w:val="1"/>
                <w:color w:val="auto"/>
              </w:rPr>
            </w:pPr>
          </w:p>
        </w:tc>
      </w:tr>
      <w:tr>
        <w:trPr>
          <w:trHeight w:val="194"/>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(467,055)</w:t>
            </w:r>
          </w:p>
        </w:tc>
        <w:tc>
          <w:tcPr>
            <w:tcW w:w="80" w:type="dxa"/>
            <w:vAlign w:val="bottom"/>
            <w:tcBorders>
              <w:bottom w:val="single" w:sz="8" w:color="DDDDDD"/>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14.14</w:t>
            </w:r>
          </w:p>
        </w:tc>
        <w:tc>
          <w:tcPr>
            <w:tcW w:w="80" w:type="dxa"/>
            <w:vAlign w:val="bottom"/>
            <w:tcBorders>
              <w:bottom w:val="single" w:sz="8" w:color="DDDDDD"/>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(323,678)</w:t>
            </w:r>
          </w:p>
        </w:tc>
        <w:tc>
          <w:tcPr>
            <w:tcW w:w="100" w:type="dxa"/>
            <w:vAlign w:val="bottom"/>
            <w:tcBorders>
              <w:bottom w:val="single" w:sz="8" w:color="DDDDD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12.93</w:t>
            </w:r>
          </w:p>
        </w:tc>
        <w:tc>
          <w:tcPr>
            <w:tcW w:w="0" w:type="dxa"/>
            <w:vAlign w:val="bottom"/>
          </w:tcPr>
          <w:p>
            <w:pPr>
              <w:spacing w:after="0"/>
              <w:rPr>
                <w:sz w:val="1"/>
                <w:szCs w:val="1"/>
                <w:color w:val="auto"/>
              </w:rPr>
            </w:pPr>
          </w:p>
        </w:tc>
      </w:tr>
      <w:tr>
        <w:trPr>
          <w:trHeight w:val="21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September 30,</w:t>
            </w:r>
          </w:p>
        </w:tc>
        <w:tc>
          <w:tcPr>
            <w:tcW w:w="1700" w:type="dxa"/>
            <w:vAlign w:val="bottom"/>
            <w:tcBorders>
              <w:bottom w:val="single" w:sz="8" w:color="auto"/>
            </w:tcBorders>
            <w:shd w:val="clear" w:color="auto" w:fill="DDDDDD"/>
          </w:tcPr>
          <w:p>
            <w:pPr>
              <w:jc w:val="right"/>
              <w:ind w:right="6"/>
              <w:spacing w:after="0"/>
              <w:rPr>
                <w:sz w:val="20"/>
                <w:szCs w:val="20"/>
                <w:color w:val="auto"/>
              </w:rPr>
            </w:pPr>
            <w:r>
              <w:rPr>
                <w:rFonts w:ascii="Arial" w:cs="Arial" w:eastAsia="Arial" w:hAnsi="Arial"/>
                <w:sz w:val="15"/>
                <w:szCs w:val="15"/>
                <w:color w:val="auto"/>
              </w:rPr>
              <w:t>1,009,295</w:t>
            </w:r>
          </w:p>
        </w:tc>
        <w:tc>
          <w:tcPr>
            <w:tcW w:w="8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18.59</w:t>
            </w:r>
          </w:p>
        </w:tc>
        <w:tc>
          <w:tcPr>
            <w:tcW w:w="8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1,351,763</w:t>
            </w: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13.48</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15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4"/>
          <w:szCs w:val="14"/>
          <w:color w:val="auto"/>
        </w:rPr>
        <w:t>Compensation expense for Time-Based RSUs recognized in SG&amp;A on the condensed consolidated statements of operations was $3.2 million and $1.6 million for the three months ended September 30, 2021 and 2020, respectively. Compensation expense for RSUs recognized in SG&amp;A on the condensed consolidated statements of operations was $7.5 million and $3.9 million for the nine months ended September 30, 2021 and 2020, respectively. At September 30, 2021, unrecognized compensation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cost related to Time-Based RSUs totaled $13.5 million and is expected to be recognized over the remaining weighted average vesting period of 2.3 years.</w:t>
      </w:r>
    </w:p>
    <w:p>
      <w:pPr>
        <w:spacing w:after="0" w:line="61"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Included in restructuring costs for the three and nine months ended September 30, 2021 was expense of approximately $1.1 million and $5.9 million, respectively, recognized as a result of the modification of certain RSUs associated with the Transition, Separation and Release Agreement entered into on February 25, 2021 with the Company's former President and Chief Operating Officer.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Performance-Based RSUs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summarizes the Company's Performance-Based RSU award activity as of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shd w:val="clear" w:color="auto" w:fill="1D2758"/>
          </w:tcPr>
          <w:p>
            <w:pPr>
              <w:spacing w:after="0"/>
              <w:rPr>
                <w:sz w:val="16"/>
                <w:szCs w:val="16"/>
                <w:color w:val="auto"/>
              </w:rPr>
            </w:pPr>
          </w:p>
        </w:tc>
        <w:tc>
          <w:tcPr>
            <w:tcW w:w="162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70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44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60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72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2020</w:t>
            </w:r>
          </w:p>
        </w:tc>
        <w:tc>
          <w:tcPr>
            <w:tcW w:w="1420" w:type="dxa"/>
            <w:vAlign w:val="bottom"/>
            <w:shd w:val="clear" w:color="auto" w:fill="1D2758"/>
          </w:tcPr>
          <w:p>
            <w:pPr>
              <w:spacing w:after="0"/>
              <w:rPr>
                <w:sz w:val="16"/>
                <w:szCs w:val="16"/>
                <w:color w:val="auto"/>
              </w:rPr>
            </w:pPr>
          </w:p>
        </w:tc>
      </w:tr>
      <w:tr>
        <w:trPr>
          <w:trHeight w:val="148"/>
        </w:trPr>
        <w:tc>
          <w:tcPr>
            <w:tcW w:w="3500" w:type="dxa"/>
            <w:vAlign w:val="bottom"/>
            <w:shd w:val="clear" w:color="auto" w:fill="1D2758"/>
          </w:tcPr>
          <w:p>
            <w:pPr>
              <w:spacing w:after="0"/>
              <w:rPr>
                <w:sz w:val="12"/>
                <w:szCs w:val="12"/>
                <w:color w:val="auto"/>
              </w:rPr>
            </w:pPr>
          </w:p>
        </w:tc>
        <w:tc>
          <w:tcPr>
            <w:tcW w:w="1700" w:type="dxa"/>
            <w:vAlign w:val="bottom"/>
            <w:gridSpan w:val="2"/>
            <w:shd w:val="clear" w:color="auto" w:fill="1D2758"/>
          </w:tcPr>
          <w:p>
            <w:pPr>
              <w:ind w:left="740"/>
              <w:spacing w:after="0" w:line="148" w:lineRule="exact"/>
              <w:rPr>
                <w:sz w:val="20"/>
                <w:szCs w:val="20"/>
                <w:color w:val="auto"/>
              </w:rPr>
            </w:pPr>
            <w:r>
              <w:rPr>
                <w:rFonts w:ascii="Arial" w:cs="Arial" w:eastAsia="Arial" w:hAnsi="Arial"/>
                <w:sz w:val="15"/>
                <w:szCs w:val="15"/>
                <w:b w:val="1"/>
                <w:bCs w:val="1"/>
                <w:color w:val="FFFFFF"/>
              </w:rPr>
              <w:t>Number of</w:t>
            </w:r>
          </w:p>
        </w:tc>
        <w:tc>
          <w:tcPr>
            <w:tcW w:w="700" w:type="dxa"/>
            <w:vAlign w:val="bottom"/>
            <w:shd w:val="clear" w:color="auto" w:fill="1D2758"/>
          </w:tcPr>
          <w:p>
            <w:pPr>
              <w:spacing w:after="0"/>
              <w:rPr>
                <w:sz w:val="12"/>
                <w:szCs w:val="12"/>
                <w:color w:val="auto"/>
              </w:rPr>
            </w:pPr>
          </w:p>
        </w:tc>
        <w:tc>
          <w:tcPr>
            <w:tcW w:w="1520" w:type="dxa"/>
            <w:vAlign w:val="bottom"/>
            <w:gridSpan w:val="2"/>
            <w:shd w:val="clear" w:color="auto" w:fill="1D2758"/>
          </w:tcPr>
          <w:p>
            <w:pPr>
              <w:ind w:left="20"/>
              <w:spacing w:after="0" w:line="148" w:lineRule="exact"/>
              <w:rPr>
                <w:sz w:val="20"/>
                <w:szCs w:val="20"/>
                <w:color w:val="auto"/>
              </w:rPr>
            </w:pPr>
            <w:r>
              <w:rPr>
                <w:rFonts w:ascii="Arial" w:cs="Arial" w:eastAsia="Arial" w:hAnsi="Arial"/>
                <w:sz w:val="15"/>
                <w:szCs w:val="15"/>
                <w:b w:val="1"/>
                <w:bCs w:val="1"/>
                <w:color w:val="FFFFFF"/>
              </w:rPr>
              <w:t>Weighted-Average</w:t>
            </w:r>
          </w:p>
        </w:tc>
        <w:tc>
          <w:tcPr>
            <w:tcW w:w="1680" w:type="dxa"/>
            <w:vAlign w:val="bottom"/>
            <w:gridSpan w:val="2"/>
            <w:shd w:val="clear" w:color="auto" w:fill="1D2758"/>
          </w:tcPr>
          <w:p>
            <w:pPr>
              <w:ind w:left="720"/>
              <w:spacing w:after="0" w:line="148" w:lineRule="exact"/>
              <w:rPr>
                <w:sz w:val="20"/>
                <w:szCs w:val="20"/>
                <w:color w:val="auto"/>
              </w:rPr>
            </w:pPr>
            <w:r>
              <w:rPr>
                <w:rFonts w:ascii="Arial" w:cs="Arial" w:eastAsia="Arial" w:hAnsi="Arial"/>
                <w:sz w:val="15"/>
                <w:szCs w:val="15"/>
                <w:b w:val="1"/>
                <w:bCs w:val="1"/>
                <w:color w:val="FFFFFF"/>
              </w:rPr>
              <w:t>Number of</w:t>
            </w:r>
          </w:p>
        </w:tc>
        <w:tc>
          <w:tcPr>
            <w:tcW w:w="720" w:type="dxa"/>
            <w:vAlign w:val="bottom"/>
            <w:shd w:val="clear" w:color="auto" w:fill="1D2758"/>
          </w:tcPr>
          <w:p>
            <w:pPr>
              <w:spacing w:after="0"/>
              <w:rPr>
                <w:sz w:val="12"/>
                <w:szCs w:val="12"/>
                <w:color w:val="auto"/>
              </w:rPr>
            </w:pPr>
          </w:p>
        </w:tc>
        <w:tc>
          <w:tcPr>
            <w:tcW w:w="1420" w:type="dxa"/>
            <w:vAlign w:val="bottom"/>
            <w:shd w:val="clear" w:color="auto" w:fill="1D2758"/>
          </w:tcPr>
          <w:p>
            <w:pPr>
              <w:jc w:val="right"/>
              <w:ind w:right="46"/>
              <w:spacing w:after="0" w:line="148" w:lineRule="exact"/>
              <w:rPr>
                <w:sz w:val="20"/>
                <w:szCs w:val="20"/>
                <w:color w:val="auto"/>
              </w:rPr>
            </w:pPr>
            <w:r>
              <w:rPr>
                <w:rFonts w:ascii="Arial" w:cs="Arial" w:eastAsia="Arial" w:hAnsi="Arial"/>
                <w:sz w:val="15"/>
                <w:szCs w:val="15"/>
                <w:b w:val="1"/>
                <w:bCs w:val="1"/>
                <w:color w:val="FFFFFF"/>
                <w:w w:val="97"/>
              </w:rPr>
              <w:t>Weighted-Average</w:t>
            </w:r>
          </w:p>
        </w:tc>
      </w:tr>
      <w:tr>
        <w:trPr>
          <w:trHeight w:val="197"/>
        </w:trPr>
        <w:tc>
          <w:tcPr>
            <w:tcW w:w="350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ind w:left="560"/>
              <w:spacing w:after="0"/>
              <w:rPr>
                <w:sz w:val="20"/>
                <w:szCs w:val="20"/>
                <w:color w:val="auto"/>
              </w:rPr>
            </w:pPr>
            <w:r>
              <w:rPr>
                <w:rFonts w:ascii="Arial" w:cs="Arial" w:eastAsia="Arial" w:hAnsi="Arial"/>
                <w:sz w:val="15"/>
                <w:szCs w:val="15"/>
                <w:b w:val="1"/>
                <w:bCs w:val="1"/>
                <w:color w:val="FFFFFF"/>
              </w:rPr>
              <w:t>Shares</w:t>
            </w:r>
          </w:p>
        </w:tc>
        <w:tc>
          <w:tcPr>
            <w:tcW w:w="2220" w:type="dxa"/>
            <w:vAlign w:val="bottom"/>
            <w:gridSpan w:val="3"/>
            <w:shd w:val="clear" w:color="auto" w:fill="1D2758"/>
          </w:tcPr>
          <w:p>
            <w:pPr>
              <w:ind w:left="320"/>
              <w:spacing w:after="0"/>
              <w:rPr>
                <w:sz w:val="20"/>
                <w:szCs w:val="20"/>
                <w:color w:val="auto"/>
              </w:rPr>
            </w:pPr>
            <w:r>
              <w:rPr>
                <w:rFonts w:ascii="Arial" w:cs="Arial" w:eastAsia="Arial" w:hAnsi="Arial"/>
                <w:sz w:val="15"/>
                <w:szCs w:val="15"/>
                <w:b w:val="1"/>
                <w:bCs w:val="1"/>
                <w:color w:val="FFFFFF"/>
              </w:rPr>
              <w:t>Grant Date Fair Value</w:t>
            </w:r>
          </w:p>
        </w:tc>
        <w:tc>
          <w:tcPr>
            <w:tcW w:w="1680" w:type="dxa"/>
            <w:vAlign w:val="bottom"/>
            <w:gridSpan w:val="2"/>
            <w:shd w:val="clear" w:color="auto" w:fill="1D2758"/>
          </w:tcPr>
          <w:p>
            <w:pPr>
              <w:ind w:left="560"/>
              <w:spacing w:after="0"/>
              <w:rPr>
                <w:sz w:val="20"/>
                <w:szCs w:val="20"/>
                <w:color w:val="auto"/>
              </w:rPr>
            </w:pPr>
            <w:r>
              <w:rPr>
                <w:rFonts w:ascii="Arial" w:cs="Arial" w:eastAsia="Arial" w:hAnsi="Arial"/>
                <w:sz w:val="15"/>
                <w:szCs w:val="15"/>
                <w:b w:val="1"/>
                <w:bCs w:val="1"/>
                <w:color w:val="FFFFFF"/>
              </w:rPr>
              <w:t>Shares</w:t>
            </w:r>
          </w:p>
        </w:tc>
        <w:tc>
          <w:tcPr>
            <w:tcW w:w="2140" w:type="dxa"/>
            <w:vAlign w:val="bottom"/>
            <w:gridSpan w:val="2"/>
            <w:shd w:val="clear" w:color="auto" w:fill="1D2758"/>
          </w:tcPr>
          <w:p>
            <w:pPr>
              <w:jc w:val="right"/>
              <w:ind w:right="246"/>
              <w:spacing w:after="0"/>
              <w:rPr>
                <w:sz w:val="20"/>
                <w:szCs w:val="20"/>
                <w:color w:val="auto"/>
              </w:rPr>
            </w:pPr>
            <w:r>
              <w:rPr>
                <w:rFonts w:ascii="Arial" w:cs="Arial" w:eastAsia="Arial" w:hAnsi="Arial"/>
                <w:sz w:val="15"/>
                <w:szCs w:val="15"/>
                <w:b w:val="1"/>
                <w:bCs w:val="1"/>
                <w:color w:val="FFFFFF"/>
              </w:rPr>
              <w:t>Grant Date Fair Value</w:t>
            </w:r>
          </w:p>
        </w:tc>
      </w:tr>
      <w:tr>
        <w:trPr>
          <w:trHeight w:val="197"/>
        </w:trPr>
        <w:tc>
          <w:tcPr>
            <w:tcW w:w="3500" w:type="dxa"/>
            <w:vAlign w:val="bottom"/>
            <w:shd w:val="clear" w:color="auto" w:fill="DDDDDD"/>
          </w:tcPr>
          <w:p>
            <w:pPr>
              <w:ind w:left="600"/>
              <w:spacing w:after="0"/>
              <w:rPr>
                <w:sz w:val="20"/>
                <w:szCs w:val="20"/>
                <w:color w:val="auto"/>
              </w:rPr>
            </w:pPr>
            <w:r>
              <w:rPr>
                <w:rFonts w:ascii="Arial" w:cs="Arial" w:eastAsia="Arial" w:hAnsi="Arial"/>
                <w:sz w:val="15"/>
                <w:szCs w:val="15"/>
                <w:color w:val="auto"/>
              </w:rPr>
              <w:t>Balance December 31,</w:t>
            </w:r>
          </w:p>
        </w:tc>
        <w:tc>
          <w:tcPr>
            <w:tcW w:w="162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593,388</w:t>
            </w:r>
          </w:p>
        </w:tc>
        <w:tc>
          <w:tcPr>
            <w:tcW w:w="80" w:type="dxa"/>
            <w:vAlign w:val="bottom"/>
            <w:shd w:val="clear" w:color="auto" w:fill="DDDDDD"/>
          </w:tcPr>
          <w:p>
            <w:pPr>
              <w:spacing w:after="0"/>
              <w:rPr>
                <w:sz w:val="17"/>
                <w:szCs w:val="17"/>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14.88</w:t>
            </w:r>
          </w:p>
        </w:tc>
        <w:tc>
          <w:tcPr>
            <w:tcW w:w="80" w:type="dxa"/>
            <w:vAlign w:val="bottom"/>
            <w:shd w:val="clear" w:color="auto" w:fill="DDDDDD"/>
          </w:tcPr>
          <w:p>
            <w:pPr>
              <w:spacing w:after="0"/>
              <w:rPr>
                <w:sz w:val="17"/>
                <w:szCs w:val="17"/>
                <w:color w:val="auto"/>
              </w:rPr>
            </w:pPr>
          </w:p>
        </w:tc>
        <w:tc>
          <w:tcPr>
            <w:tcW w:w="160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288,281</w:t>
            </w:r>
          </w:p>
        </w:tc>
        <w:tc>
          <w:tcPr>
            <w:tcW w:w="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13.22</w:t>
            </w:r>
          </w:p>
        </w:tc>
      </w:tr>
      <w:tr>
        <w:trPr>
          <w:trHeight w:val="194"/>
        </w:trPr>
        <w:tc>
          <w:tcPr>
            <w:tcW w:w="3500" w:type="dxa"/>
            <w:vAlign w:val="bottom"/>
          </w:tcPr>
          <w:p>
            <w:pPr>
              <w:ind w:left="800"/>
              <w:spacing w:after="0"/>
              <w:rPr>
                <w:sz w:val="20"/>
                <w:szCs w:val="20"/>
                <w:color w:val="auto"/>
              </w:rPr>
            </w:pPr>
            <w:r>
              <w:rPr>
                <w:rFonts w:ascii="Arial" w:cs="Arial" w:eastAsia="Arial" w:hAnsi="Arial"/>
                <w:sz w:val="15"/>
                <w:szCs w:val="15"/>
                <w:color w:val="auto"/>
              </w:rPr>
              <w:t>Granted</w:t>
            </w: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977,645</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33.21</w:t>
            </w:r>
          </w:p>
        </w:tc>
        <w:tc>
          <w:tcPr>
            <w:tcW w:w="80" w:type="dxa"/>
            <w:vAlign w:val="bottom"/>
          </w:tcPr>
          <w:p>
            <w:pPr>
              <w:spacing w:after="0"/>
              <w:rPr>
                <w:sz w:val="16"/>
                <w:szCs w:val="16"/>
                <w:color w:val="auto"/>
              </w:rPr>
            </w:pPr>
          </w:p>
        </w:tc>
        <w:tc>
          <w:tcPr>
            <w:tcW w:w="1600" w:type="dxa"/>
            <w:vAlign w:val="bottom"/>
          </w:tcPr>
          <w:p>
            <w:pPr>
              <w:jc w:val="right"/>
              <w:ind w:right="6"/>
              <w:spacing w:after="0"/>
              <w:rPr>
                <w:sz w:val="20"/>
                <w:szCs w:val="20"/>
                <w:color w:val="auto"/>
              </w:rPr>
            </w:pPr>
            <w:r>
              <w:rPr>
                <w:rFonts w:ascii="Arial" w:cs="Arial" w:eastAsia="Arial" w:hAnsi="Arial"/>
                <w:sz w:val="15"/>
                <w:szCs w:val="15"/>
                <w:color w:val="auto"/>
              </w:rPr>
              <w:t>325,256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16.35</w:t>
            </w:r>
          </w:p>
        </w:tc>
      </w:tr>
      <w:tr>
        <w:trPr>
          <w:trHeight w:val="199"/>
        </w:trPr>
        <w:tc>
          <w:tcPr>
            <w:tcW w:w="3500" w:type="dxa"/>
            <w:vAlign w:val="bottom"/>
            <w:shd w:val="clear" w:color="auto" w:fill="DDDDDD"/>
          </w:tcPr>
          <w:p>
            <w:pPr>
              <w:ind w:left="800"/>
              <w:spacing w:after="0"/>
              <w:rPr>
                <w:sz w:val="20"/>
                <w:szCs w:val="20"/>
                <w:color w:val="auto"/>
              </w:rPr>
            </w:pPr>
            <w:r>
              <w:rPr>
                <w:rFonts w:ascii="Arial" w:cs="Arial" w:eastAsia="Arial" w:hAnsi="Arial"/>
                <w:sz w:val="15"/>
                <w:szCs w:val="15"/>
                <w:color w:val="auto"/>
              </w:rPr>
              <w:t>Forfeited</w:t>
            </w: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(20,077)</w:t>
            </w:r>
          </w:p>
        </w:tc>
        <w:tc>
          <w:tcPr>
            <w:tcW w:w="80" w:type="dxa"/>
            <w:vAlign w:val="bottom"/>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spacing w:after="0"/>
              <w:rPr>
                <w:sz w:val="17"/>
                <w:szCs w:val="17"/>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25.87</w:t>
            </w:r>
          </w:p>
        </w:tc>
        <w:tc>
          <w:tcPr>
            <w:tcW w:w="80" w:type="dxa"/>
            <w:vAlign w:val="bottom"/>
            <w:shd w:val="clear" w:color="auto" w:fill="DDDDDD"/>
          </w:tcPr>
          <w:p>
            <w:pPr>
              <w:spacing w:after="0"/>
              <w:rPr>
                <w:sz w:val="17"/>
                <w:szCs w:val="17"/>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(12,700)</w:t>
            </w:r>
          </w:p>
        </w:tc>
        <w:tc>
          <w:tcPr>
            <w:tcW w:w="80" w:type="dxa"/>
            <w:vAlign w:val="bottom"/>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14.70</w:t>
            </w:r>
          </w:p>
        </w:tc>
      </w:tr>
      <w:tr>
        <w:trPr>
          <w:trHeight w:val="186"/>
        </w:trPr>
        <w:tc>
          <w:tcPr>
            <w:tcW w:w="3500" w:type="dxa"/>
            <w:vAlign w:val="bottom"/>
          </w:tcPr>
          <w:p>
            <w:pPr>
              <w:ind w:left="600"/>
              <w:spacing w:after="0"/>
              <w:rPr>
                <w:sz w:val="20"/>
                <w:szCs w:val="20"/>
                <w:color w:val="auto"/>
              </w:rPr>
            </w:pPr>
            <w:r>
              <w:rPr>
                <w:rFonts w:ascii="Arial" w:cs="Arial" w:eastAsia="Arial" w:hAnsi="Arial"/>
                <w:sz w:val="15"/>
                <w:szCs w:val="15"/>
                <w:color w:val="auto"/>
              </w:rPr>
              <w:t>Balance September 30,</w:t>
            </w: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1,550,956</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26.29</w:t>
            </w:r>
          </w:p>
        </w:tc>
        <w:tc>
          <w:tcPr>
            <w:tcW w:w="80" w:type="dxa"/>
            <w:vAlign w:val="bottom"/>
          </w:tcPr>
          <w:p>
            <w:pPr>
              <w:spacing w:after="0"/>
              <w:rPr>
                <w:sz w:val="16"/>
                <w:szCs w:val="16"/>
                <w:color w:val="auto"/>
              </w:rPr>
            </w:pPr>
          </w:p>
        </w:tc>
        <w:tc>
          <w:tcPr>
            <w:tcW w:w="16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600,837</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14.88</w:t>
            </w:r>
          </w:p>
        </w:tc>
      </w:tr>
      <w:tr>
        <w:trPr>
          <w:trHeight w:val="20"/>
        </w:trPr>
        <w:tc>
          <w:tcPr>
            <w:tcW w:w="35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Compensation expense for Performance-Based RSUs recognized in SG&amp;A on the condensed consolidated statements of operations was $2.7 million and $0.8 million for the three months ended September 30, 2021 and 2020, respectively. Compensation expense for Performance-Based RSUs recognized in SG&amp;A on the condensed consolidated statements of operations was $5.8 million and $1.7 million for the nine months ended September 30, 2021 and 2020, respectively. At September 30, 2021, unrecognized compensation cost related to Performance-Based RSUs totaled $30.3 million and is expected to be recognized over the remaining vesting period of 2.7 years.</w:t>
      </w:r>
    </w:p>
    <w:p>
      <w:pPr>
        <w:spacing w:after="0" w:line="4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Included in restructuring costs for the three and nine months ended September 30, 2021 was expense of approximately $0.3 million and $1.3 million, respectively, recognized as a result of the modification of certain Performance-Based RSUs associated with the Transition, Separation and Release Agreement entered into on February 25, 2021 with the Company's former President and Chief Operating Officer.</w:t>
      </w:r>
    </w:p>
    <w:p>
      <w:pPr>
        <w:spacing w:after="0" w:line="42"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an index at the grant date over the performance period of three years. For certain 2021 grants, the TSR of the Company's Common Stock is compared to the TSR of the constituents in the S&amp;P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 For grants in 2020 and prior, the TSR of the Company's Common Stock is compared to the TSR of constituents in the Russell 3000 Index. The target number of RSUs may be adjusted from 0% to 150% based on the TSR attainment levels defined by the Company's Compensation Committee. The 100% target payout is tied to performance at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50% percentile, with a payout curve ranging from 0% (for performance less than the 25% percentile) to 150% (for performance at or above the 75% percentile).</w:t>
      </w:r>
    </w:p>
    <w:p>
      <w:pPr>
        <w:spacing w:after="0" w:line="49"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For 555,790 Performance-Based RSUs granted in 2021, the awards cliff vest based on achievement of specified share prices of the Company's Common Stock at annual measurement dates over performance periods of 4.5 to 4.8 years. The target number of RSUs may be adjusted from 0 to 1,333,334 based on the stock price attainment levels defined by the Company's Compensation Committee. The 555,790 RSU target payout is tied to a stock price of $47.50, with a payout ranging from 0 RSUs (for a stock price less than $42.50) to 1,333,334 RSUs (for a stock price of $60.00 or greater).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summarizes the Company's stock option activity as of September 30,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7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62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w w:val="97"/>
              </w:rPr>
              <w:t>Weighted-Average</w:t>
            </w:r>
          </w:p>
        </w:tc>
        <w:tc>
          <w:tcPr>
            <w:tcW w:w="1800" w:type="dxa"/>
            <w:vAlign w:val="bottom"/>
            <w:gridSpan w:val="2"/>
            <w:vMerge w:val="restart"/>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w w:val="97"/>
              </w:rPr>
              <w:t>Converted</w:t>
            </w:r>
          </w:p>
        </w:tc>
        <w:tc>
          <w:tcPr>
            <w:tcW w:w="140" w:type="dxa"/>
            <w:vAlign w:val="bottom"/>
            <w:shd w:val="clear" w:color="auto" w:fill="1D2758"/>
          </w:tcPr>
          <w:p>
            <w:pPr>
              <w:spacing w:after="0"/>
              <w:rPr>
                <w:sz w:val="14"/>
                <w:szCs w:val="14"/>
                <w:color w:val="auto"/>
              </w:rPr>
            </w:pPr>
          </w:p>
        </w:tc>
        <w:tc>
          <w:tcPr>
            <w:tcW w:w="1540" w:type="dxa"/>
            <w:vAlign w:val="bottom"/>
            <w:shd w:val="clear" w:color="auto" w:fill="1D2758"/>
          </w:tcPr>
          <w:p>
            <w:pPr>
              <w:jc w:val="center"/>
              <w:ind w:right="66"/>
              <w:spacing w:after="0"/>
              <w:rPr>
                <w:sz w:val="20"/>
                <w:szCs w:val="20"/>
                <w:color w:val="auto"/>
              </w:rPr>
            </w:pPr>
            <w:r>
              <w:rPr>
                <w:rFonts w:ascii="Arial" w:cs="Arial" w:eastAsia="Arial" w:hAnsi="Arial"/>
                <w:sz w:val="15"/>
                <w:szCs w:val="15"/>
                <w:b w:val="1"/>
                <w:bCs w:val="1"/>
                <w:color w:val="FFFFFF"/>
                <w:w w:val="97"/>
              </w:rPr>
              <w:t>Weighted-Average</w:t>
            </w:r>
          </w:p>
        </w:tc>
        <w:tc>
          <w:tcPr>
            <w:tcW w:w="0" w:type="dxa"/>
            <w:vAlign w:val="bottom"/>
          </w:tcPr>
          <w:p>
            <w:pPr>
              <w:spacing w:after="0"/>
              <w:rPr>
                <w:sz w:val="1"/>
                <w:szCs w:val="1"/>
                <w:color w:val="auto"/>
              </w:rPr>
            </w:pPr>
          </w:p>
        </w:tc>
      </w:tr>
      <w:tr>
        <w:trPr>
          <w:trHeight w:val="148"/>
        </w:trPr>
        <w:tc>
          <w:tcPr>
            <w:tcW w:w="4220" w:type="dxa"/>
            <w:vAlign w:val="bottom"/>
            <w:shd w:val="clear" w:color="auto" w:fill="1D2758"/>
          </w:tcPr>
          <w:p>
            <w:pPr>
              <w:spacing w:after="0"/>
              <w:rPr>
                <w:sz w:val="12"/>
                <w:szCs w:val="12"/>
                <w:color w:val="auto"/>
              </w:rPr>
            </w:pPr>
          </w:p>
        </w:tc>
        <w:tc>
          <w:tcPr>
            <w:tcW w:w="1780" w:type="dxa"/>
            <w:vAlign w:val="bottom"/>
            <w:gridSpan w:val="2"/>
            <w:vMerge w:val="restart"/>
            <w:shd w:val="clear" w:color="auto" w:fill="1D2758"/>
          </w:tcPr>
          <w:p>
            <w:pPr>
              <w:ind w:left="26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2"/>
                <w:szCs w:val="12"/>
                <w:color w:val="auto"/>
              </w:rPr>
            </w:pPr>
          </w:p>
        </w:tc>
        <w:tc>
          <w:tcPr>
            <w:tcW w:w="1620" w:type="dxa"/>
            <w:vAlign w:val="bottom"/>
            <w:gridSpan w:val="2"/>
            <w:shd w:val="clear" w:color="auto" w:fill="1D2758"/>
          </w:tcPr>
          <w:p>
            <w:pPr>
              <w:jc w:val="center"/>
              <w:ind w:right="220"/>
              <w:spacing w:after="0" w:line="148" w:lineRule="exact"/>
              <w:rPr>
                <w:sz w:val="20"/>
                <w:szCs w:val="20"/>
                <w:color w:val="auto"/>
              </w:rPr>
            </w:pPr>
            <w:r>
              <w:rPr>
                <w:rFonts w:ascii="Arial" w:cs="Arial" w:eastAsia="Arial" w:hAnsi="Arial"/>
                <w:sz w:val="15"/>
                <w:szCs w:val="15"/>
                <w:b w:val="1"/>
                <w:bCs w:val="1"/>
                <w:color w:val="FFFFFF"/>
                <w:w w:val="98"/>
              </w:rPr>
              <w:t>Exercise Price per</w:t>
            </w:r>
          </w:p>
        </w:tc>
        <w:tc>
          <w:tcPr>
            <w:tcW w:w="1800" w:type="dxa"/>
            <w:vAlign w:val="bottom"/>
            <w:gridSpan w:val="2"/>
            <w:vMerge w:val="continue"/>
            <w:shd w:val="clear" w:color="auto" w:fill="1D2758"/>
          </w:tcPr>
          <w:p>
            <w:pPr>
              <w:spacing w:after="0"/>
              <w:rPr>
                <w:sz w:val="12"/>
                <w:szCs w:val="12"/>
                <w:color w:val="auto"/>
              </w:rPr>
            </w:pPr>
          </w:p>
        </w:tc>
        <w:tc>
          <w:tcPr>
            <w:tcW w:w="140" w:type="dxa"/>
            <w:vAlign w:val="bottom"/>
            <w:shd w:val="clear" w:color="auto" w:fill="1D2758"/>
          </w:tcPr>
          <w:p>
            <w:pPr>
              <w:spacing w:after="0"/>
              <w:rPr>
                <w:sz w:val="12"/>
                <w:szCs w:val="12"/>
                <w:color w:val="auto"/>
              </w:rPr>
            </w:pPr>
          </w:p>
        </w:tc>
        <w:tc>
          <w:tcPr>
            <w:tcW w:w="1540" w:type="dxa"/>
            <w:vAlign w:val="bottom"/>
            <w:shd w:val="clear" w:color="auto" w:fill="1D2758"/>
          </w:tcPr>
          <w:p>
            <w:pPr>
              <w:jc w:val="center"/>
              <w:ind w:right="66"/>
              <w:spacing w:after="0" w:line="148" w:lineRule="exact"/>
              <w:rPr>
                <w:sz w:val="20"/>
                <w:szCs w:val="20"/>
                <w:color w:val="auto"/>
              </w:rPr>
            </w:pPr>
            <w:r>
              <w:rPr>
                <w:rFonts w:ascii="Arial" w:cs="Arial" w:eastAsia="Arial" w:hAnsi="Arial"/>
                <w:sz w:val="15"/>
                <w:szCs w:val="15"/>
                <w:b w:val="1"/>
                <w:bCs w:val="1"/>
                <w:color w:val="FFFFFF"/>
                <w:w w:val="98"/>
              </w:rPr>
              <w:t>Exercise Price per</w:t>
            </w:r>
          </w:p>
        </w:tc>
        <w:tc>
          <w:tcPr>
            <w:tcW w:w="0" w:type="dxa"/>
            <w:vAlign w:val="bottom"/>
          </w:tcPr>
          <w:p>
            <w:pPr>
              <w:spacing w:after="0"/>
              <w:rPr>
                <w:sz w:val="1"/>
                <w:szCs w:val="1"/>
                <w:color w:val="auto"/>
              </w:rPr>
            </w:pPr>
          </w:p>
        </w:tc>
      </w:tr>
      <w:tr>
        <w:trPr>
          <w:trHeight w:val="197"/>
        </w:trPr>
        <w:tc>
          <w:tcPr>
            <w:tcW w:w="4220" w:type="dxa"/>
            <w:vAlign w:val="bottom"/>
            <w:shd w:val="clear" w:color="auto" w:fill="1D2758"/>
          </w:tcPr>
          <w:p>
            <w:pPr>
              <w:spacing w:after="0"/>
              <w:rPr>
                <w:sz w:val="17"/>
                <w:szCs w:val="17"/>
                <w:color w:val="auto"/>
              </w:rPr>
            </w:pPr>
          </w:p>
        </w:tc>
        <w:tc>
          <w:tcPr>
            <w:tcW w:w="178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2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w w:val="95"/>
              </w:rPr>
              <w:t>Share</w:t>
            </w:r>
          </w:p>
        </w:tc>
        <w:tc>
          <w:tcPr>
            <w:tcW w:w="180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w w:val="98"/>
              </w:rPr>
              <w:t>Mobile Mini Options</w:t>
            </w:r>
          </w:p>
        </w:tc>
        <w:tc>
          <w:tcPr>
            <w:tcW w:w="140" w:type="dxa"/>
            <w:vAlign w:val="bottom"/>
            <w:shd w:val="clear" w:color="auto" w:fill="1D2758"/>
          </w:tcPr>
          <w:p>
            <w:pPr>
              <w:spacing w:after="0"/>
              <w:rPr>
                <w:sz w:val="17"/>
                <w:szCs w:val="17"/>
                <w:color w:val="auto"/>
              </w:rPr>
            </w:pPr>
          </w:p>
        </w:tc>
        <w:tc>
          <w:tcPr>
            <w:tcW w:w="1540" w:type="dxa"/>
            <w:vAlign w:val="bottom"/>
            <w:shd w:val="clear" w:color="auto" w:fill="1D2758"/>
          </w:tcPr>
          <w:p>
            <w:pPr>
              <w:jc w:val="center"/>
              <w:ind w:right="66"/>
              <w:spacing w:after="0"/>
              <w:rPr>
                <w:sz w:val="20"/>
                <w:szCs w:val="20"/>
                <w:color w:val="auto"/>
              </w:rPr>
            </w:pPr>
            <w:r>
              <w:rPr>
                <w:rFonts w:ascii="Arial" w:cs="Arial" w:eastAsia="Arial" w:hAnsi="Arial"/>
                <w:sz w:val="15"/>
                <w:szCs w:val="15"/>
                <w:b w:val="1"/>
                <w:bCs w:val="1"/>
                <w:color w:val="FFFFFF"/>
                <w:w w:val="95"/>
              </w:rPr>
              <w:t>Share</w:t>
            </w:r>
          </w:p>
        </w:tc>
        <w:tc>
          <w:tcPr>
            <w:tcW w:w="0" w:type="dxa"/>
            <w:vAlign w:val="bottom"/>
          </w:tcPr>
          <w:p>
            <w:pPr>
              <w:spacing w:after="0"/>
              <w:rPr>
                <w:sz w:val="1"/>
                <w:szCs w:val="1"/>
                <w:color w:val="auto"/>
              </w:rPr>
            </w:pPr>
          </w:p>
        </w:tc>
      </w:tr>
      <w:tr>
        <w:trPr>
          <w:trHeight w:val="197"/>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 2020</w:t>
            </w:r>
          </w:p>
        </w:tc>
        <w:tc>
          <w:tcPr>
            <w:tcW w:w="170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2,031,455</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14.78</w:t>
            </w:r>
          </w:p>
        </w:tc>
        <w:tc>
          <w:tcPr>
            <w:tcW w:w="0" w:type="dxa"/>
            <w:vAlign w:val="bottom"/>
          </w:tcPr>
          <w:p>
            <w:pPr>
              <w:spacing w:after="0"/>
              <w:rPr>
                <w:sz w:val="1"/>
                <w:szCs w:val="1"/>
                <w:color w:val="auto"/>
              </w:rPr>
            </w:pPr>
          </w:p>
        </w:tc>
      </w:tr>
      <w:tr>
        <w:trPr>
          <w:trHeight w:val="194"/>
        </w:trPr>
        <w:tc>
          <w:tcPr>
            <w:tcW w:w="4220" w:type="dxa"/>
            <w:vAlign w:val="bottom"/>
          </w:tcPr>
          <w:p>
            <w:pPr>
              <w:ind w:left="220"/>
              <w:spacing w:after="0"/>
              <w:rPr>
                <w:sz w:val="20"/>
                <w:szCs w:val="20"/>
                <w:color w:val="auto"/>
              </w:rPr>
            </w:pPr>
            <w:r>
              <w:rPr>
                <w:rFonts w:ascii="Arial" w:cs="Arial" w:eastAsia="Arial" w:hAnsi="Arial"/>
                <w:sz w:val="15"/>
                <w:szCs w:val="15"/>
                <w:color w:val="auto"/>
              </w:rPr>
              <w:t>Forfeited</w:t>
            </w:r>
          </w:p>
        </w:tc>
        <w:tc>
          <w:tcPr>
            <w:tcW w:w="1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12.19</w:t>
            </w:r>
          </w:p>
        </w:tc>
        <w:tc>
          <w:tcPr>
            <w:tcW w:w="0" w:type="dxa"/>
            <w:vAlign w:val="bottom"/>
          </w:tcPr>
          <w:p>
            <w:pPr>
              <w:spacing w:after="0"/>
              <w:rPr>
                <w:sz w:val="1"/>
                <w:szCs w:val="1"/>
                <w:color w:val="auto"/>
              </w:rPr>
            </w:pPr>
          </w:p>
        </w:tc>
      </w:tr>
      <w:tr>
        <w:trPr>
          <w:trHeight w:val="19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Exercised</w:t>
            </w:r>
          </w:p>
        </w:tc>
        <w:tc>
          <w:tcPr>
            <w:tcW w:w="1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(484,986)</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15.26</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5"/>
                <w:szCs w:val="15"/>
                <w:color w:val="auto"/>
              </w:rPr>
              <w:t>Balance September 30, 2021</w:t>
            </w:r>
          </w:p>
        </w:tc>
        <w:tc>
          <w:tcPr>
            <w:tcW w:w="1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1,540,229</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20"/>
        </w:trPr>
        <w:tc>
          <w:tcPr>
            <w:tcW w:w="422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54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540" w:type="dxa"/>
            <w:vAlign w:val="bottom"/>
            <w:tcBorders>
              <w:bottom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5"/>
                <w:szCs w:val="15"/>
                <w:color w:val="auto"/>
              </w:rPr>
              <w:t>Fully vested and exercisable options, September 30, 2021</w:t>
            </w: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400,641</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1,540,229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summarizes the Company's stock option activity as of September 30,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7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62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w w:val="97"/>
              </w:rPr>
              <w:t>Weighted-Average</w:t>
            </w:r>
          </w:p>
        </w:tc>
        <w:tc>
          <w:tcPr>
            <w:tcW w:w="1800" w:type="dxa"/>
            <w:vAlign w:val="bottom"/>
            <w:gridSpan w:val="2"/>
            <w:vMerge w:val="restart"/>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w w:val="97"/>
              </w:rPr>
              <w:t>Converted Mobile Mini</w:t>
            </w:r>
          </w:p>
        </w:tc>
        <w:tc>
          <w:tcPr>
            <w:tcW w:w="140" w:type="dxa"/>
            <w:vAlign w:val="bottom"/>
            <w:shd w:val="clear" w:color="auto" w:fill="1D2758"/>
          </w:tcPr>
          <w:p>
            <w:pPr>
              <w:spacing w:after="0"/>
              <w:rPr>
                <w:sz w:val="14"/>
                <w:szCs w:val="14"/>
                <w:color w:val="auto"/>
              </w:rPr>
            </w:pPr>
          </w:p>
        </w:tc>
        <w:tc>
          <w:tcPr>
            <w:tcW w:w="1540" w:type="dxa"/>
            <w:vAlign w:val="bottom"/>
            <w:shd w:val="clear" w:color="auto" w:fill="1D2758"/>
          </w:tcPr>
          <w:p>
            <w:pPr>
              <w:jc w:val="center"/>
              <w:ind w:right="66"/>
              <w:spacing w:after="0"/>
              <w:rPr>
                <w:sz w:val="20"/>
                <w:szCs w:val="20"/>
                <w:color w:val="auto"/>
              </w:rPr>
            </w:pPr>
            <w:r>
              <w:rPr>
                <w:rFonts w:ascii="Arial" w:cs="Arial" w:eastAsia="Arial" w:hAnsi="Arial"/>
                <w:sz w:val="15"/>
                <w:szCs w:val="15"/>
                <w:b w:val="1"/>
                <w:bCs w:val="1"/>
                <w:color w:val="FFFFFF"/>
                <w:w w:val="97"/>
              </w:rPr>
              <w:t>Weighted-Average</w:t>
            </w:r>
          </w:p>
        </w:tc>
        <w:tc>
          <w:tcPr>
            <w:tcW w:w="0" w:type="dxa"/>
            <w:vAlign w:val="bottom"/>
          </w:tcPr>
          <w:p>
            <w:pPr>
              <w:spacing w:after="0"/>
              <w:rPr>
                <w:sz w:val="1"/>
                <w:szCs w:val="1"/>
                <w:color w:val="auto"/>
              </w:rPr>
            </w:pPr>
          </w:p>
        </w:tc>
      </w:tr>
      <w:tr>
        <w:trPr>
          <w:trHeight w:val="148"/>
        </w:trPr>
        <w:tc>
          <w:tcPr>
            <w:tcW w:w="4220" w:type="dxa"/>
            <w:vAlign w:val="bottom"/>
            <w:shd w:val="clear" w:color="auto" w:fill="1D2758"/>
          </w:tcPr>
          <w:p>
            <w:pPr>
              <w:spacing w:after="0"/>
              <w:rPr>
                <w:sz w:val="12"/>
                <w:szCs w:val="12"/>
                <w:color w:val="auto"/>
              </w:rPr>
            </w:pPr>
          </w:p>
        </w:tc>
        <w:tc>
          <w:tcPr>
            <w:tcW w:w="1780" w:type="dxa"/>
            <w:vAlign w:val="bottom"/>
            <w:gridSpan w:val="2"/>
            <w:vMerge w:val="restart"/>
            <w:shd w:val="clear" w:color="auto" w:fill="1D2758"/>
          </w:tcPr>
          <w:p>
            <w:pPr>
              <w:ind w:left="26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2"/>
                <w:szCs w:val="12"/>
                <w:color w:val="auto"/>
              </w:rPr>
            </w:pPr>
          </w:p>
        </w:tc>
        <w:tc>
          <w:tcPr>
            <w:tcW w:w="1620" w:type="dxa"/>
            <w:vAlign w:val="bottom"/>
            <w:gridSpan w:val="2"/>
            <w:shd w:val="clear" w:color="auto" w:fill="1D2758"/>
          </w:tcPr>
          <w:p>
            <w:pPr>
              <w:jc w:val="center"/>
              <w:ind w:right="220"/>
              <w:spacing w:after="0" w:line="148" w:lineRule="exact"/>
              <w:rPr>
                <w:sz w:val="20"/>
                <w:szCs w:val="20"/>
                <w:color w:val="auto"/>
              </w:rPr>
            </w:pPr>
            <w:r>
              <w:rPr>
                <w:rFonts w:ascii="Arial" w:cs="Arial" w:eastAsia="Arial" w:hAnsi="Arial"/>
                <w:sz w:val="15"/>
                <w:szCs w:val="15"/>
                <w:b w:val="1"/>
                <w:bCs w:val="1"/>
                <w:color w:val="FFFFFF"/>
                <w:w w:val="98"/>
              </w:rPr>
              <w:t>Exercise Price per</w:t>
            </w:r>
          </w:p>
        </w:tc>
        <w:tc>
          <w:tcPr>
            <w:tcW w:w="1800" w:type="dxa"/>
            <w:vAlign w:val="bottom"/>
            <w:gridSpan w:val="2"/>
            <w:vMerge w:val="continue"/>
            <w:shd w:val="clear" w:color="auto" w:fill="1D2758"/>
          </w:tcPr>
          <w:p>
            <w:pPr>
              <w:spacing w:after="0"/>
              <w:rPr>
                <w:sz w:val="12"/>
                <w:szCs w:val="12"/>
                <w:color w:val="auto"/>
              </w:rPr>
            </w:pPr>
          </w:p>
        </w:tc>
        <w:tc>
          <w:tcPr>
            <w:tcW w:w="140" w:type="dxa"/>
            <w:vAlign w:val="bottom"/>
            <w:shd w:val="clear" w:color="auto" w:fill="1D2758"/>
          </w:tcPr>
          <w:p>
            <w:pPr>
              <w:spacing w:after="0"/>
              <w:rPr>
                <w:sz w:val="12"/>
                <w:szCs w:val="12"/>
                <w:color w:val="auto"/>
              </w:rPr>
            </w:pPr>
          </w:p>
        </w:tc>
        <w:tc>
          <w:tcPr>
            <w:tcW w:w="1540" w:type="dxa"/>
            <w:vAlign w:val="bottom"/>
            <w:shd w:val="clear" w:color="auto" w:fill="1D2758"/>
          </w:tcPr>
          <w:p>
            <w:pPr>
              <w:jc w:val="center"/>
              <w:ind w:right="66"/>
              <w:spacing w:after="0" w:line="148" w:lineRule="exact"/>
              <w:rPr>
                <w:sz w:val="20"/>
                <w:szCs w:val="20"/>
                <w:color w:val="auto"/>
              </w:rPr>
            </w:pPr>
            <w:r>
              <w:rPr>
                <w:rFonts w:ascii="Arial" w:cs="Arial" w:eastAsia="Arial" w:hAnsi="Arial"/>
                <w:sz w:val="15"/>
                <w:szCs w:val="15"/>
                <w:b w:val="1"/>
                <w:bCs w:val="1"/>
                <w:color w:val="FFFFFF"/>
                <w:w w:val="98"/>
              </w:rPr>
              <w:t>Exercise Price per</w:t>
            </w:r>
          </w:p>
        </w:tc>
        <w:tc>
          <w:tcPr>
            <w:tcW w:w="0" w:type="dxa"/>
            <w:vAlign w:val="bottom"/>
          </w:tcPr>
          <w:p>
            <w:pPr>
              <w:spacing w:after="0"/>
              <w:rPr>
                <w:sz w:val="1"/>
                <w:szCs w:val="1"/>
                <w:color w:val="auto"/>
              </w:rPr>
            </w:pPr>
          </w:p>
        </w:tc>
      </w:tr>
      <w:tr>
        <w:trPr>
          <w:trHeight w:val="197"/>
        </w:trPr>
        <w:tc>
          <w:tcPr>
            <w:tcW w:w="4220" w:type="dxa"/>
            <w:vAlign w:val="bottom"/>
            <w:shd w:val="clear" w:color="auto" w:fill="1D2758"/>
          </w:tcPr>
          <w:p>
            <w:pPr>
              <w:spacing w:after="0"/>
              <w:rPr>
                <w:sz w:val="17"/>
                <w:szCs w:val="17"/>
                <w:color w:val="auto"/>
              </w:rPr>
            </w:pPr>
          </w:p>
        </w:tc>
        <w:tc>
          <w:tcPr>
            <w:tcW w:w="178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2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w w:val="95"/>
              </w:rPr>
              <w:t>Share</w:t>
            </w:r>
          </w:p>
        </w:tc>
        <w:tc>
          <w:tcPr>
            <w:tcW w:w="180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w w:val="98"/>
              </w:rPr>
              <w:t>Options</w:t>
            </w:r>
          </w:p>
        </w:tc>
        <w:tc>
          <w:tcPr>
            <w:tcW w:w="140" w:type="dxa"/>
            <w:vAlign w:val="bottom"/>
            <w:shd w:val="clear" w:color="auto" w:fill="1D2758"/>
          </w:tcPr>
          <w:p>
            <w:pPr>
              <w:spacing w:after="0"/>
              <w:rPr>
                <w:sz w:val="17"/>
                <w:szCs w:val="17"/>
                <w:color w:val="auto"/>
              </w:rPr>
            </w:pPr>
          </w:p>
        </w:tc>
        <w:tc>
          <w:tcPr>
            <w:tcW w:w="1540" w:type="dxa"/>
            <w:vAlign w:val="bottom"/>
            <w:shd w:val="clear" w:color="auto" w:fill="1D2758"/>
          </w:tcPr>
          <w:p>
            <w:pPr>
              <w:jc w:val="center"/>
              <w:ind w:right="66"/>
              <w:spacing w:after="0"/>
              <w:rPr>
                <w:sz w:val="20"/>
                <w:szCs w:val="20"/>
                <w:color w:val="auto"/>
              </w:rPr>
            </w:pPr>
            <w:r>
              <w:rPr>
                <w:rFonts w:ascii="Arial" w:cs="Arial" w:eastAsia="Arial" w:hAnsi="Arial"/>
                <w:sz w:val="15"/>
                <w:szCs w:val="15"/>
                <w:b w:val="1"/>
                <w:bCs w:val="1"/>
                <w:color w:val="FFFFFF"/>
                <w:w w:val="95"/>
              </w:rPr>
              <w:t>Share</w:t>
            </w:r>
          </w:p>
        </w:tc>
        <w:tc>
          <w:tcPr>
            <w:tcW w:w="0" w:type="dxa"/>
            <w:vAlign w:val="bottom"/>
          </w:tcPr>
          <w:p>
            <w:pPr>
              <w:spacing w:after="0"/>
              <w:rPr>
                <w:sz w:val="1"/>
                <w:szCs w:val="1"/>
                <w:color w:val="auto"/>
              </w:rPr>
            </w:pPr>
          </w:p>
        </w:tc>
      </w:tr>
      <w:tr>
        <w:trPr>
          <w:trHeight w:val="197"/>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2019</w:t>
            </w:r>
          </w:p>
        </w:tc>
        <w:tc>
          <w:tcPr>
            <w:tcW w:w="1700" w:type="dxa"/>
            <w:vAlign w:val="bottom"/>
            <w:shd w:val="clear" w:color="auto" w:fill="DDDDDD"/>
          </w:tcPr>
          <w:p>
            <w:pPr>
              <w:jc w:val="right"/>
              <w:ind w:right="6"/>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17"/>
                <w:szCs w:val="17"/>
                <w:color w:val="auto"/>
              </w:rPr>
            </w:pPr>
          </w:p>
        </w:tc>
        <w:tc>
          <w:tcPr>
            <w:tcW w:w="180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220" w:type="dxa"/>
            <w:vAlign w:val="bottom"/>
          </w:tcPr>
          <w:p>
            <w:pPr>
              <w:ind w:left="220"/>
              <w:spacing w:after="0"/>
              <w:rPr>
                <w:sz w:val="20"/>
                <w:szCs w:val="20"/>
                <w:color w:val="auto"/>
              </w:rPr>
            </w:pPr>
            <w:r>
              <w:rPr>
                <w:rFonts w:ascii="Arial" w:cs="Arial" w:eastAsia="Arial" w:hAnsi="Arial"/>
                <w:sz w:val="15"/>
                <w:szCs w:val="15"/>
                <w:color w:val="auto"/>
              </w:rPr>
              <w:t>Converted at Merger</w:t>
            </w:r>
          </w:p>
        </w:tc>
        <w:tc>
          <w:tcPr>
            <w:tcW w:w="1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7,361,516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13.52</w:t>
            </w:r>
          </w:p>
        </w:tc>
        <w:tc>
          <w:tcPr>
            <w:tcW w:w="0" w:type="dxa"/>
            <w:vAlign w:val="bottom"/>
          </w:tcPr>
          <w:p>
            <w:pPr>
              <w:spacing w:after="0"/>
              <w:rPr>
                <w:sz w:val="1"/>
                <w:szCs w:val="1"/>
                <w:color w:val="auto"/>
              </w:rPr>
            </w:pPr>
          </w:p>
        </w:tc>
      </w:tr>
      <w:tr>
        <w:trPr>
          <w:trHeight w:val="19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Exercised</w:t>
            </w:r>
          </w:p>
        </w:tc>
        <w:tc>
          <w:tcPr>
            <w:tcW w:w="178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DDDDD"/>
          </w:tcPr>
          <w:p>
            <w:pPr>
              <w:spacing w:after="0"/>
              <w:rPr>
                <w:sz w:val="17"/>
                <w:szCs w:val="17"/>
                <w:color w:val="auto"/>
              </w:rPr>
            </w:pPr>
          </w:p>
        </w:tc>
        <w:tc>
          <w:tcPr>
            <w:tcW w:w="1620" w:type="dxa"/>
            <w:vAlign w:val="bottom"/>
            <w:gridSpan w:val="2"/>
            <w:shd w:val="clear" w:color="auto" w:fill="DDDDDD"/>
          </w:tcPr>
          <w:p>
            <w:pPr>
              <w:jc w:val="right"/>
              <w:ind w:right="14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(259,708)</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11.99</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5"/>
                <w:szCs w:val="15"/>
                <w:color w:val="auto"/>
              </w:rPr>
              <w:t>Balance at September 30, 2020</w:t>
            </w:r>
          </w:p>
        </w:tc>
        <w:tc>
          <w:tcPr>
            <w:tcW w:w="17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534,188</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7,101,808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13.58</w:t>
            </w:r>
          </w:p>
        </w:tc>
        <w:tc>
          <w:tcPr>
            <w:tcW w:w="0" w:type="dxa"/>
            <w:vAlign w:val="bottom"/>
          </w:tcPr>
          <w:p>
            <w:pPr>
              <w:spacing w:after="0"/>
              <w:rPr>
                <w:sz w:val="1"/>
                <w:szCs w:val="1"/>
                <w:color w:val="auto"/>
              </w:rPr>
            </w:pPr>
          </w:p>
        </w:tc>
      </w:tr>
      <w:tr>
        <w:trPr>
          <w:trHeight w:val="236"/>
        </w:trPr>
        <w:tc>
          <w:tcPr>
            <w:tcW w:w="4220" w:type="dxa"/>
            <w:vAlign w:val="bottom"/>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1540" w:type="dxa"/>
            <w:vAlign w:val="bottom"/>
            <w:tcBorders>
              <w:bottom w:val="single" w:sz="8" w:color="auto"/>
            </w:tcBorders>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1540" w:type="dxa"/>
            <w:vAlign w:val="bottom"/>
            <w:tcBorders>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5"/>
                <w:szCs w:val="15"/>
                <w:color w:val="auto"/>
              </w:rPr>
              <w:t>Fully vested and exercisable options, September 30, 2020</w:t>
            </w: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267,094</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7,101,808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WillScot Options</w:t>
      </w:r>
    </w:p>
    <w:p>
      <w:pPr>
        <w:spacing w:after="0" w:line="11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Compensation expense for stock option awards, recognized in SG&amp;A on the condensed consolidated statements of operations, was $0.2 million for each of the three months ended September 30, 2021 and 2020. Compensation expense for stock option awards, recognized in SG&amp;A on the condensed consolidated statements of operations, was $0.6 million for each of the nine months ended September 30, 2021 and 2020. At September 30, 2021, unrecognized compensation cost related to stock option awards totaled $0.3 million and is expected to be recognized over the remaining vesting period of 0.5 years.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1D2758"/>
        </w:rPr>
        <w:t>NOTE 16 - Derivatives</w:t>
      </w:r>
    </w:p>
    <w:p>
      <w:pPr>
        <w:spacing w:after="0" w:line="10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November 6, 2018, the Company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Under the terms of the Swap Agreement, the Company receives a floating rate equal to one-month LIBOR and makes payments based on a fixed rate of 3.06% on the notional amount. The receive rate under the terms of the Swap Agreement was 0.08% and 0.15% at September 30, 2021 and December 31, 2020, respectively.</w:t>
      </w:r>
    </w:p>
    <w:p>
      <w:pPr>
        <w:spacing w:after="0" w:line="45"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Swap Agreement was designated and qualified as a hedge of the Company’s exposure to changes in interest payment cash flows created by fluctuations in variable interest rates on the ABL Facility.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7" w:name="page28"/>
    <w:bookmarkEnd w:id="27"/>
    <w:p>
      <w:pPr>
        <w:ind w:left="580"/>
        <w:spacing w:after="0"/>
        <w:rPr>
          <w:sz w:val="20"/>
          <w:szCs w:val="20"/>
          <w:color w:val="auto"/>
        </w:rPr>
      </w:pPr>
      <w:r>
        <w:rPr>
          <w:rFonts w:ascii="Arial" w:cs="Arial" w:eastAsia="Arial" w:hAnsi="Arial"/>
          <w:sz w:val="15"/>
          <w:szCs w:val="15"/>
          <w:color w:val="auto"/>
        </w:rPr>
        <w:t>The location and the fair value of derivative instruments designated as hedges, at the respective balance sheet dates,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60" w:type="dxa"/>
            <w:vAlign w:val="bottom"/>
            <w:shd w:val="clear" w:color="auto" w:fill="1D2758"/>
          </w:tcPr>
          <w:p>
            <w:pPr>
              <w:ind w:left="1620"/>
              <w:spacing w:after="0"/>
              <w:rPr>
                <w:sz w:val="20"/>
                <w:szCs w:val="20"/>
                <w:color w:val="auto"/>
              </w:rPr>
            </w:pPr>
            <w:r>
              <w:rPr>
                <w:rFonts w:ascii="Arial" w:cs="Arial" w:eastAsia="Arial" w:hAnsi="Arial"/>
                <w:sz w:val="15"/>
                <w:szCs w:val="15"/>
                <w:b w:val="1"/>
                <w:bCs w:val="1"/>
                <w:color w:val="FFFFFF"/>
              </w:rPr>
              <w:t>Balance Sheet Account</w:t>
            </w:r>
          </w:p>
        </w:tc>
        <w:tc>
          <w:tcPr>
            <w:tcW w:w="680" w:type="dxa"/>
            <w:vAlign w:val="bottom"/>
            <w:shd w:val="clear" w:color="auto" w:fill="1D2758"/>
          </w:tcPr>
          <w:p>
            <w:pPr>
              <w:spacing w:after="0"/>
              <w:rPr>
                <w:sz w:val="18"/>
                <w:szCs w:val="18"/>
                <w:color w:val="auto"/>
              </w:rPr>
            </w:pPr>
          </w:p>
        </w:tc>
        <w:tc>
          <w:tcPr>
            <w:tcW w:w="214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September 30, 2021</w:t>
            </w:r>
          </w:p>
        </w:tc>
        <w:tc>
          <w:tcPr>
            <w:tcW w:w="360" w:type="dxa"/>
            <w:vAlign w:val="bottom"/>
            <w:shd w:val="clear" w:color="auto" w:fill="1D2758"/>
          </w:tcPr>
          <w:p>
            <w:pPr>
              <w:spacing w:after="0"/>
              <w:rPr>
                <w:sz w:val="18"/>
                <w:szCs w:val="18"/>
                <w:color w:val="auto"/>
              </w:rPr>
            </w:pPr>
          </w:p>
        </w:tc>
        <w:tc>
          <w:tcPr>
            <w:tcW w:w="2120" w:type="dxa"/>
            <w:vAlign w:val="bottom"/>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December 31, 2020</w:t>
            </w:r>
          </w:p>
        </w:tc>
      </w:tr>
      <w:tr>
        <w:trPr>
          <w:trHeight w:val="197"/>
        </w:trPr>
        <w:tc>
          <w:tcPr>
            <w:tcW w:w="2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366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21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2120" w:type="dxa"/>
            <w:vAlign w:val="bottom"/>
            <w:shd w:val="clear" w:color="auto" w:fill="DBDBDB"/>
          </w:tcPr>
          <w:p>
            <w:pPr>
              <w:spacing w:after="0"/>
              <w:rPr>
                <w:sz w:val="17"/>
                <w:szCs w:val="17"/>
                <w:color w:val="auto"/>
              </w:rPr>
            </w:pPr>
          </w:p>
        </w:tc>
      </w:tr>
      <w:tr>
        <w:trPr>
          <w:trHeight w:val="194"/>
        </w:trPr>
        <w:tc>
          <w:tcPr>
            <w:tcW w:w="228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3660" w:type="dxa"/>
            <w:vAlign w:val="bottom"/>
          </w:tcPr>
          <w:p>
            <w:pPr>
              <w:ind w:left="880"/>
              <w:spacing w:after="0"/>
              <w:rPr>
                <w:sz w:val="20"/>
                <w:szCs w:val="20"/>
                <w:color w:val="auto"/>
              </w:rPr>
            </w:pPr>
            <w:r>
              <w:rPr>
                <w:rFonts w:ascii="Arial" w:cs="Arial" w:eastAsia="Arial" w:hAnsi="Arial"/>
                <w:sz w:val="15"/>
                <w:szCs w:val="15"/>
                <w:color w:val="auto"/>
              </w:rPr>
              <w:t>Accrued expenses</w:t>
            </w:r>
          </w:p>
        </w:tc>
        <w:tc>
          <w:tcPr>
            <w:tcW w:w="68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8,380</w:t>
            </w:r>
          </w:p>
        </w:tc>
        <w:tc>
          <w:tcPr>
            <w:tcW w:w="3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11,619</w:t>
            </w:r>
          </w:p>
        </w:tc>
      </w:tr>
      <w:tr>
        <w:trPr>
          <w:trHeight w:val="199"/>
        </w:trPr>
        <w:tc>
          <w:tcPr>
            <w:tcW w:w="2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w:t>
            </w:r>
          </w:p>
        </w:tc>
        <w:tc>
          <w:tcPr>
            <w:tcW w:w="3660" w:type="dxa"/>
            <w:vAlign w:val="bottom"/>
            <w:shd w:val="clear" w:color="auto" w:fill="DBDBDB"/>
          </w:tcPr>
          <w:p>
            <w:pPr>
              <w:ind w:left="880"/>
              <w:spacing w:after="0"/>
              <w:rPr>
                <w:sz w:val="20"/>
                <w:szCs w:val="20"/>
                <w:color w:val="auto"/>
              </w:rPr>
            </w:pPr>
            <w:r>
              <w:rPr>
                <w:rFonts w:ascii="Arial" w:cs="Arial" w:eastAsia="Arial" w:hAnsi="Arial"/>
                <w:sz w:val="15"/>
                <w:szCs w:val="15"/>
                <w:color w:val="auto"/>
              </w:rPr>
              <w:t>Other non-current liabilities</w:t>
            </w:r>
          </w:p>
        </w:tc>
        <w:tc>
          <w:tcPr>
            <w:tcW w:w="68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5,308</w:t>
            </w:r>
          </w:p>
        </w:tc>
      </w:tr>
    </w:tbl>
    <w:p>
      <w:pPr>
        <w:spacing w:after="0" w:line="186"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fair value of the interest rate swap is based on dealer quotes of market forward rates, a Level 2 input on the fair value hierarchy, and reflects the amount that the Company would receive or pay as of September 30, 2021 and December 31, 2020, respectively, for contracts involving the same attributes and maturity dates.</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discloses the impact of the interest rate swap, excluding the impact of income taxes, on other comprehensive income (“OCI”), AOCI and the</w:t>
      </w:r>
    </w:p>
    <w:p>
      <w:pPr>
        <w:spacing w:after="0"/>
        <w:rPr>
          <w:sz w:val="20"/>
          <w:szCs w:val="20"/>
          <w:color w:val="auto"/>
        </w:rPr>
      </w:pPr>
      <w:r>
        <w:rPr>
          <w:rFonts w:ascii="Arial" w:cs="Arial" w:eastAsia="Arial" w:hAnsi="Arial"/>
          <w:sz w:val="15"/>
          <w:szCs w:val="15"/>
          <w:color w:val="auto"/>
        </w:rPr>
        <w:t>Company’s statements of operations for the nine months ended September 30,: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60" w:type="dxa"/>
            <w:vAlign w:val="bottom"/>
            <w:shd w:val="clear" w:color="auto" w:fill="1D2758"/>
          </w:tcPr>
          <w:p>
            <w:pPr>
              <w:jc w:val="right"/>
              <w:ind w:right="406"/>
              <w:spacing w:after="0"/>
              <w:rPr>
                <w:sz w:val="20"/>
                <w:szCs w:val="20"/>
                <w:color w:val="auto"/>
              </w:rPr>
            </w:pPr>
            <w:r>
              <w:rPr>
                <w:rFonts w:ascii="Arial" w:cs="Arial" w:eastAsia="Arial" w:hAnsi="Arial"/>
                <w:sz w:val="15"/>
                <w:szCs w:val="15"/>
                <w:b w:val="1"/>
                <w:bCs w:val="1"/>
                <w:color w:val="FFFFFF"/>
              </w:rPr>
              <w:t>2021</w:t>
            </w:r>
          </w:p>
        </w:tc>
        <w:tc>
          <w:tcPr>
            <w:tcW w:w="64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2060" w:type="dxa"/>
            <w:vAlign w:val="bottom"/>
            <w:shd w:val="clear" w:color="auto" w:fill="1D2758"/>
          </w:tcPr>
          <w:p>
            <w:pPr>
              <w:jc w:val="right"/>
              <w:ind w:right="986"/>
              <w:spacing w:after="0"/>
              <w:rPr>
                <w:sz w:val="20"/>
                <w:szCs w:val="20"/>
                <w:color w:val="auto"/>
              </w:rPr>
            </w:pPr>
            <w:r>
              <w:rPr>
                <w:rFonts w:ascii="Arial" w:cs="Arial" w:eastAsia="Arial" w:hAnsi="Arial"/>
                <w:sz w:val="15"/>
                <w:szCs w:val="15"/>
                <w:b w:val="1"/>
                <w:bCs w:val="1"/>
                <w:color w:val="FFFFFF"/>
              </w:rPr>
              <w:t>2020</w:t>
            </w:r>
          </w:p>
        </w:tc>
      </w:tr>
      <w:tr>
        <w:trPr>
          <w:trHeight w:val="197"/>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(loss) recognized in OCI</w:t>
            </w:r>
          </w:p>
        </w:tc>
        <w:tc>
          <w:tcPr>
            <w:tcW w:w="3060" w:type="dxa"/>
            <w:vAlign w:val="bottom"/>
            <w:shd w:val="clear" w:color="auto" w:fill="DBDBDB"/>
          </w:tcPr>
          <w:p>
            <w:pPr>
              <w:jc w:val="right"/>
              <w:ind w:right="1686"/>
              <w:spacing w:after="0"/>
              <w:rPr>
                <w:sz w:val="20"/>
                <w:szCs w:val="20"/>
                <w:color w:val="auto"/>
              </w:rPr>
            </w:pPr>
            <w:r>
              <w:rPr>
                <w:rFonts w:ascii="Arial" w:cs="Arial" w:eastAsia="Arial" w:hAnsi="Arial"/>
                <w:sz w:val="15"/>
                <w:szCs w:val="15"/>
                <w:color w:val="auto"/>
              </w:rPr>
              <w:t>$</w:t>
            </w:r>
          </w:p>
        </w:tc>
        <w:tc>
          <w:tcPr>
            <w:tcW w:w="64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rPr>
              <w:t>8,528</w:t>
            </w:r>
          </w:p>
        </w:tc>
        <w:tc>
          <w:tcPr>
            <w:tcW w:w="440" w:type="dxa"/>
            <w:vAlign w:val="bottom"/>
            <w:shd w:val="clear" w:color="auto" w:fill="DBDBDB"/>
          </w:tcPr>
          <w:p>
            <w:pPr>
              <w:jc w:val="right"/>
              <w:ind w:right="226"/>
              <w:spacing w:after="0"/>
              <w:rPr>
                <w:sz w:val="20"/>
                <w:szCs w:val="20"/>
                <w:color w:val="auto"/>
              </w:rPr>
            </w:pPr>
            <w:r>
              <w:rPr>
                <w:rFonts w:ascii="Arial" w:cs="Arial" w:eastAsia="Arial" w:hAnsi="Arial"/>
                <w:sz w:val="15"/>
                <w:szCs w:val="15"/>
                <w:color w:val="auto"/>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(5,061)</w:t>
            </w:r>
          </w:p>
        </w:tc>
      </w:tr>
      <w:tr>
        <w:trPr>
          <w:trHeight w:val="194"/>
        </w:trPr>
        <w:tc>
          <w:tcPr>
            <w:tcW w:w="5040" w:type="dxa"/>
            <w:vAlign w:val="bottom"/>
          </w:tcPr>
          <w:p>
            <w:pPr>
              <w:ind w:left="20"/>
              <w:spacing w:after="0"/>
              <w:rPr>
                <w:sz w:val="20"/>
                <w:szCs w:val="20"/>
                <w:color w:val="auto"/>
              </w:rPr>
            </w:pPr>
            <w:r>
              <w:rPr>
                <w:rFonts w:ascii="Arial" w:cs="Arial" w:eastAsia="Arial" w:hAnsi="Arial"/>
                <w:sz w:val="15"/>
                <w:szCs w:val="15"/>
                <w:color w:val="auto"/>
              </w:rPr>
              <w:t>Location of gain (loss) recognized in income</w:t>
            </w:r>
          </w:p>
        </w:tc>
        <w:tc>
          <w:tcPr>
            <w:tcW w:w="3060" w:type="dxa"/>
            <w:vAlign w:val="bottom"/>
          </w:tcPr>
          <w:p>
            <w:pPr>
              <w:jc w:val="right"/>
              <w:ind w:right="26"/>
              <w:spacing w:after="0"/>
              <w:rPr>
                <w:sz w:val="20"/>
                <w:szCs w:val="20"/>
                <w:color w:val="auto"/>
              </w:rPr>
            </w:pPr>
            <w:r>
              <w:rPr>
                <w:rFonts w:ascii="Arial" w:cs="Arial" w:eastAsia="Arial" w:hAnsi="Arial"/>
                <w:sz w:val="15"/>
                <w:szCs w:val="15"/>
                <w:color w:val="auto"/>
              </w:rPr>
              <w:t>Interest expense</w:t>
            </w: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tcPr>
          <w:p>
            <w:pPr>
              <w:jc w:val="right"/>
              <w:ind w:right="606"/>
              <w:spacing w:after="0"/>
              <w:rPr>
                <w:sz w:val="20"/>
                <w:szCs w:val="20"/>
                <w:color w:val="auto"/>
              </w:rPr>
            </w:pPr>
            <w:r>
              <w:rPr>
                <w:rFonts w:ascii="Arial" w:cs="Arial" w:eastAsia="Arial" w:hAnsi="Arial"/>
                <w:sz w:val="15"/>
                <w:szCs w:val="15"/>
                <w:color w:val="auto"/>
              </w:rPr>
              <w:t>Interest expense</w:t>
            </w:r>
          </w:p>
        </w:tc>
      </w:tr>
      <w:tr>
        <w:trPr>
          <w:trHeight w:val="199"/>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reclassified from AOCI into income (effective portion)</w:t>
            </w:r>
          </w:p>
        </w:tc>
        <w:tc>
          <w:tcPr>
            <w:tcW w:w="3060" w:type="dxa"/>
            <w:vAlign w:val="bottom"/>
            <w:shd w:val="clear" w:color="auto" w:fill="DBDBDB"/>
          </w:tcPr>
          <w:p>
            <w:pPr>
              <w:jc w:val="right"/>
              <w:ind w:right="1686"/>
              <w:spacing w:after="0"/>
              <w:rPr>
                <w:sz w:val="20"/>
                <w:szCs w:val="20"/>
                <w:color w:val="auto"/>
              </w:rPr>
            </w:pPr>
            <w:r>
              <w:rPr>
                <w:rFonts w:ascii="Arial" w:cs="Arial" w:eastAsia="Arial" w:hAnsi="Arial"/>
                <w:sz w:val="15"/>
                <w:szCs w:val="15"/>
                <w:color w:val="auto"/>
              </w:rPr>
              <w:t>$</w:t>
            </w:r>
          </w:p>
        </w:tc>
        <w:tc>
          <w:tcPr>
            <w:tcW w:w="6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(8,967)</w:t>
            </w:r>
          </w:p>
        </w:tc>
        <w:tc>
          <w:tcPr>
            <w:tcW w:w="440" w:type="dxa"/>
            <w:vAlign w:val="bottom"/>
            <w:shd w:val="clear" w:color="auto" w:fill="DBDBDB"/>
          </w:tcPr>
          <w:p>
            <w:pPr>
              <w:jc w:val="right"/>
              <w:ind w:right="226"/>
              <w:spacing w:after="0"/>
              <w:rPr>
                <w:sz w:val="20"/>
                <w:szCs w:val="20"/>
                <w:color w:val="auto"/>
              </w:rPr>
            </w:pPr>
            <w:r>
              <w:rPr>
                <w:rFonts w:ascii="Arial" w:cs="Arial" w:eastAsia="Arial" w:hAnsi="Arial"/>
                <w:sz w:val="15"/>
                <w:szCs w:val="15"/>
                <w:color w:val="auto"/>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(7,147)</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21"/>
          <w:szCs w:val="21"/>
          <w:color w:val="1D2758"/>
        </w:rPr>
        <w:t>NOTE 17 - Commitments and Contingencies</w:t>
      </w:r>
    </w:p>
    <w:p>
      <w:pPr>
        <w:spacing w:after="0" w:line="10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2021,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1D2758"/>
        </w:rPr>
        <w:t>NOTE 18 - Segment Reporting</w:t>
      </w:r>
    </w:p>
    <w:p>
      <w:pPr>
        <w:spacing w:after="0" w:line="101"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Company operates in four reportable segments as follows: North America Modular Solutions ("NA Modular"), North America Storage Solutions ("NA Storage"), United Kingdom Storage Solutions ("UK Storage") and Tank and Pump Solutions ("Tank and Pump"). Total assets for each reportable segment are not available because the Company utilizes a centralized approach to working capital management. Transactions between reportable segments are not significant.</w:t>
      </w:r>
    </w:p>
    <w:p>
      <w:pPr>
        <w:spacing w:after="0" w:line="4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In connection with the Merger, the Company determined its reportable segments as discussed above and retrospectively adjusted prior year's presentation to conform to the current presentation of reportable segments.</w:t>
      </w:r>
    </w:p>
    <w:p>
      <w:pPr>
        <w:spacing w:after="0" w:line="40"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business operations. The Chief Operating Decision Maker ("CODM") evaluates business segment performance utilizing Adjusted EBITDA as shown in the reconciliation of the Company’s consolidated net income (loss) to Adjusted EBITDA below. Management believes that evaluating segment performance excluding such items is meaningful because it provides insight with respect to the intrinsic operating results of the Company.</w:t>
      </w:r>
    </w:p>
    <w:p>
      <w:pPr>
        <w:spacing w:after="0" w:line="4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3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following tables set forth certain information regarding each of the Company’s reportable segments for the three and nine months ended September 30, 2021 and 2020, respectively. Consistent with the financial statements, the segment results do not include Mobile Mini's operations prior to July 1, 2020. Please refer to the Management Discussion &amp; Analysis of Financial Condition and Results of Operations included in this document, for pro forma results inclusive of Mobile Mini's financial results for periods prior to the Merger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8" w:name="page29"/>
    <w:bookmarkEnd w:id="28"/>
    <w:tbl>
      <w:tblPr>
        <w:tblLayout w:type="fixed"/>
        <w:tblInd w:w="2" w:type="dxa"/>
        <w:tblCellMar>
          <w:top w:w="0" w:type="dxa"/>
          <w:left w:w="0" w:type="dxa"/>
          <w:bottom w:w="0" w:type="dxa"/>
          <w:right w:w="0" w:type="dxa"/>
        </w:tblCellMar>
      </w:tblPr>
      <w:tr>
        <w:trPr>
          <w:trHeight w:val="197"/>
        </w:trPr>
        <w:tc>
          <w:tcPr>
            <w:tcW w:w="392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4860" w:type="dxa"/>
            <w:vAlign w:val="bottom"/>
            <w:gridSpan w:val="9"/>
            <w:shd w:val="clear" w:color="auto" w:fill="1D2758"/>
          </w:tcPr>
          <w:p>
            <w:pPr>
              <w:jc w:val="center"/>
              <w:ind w:right="146"/>
              <w:spacing w:after="0"/>
              <w:rPr>
                <w:sz w:val="20"/>
                <w:szCs w:val="20"/>
                <w:color w:val="auto"/>
              </w:rPr>
            </w:pPr>
            <w:r>
              <w:rPr>
                <w:rFonts w:ascii="Arial" w:cs="Arial" w:eastAsia="Arial" w:hAnsi="Arial"/>
                <w:sz w:val="15"/>
                <w:szCs w:val="15"/>
                <w:b w:val="1"/>
                <w:bCs w:val="1"/>
                <w:color w:val="FFFFFF"/>
                <w:w w:val="98"/>
              </w:rPr>
              <w:t>Three Months Ended September 30, 2021</w:t>
            </w:r>
          </w:p>
        </w:tc>
        <w:tc>
          <w:tcPr>
            <w:tcW w:w="2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4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Storage</w:t>
            </w:r>
          </w:p>
        </w:tc>
        <w:tc>
          <w:tcPr>
            <w:tcW w:w="12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2"/>
                <w:szCs w:val="12"/>
                <w:color w:val="auto"/>
              </w:rPr>
            </w:pPr>
          </w:p>
        </w:tc>
        <w:tc>
          <w:tcPr>
            <w:tcW w:w="960" w:type="dxa"/>
            <w:vAlign w:val="bottom"/>
            <w:shd w:val="clear" w:color="auto" w:fill="1D2758"/>
          </w:tcPr>
          <w:p>
            <w:pPr>
              <w:jc w:val="right"/>
              <w:ind w:right="166"/>
              <w:spacing w:after="0" w:line="148" w:lineRule="exact"/>
              <w:rPr>
                <w:sz w:val="20"/>
                <w:szCs w:val="20"/>
                <w:color w:val="auto"/>
              </w:rPr>
            </w:pPr>
            <w:r>
              <w:rPr>
                <w:rFonts w:ascii="Arial" w:cs="Arial" w:eastAsia="Arial" w:hAnsi="Arial"/>
                <w:sz w:val="15"/>
                <w:szCs w:val="15"/>
                <w:b w:val="1"/>
                <w:bCs w:val="1"/>
                <w:color w:val="FFFFFF"/>
              </w:rPr>
              <w:t>Tank and</w:t>
            </w:r>
          </w:p>
        </w:tc>
        <w:tc>
          <w:tcPr>
            <w:tcW w:w="240" w:type="dxa"/>
            <w:vAlign w:val="bottom"/>
            <w:shd w:val="clear" w:color="auto" w:fill="1D2758"/>
          </w:tcPr>
          <w:p>
            <w:pPr>
              <w:spacing w:after="0"/>
              <w:rPr>
                <w:sz w:val="12"/>
                <w:szCs w:val="12"/>
                <w:color w:val="auto"/>
              </w:rPr>
            </w:pPr>
          </w:p>
        </w:tc>
        <w:tc>
          <w:tcPr>
            <w:tcW w:w="1220" w:type="dxa"/>
            <w:vAlign w:val="bottom"/>
            <w:shd w:val="clear" w:color="auto" w:fill="1D2758"/>
          </w:tcPr>
          <w:p>
            <w:pPr>
              <w:jc w:val="right"/>
              <w:ind w:right="246"/>
              <w:spacing w:after="0" w:line="148" w:lineRule="exact"/>
              <w:rPr>
                <w:sz w:val="20"/>
                <w:szCs w:val="20"/>
                <w:color w:val="auto"/>
              </w:rPr>
            </w:pPr>
            <w:r>
              <w:rPr>
                <w:rFonts w:ascii="Arial" w:cs="Arial" w:eastAsia="Arial" w:hAnsi="Arial"/>
                <w:sz w:val="15"/>
                <w:szCs w:val="15"/>
                <w:b w:val="1"/>
                <w:bCs w:val="1"/>
                <w:color w:val="FFFFFF"/>
              </w:rPr>
              <w:t>Unallocated</w:t>
            </w:r>
          </w:p>
        </w:tc>
        <w:tc>
          <w:tcPr>
            <w:tcW w:w="240" w:type="dxa"/>
            <w:vAlign w:val="bottom"/>
            <w:shd w:val="clear" w:color="auto" w:fill="1D2758"/>
          </w:tcPr>
          <w:p>
            <w:pPr>
              <w:spacing w:after="0"/>
              <w:rPr>
                <w:sz w:val="12"/>
                <w:szCs w:val="12"/>
                <w:color w:val="auto"/>
              </w:rPr>
            </w:pPr>
          </w:p>
        </w:tc>
        <w:tc>
          <w:tcPr>
            <w:tcW w:w="880" w:type="dxa"/>
            <w:vAlign w:val="bottom"/>
            <w:vMerge w:val="restart"/>
            <w:shd w:val="clear" w:color="auto" w:fill="1D2758"/>
          </w:tcPr>
          <w:p>
            <w:pPr>
              <w:jc w:val="right"/>
              <w:ind w:right="30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392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86"/>
              <w:spacing w:after="0"/>
              <w:rPr>
                <w:sz w:val="20"/>
                <w:szCs w:val="20"/>
                <w:color w:val="auto"/>
              </w:rPr>
            </w:pPr>
            <w:r>
              <w:rPr>
                <w:rFonts w:ascii="Arial" w:cs="Arial" w:eastAsia="Arial" w:hAnsi="Arial"/>
                <w:sz w:val="15"/>
                <w:szCs w:val="15"/>
                <w:b w:val="1"/>
                <w:bCs w:val="1"/>
                <w:color w:val="FFFFFF"/>
              </w:rPr>
              <w:t>Pump</w:t>
            </w:r>
          </w:p>
        </w:tc>
        <w:tc>
          <w:tcPr>
            <w:tcW w:w="24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Costs</w:t>
            </w:r>
          </w:p>
        </w:tc>
        <w:tc>
          <w:tcPr>
            <w:tcW w:w="240" w:type="dxa"/>
            <w:vAlign w:val="bottom"/>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219,736</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101,172</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21,691</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20,797</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363,396</w:t>
            </w: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58,017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28,330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5,563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7,789</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99,699</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13,483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580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490</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15,860</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7,815</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3,088</w:t>
            </w: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265</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429</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11,597</w:t>
            </w:r>
          </w:p>
        </w:tc>
        <w:tc>
          <w:tcPr>
            <w:tcW w:w="0" w:type="dxa"/>
            <w:vAlign w:val="bottom"/>
          </w:tcPr>
          <w:p>
            <w:pPr>
              <w:spacing w:after="0"/>
              <w:rPr>
                <w:sz w:val="1"/>
                <w:szCs w:val="1"/>
                <w:color w:val="auto"/>
              </w:rPr>
            </w:pPr>
          </w:p>
        </w:tc>
      </w:tr>
      <w:tr>
        <w:trPr>
          <w:trHeight w:val="186"/>
        </w:trPr>
        <w:tc>
          <w:tcPr>
            <w:tcW w:w="3920" w:type="dxa"/>
            <w:vAlign w:val="bottom"/>
          </w:tcPr>
          <w:p>
            <w:pPr>
              <w:ind w:left="40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299,051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133,897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28,099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29,505</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490,552</w:t>
            </w:r>
          </w:p>
        </w:tc>
        <w:tc>
          <w:tcPr>
            <w:tcW w:w="0" w:type="dxa"/>
            <w:vAlign w:val="bottom"/>
          </w:tcPr>
          <w:p>
            <w:pPr>
              <w:spacing w:after="0"/>
              <w:rPr>
                <w:sz w:val="1"/>
                <w:szCs w:val="1"/>
                <w:color w:val="auto"/>
              </w:rPr>
            </w:pPr>
          </w:p>
        </w:tc>
      </w:tr>
      <w:tr>
        <w:trPr>
          <w:trHeight w:val="236"/>
        </w:trPr>
        <w:tc>
          <w:tcPr>
            <w:tcW w:w="3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59,260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14,393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4,314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4,481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82,448</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51,655</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19,328</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3,238</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6,770</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80,991</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10,080</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727</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368</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324</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11,499</w:t>
            </w: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135</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5,603</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46,566</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5,366</w:t>
            </w: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1,058</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3,472</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56,462</w:t>
            </w:r>
          </w:p>
        </w:tc>
        <w:tc>
          <w:tcPr>
            <w:tcW w:w="0" w:type="dxa"/>
            <w:vAlign w:val="bottom"/>
          </w:tcPr>
          <w:p>
            <w:pPr>
              <w:spacing w:after="0"/>
              <w:rPr>
                <w:sz w:val="1"/>
                <w:szCs w:val="1"/>
                <w:color w:val="auto"/>
              </w:rPr>
            </w:pPr>
          </w:p>
        </w:tc>
      </w:tr>
      <w:tr>
        <w:trPr>
          <w:trHeight w:val="186"/>
        </w:trPr>
        <w:tc>
          <w:tcPr>
            <w:tcW w:w="3920" w:type="dxa"/>
            <w:vAlign w:val="bottom"/>
          </w:tcPr>
          <w:p>
            <w:pPr>
              <w:ind w:left="400"/>
              <w:spacing w:after="0"/>
              <w:rPr>
                <w:sz w:val="20"/>
                <w:szCs w:val="20"/>
                <w:color w:val="auto"/>
              </w:rPr>
            </w:pPr>
            <w:r>
              <w:rPr>
                <w:rFonts w:ascii="Arial" w:cs="Arial" w:eastAsia="Arial" w:hAnsi="Arial"/>
                <w:sz w:val="15"/>
                <w:szCs w:val="15"/>
                <w:color w:val="auto"/>
              </w:rPr>
              <w:t>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127,854</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92,496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18,876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14,323</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253,549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shd w:val="clear" w:color="auto" w:fill="DBDBDB"/>
          </w:tcPr>
          <w:p>
            <w:pPr>
              <w:ind w:left="20"/>
              <w:spacing w:after="0" w:line="159" w:lineRule="exact"/>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106,825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59,123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13,255</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10,946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190,149</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 (a)</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66,529</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38,740</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6,680</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6,955</w:t>
            </w: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rPr>
              <w:t>14,823</w:t>
            </w: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133,727</w:t>
            </w:r>
          </w:p>
        </w:tc>
        <w:tc>
          <w:tcPr>
            <w:tcW w:w="0" w:type="dxa"/>
            <w:vAlign w:val="bottom"/>
          </w:tcPr>
          <w:p>
            <w:pPr>
              <w:spacing w:after="0"/>
              <w:rPr>
                <w:sz w:val="1"/>
                <w:szCs w:val="1"/>
                <w:color w:val="auto"/>
              </w:rPr>
            </w:pPr>
          </w:p>
        </w:tc>
      </w:tr>
      <w:tr>
        <w:trPr>
          <w:trHeight w:val="192"/>
        </w:trPr>
        <w:tc>
          <w:tcPr>
            <w:tcW w:w="392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31,789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11,920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11,649</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5,016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60,374</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22" w:hanging="222"/>
        <w:spacing w:after="0"/>
        <w:tabs>
          <w:tab w:leader="none" w:pos="222"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both SG&amp;A expense and Transaction costs from the condensed consolidated statement of operations.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8" w:lineRule="exact"/>
        <w:rPr>
          <w:rFonts w:ascii="Arial" w:cs="Arial" w:eastAsia="Arial" w:hAnsi="Arial"/>
          <w:sz w:val="15"/>
          <w:szCs w:val="15"/>
          <w:color w:val="auto"/>
        </w:rPr>
      </w:pPr>
    </w:p>
    <w:p>
      <w:pPr>
        <w:ind w:left="5562"/>
        <w:spacing w:after="0"/>
        <w:rPr>
          <w:rFonts w:ascii="Arial" w:cs="Arial" w:eastAsia="Arial" w:hAnsi="Arial"/>
          <w:sz w:val="15"/>
          <w:szCs w:val="15"/>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697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049" w:right="339" w:bottom="1440" w:gutter="0" w:footer="0" w:header="0"/>
        </w:sectPr>
      </w:pPr>
    </w:p>
    <w:bookmarkStart w:id="29" w:name="page30"/>
    <w:bookmarkEnd w:id="29"/>
    <w:tbl>
      <w:tblPr>
        <w:tblLayout w:type="fixed"/>
        <w:tblInd w:w="2" w:type="dxa"/>
        <w:tblCellMar>
          <w:top w:w="0" w:type="dxa"/>
          <w:left w:w="0" w:type="dxa"/>
          <w:bottom w:w="0" w:type="dxa"/>
          <w:right w:w="0" w:type="dxa"/>
        </w:tblCellMar>
      </w:tblPr>
      <w:tr>
        <w:trPr>
          <w:trHeight w:val="197"/>
        </w:trPr>
        <w:tc>
          <w:tcPr>
            <w:tcW w:w="392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4860" w:type="dxa"/>
            <w:vAlign w:val="bottom"/>
            <w:gridSpan w:val="9"/>
            <w:shd w:val="clear" w:color="auto" w:fill="1D2758"/>
          </w:tcPr>
          <w:p>
            <w:pPr>
              <w:jc w:val="center"/>
              <w:ind w:right="146"/>
              <w:spacing w:after="0"/>
              <w:rPr>
                <w:sz w:val="20"/>
                <w:szCs w:val="20"/>
                <w:color w:val="auto"/>
              </w:rPr>
            </w:pPr>
            <w:r>
              <w:rPr>
                <w:rFonts w:ascii="Arial" w:cs="Arial" w:eastAsia="Arial" w:hAnsi="Arial"/>
                <w:sz w:val="15"/>
                <w:szCs w:val="15"/>
                <w:b w:val="1"/>
                <w:bCs w:val="1"/>
                <w:color w:val="FFFFFF"/>
                <w:w w:val="98"/>
              </w:rPr>
              <w:t>Three Months Ended September 30, 2020</w:t>
            </w:r>
          </w:p>
        </w:tc>
        <w:tc>
          <w:tcPr>
            <w:tcW w:w="2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4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Storage</w:t>
            </w:r>
          </w:p>
        </w:tc>
        <w:tc>
          <w:tcPr>
            <w:tcW w:w="12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2"/>
                <w:szCs w:val="12"/>
                <w:color w:val="auto"/>
              </w:rPr>
            </w:pPr>
          </w:p>
        </w:tc>
        <w:tc>
          <w:tcPr>
            <w:tcW w:w="960" w:type="dxa"/>
            <w:vAlign w:val="bottom"/>
            <w:shd w:val="clear" w:color="auto" w:fill="1D2758"/>
          </w:tcPr>
          <w:p>
            <w:pPr>
              <w:jc w:val="right"/>
              <w:ind w:right="166"/>
              <w:spacing w:after="0" w:line="148" w:lineRule="exact"/>
              <w:rPr>
                <w:sz w:val="20"/>
                <w:szCs w:val="20"/>
                <w:color w:val="auto"/>
              </w:rPr>
            </w:pPr>
            <w:r>
              <w:rPr>
                <w:rFonts w:ascii="Arial" w:cs="Arial" w:eastAsia="Arial" w:hAnsi="Arial"/>
                <w:sz w:val="15"/>
                <w:szCs w:val="15"/>
                <w:b w:val="1"/>
                <w:bCs w:val="1"/>
                <w:color w:val="FFFFFF"/>
              </w:rPr>
              <w:t>Tank and</w:t>
            </w:r>
          </w:p>
        </w:tc>
        <w:tc>
          <w:tcPr>
            <w:tcW w:w="240" w:type="dxa"/>
            <w:vAlign w:val="bottom"/>
            <w:shd w:val="clear" w:color="auto" w:fill="1D2758"/>
          </w:tcPr>
          <w:p>
            <w:pPr>
              <w:spacing w:after="0"/>
              <w:rPr>
                <w:sz w:val="12"/>
                <w:szCs w:val="12"/>
                <w:color w:val="auto"/>
              </w:rPr>
            </w:pPr>
          </w:p>
        </w:tc>
        <w:tc>
          <w:tcPr>
            <w:tcW w:w="1220" w:type="dxa"/>
            <w:vAlign w:val="bottom"/>
            <w:shd w:val="clear" w:color="auto" w:fill="1D2758"/>
          </w:tcPr>
          <w:p>
            <w:pPr>
              <w:jc w:val="right"/>
              <w:ind w:right="246"/>
              <w:spacing w:after="0" w:line="148" w:lineRule="exact"/>
              <w:rPr>
                <w:sz w:val="20"/>
                <w:szCs w:val="20"/>
                <w:color w:val="auto"/>
              </w:rPr>
            </w:pPr>
            <w:r>
              <w:rPr>
                <w:rFonts w:ascii="Arial" w:cs="Arial" w:eastAsia="Arial" w:hAnsi="Arial"/>
                <w:sz w:val="15"/>
                <w:szCs w:val="15"/>
                <w:b w:val="1"/>
                <w:bCs w:val="1"/>
                <w:color w:val="FFFFFF"/>
              </w:rPr>
              <w:t>Unallocated</w:t>
            </w:r>
          </w:p>
        </w:tc>
        <w:tc>
          <w:tcPr>
            <w:tcW w:w="240" w:type="dxa"/>
            <w:vAlign w:val="bottom"/>
            <w:shd w:val="clear" w:color="auto" w:fill="1D2758"/>
          </w:tcPr>
          <w:p>
            <w:pPr>
              <w:spacing w:after="0"/>
              <w:rPr>
                <w:sz w:val="12"/>
                <w:szCs w:val="12"/>
                <w:color w:val="auto"/>
              </w:rPr>
            </w:pPr>
          </w:p>
        </w:tc>
        <w:tc>
          <w:tcPr>
            <w:tcW w:w="880" w:type="dxa"/>
            <w:vAlign w:val="bottom"/>
            <w:vMerge w:val="restart"/>
            <w:shd w:val="clear" w:color="auto" w:fill="1D2758"/>
          </w:tcPr>
          <w:p>
            <w:pPr>
              <w:jc w:val="right"/>
              <w:ind w:right="30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392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86"/>
              <w:spacing w:after="0"/>
              <w:rPr>
                <w:sz w:val="20"/>
                <w:szCs w:val="20"/>
                <w:color w:val="auto"/>
              </w:rPr>
            </w:pPr>
            <w:r>
              <w:rPr>
                <w:rFonts w:ascii="Arial" w:cs="Arial" w:eastAsia="Arial" w:hAnsi="Arial"/>
                <w:sz w:val="15"/>
                <w:szCs w:val="15"/>
                <w:b w:val="1"/>
                <w:bCs w:val="1"/>
                <w:color w:val="FFFFFF"/>
              </w:rPr>
              <w:t>Pump</w:t>
            </w:r>
          </w:p>
        </w:tc>
        <w:tc>
          <w:tcPr>
            <w:tcW w:w="24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Costs</w:t>
            </w:r>
          </w:p>
        </w:tc>
        <w:tc>
          <w:tcPr>
            <w:tcW w:w="240" w:type="dxa"/>
            <w:vAlign w:val="bottom"/>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192,243</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77,041</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15,399</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15,399</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300,082</w:t>
            </w: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52,144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20,868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4,744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6,938</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84,694</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1,011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542</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19,360</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9,456</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2,801</w:t>
            </w: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499</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423</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13,179</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267,867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104,493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21,653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23,302</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417,315</w:t>
            </w:r>
          </w:p>
        </w:tc>
        <w:tc>
          <w:tcPr>
            <w:tcW w:w="0" w:type="dxa"/>
            <w:vAlign w:val="bottom"/>
          </w:tcPr>
          <w:p>
            <w:pPr>
              <w:spacing w:after="0"/>
              <w:rPr>
                <w:sz w:val="1"/>
                <w:szCs w:val="1"/>
                <w:color w:val="auto"/>
              </w:rPr>
            </w:pPr>
          </w:p>
        </w:tc>
      </w:tr>
      <w:tr>
        <w:trPr>
          <w:trHeight w:val="236"/>
        </w:trPr>
        <w:tc>
          <w:tcPr>
            <w:tcW w:w="3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49,516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3,382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2,630</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64,788</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44,465</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13,120</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3,240</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5,529</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66,354</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9,484</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2,351</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726</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374</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12,935</w:t>
            </w: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466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85</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8,837</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45,967</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4,448</w:t>
            </w: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1,168</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3,254</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54,837</w:t>
            </w:r>
          </w:p>
        </w:tc>
        <w:tc>
          <w:tcPr>
            <w:tcW w:w="0" w:type="dxa"/>
            <w:vAlign w:val="bottom"/>
          </w:tcPr>
          <w:p>
            <w:pPr>
              <w:spacing w:after="0"/>
              <w:rPr>
                <w:sz w:val="1"/>
                <w:szCs w:val="1"/>
                <w:color w:val="auto"/>
              </w:rPr>
            </w:pPr>
          </w:p>
        </w:tc>
      </w:tr>
      <w:tr>
        <w:trPr>
          <w:trHeight w:val="186"/>
        </w:trPr>
        <w:tc>
          <w:tcPr>
            <w:tcW w:w="3920" w:type="dxa"/>
            <w:vAlign w:val="bottom"/>
          </w:tcPr>
          <w:p>
            <w:pPr>
              <w:ind w:left="400"/>
              <w:spacing w:after="0"/>
              <w:rPr>
                <w:sz w:val="20"/>
                <w:szCs w:val="20"/>
                <w:color w:val="auto"/>
              </w:rPr>
            </w:pPr>
            <w:r>
              <w:rPr>
                <w:rFonts w:ascii="Arial" w:cs="Arial" w:eastAsia="Arial" w:hAnsi="Arial"/>
                <w:sz w:val="15"/>
                <w:szCs w:val="15"/>
                <w:color w:val="auto"/>
              </w:rPr>
              <w:t>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112,079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73,384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12,671</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11,430</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209,564</w:t>
            </w:r>
          </w:p>
        </w:tc>
        <w:tc>
          <w:tcPr>
            <w:tcW w:w="0" w:type="dxa"/>
            <w:vAlign w:val="bottom"/>
          </w:tcPr>
          <w:p>
            <w:pPr>
              <w:spacing w:after="0"/>
              <w:rPr>
                <w:sz w:val="1"/>
                <w:szCs w:val="1"/>
                <w:color w:val="auto"/>
              </w:rPr>
            </w:pPr>
          </w:p>
        </w:tc>
      </w:tr>
      <w:tr>
        <w:trPr>
          <w:trHeight w:val="20"/>
        </w:trPr>
        <w:tc>
          <w:tcPr>
            <w:tcW w:w="39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shd w:val="clear" w:color="auto" w:fill="DBDBDB"/>
          </w:tcPr>
          <w:p>
            <w:pPr>
              <w:ind w:left="20"/>
              <w:spacing w:after="0" w:line="159" w:lineRule="exact"/>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100,281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46,465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8,306</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8,507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163,559</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 (a)</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58,935</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31,368</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5,533</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6,177</w:t>
            </w: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rPr>
              <w:t>62,257</w:t>
            </w: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164,270</w:t>
            </w:r>
          </w:p>
        </w:tc>
        <w:tc>
          <w:tcPr>
            <w:tcW w:w="0" w:type="dxa"/>
            <w:vAlign w:val="bottom"/>
          </w:tcPr>
          <w:p>
            <w:pPr>
              <w:spacing w:after="0"/>
              <w:rPr>
                <w:sz w:val="1"/>
                <w:szCs w:val="1"/>
                <w:color w:val="auto"/>
              </w:rPr>
            </w:pPr>
          </w:p>
        </w:tc>
      </w:tr>
      <w:tr>
        <w:trPr>
          <w:trHeight w:val="192"/>
        </w:trPr>
        <w:tc>
          <w:tcPr>
            <w:tcW w:w="392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34,249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7,234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677</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431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42,591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22" w:hanging="222"/>
        <w:spacing w:after="0"/>
        <w:tabs>
          <w:tab w:leader="none" w:pos="222"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both SG&amp;A expense and Transaction costs from the condensed consolidated statement of operations.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8" w:lineRule="exact"/>
        <w:rPr>
          <w:rFonts w:ascii="Arial" w:cs="Arial" w:eastAsia="Arial" w:hAnsi="Arial"/>
          <w:sz w:val="15"/>
          <w:szCs w:val="15"/>
          <w:color w:val="auto"/>
        </w:rPr>
      </w:pPr>
    </w:p>
    <w:p>
      <w:pPr>
        <w:ind w:left="5562"/>
        <w:spacing w:after="0"/>
        <w:rPr>
          <w:rFonts w:ascii="Arial" w:cs="Arial" w:eastAsia="Arial" w:hAnsi="Arial"/>
          <w:sz w:val="15"/>
          <w:szCs w:val="15"/>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6978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049" w:right="339" w:bottom="1440" w:gutter="0" w:footer="0" w:header="0"/>
        </w:sectPr>
      </w:pPr>
    </w:p>
    <w:bookmarkStart w:id="30" w:name="page31"/>
    <w:bookmarkEnd w:id="30"/>
    <w:tbl>
      <w:tblPr>
        <w:tblLayout w:type="fixed"/>
        <w:tblInd w:w="2" w:type="dxa"/>
        <w:tblCellMar>
          <w:top w:w="0" w:type="dxa"/>
          <w:left w:w="0" w:type="dxa"/>
          <w:bottom w:w="0" w:type="dxa"/>
          <w:right w:w="0" w:type="dxa"/>
        </w:tblCellMar>
      </w:tblPr>
      <w:tr>
        <w:trPr>
          <w:trHeight w:val="197"/>
        </w:trPr>
        <w:tc>
          <w:tcPr>
            <w:tcW w:w="392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3940" w:type="dxa"/>
            <w:vAlign w:val="bottom"/>
            <w:gridSpan w:val="9"/>
            <w:shd w:val="clear" w:color="auto" w:fill="1D2758"/>
          </w:tcPr>
          <w:p>
            <w:pPr>
              <w:jc w:val="center"/>
              <w:ind w:right="1066"/>
              <w:spacing w:after="0"/>
              <w:rPr>
                <w:sz w:val="20"/>
                <w:szCs w:val="20"/>
                <w:color w:val="auto"/>
              </w:rPr>
            </w:pPr>
            <w:r>
              <w:rPr>
                <w:rFonts w:ascii="Arial" w:cs="Arial" w:eastAsia="Arial" w:hAnsi="Arial"/>
                <w:sz w:val="15"/>
                <w:szCs w:val="15"/>
                <w:b w:val="1"/>
                <w:bCs w:val="1"/>
                <w:color w:val="FFFFFF"/>
                <w:w w:val="98"/>
              </w:rPr>
              <w:t>Nine Months Ended September 30, 2021</w:t>
            </w:r>
          </w:p>
        </w:tc>
        <w:tc>
          <w:tcPr>
            <w:tcW w:w="2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40" w:type="dxa"/>
            <w:vAlign w:val="bottom"/>
            <w:shd w:val="clear" w:color="auto" w:fill="1D2758"/>
          </w:tcPr>
          <w:p>
            <w:pPr>
              <w:spacing w:after="0"/>
              <w:rPr>
                <w:sz w:val="12"/>
                <w:szCs w:val="12"/>
                <w:color w:val="auto"/>
              </w:rPr>
            </w:pPr>
          </w:p>
        </w:tc>
        <w:tc>
          <w:tcPr>
            <w:tcW w:w="920" w:type="dxa"/>
            <w:vAlign w:val="bottom"/>
            <w:vMerge w:val="restart"/>
            <w:shd w:val="clear" w:color="auto" w:fill="1D2758"/>
          </w:tcPr>
          <w:p>
            <w:pPr>
              <w:jc w:val="right"/>
              <w:ind w:right="26"/>
              <w:spacing w:after="0"/>
              <w:rPr>
                <w:sz w:val="20"/>
                <w:szCs w:val="20"/>
                <w:color w:val="auto"/>
              </w:rPr>
            </w:pPr>
            <w:r>
              <w:rPr>
                <w:rFonts w:ascii="Arial" w:cs="Arial" w:eastAsia="Arial" w:hAnsi="Arial"/>
                <w:sz w:val="15"/>
                <w:szCs w:val="15"/>
                <w:b w:val="1"/>
                <w:bCs w:val="1"/>
                <w:color w:val="FFFFFF"/>
                <w:w w:val="97"/>
              </w:rPr>
              <w:t>NA Storage</w:t>
            </w:r>
          </w:p>
        </w:tc>
        <w:tc>
          <w:tcPr>
            <w:tcW w:w="60" w:type="dxa"/>
            <w:vAlign w:val="bottom"/>
            <w:shd w:val="clear" w:color="auto" w:fill="1D2758"/>
          </w:tcPr>
          <w:p>
            <w:pPr>
              <w:spacing w:after="0"/>
              <w:rPr>
                <w:sz w:val="12"/>
                <w:szCs w:val="12"/>
                <w:color w:val="auto"/>
              </w:rPr>
            </w:pPr>
          </w:p>
        </w:tc>
        <w:tc>
          <w:tcPr>
            <w:tcW w:w="10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2"/>
                <w:szCs w:val="12"/>
                <w:color w:val="auto"/>
              </w:rPr>
            </w:pPr>
          </w:p>
        </w:tc>
        <w:tc>
          <w:tcPr>
            <w:tcW w:w="960" w:type="dxa"/>
            <w:vAlign w:val="bottom"/>
            <w:shd w:val="clear" w:color="auto" w:fill="1D2758"/>
          </w:tcPr>
          <w:p>
            <w:pPr>
              <w:jc w:val="right"/>
              <w:ind w:right="166"/>
              <w:spacing w:after="0" w:line="148" w:lineRule="exact"/>
              <w:rPr>
                <w:sz w:val="20"/>
                <w:szCs w:val="20"/>
                <w:color w:val="auto"/>
              </w:rPr>
            </w:pPr>
            <w:r>
              <w:rPr>
                <w:rFonts w:ascii="Arial" w:cs="Arial" w:eastAsia="Arial" w:hAnsi="Arial"/>
                <w:sz w:val="15"/>
                <w:szCs w:val="15"/>
                <w:b w:val="1"/>
                <w:bCs w:val="1"/>
                <w:color w:val="FFFFFF"/>
              </w:rPr>
              <w:t>Tank and</w:t>
            </w:r>
          </w:p>
        </w:tc>
        <w:tc>
          <w:tcPr>
            <w:tcW w:w="240" w:type="dxa"/>
            <w:vAlign w:val="bottom"/>
            <w:shd w:val="clear" w:color="auto" w:fill="1D2758"/>
          </w:tcPr>
          <w:p>
            <w:pPr>
              <w:spacing w:after="0"/>
              <w:rPr>
                <w:sz w:val="12"/>
                <w:szCs w:val="12"/>
                <w:color w:val="auto"/>
              </w:rPr>
            </w:pPr>
          </w:p>
        </w:tc>
        <w:tc>
          <w:tcPr>
            <w:tcW w:w="1220" w:type="dxa"/>
            <w:vAlign w:val="bottom"/>
            <w:shd w:val="clear" w:color="auto" w:fill="1D2758"/>
          </w:tcPr>
          <w:p>
            <w:pPr>
              <w:jc w:val="right"/>
              <w:ind w:right="246"/>
              <w:spacing w:after="0" w:line="148" w:lineRule="exact"/>
              <w:rPr>
                <w:sz w:val="20"/>
                <w:szCs w:val="20"/>
                <w:color w:val="auto"/>
              </w:rPr>
            </w:pPr>
            <w:r>
              <w:rPr>
                <w:rFonts w:ascii="Arial" w:cs="Arial" w:eastAsia="Arial" w:hAnsi="Arial"/>
                <w:sz w:val="15"/>
                <w:szCs w:val="15"/>
                <w:b w:val="1"/>
                <w:bCs w:val="1"/>
                <w:color w:val="FFFFFF"/>
              </w:rPr>
              <w:t>Unallocated</w:t>
            </w:r>
          </w:p>
        </w:tc>
        <w:tc>
          <w:tcPr>
            <w:tcW w:w="240" w:type="dxa"/>
            <w:vAlign w:val="bottom"/>
            <w:shd w:val="clear" w:color="auto" w:fill="1D2758"/>
          </w:tcPr>
          <w:p>
            <w:pPr>
              <w:spacing w:after="0"/>
              <w:rPr>
                <w:sz w:val="12"/>
                <w:szCs w:val="12"/>
                <w:color w:val="auto"/>
              </w:rPr>
            </w:pPr>
          </w:p>
        </w:tc>
        <w:tc>
          <w:tcPr>
            <w:tcW w:w="880" w:type="dxa"/>
            <w:vAlign w:val="bottom"/>
            <w:vMerge w:val="restart"/>
            <w:shd w:val="clear" w:color="auto" w:fill="1D2758"/>
          </w:tcPr>
          <w:p>
            <w:pPr>
              <w:jc w:val="right"/>
              <w:ind w:right="30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392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920" w:type="dxa"/>
            <w:vAlign w:val="bottom"/>
            <w:vMerge w:val="continue"/>
            <w:shd w:val="clear" w:color="auto" w:fill="1D2758"/>
          </w:tcPr>
          <w:p>
            <w:pPr>
              <w:spacing w:after="0"/>
              <w:rPr>
                <w:sz w:val="17"/>
                <w:szCs w:val="17"/>
                <w:color w:val="auto"/>
              </w:rPr>
            </w:pPr>
          </w:p>
        </w:tc>
        <w:tc>
          <w:tcPr>
            <w:tcW w:w="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86"/>
              <w:spacing w:after="0"/>
              <w:rPr>
                <w:sz w:val="20"/>
                <w:szCs w:val="20"/>
                <w:color w:val="auto"/>
              </w:rPr>
            </w:pPr>
            <w:r>
              <w:rPr>
                <w:rFonts w:ascii="Arial" w:cs="Arial" w:eastAsia="Arial" w:hAnsi="Arial"/>
                <w:sz w:val="15"/>
                <w:szCs w:val="15"/>
                <w:b w:val="1"/>
                <w:bCs w:val="1"/>
                <w:color w:val="FFFFFF"/>
              </w:rPr>
              <w:t>Pump</w:t>
            </w:r>
          </w:p>
        </w:tc>
        <w:tc>
          <w:tcPr>
            <w:tcW w:w="24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Costs</w:t>
            </w:r>
          </w:p>
        </w:tc>
        <w:tc>
          <w:tcPr>
            <w:tcW w:w="240" w:type="dxa"/>
            <w:vAlign w:val="bottom"/>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636,979</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267,489</w:t>
            </w:r>
          </w:p>
        </w:tc>
        <w:tc>
          <w:tcPr>
            <w:tcW w:w="280" w:type="dxa"/>
            <w:vAlign w:val="bottom"/>
            <w:gridSpan w:val="3"/>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61,426</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56,343</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1,022,237</w:t>
            </w: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161,548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73,214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18,152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21,969</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274,883</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27,814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5,355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2,746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1,908</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37,823</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28,316</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11,381</w:t>
            </w:r>
          </w:p>
        </w:tc>
        <w:tc>
          <w:tcPr>
            <w:tcW w:w="60" w:type="dxa"/>
            <w:vAlign w:val="bottom"/>
            <w:tcBorders>
              <w:bottom w:val="single" w:sz="8" w:color="auto"/>
            </w:tcBorders>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1,214</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1,123</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42,034</w:t>
            </w:r>
          </w:p>
        </w:tc>
        <w:tc>
          <w:tcPr>
            <w:tcW w:w="0" w:type="dxa"/>
            <w:vAlign w:val="bottom"/>
          </w:tcPr>
          <w:p>
            <w:pPr>
              <w:spacing w:after="0"/>
              <w:rPr>
                <w:sz w:val="1"/>
                <w:szCs w:val="1"/>
                <w:color w:val="auto"/>
              </w:rPr>
            </w:pPr>
          </w:p>
        </w:tc>
      </w:tr>
      <w:tr>
        <w:trPr>
          <w:trHeight w:val="186"/>
        </w:trPr>
        <w:tc>
          <w:tcPr>
            <w:tcW w:w="3920" w:type="dxa"/>
            <w:vAlign w:val="bottom"/>
          </w:tcPr>
          <w:p>
            <w:pPr>
              <w:ind w:left="40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854,657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357,439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83,538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81,343</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1,376,977</w:t>
            </w:r>
          </w:p>
        </w:tc>
        <w:tc>
          <w:tcPr>
            <w:tcW w:w="0" w:type="dxa"/>
            <w:vAlign w:val="bottom"/>
          </w:tcPr>
          <w:p>
            <w:pPr>
              <w:spacing w:after="0"/>
              <w:rPr>
                <w:sz w:val="1"/>
                <w:szCs w:val="1"/>
                <w:color w:val="auto"/>
              </w:rPr>
            </w:pPr>
          </w:p>
        </w:tc>
      </w:tr>
      <w:tr>
        <w:trPr>
          <w:trHeight w:val="236"/>
        </w:trPr>
        <w:tc>
          <w:tcPr>
            <w:tcW w:w="3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172,108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37,300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13,339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12,628</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235,375</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147,514</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51,811</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10,638</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18,317</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228,280</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19,330</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3,190</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1,802</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1,338</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25,660</w:t>
            </w: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14,611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6,667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1,163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429</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22,870</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144,102</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17,635</w:t>
            </w:r>
          </w:p>
        </w:tc>
        <w:tc>
          <w:tcPr>
            <w:tcW w:w="60" w:type="dxa"/>
            <w:vAlign w:val="bottom"/>
            <w:tcBorders>
              <w:bottom w:val="single" w:sz="8" w:color="auto"/>
            </w:tcBorders>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3,290</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10,026</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175,053</w:t>
            </w:r>
          </w:p>
        </w:tc>
        <w:tc>
          <w:tcPr>
            <w:tcW w:w="0" w:type="dxa"/>
            <w:vAlign w:val="bottom"/>
          </w:tcPr>
          <w:p>
            <w:pPr>
              <w:spacing w:after="0"/>
              <w:rPr>
                <w:sz w:val="1"/>
                <w:szCs w:val="1"/>
                <w:color w:val="auto"/>
              </w:rPr>
            </w:pPr>
          </w:p>
        </w:tc>
      </w:tr>
      <w:tr>
        <w:trPr>
          <w:trHeight w:val="186"/>
        </w:trPr>
        <w:tc>
          <w:tcPr>
            <w:tcW w:w="3920" w:type="dxa"/>
            <w:vAlign w:val="bottom"/>
          </w:tcPr>
          <w:p>
            <w:pPr>
              <w:ind w:left="40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356,992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240,836</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53,306</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38,605</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689,739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shd w:val="clear" w:color="auto" w:fill="DBDBDB"/>
          </w:tcPr>
          <w:p>
            <w:pPr>
              <w:ind w:left="20"/>
              <w:spacing w:after="0" w:line="159" w:lineRule="exact"/>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307,741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154,971</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36,647</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29,870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529,229</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 (a)</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192,285</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103,501</w:t>
            </w:r>
          </w:p>
        </w:tc>
        <w:tc>
          <w:tcPr>
            <w:tcW w:w="280" w:type="dxa"/>
            <w:vAlign w:val="bottom"/>
            <w:gridSpan w:val="3"/>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19,949</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18,868</w:t>
            </w: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rPr>
              <w:t>38,840</w:t>
            </w: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373,443</w:t>
            </w:r>
          </w:p>
        </w:tc>
        <w:tc>
          <w:tcPr>
            <w:tcW w:w="0" w:type="dxa"/>
            <w:vAlign w:val="bottom"/>
          </w:tcPr>
          <w:p>
            <w:pPr>
              <w:spacing w:after="0"/>
              <w:rPr>
                <w:sz w:val="1"/>
                <w:szCs w:val="1"/>
                <w:color w:val="auto"/>
              </w:rPr>
            </w:pPr>
          </w:p>
        </w:tc>
      </w:tr>
      <w:tr>
        <w:trPr>
          <w:trHeight w:val="192"/>
        </w:trPr>
        <w:tc>
          <w:tcPr>
            <w:tcW w:w="392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120,288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24,165</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22,645</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11,093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178,191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22" w:hanging="222"/>
        <w:spacing w:after="0"/>
        <w:tabs>
          <w:tab w:leader="none" w:pos="2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both SG&amp;A expense and Transaction costs from the consolidated statement of operations.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8" w:lineRule="exact"/>
        <w:rPr>
          <w:rFonts w:ascii="Arial" w:cs="Arial" w:eastAsia="Arial" w:hAnsi="Arial"/>
          <w:sz w:val="15"/>
          <w:szCs w:val="15"/>
          <w:color w:val="auto"/>
        </w:rPr>
      </w:pPr>
    </w:p>
    <w:p>
      <w:pPr>
        <w:ind w:left="5562"/>
        <w:spacing w:after="0"/>
        <w:rPr>
          <w:rFonts w:ascii="Arial" w:cs="Arial" w:eastAsia="Arial" w:hAnsi="Arial"/>
          <w:sz w:val="15"/>
          <w:szCs w:val="15"/>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697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04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7"/>
        </w:trPr>
        <w:tc>
          <w:tcPr>
            <w:tcW w:w="392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3940" w:type="dxa"/>
            <w:vAlign w:val="bottom"/>
            <w:gridSpan w:val="9"/>
            <w:shd w:val="clear" w:color="auto" w:fill="1D2758"/>
          </w:tcPr>
          <w:p>
            <w:pPr>
              <w:jc w:val="center"/>
              <w:ind w:right="1066"/>
              <w:spacing w:after="0"/>
              <w:rPr>
                <w:sz w:val="20"/>
                <w:szCs w:val="20"/>
                <w:color w:val="auto"/>
              </w:rPr>
            </w:pPr>
            <w:r>
              <w:rPr>
                <w:rFonts w:ascii="Arial" w:cs="Arial" w:eastAsia="Arial" w:hAnsi="Arial"/>
                <w:sz w:val="15"/>
                <w:szCs w:val="15"/>
                <w:b w:val="1"/>
                <w:bCs w:val="1"/>
                <w:color w:val="FFFFFF"/>
                <w:w w:val="98"/>
              </w:rPr>
              <w:t>Nine Months Ended September 30, 2020</w:t>
            </w:r>
          </w:p>
        </w:tc>
        <w:tc>
          <w:tcPr>
            <w:tcW w:w="2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40" w:type="dxa"/>
            <w:vAlign w:val="bottom"/>
            <w:shd w:val="clear" w:color="auto" w:fill="1D2758"/>
          </w:tcPr>
          <w:p>
            <w:pPr>
              <w:spacing w:after="0"/>
              <w:rPr>
                <w:sz w:val="12"/>
                <w:szCs w:val="12"/>
                <w:color w:val="auto"/>
              </w:rPr>
            </w:pPr>
          </w:p>
        </w:tc>
        <w:tc>
          <w:tcPr>
            <w:tcW w:w="920" w:type="dxa"/>
            <w:vAlign w:val="bottom"/>
            <w:vMerge w:val="restart"/>
            <w:shd w:val="clear" w:color="auto" w:fill="1D2758"/>
          </w:tcPr>
          <w:p>
            <w:pPr>
              <w:jc w:val="right"/>
              <w:ind w:right="26"/>
              <w:spacing w:after="0"/>
              <w:rPr>
                <w:sz w:val="20"/>
                <w:szCs w:val="20"/>
                <w:color w:val="auto"/>
              </w:rPr>
            </w:pPr>
            <w:r>
              <w:rPr>
                <w:rFonts w:ascii="Arial" w:cs="Arial" w:eastAsia="Arial" w:hAnsi="Arial"/>
                <w:sz w:val="15"/>
                <w:szCs w:val="15"/>
                <w:b w:val="1"/>
                <w:bCs w:val="1"/>
                <w:color w:val="FFFFFF"/>
                <w:w w:val="97"/>
              </w:rPr>
              <w:t>NA Storage</w:t>
            </w:r>
          </w:p>
        </w:tc>
        <w:tc>
          <w:tcPr>
            <w:tcW w:w="60" w:type="dxa"/>
            <w:vAlign w:val="bottom"/>
            <w:shd w:val="clear" w:color="auto" w:fill="1D2758"/>
          </w:tcPr>
          <w:p>
            <w:pPr>
              <w:spacing w:after="0"/>
              <w:rPr>
                <w:sz w:val="12"/>
                <w:szCs w:val="12"/>
                <w:color w:val="auto"/>
              </w:rPr>
            </w:pPr>
          </w:p>
        </w:tc>
        <w:tc>
          <w:tcPr>
            <w:tcW w:w="10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108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2"/>
                <w:szCs w:val="12"/>
                <w:color w:val="auto"/>
              </w:rPr>
            </w:pPr>
          </w:p>
        </w:tc>
        <w:tc>
          <w:tcPr>
            <w:tcW w:w="960" w:type="dxa"/>
            <w:vAlign w:val="bottom"/>
            <w:shd w:val="clear" w:color="auto" w:fill="1D2758"/>
          </w:tcPr>
          <w:p>
            <w:pPr>
              <w:jc w:val="right"/>
              <w:ind w:right="166"/>
              <w:spacing w:after="0" w:line="148" w:lineRule="exact"/>
              <w:rPr>
                <w:sz w:val="20"/>
                <w:szCs w:val="20"/>
                <w:color w:val="auto"/>
              </w:rPr>
            </w:pPr>
            <w:r>
              <w:rPr>
                <w:rFonts w:ascii="Arial" w:cs="Arial" w:eastAsia="Arial" w:hAnsi="Arial"/>
                <w:sz w:val="15"/>
                <w:szCs w:val="15"/>
                <w:b w:val="1"/>
                <w:bCs w:val="1"/>
                <w:color w:val="FFFFFF"/>
              </w:rPr>
              <w:t>Tank and</w:t>
            </w:r>
          </w:p>
        </w:tc>
        <w:tc>
          <w:tcPr>
            <w:tcW w:w="240" w:type="dxa"/>
            <w:vAlign w:val="bottom"/>
            <w:shd w:val="clear" w:color="auto" w:fill="1D2758"/>
          </w:tcPr>
          <w:p>
            <w:pPr>
              <w:spacing w:after="0"/>
              <w:rPr>
                <w:sz w:val="12"/>
                <w:szCs w:val="12"/>
                <w:color w:val="auto"/>
              </w:rPr>
            </w:pPr>
          </w:p>
        </w:tc>
        <w:tc>
          <w:tcPr>
            <w:tcW w:w="1220" w:type="dxa"/>
            <w:vAlign w:val="bottom"/>
            <w:shd w:val="clear" w:color="auto" w:fill="1D2758"/>
          </w:tcPr>
          <w:p>
            <w:pPr>
              <w:jc w:val="right"/>
              <w:ind w:right="246"/>
              <w:spacing w:after="0" w:line="148" w:lineRule="exact"/>
              <w:rPr>
                <w:sz w:val="20"/>
                <w:szCs w:val="20"/>
                <w:color w:val="auto"/>
              </w:rPr>
            </w:pPr>
            <w:r>
              <w:rPr>
                <w:rFonts w:ascii="Arial" w:cs="Arial" w:eastAsia="Arial" w:hAnsi="Arial"/>
                <w:sz w:val="15"/>
                <w:szCs w:val="15"/>
                <w:b w:val="1"/>
                <w:bCs w:val="1"/>
                <w:color w:val="FFFFFF"/>
              </w:rPr>
              <w:t>Unallocated</w:t>
            </w:r>
          </w:p>
        </w:tc>
        <w:tc>
          <w:tcPr>
            <w:tcW w:w="240" w:type="dxa"/>
            <w:vAlign w:val="bottom"/>
            <w:shd w:val="clear" w:color="auto" w:fill="1D2758"/>
          </w:tcPr>
          <w:p>
            <w:pPr>
              <w:spacing w:after="0"/>
              <w:rPr>
                <w:sz w:val="12"/>
                <w:szCs w:val="12"/>
                <w:color w:val="auto"/>
              </w:rPr>
            </w:pPr>
          </w:p>
        </w:tc>
        <w:tc>
          <w:tcPr>
            <w:tcW w:w="880" w:type="dxa"/>
            <w:vAlign w:val="bottom"/>
            <w:vMerge w:val="restart"/>
            <w:shd w:val="clear" w:color="auto" w:fill="1D2758"/>
          </w:tcPr>
          <w:p>
            <w:pPr>
              <w:jc w:val="right"/>
              <w:ind w:right="30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392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920" w:type="dxa"/>
            <w:vAlign w:val="bottom"/>
            <w:vMerge w:val="continue"/>
            <w:shd w:val="clear" w:color="auto" w:fill="1D2758"/>
          </w:tcPr>
          <w:p>
            <w:pPr>
              <w:spacing w:after="0"/>
              <w:rPr>
                <w:sz w:val="17"/>
                <w:szCs w:val="17"/>
                <w:color w:val="auto"/>
              </w:rPr>
            </w:pPr>
          </w:p>
        </w:tc>
        <w:tc>
          <w:tcPr>
            <w:tcW w:w="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86"/>
              <w:spacing w:after="0"/>
              <w:rPr>
                <w:sz w:val="20"/>
                <w:szCs w:val="20"/>
                <w:color w:val="auto"/>
              </w:rPr>
            </w:pPr>
            <w:r>
              <w:rPr>
                <w:rFonts w:ascii="Arial" w:cs="Arial" w:eastAsia="Arial" w:hAnsi="Arial"/>
                <w:sz w:val="15"/>
                <w:szCs w:val="15"/>
                <w:b w:val="1"/>
                <w:bCs w:val="1"/>
                <w:color w:val="FFFFFF"/>
              </w:rPr>
              <w:t>Pump</w:t>
            </w:r>
          </w:p>
        </w:tc>
        <w:tc>
          <w:tcPr>
            <w:tcW w:w="24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Costs</w:t>
            </w:r>
          </w:p>
        </w:tc>
        <w:tc>
          <w:tcPr>
            <w:tcW w:w="240" w:type="dxa"/>
            <w:vAlign w:val="bottom"/>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570,738</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77,041</w:t>
            </w:r>
          </w:p>
        </w:tc>
        <w:tc>
          <w:tcPr>
            <w:tcW w:w="280" w:type="dxa"/>
            <w:vAlign w:val="bottom"/>
            <w:gridSpan w:val="3"/>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15,399</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15,399</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678,577</w:t>
            </w: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154,854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20,868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4,744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6,938</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187,404</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33,400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3,783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1,011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542</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38,736</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21,558</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2,801</w:t>
            </w:r>
          </w:p>
        </w:tc>
        <w:tc>
          <w:tcPr>
            <w:tcW w:w="60" w:type="dxa"/>
            <w:vAlign w:val="bottom"/>
            <w:tcBorders>
              <w:bottom w:val="single" w:sz="8" w:color="auto"/>
            </w:tcBorders>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499</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423</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25,281</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780,550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104,493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21,653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23,302</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929,998</w:t>
            </w:r>
          </w:p>
        </w:tc>
        <w:tc>
          <w:tcPr>
            <w:tcW w:w="0" w:type="dxa"/>
            <w:vAlign w:val="bottom"/>
          </w:tcPr>
          <w:p>
            <w:pPr>
              <w:spacing w:after="0"/>
              <w:rPr>
                <w:sz w:val="1"/>
                <w:szCs w:val="1"/>
                <w:color w:val="auto"/>
              </w:rPr>
            </w:pPr>
          </w:p>
        </w:tc>
      </w:tr>
      <w:tr>
        <w:trPr>
          <w:trHeight w:val="236"/>
        </w:trPr>
        <w:tc>
          <w:tcPr>
            <w:tcW w:w="3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3,382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2,630</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162,344</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131,853</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13,120</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3,240</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5,529</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153,742</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22,018</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2,351</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726</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374</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25,469</w:t>
            </w: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13,965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466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85</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16,446</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137,409</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4,448</w:t>
            </w:r>
          </w:p>
        </w:tc>
        <w:tc>
          <w:tcPr>
            <w:tcW w:w="60" w:type="dxa"/>
            <w:vAlign w:val="bottom"/>
            <w:tcBorders>
              <w:bottom w:val="single" w:sz="8" w:color="auto"/>
            </w:tcBorders>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1,168</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3,254</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146,279</w:t>
            </w:r>
          </w:p>
        </w:tc>
        <w:tc>
          <w:tcPr>
            <w:tcW w:w="0" w:type="dxa"/>
            <w:vAlign w:val="bottom"/>
          </w:tcPr>
          <w:p>
            <w:pPr>
              <w:spacing w:after="0"/>
              <w:rPr>
                <w:sz w:val="1"/>
                <w:szCs w:val="1"/>
                <w:color w:val="auto"/>
              </w:rPr>
            </w:pPr>
          </w:p>
        </w:tc>
      </w:tr>
      <w:tr>
        <w:trPr>
          <w:trHeight w:val="186"/>
        </w:trPr>
        <w:tc>
          <w:tcPr>
            <w:tcW w:w="3920" w:type="dxa"/>
            <w:vAlign w:val="bottom"/>
          </w:tcPr>
          <w:p>
            <w:pPr>
              <w:ind w:left="40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328,233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73,384</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12,671</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11,430</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425,718</w:t>
            </w:r>
          </w:p>
        </w:tc>
        <w:tc>
          <w:tcPr>
            <w:tcW w:w="0" w:type="dxa"/>
            <w:vAlign w:val="bottom"/>
          </w:tcPr>
          <w:p>
            <w:pPr>
              <w:spacing w:after="0"/>
              <w:rPr>
                <w:sz w:val="1"/>
                <w:szCs w:val="1"/>
                <w:color w:val="auto"/>
              </w:rPr>
            </w:pPr>
          </w:p>
        </w:tc>
      </w:tr>
      <w:tr>
        <w:trPr>
          <w:trHeight w:val="20"/>
        </w:trPr>
        <w:tc>
          <w:tcPr>
            <w:tcW w:w="392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shd w:val="clear" w:color="auto" w:fill="DBDBDB"/>
          </w:tcPr>
          <w:p>
            <w:pPr>
              <w:ind w:left="20"/>
              <w:spacing w:after="0" w:line="159" w:lineRule="exact"/>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287,345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46,465</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8,306</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8,507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350,623</w:t>
            </w:r>
          </w:p>
        </w:tc>
        <w:tc>
          <w:tcPr>
            <w:tcW w:w="0" w:type="dxa"/>
            <w:vAlign w:val="bottom"/>
          </w:tcPr>
          <w:p>
            <w:pPr>
              <w:spacing w:after="0"/>
              <w:rPr>
                <w:sz w:val="1"/>
                <w:szCs w:val="1"/>
                <w:color w:val="auto"/>
              </w:rPr>
            </w:pPr>
          </w:p>
        </w:tc>
      </w:tr>
      <w:tr>
        <w:trPr>
          <w:trHeight w:val="199"/>
        </w:trPr>
        <w:tc>
          <w:tcPr>
            <w:tcW w:w="3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 (a)</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180,791</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31,368</w:t>
            </w:r>
          </w:p>
        </w:tc>
        <w:tc>
          <w:tcPr>
            <w:tcW w:w="280" w:type="dxa"/>
            <w:vAlign w:val="bottom"/>
            <w:gridSpan w:val="3"/>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5,533</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6,177</w:t>
            </w:r>
          </w:p>
        </w:tc>
        <w:tc>
          <w:tcPr>
            <w:tcW w:w="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rPr>
              <w:t>80,641</w:t>
            </w: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304,510</w:t>
            </w:r>
          </w:p>
        </w:tc>
        <w:tc>
          <w:tcPr>
            <w:tcW w:w="0" w:type="dxa"/>
            <w:vAlign w:val="bottom"/>
          </w:tcPr>
          <w:p>
            <w:pPr>
              <w:spacing w:after="0"/>
              <w:rPr>
                <w:sz w:val="1"/>
                <w:szCs w:val="1"/>
                <w:color w:val="auto"/>
              </w:rPr>
            </w:pPr>
          </w:p>
        </w:tc>
      </w:tr>
      <w:tr>
        <w:trPr>
          <w:trHeight w:val="192"/>
        </w:trPr>
        <w:tc>
          <w:tcPr>
            <w:tcW w:w="392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113,931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7,234</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677</w:t>
            </w: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431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122,273</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 Includes both SG&amp;A expense and Transaction costs from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2" w:name="page33"/>
    <w:bookmarkEnd w:id="32"/>
    <w:p>
      <w:pPr>
        <w:ind w:right="80" w:firstLine="590"/>
        <w:spacing w:after="0" w:line="246" w:lineRule="auto"/>
        <w:rPr>
          <w:sz w:val="20"/>
          <w:szCs w:val="20"/>
          <w:color w:val="auto"/>
        </w:rPr>
      </w:pPr>
      <w:r>
        <w:rPr>
          <w:rFonts w:ascii="Arial" w:cs="Arial" w:eastAsia="Arial" w:hAnsi="Arial"/>
          <w:sz w:val="15"/>
          <w:szCs w:val="15"/>
          <w:color w:val="auto"/>
        </w:rPr>
        <w:t>The following tables present a reconciliation of the Company’s income (loss) from operations to Adjusted EBITDA for the three and nine months ended September 30, 2021 and 2020,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6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3540" w:type="dxa"/>
            <w:vAlign w:val="bottom"/>
            <w:gridSpan w:val="5"/>
            <w:shd w:val="clear" w:color="auto" w:fill="1D2758"/>
          </w:tcPr>
          <w:p>
            <w:pPr>
              <w:ind w:left="280"/>
              <w:spacing w:after="0"/>
              <w:rPr>
                <w:sz w:val="20"/>
                <w:szCs w:val="20"/>
                <w:color w:val="auto"/>
              </w:rPr>
            </w:pPr>
            <w:r>
              <w:rPr>
                <w:rFonts w:ascii="Arial" w:cs="Arial" w:eastAsia="Arial" w:hAnsi="Arial"/>
                <w:sz w:val="15"/>
                <w:szCs w:val="15"/>
                <w:b w:val="1"/>
                <w:bCs w:val="1"/>
                <w:color w:val="FFFFFF"/>
              </w:rPr>
              <w:t>Three Months Ended September 30,</w:t>
            </w:r>
          </w:p>
        </w:tc>
        <w:tc>
          <w:tcPr>
            <w:tcW w:w="400" w:type="dxa"/>
            <w:vAlign w:val="bottom"/>
            <w:shd w:val="clear" w:color="auto" w:fill="1D2758"/>
          </w:tcPr>
          <w:p>
            <w:pPr>
              <w:spacing w:after="0"/>
              <w:rPr>
                <w:sz w:val="17"/>
                <w:szCs w:val="17"/>
                <w:color w:val="auto"/>
              </w:rPr>
            </w:pPr>
          </w:p>
        </w:tc>
        <w:tc>
          <w:tcPr>
            <w:tcW w:w="3440" w:type="dxa"/>
            <w:vAlign w:val="bottom"/>
            <w:gridSpan w:val="4"/>
            <w:shd w:val="clear" w:color="auto" w:fill="1D2758"/>
          </w:tcPr>
          <w:p>
            <w:pPr>
              <w:jc w:val="right"/>
              <w:ind w:right="626"/>
              <w:spacing w:after="0"/>
              <w:rPr>
                <w:sz w:val="20"/>
                <w:szCs w:val="20"/>
                <w:color w:val="auto"/>
              </w:rPr>
            </w:pPr>
            <w:r>
              <w:rPr>
                <w:rFonts w:ascii="Arial" w:cs="Arial" w:eastAsia="Arial" w:hAnsi="Arial"/>
                <w:sz w:val="15"/>
                <w:szCs w:val="15"/>
                <w:b w:val="1"/>
                <w:bCs w:val="1"/>
                <w:color w:val="FFFFFF"/>
              </w:rPr>
              <w:t>Nine Months Ended September 30,</w:t>
            </w:r>
          </w:p>
        </w:tc>
      </w:tr>
      <w:tr>
        <w:trPr>
          <w:trHeight w:val="197"/>
        </w:trPr>
        <w:tc>
          <w:tcPr>
            <w:tcW w:w="34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480" w:type="dxa"/>
            <w:vAlign w:val="bottom"/>
            <w:shd w:val="clear" w:color="auto" w:fill="1D2758"/>
          </w:tcPr>
          <w:p>
            <w:pPr>
              <w:jc w:val="right"/>
              <w:ind w:right="686"/>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70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480" w:type="dxa"/>
            <w:vAlign w:val="bottom"/>
            <w:shd w:val="clear" w:color="auto" w:fill="1D2758"/>
          </w:tcPr>
          <w:p>
            <w:pPr>
              <w:jc w:val="right"/>
              <w:ind w:right="70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6"/>
              <w:spacing w:after="0"/>
              <w:rPr>
                <w:sz w:val="20"/>
                <w:szCs w:val="20"/>
                <w:color w:val="auto"/>
              </w:rPr>
            </w:pPr>
            <w:r>
              <w:rPr>
                <w:rFonts w:ascii="Arial" w:cs="Arial" w:eastAsia="Arial" w:hAnsi="Arial"/>
                <w:sz w:val="15"/>
                <w:szCs w:val="15"/>
                <w:b w:val="1"/>
                <w:bCs w:val="1"/>
                <w:color w:val="FFFFFF"/>
              </w:rPr>
              <w:t>2020</w:t>
            </w:r>
          </w:p>
        </w:tc>
      </w:tr>
      <w:tr>
        <w:trPr>
          <w:trHeight w:val="19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400" w:type="dxa"/>
            <w:vAlign w:val="bottom"/>
            <w:shd w:val="clear" w:color="auto" w:fill="DBDBDB"/>
          </w:tcPr>
          <w:p>
            <w:pPr>
              <w:jc w:val="right"/>
              <w:ind w:right="22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61,103</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jc w:val="right"/>
              <w:ind w:right="266"/>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(6,051)</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85,921</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jc w:val="right"/>
              <w:ind w:right="266"/>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71,474</w:t>
            </w:r>
          </w:p>
        </w:tc>
      </w:tr>
      <w:tr>
        <w:trPr>
          <w:trHeight w:val="194"/>
        </w:trPr>
        <w:tc>
          <w:tcPr>
            <w:tcW w:w="3460" w:type="dxa"/>
            <w:vAlign w:val="bottom"/>
          </w:tcPr>
          <w:p>
            <w:pPr>
              <w:ind w:left="220"/>
              <w:spacing w:after="0"/>
              <w:rPr>
                <w:sz w:val="20"/>
                <w:szCs w:val="20"/>
                <w:color w:val="auto"/>
              </w:rPr>
            </w:pPr>
            <w:r>
              <w:rPr>
                <w:rFonts w:ascii="Arial" w:cs="Arial" w:eastAsia="Arial" w:hAnsi="Arial"/>
                <w:sz w:val="15"/>
                <w:szCs w:val="15"/>
                <w:color w:val="auto"/>
              </w:rPr>
              <w:t>Income tax expense (benefit)</w:t>
            </w: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6,644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(66,675)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35,953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(66,170)</w:t>
            </w:r>
          </w:p>
        </w:tc>
      </w:tr>
      <w:tr>
        <w:trPr>
          <w:trHeight w:val="199"/>
        </w:trPr>
        <w:tc>
          <w:tcPr>
            <w:tcW w:w="3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400" w:type="dxa"/>
            <w:vAlign w:val="bottom"/>
            <w:shd w:val="clear" w:color="auto" w:fill="DBDBDB"/>
          </w:tcPr>
          <w:p>
            <w:pPr>
              <w:spacing w:after="0"/>
              <w:rPr>
                <w:sz w:val="17"/>
                <w:szCs w:val="17"/>
                <w:color w:val="auto"/>
              </w:rPr>
            </w:pPr>
          </w:p>
        </w:tc>
        <w:tc>
          <w:tcPr>
            <w:tcW w:w="15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42,401</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42,401</w:t>
            </w:r>
          </w:p>
        </w:tc>
      </w:tr>
      <w:tr>
        <w:trPr>
          <w:trHeight w:val="162"/>
        </w:trPr>
        <w:tc>
          <w:tcPr>
            <w:tcW w:w="3460" w:type="dxa"/>
            <w:vAlign w:val="bottom"/>
          </w:tcPr>
          <w:p>
            <w:pPr>
              <w:ind w:left="220"/>
              <w:spacing w:after="0" w:line="161" w:lineRule="exact"/>
              <w:rPr>
                <w:sz w:val="20"/>
                <w:szCs w:val="20"/>
                <w:color w:val="auto"/>
              </w:rPr>
            </w:pPr>
            <w:r>
              <w:rPr>
                <w:rFonts w:ascii="Arial" w:cs="Arial" w:eastAsia="Arial" w:hAnsi="Arial"/>
                <w:sz w:val="15"/>
                <w:szCs w:val="15"/>
                <w:color w:val="auto"/>
              </w:rPr>
              <w:t>Fair value loss (gain) on common stock warrant</w:t>
            </w:r>
          </w:p>
        </w:tc>
        <w:tc>
          <w:tcPr>
            <w:tcW w:w="400" w:type="dxa"/>
            <w:vAlign w:val="bottom"/>
          </w:tcPr>
          <w:p>
            <w:pPr>
              <w:spacing w:after="0"/>
              <w:rPr>
                <w:sz w:val="14"/>
                <w:szCs w:val="14"/>
                <w:color w:val="auto"/>
              </w:rPr>
            </w:pPr>
          </w:p>
        </w:tc>
        <w:tc>
          <w:tcPr>
            <w:tcW w:w="1580" w:type="dxa"/>
            <w:vAlign w:val="bottom"/>
            <w:gridSpan w:val="2"/>
          </w:tcPr>
          <w:p>
            <w:pPr>
              <w:jc w:val="right"/>
              <w:ind w:right="160"/>
              <w:spacing w:after="0" w:line="161" w:lineRule="exact"/>
              <w:rPr>
                <w:sz w:val="20"/>
                <w:szCs w:val="20"/>
                <w:color w:val="auto"/>
              </w:rPr>
            </w:pPr>
            <w:r>
              <w:rPr>
                <w:rFonts w:ascii="Arial" w:cs="Arial" w:eastAsia="Arial" w:hAnsi="Arial"/>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6"/>
              <w:spacing w:after="0" w:line="161" w:lineRule="exact"/>
              <w:rPr>
                <w:sz w:val="20"/>
                <w:szCs w:val="20"/>
                <w:color w:val="auto"/>
              </w:rPr>
            </w:pPr>
            <w:r>
              <w:rPr>
                <w:rFonts w:ascii="Arial" w:cs="Arial" w:eastAsia="Arial" w:hAnsi="Arial"/>
                <w:sz w:val="15"/>
                <w:szCs w:val="15"/>
                <w:color w:val="auto"/>
              </w:rPr>
              <w:t>22,303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jc w:val="right"/>
              <w:spacing w:after="0" w:line="161" w:lineRule="exact"/>
              <w:rPr>
                <w:sz w:val="20"/>
                <w:szCs w:val="20"/>
                <w:color w:val="auto"/>
              </w:rPr>
            </w:pPr>
            <w:r>
              <w:rPr>
                <w:rFonts w:ascii="Arial" w:cs="Arial" w:eastAsia="Arial" w:hAnsi="Arial"/>
                <w:sz w:val="15"/>
                <w:szCs w:val="15"/>
                <w:color w:val="auto"/>
              </w:rPr>
              <w:t>26,597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line="161" w:lineRule="exact"/>
              <w:rPr>
                <w:sz w:val="20"/>
                <w:szCs w:val="20"/>
                <w:color w:val="auto"/>
              </w:rPr>
            </w:pPr>
            <w:r>
              <w:rPr>
                <w:rFonts w:ascii="Arial" w:cs="Arial" w:eastAsia="Arial" w:hAnsi="Arial"/>
                <w:sz w:val="15"/>
                <w:szCs w:val="15"/>
                <w:color w:val="auto"/>
              </w:rPr>
              <w:t>(46,063)</w:t>
            </w:r>
          </w:p>
        </w:tc>
      </w:tr>
      <w:tr>
        <w:trPr>
          <w:trHeight w:val="180"/>
        </w:trPr>
        <w:tc>
          <w:tcPr>
            <w:tcW w:w="3460" w:type="dxa"/>
            <w:vAlign w:val="bottom"/>
          </w:tcPr>
          <w:p>
            <w:pPr>
              <w:ind w:left="220"/>
              <w:spacing w:after="0"/>
              <w:rPr>
                <w:sz w:val="20"/>
                <w:szCs w:val="20"/>
                <w:color w:val="auto"/>
              </w:rPr>
            </w:pPr>
            <w:r>
              <w:rPr>
                <w:rFonts w:ascii="Arial" w:cs="Arial" w:eastAsia="Arial" w:hAnsi="Arial"/>
                <w:sz w:val="15"/>
                <w:szCs w:val="15"/>
                <w:color w:val="auto"/>
              </w:rPr>
              <w:t>liabilities</w:t>
            </w: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9"/>
        </w:trPr>
        <w:tc>
          <w:tcPr>
            <w:tcW w:w="3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29,201</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33,034</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88,377</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89,810</w:t>
            </w:r>
          </w:p>
        </w:tc>
      </w:tr>
      <w:tr>
        <w:trPr>
          <w:trHeight w:val="194"/>
        </w:trPr>
        <w:tc>
          <w:tcPr>
            <w:tcW w:w="34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75,276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71,704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233,813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169,103</w:t>
            </w:r>
          </w:p>
        </w:tc>
      </w:tr>
      <w:tr>
        <w:trPr>
          <w:trHeight w:val="199"/>
        </w:trPr>
        <w:tc>
          <w:tcPr>
            <w:tcW w:w="3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w:t>
            </w:r>
          </w:p>
        </w:tc>
      </w:tr>
      <w:tr>
        <w:trPr>
          <w:trHeight w:val="162"/>
        </w:trPr>
        <w:tc>
          <w:tcPr>
            <w:tcW w:w="3460" w:type="dxa"/>
            <w:vAlign w:val="bottom"/>
          </w:tcPr>
          <w:p>
            <w:pPr>
              <w:ind w:left="220"/>
              <w:spacing w:after="0" w:line="161" w:lineRule="exact"/>
              <w:rPr>
                <w:sz w:val="20"/>
                <w:szCs w:val="20"/>
                <w:color w:val="auto"/>
              </w:rPr>
            </w:pPr>
            <w:r>
              <w:rPr>
                <w:rFonts w:ascii="Arial" w:cs="Arial" w:eastAsia="Arial" w:hAnsi="Arial"/>
                <w:sz w:val="15"/>
                <w:szCs w:val="15"/>
                <w:color w:val="auto"/>
              </w:rPr>
              <w:t>Restructuring costs, lease impairment expense</w:t>
            </w: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3460" w:type="dxa"/>
            <w:vAlign w:val="bottom"/>
          </w:tcPr>
          <w:p>
            <w:pPr>
              <w:ind w:left="220"/>
              <w:spacing w:after="0"/>
              <w:rPr>
                <w:sz w:val="20"/>
                <w:szCs w:val="20"/>
                <w:color w:val="auto"/>
              </w:rPr>
            </w:pPr>
            <w:r>
              <w:rPr>
                <w:rFonts w:ascii="Arial" w:cs="Arial" w:eastAsia="Arial" w:hAnsi="Arial"/>
                <w:sz w:val="15"/>
                <w:szCs w:val="15"/>
                <w:color w:val="auto"/>
              </w:rPr>
              <w:t>and other related charges</w:t>
            </w: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2,457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4,798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14,286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8,542</w:t>
            </w:r>
          </w:p>
        </w:tc>
      </w:tr>
      <w:tr>
        <w:trPr>
          <w:trHeight w:val="199"/>
        </w:trPr>
        <w:tc>
          <w:tcPr>
            <w:tcW w:w="3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303</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52,191</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1,147</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63,241</w:t>
            </w:r>
          </w:p>
        </w:tc>
      </w:tr>
      <w:tr>
        <w:trPr>
          <w:trHeight w:val="194"/>
        </w:trPr>
        <w:tc>
          <w:tcPr>
            <w:tcW w:w="346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8,247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7,083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23,211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10,921</w:t>
            </w:r>
          </w:p>
        </w:tc>
      </w:tr>
      <w:tr>
        <w:trPr>
          <w:trHeight w:val="199"/>
        </w:trPr>
        <w:tc>
          <w:tcPr>
            <w:tcW w:w="3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6,259</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2,944</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14,480</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6,958</w:t>
            </w:r>
          </w:p>
        </w:tc>
      </w:tr>
      <w:tr>
        <w:trPr>
          <w:trHeight w:val="194"/>
        </w:trPr>
        <w:tc>
          <w:tcPr>
            <w:tcW w:w="34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532</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198</w:t>
            </w:r>
          </w:p>
        </w:tc>
        <w:tc>
          <w:tcPr>
            <w:tcW w:w="8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(751)</w:t>
            </w:r>
          </w:p>
        </w:tc>
        <w:tc>
          <w:tcPr>
            <w:tcW w:w="8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w:t>
            </w:r>
          </w:p>
        </w:tc>
      </w:tr>
      <w:tr>
        <w:trPr>
          <w:trHeight w:val="217"/>
        </w:trPr>
        <w:tc>
          <w:tcPr>
            <w:tcW w:w="3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0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190,149</w:t>
            </w:r>
          </w:p>
        </w:tc>
        <w:tc>
          <w:tcPr>
            <w:tcW w:w="100" w:type="dxa"/>
            <w:vAlign w:val="bottom"/>
            <w:tcBorders>
              <w:bottom w:val="single" w:sz="8" w:color="DBDBDB"/>
            </w:tcBorders>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jc w:val="right"/>
              <w:ind w:right="266"/>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163,559</w:t>
            </w:r>
          </w:p>
        </w:tc>
        <w:tc>
          <w:tcPr>
            <w:tcW w:w="8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529,229</w:t>
            </w:r>
          </w:p>
        </w:tc>
        <w:tc>
          <w:tcPr>
            <w:tcW w:w="80" w:type="dxa"/>
            <w:vAlign w:val="bottom"/>
            <w:tcBorders>
              <w:bottom w:val="single" w:sz="8" w:color="DBDBDB"/>
            </w:tcBorders>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jc w:val="right"/>
              <w:ind w:right="266"/>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350,623</w:t>
            </w:r>
          </w:p>
        </w:tc>
      </w:tr>
      <w:tr>
        <w:trPr>
          <w:trHeight w:val="20"/>
        </w:trPr>
        <w:tc>
          <w:tcPr>
            <w:tcW w:w="34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Included in restructuring costs for the three and nine months ended September 30, 2021 was expense of approximately $1.4 million and $7.2 million, respectively, recognized as a result of the modification of certain equity awards associated with the Transition, Separation and Release Agreement entered into on February 25, 2021 with the Company's former President and Chief Operating Officer. For the nine months ended September 30, 2021, stock-based compensation expense reported in the Statement of Cash Flows included these charges.</w:t>
      </w: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1D2758"/>
        </w:rPr>
        <w:t>NOTE 19 - Earnings (Loss) Per Share</w:t>
      </w:r>
    </w:p>
    <w:p>
      <w:pPr>
        <w:spacing w:after="0" w:line="101"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Basic earnings (loss) per share (“EPS”) is calculated by dividing net income (loss) attributable to WillScot Mobile Mini by the weighted average number of shares of Common Stock outstanding during the period. The shares of Common Stock issued as a result of the vesting of RSUs and RSAs as well as the exercise of stock options or redemption of warrants were included in EPS based on the weighted average number of days in which they were vested and outstanding during the period.</w:t>
      </w:r>
    </w:p>
    <w:p>
      <w:pPr>
        <w:spacing w:after="0" w:line="42"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Prior to June 30, 2020, the Company had shares of Class B Common Stock which had no rights to dividends or distributions made by the Company and, in turn, were excluded from the EPS calculation. On June 30, 2020, the Sapphire Exchange was completed, and all shares of Class B Common Stock were cancelled, and Sapphire Holdings received 10,641,182 shares of Common Stock.</w:t>
      </w:r>
    </w:p>
    <w:p>
      <w:pPr>
        <w:spacing w:after="0" w:line="42"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Diluted EPS is computed similarly to basic EPS, except that it includes the potential dilution that would occur if dilutive securities were exercised. Effects of potentially dilutive securities are presented only in periods in which they are dilutive. When liability-classified warrants are in the money and the impact of their inclusion on diluted EPS is dilutive, diluted EPS also assumes share settlement of such instruments through an adjustment to net income available to common stockholders for the fair value (gain) loss on common stock warrant liabilities and inclusion of the number of dilutive shares in the denominator.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3" w:name="page34"/>
    <w:bookmarkEnd w:id="33"/>
    <w:p>
      <w:pPr>
        <w:ind w:firstLine="590"/>
        <w:spacing w:after="0" w:line="246" w:lineRule="auto"/>
        <w:rPr>
          <w:sz w:val="20"/>
          <w:szCs w:val="20"/>
          <w:color w:val="auto"/>
        </w:rPr>
      </w:pPr>
      <w:r>
        <w:rPr>
          <w:rFonts w:ascii="Arial" w:cs="Arial" w:eastAsia="Arial" w:hAnsi="Arial"/>
          <w:sz w:val="15"/>
          <w:szCs w:val="15"/>
          <w:color w:val="auto"/>
        </w:rPr>
        <w:t>The following table reconciles net income attributable to WillScot Mobile Mini common shareholders and the weighted average shares outstanding for the basic calculation to the weighted average shares outstanding for the diluted calculation: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2560" w:type="dxa"/>
            <w:vAlign w:val="bottom"/>
            <w:gridSpan w:val="5"/>
            <w:shd w:val="clear" w:color="auto" w:fill="1D2758"/>
          </w:tcPr>
          <w:p>
            <w:pPr>
              <w:jc w:val="center"/>
              <w:ind w:right="380"/>
              <w:spacing w:after="0"/>
              <w:rPr>
                <w:sz w:val="20"/>
                <w:szCs w:val="20"/>
                <w:color w:val="auto"/>
              </w:rPr>
            </w:pPr>
            <w:r>
              <w:rPr>
                <w:rFonts w:ascii="Arial" w:cs="Arial" w:eastAsia="Arial" w:hAnsi="Arial"/>
                <w:sz w:val="15"/>
                <w:szCs w:val="15"/>
                <w:b w:val="1"/>
                <w:bCs w:val="1"/>
                <w:color w:val="FFFFFF"/>
                <w:w w:val="98"/>
              </w:rPr>
              <w:t>Three Months Ended</w:t>
            </w:r>
          </w:p>
        </w:tc>
        <w:tc>
          <w:tcPr>
            <w:tcW w:w="260" w:type="dxa"/>
            <w:vAlign w:val="bottom"/>
            <w:shd w:val="clear" w:color="auto" w:fill="1D2758"/>
          </w:tcPr>
          <w:p>
            <w:pPr>
              <w:spacing w:after="0"/>
              <w:rPr>
                <w:sz w:val="17"/>
                <w:szCs w:val="17"/>
                <w:color w:val="auto"/>
              </w:rPr>
            </w:pPr>
          </w:p>
        </w:tc>
        <w:tc>
          <w:tcPr>
            <w:tcW w:w="2360" w:type="dxa"/>
            <w:vAlign w:val="bottom"/>
            <w:gridSpan w:val="4"/>
            <w:shd w:val="clear" w:color="auto" w:fill="1D2758"/>
          </w:tcPr>
          <w:p>
            <w:pPr>
              <w:jc w:val="center"/>
              <w:ind w:right="186"/>
              <w:spacing w:after="0"/>
              <w:rPr>
                <w:sz w:val="20"/>
                <w:szCs w:val="20"/>
                <w:color w:val="auto"/>
              </w:rPr>
            </w:pPr>
            <w:r>
              <w:rPr>
                <w:rFonts w:ascii="Arial" w:cs="Arial" w:eastAsia="Arial" w:hAnsi="Arial"/>
                <w:sz w:val="15"/>
                <w:szCs w:val="15"/>
                <w:b w:val="1"/>
                <w:bCs w:val="1"/>
                <w:color w:val="FFFFFF"/>
                <w:w w:val="98"/>
              </w:rPr>
              <w:t>Nine Months Ended</w:t>
            </w:r>
          </w:p>
        </w:tc>
      </w:tr>
      <w:tr>
        <w:trPr>
          <w:trHeight w:val="193"/>
        </w:trPr>
        <w:tc>
          <w:tcPr>
            <w:tcW w:w="5760" w:type="dxa"/>
            <w:vAlign w:val="bottom"/>
            <w:shd w:val="clear" w:color="auto" w:fill="1D2758"/>
          </w:tcPr>
          <w:p>
            <w:pPr>
              <w:spacing w:after="0"/>
              <w:rPr>
                <w:sz w:val="16"/>
                <w:szCs w:val="16"/>
                <w:color w:val="auto"/>
              </w:rPr>
            </w:pPr>
          </w:p>
        </w:tc>
        <w:tc>
          <w:tcPr>
            <w:tcW w:w="300" w:type="dxa"/>
            <w:vAlign w:val="bottom"/>
            <w:shd w:val="clear" w:color="auto" w:fill="1D2758"/>
          </w:tcPr>
          <w:p>
            <w:pPr>
              <w:spacing w:after="0"/>
              <w:rPr>
                <w:sz w:val="16"/>
                <w:szCs w:val="16"/>
                <w:color w:val="auto"/>
              </w:rPr>
            </w:pPr>
          </w:p>
        </w:tc>
        <w:tc>
          <w:tcPr>
            <w:tcW w:w="1600" w:type="dxa"/>
            <w:vAlign w:val="bottom"/>
            <w:gridSpan w:val="3"/>
            <w:shd w:val="clear" w:color="auto" w:fill="1D2758"/>
          </w:tcPr>
          <w:p>
            <w:pPr>
              <w:jc w:val="center"/>
              <w:ind w:left="506"/>
              <w:spacing w:after="0"/>
              <w:rPr>
                <w:sz w:val="20"/>
                <w:szCs w:val="20"/>
                <w:color w:val="auto"/>
              </w:rPr>
            </w:pPr>
            <w:r>
              <w:rPr>
                <w:rFonts w:ascii="Arial" w:cs="Arial" w:eastAsia="Arial" w:hAnsi="Arial"/>
                <w:sz w:val="15"/>
                <w:szCs w:val="15"/>
                <w:b w:val="1"/>
                <w:bCs w:val="1"/>
                <w:color w:val="FFFFFF"/>
                <w:w w:val="99"/>
              </w:rPr>
              <w:t>September 30</w:t>
            </w:r>
          </w:p>
        </w:tc>
        <w:tc>
          <w:tcPr>
            <w:tcW w:w="8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260" w:type="dxa"/>
            <w:vAlign w:val="bottom"/>
            <w:shd w:val="clear" w:color="auto" w:fill="1D2758"/>
          </w:tcPr>
          <w:p>
            <w:pPr>
              <w:spacing w:after="0"/>
              <w:rPr>
                <w:sz w:val="16"/>
                <w:szCs w:val="16"/>
                <w:color w:val="auto"/>
              </w:rPr>
            </w:pPr>
          </w:p>
        </w:tc>
        <w:tc>
          <w:tcPr>
            <w:tcW w:w="2360" w:type="dxa"/>
            <w:vAlign w:val="bottom"/>
            <w:gridSpan w:val="4"/>
            <w:shd w:val="clear" w:color="auto" w:fill="1D2758"/>
          </w:tcPr>
          <w:p>
            <w:pPr>
              <w:jc w:val="center"/>
              <w:ind w:right="166"/>
              <w:spacing w:after="0"/>
              <w:rPr>
                <w:sz w:val="20"/>
                <w:szCs w:val="20"/>
                <w:color w:val="auto"/>
              </w:rPr>
            </w:pPr>
            <w:r>
              <w:rPr>
                <w:rFonts w:ascii="Arial" w:cs="Arial" w:eastAsia="Arial" w:hAnsi="Arial"/>
                <w:sz w:val="15"/>
                <w:szCs w:val="15"/>
                <w:b w:val="1"/>
                <w:bCs w:val="1"/>
                <w:color w:val="FFFFFF"/>
                <w:w w:val="97"/>
              </w:rPr>
              <w:t>September 30</w:t>
            </w:r>
          </w:p>
        </w:tc>
      </w:tr>
      <w:tr>
        <w:trPr>
          <w:trHeight w:val="201"/>
        </w:trPr>
        <w:tc>
          <w:tcPr>
            <w:tcW w:w="5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88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940" w:type="dxa"/>
            <w:vAlign w:val="bottom"/>
            <w:shd w:val="clear" w:color="auto" w:fill="1D2758"/>
          </w:tcPr>
          <w:p>
            <w:pPr>
              <w:jc w:val="right"/>
              <w:ind w:right="36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rPr>
              <w:t>2020</w:t>
            </w:r>
          </w:p>
        </w:tc>
      </w:tr>
      <w:tr>
        <w:trPr>
          <w:trHeight w:val="197"/>
        </w:trPr>
        <w:tc>
          <w:tcPr>
            <w:tcW w:w="5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r>
      <w:tr>
        <w:trPr>
          <w:trHeight w:val="194"/>
        </w:trPr>
        <w:tc>
          <w:tcPr>
            <w:tcW w:w="5760" w:type="dxa"/>
            <w:vAlign w:val="bottom"/>
          </w:tcPr>
          <w:p>
            <w:pPr>
              <w:ind w:left="20"/>
              <w:spacing w:after="0"/>
              <w:rPr>
                <w:sz w:val="20"/>
                <w:szCs w:val="20"/>
                <w:color w:val="auto"/>
              </w:rPr>
            </w:pPr>
            <w:r>
              <w:rPr>
                <w:rFonts w:ascii="Arial" w:cs="Arial" w:eastAsia="Arial" w:hAnsi="Arial"/>
                <w:sz w:val="15"/>
                <w:szCs w:val="15"/>
                <w:color w:val="auto"/>
              </w:rPr>
              <w:t>Net income (loss) attributable to common shareholders - basic</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61,103</w:t>
            </w:r>
          </w:p>
        </w:tc>
        <w:tc>
          <w:tcPr>
            <w:tcW w:w="100" w:type="dxa"/>
            <w:vAlign w:val="bottom"/>
          </w:tcPr>
          <w:p>
            <w:pPr>
              <w:spacing w:after="0"/>
              <w:rPr>
                <w:sz w:val="16"/>
                <w:szCs w:val="16"/>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(6,051)</w:t>
            </w:r>
          </w:p>
        </w:tc>
        <w:tc>
          <w:tcPr>
            <w:tcW w:w="8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85,921</w:t>
            </w:r>
          </w:p>
        </w:tc>
        <w:tc>
          <w:tcPr>
            <w:tcW w:w="80" w:type="dxa"/>
            <w:vAlign w:val="bottom"/>
          </w:tcPr>
          <w:p>
            <w:pPr>
              <w:spacing w:after="0"/>
              <w:rPr>
                <w:sz w:val="16"/>
                <w:szCs w:val="16"/>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70,261</w:t>
            </w:r>
          </w:p>
        </w:tc>
      </w:tr>
      <w:tr>
        <w:trPr>
          <w:trHeight w:val="197"/>
        </w:trPr>
        <w:tc>
          <w:tcPr>
            <w:tcW w:w="5760" w:type="dxa"/>
            <w:vAlign w:val="bottom"/>
            <w:shd w:val="clear" w:color="auto" w:fill="DBDBDB"/>
          </w:tcPr>
          <w:p>
            <w:pPr>
              <w:ind w:left="300"/>
              <w:spacing w:after="0"/>
              <w:rPr>
                <w:sz w:val="20"/>
                <w:szCs w:val="20"/>
                <w:color w:val="auto"/>
              </w:rPr>
            </w:pPr>
            <w:r>
              <w:rPr>
                <w:rFonts w:ascii="Arial" w:cs="Arial" w:eastAsia="Arial" w:hAnsi="Arial"/>
                <w:sz w:val="15"/>
                <w:szCs w:val="15"/>
                <w:color w:val="auto"/>
              </w:rPr>
              <w:t>Fair value gain on common stock warrant liabilities</w:t>
            </w:r>
          </w:p>
        </w:tc>
        <w:tc>
          <w:tcPr>
            <w:tcW w:w="300" w:type="dxa"/>
            <w:vAlign w:val="bottom"/>
            <w:shd w:val="clear" w:color="auto" w:fill="DBDBDB"/>
          </w:tcPr>
          <w:p>
            <w:pPr>
              <w:spacing w:after="0"/>
              <w:rPr>
                <w:sz w:val="17"/>
                <w:szCs w:val="17"/>
                <w:color w:val="auto"/>
              </w:rPr>
            </w:pPr>
          </w:p>
        </w:tc>
        <w:tc>
          <w:tcPr>
            <w:tcW w:w="11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7"/>
                <w:szCs w:val="17"/>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(47,718)</w:t>
            </w:r>
          </w:p>
        </w:tc>
      </w:tr>
      <w:tr>
        <w:trPr>
          <w:trHeight w:val="192"/>
        </w:trPr>
        <w:tc>
          <w:tcPr>
            <w:tcW w:w="5760" w:type="dxa"/>
            <w:vAlign w:val="bottom"/>
          </w:tcPr>
          <w:p>
            <w:pPr>
              <w:ind w:left="20"/>
              <w:spacing w:after="0"/>
              <w:rPr>
                <w:sz w:val="20"/>
                <w:szCs w:val="20"/>
                <w:color w:val="auto"/>
              </w:rPr>
            </w:pPr>
            <w:r>
              <w:rPr>
                <w:rFonts w:ascii="Arial" w:cs="Arial" w:eastAsia="Arial" w:hAnsi="Arial"/>
                <w:sz w:val="15"/>
                <w:szCs w:val="15"/>
                <w:color w:val="auto"/>
              </w:rPr>
              <w:t>Net income (loss) attributable to common shareholders - dilutive</w:t>
            </w:r>
          </w:p>
        </w:tc>
        <w:tc>
          <w:tcPr>
            <w:tcW w:w="3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61,103</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(6,051)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85,921</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22,543</w:t>
            </w:r>
          </w:p>
        </w:tc>
      </w:tr>
      <w:tr>
        <w:trPr>
          <w:trHeight w:val="20"/>
        </w:trPr>
        <w:tc>
          <w:tcPr>
            <w:tcW w:w="576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1"/>
        </w:trPr>
        <w:tc>
          <w:tcPr>
            <w:tcW w:w="57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r>
      <w:tr>
        <w:trPr>
          <w:trHeight w:val="194"/>
        </w:trPr>
        <w:tc>
          <w:tcPr>
            <w:tcW w:w="576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5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225,998</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226,650</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227,558</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149,283</w:t>
            </w:r>
          </w:p>
        </w:tc>
      </w:tr>
      <w:tr>
        <w:trPr>
          <w:trHeight w:val="194"/>
        </w:trPr>
        <w:tc>
          <w:tcPr>
            <w:tcW w:w="5760" w:type="dxa"/>
            <w:vAlign w:val="bottom"/>
          </w:tcPr>
          <w:p>
            <w:pPr>
              <w:ind w:left="220"/>
              <w:spacing w:after="0"/>
              <w:rPr>
                <w:sz w:val="20"/>
                <w:szCs w:val="20"/>
                <w:color w:val="auto"/>
              </w:rPr>
            </w:pPr>
            <w:r>
              <w:rPr>
                <w:rFonts w:ascii="Arial" w:cs="Arial" w:eastAsia="Arial" w:hAnsi="Arial"/>
                <w:sz w:val="15"/>
                <w:szCs w:val="15"/>
                <w:color w:val="auto"/>
              </w:rPr>
              <w:t>Dilutive effect of shares outstanding</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5760" w:type="dxa"/>
            <w:vAlign w:val="bottom"/>
            <w:shd w:val="clear" w:color="auto" w:fill="DBDBDB"/>
          </w:tcPr>
          <w:p>
            <w:pPr>
              <w:ind w:left="300"/>
              <w:spacing w:after="0"/>
              <w:rPr>
                <w:sz w:val="20"/>
                <w:szCs w:val="20"/>
                <w:color w:val="auto"/>
              </w:rPr>
            </w:pPr>
            <w:r>
              <w:rPr>
                <w:rFonts w:ascii="Arial" w:cs="Arial" w:eastAsia="Arial" w:hAnsi="Arial"/>
                <w:sz w:val="15"/>
                <w:szCs w:val="15"/>
                <w:color w:val="auto"/>
              </w:rPr>
              <w:t>Warrants</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3,722</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4,112</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2,122</w:t>
            </w:r>
          </w:p>
        </w:tc>
      </w:tr>
      <w:tr>
        <w:trPr>
          <w:trHeight w:val="194"/>
        </w:trPr>
        <w:tc>
          <w:tcPr>
            <w:tcW w:w="5760" w:type="dxa"/>
            <w:vAlign w:val="bottom"/>
          </w:tcPr>
          <w:p>
            <w:pPr>
              <w:ind w:left="300"/>
              <w:spacing w:after="0"/>
              <w:rPr>
                <w:sz w:val="20"/>
                <w:szCs w:val="20"/>
                <w:color w:val="auto"/>
              </w:rPr>
            </w:pPr>
            <w:r>
              <w:rPr>
                <w:rFonts w:ascii="Arial" w:cs="Arial" w:eastAsia="Arial" w:hAnsi="Arial"/>
                <w:sz w:val="15"/>
                <w:szCs w:val="15"/>
                <w:color w:val="auto"/>
              </w:rPr>
              <w:t>RSAs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199"/>
        </w:trPr>
        <w:tc>
          <w:tcPr>
            <w:tcW w:w="5760" w:type="dxa"/>
            <w:vAlign w:val="bottom"/>
            <w:shd w:val="clear" w:color="auto" w:fill="DBDBDB"/>
          </w:tcPr>
          <w:p>
            <w:pPr>
              <w:ind w:left="300"/>
              <w:spacing w:after="0"/>
              <w:rPr>
                <w:sz w:val="20"/>
                <w:szCs w:val="20"/>
                <w:color w:val="auto"/>
              </w:rPr>
            </w:pPr>
            <w:r>
              <w:rPr>
                <w:rFonts w:ascii="Arial" w:cs="Arial" w:eastAsia="Arial" w:hAnsi="Arial"/>
                <w:sz w:val="15"/>
                <w:szCs w:val="15"/>
                <w:color w:val="auto"/>
              </w:rPr>
              <w:t>Time-based RSUs</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476</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573</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314</w:t>
            </w:r>
          </w:p>
        </w:tc>
      </w:tr>
      <w:tr>
        <w:trPr>
          <w:trHeight w:val="194"/>
        </w:trPr>
        <w:tc>
          <w:tcPr>
            <w:tcW w:w="5760" w:type="dxa"/>
            <w:vAlign w:val="bottom"/>
          </w:tcPr>
          <w:p>
            <w:pPr>
              <w:ind w:left="300"/>
              <w:spacing w:after="0"/>
              <w:rPr>
                <w:sz w:val="20"/>
                <w:szCs w:val="20"/>
                <w:color w:val="auto"/>
              </w:rPr>
            </w:pPr>
            <w:r>
              <w:rPr>
                <w:rFonts w:ascii="Arial" w:cs="Arial" w:eastAsia="Arial" w:hAnsi="Arial"/>
                <w:sz w:val="15"/>
                <w:szCs w:val="15"/>
                <w:color w:val="auto"/>
              </w:rPr>
              <w:t>Performance-based RSUs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751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272</w:t>
            </w:r>
          </w:p>
        </w:tc>
      </w:tr>
      <w:tr>
        <w:trPr>
          <w:trHeight w:val="197"/>
        </w:trPr>
        <w:tc>
          <w:tcPr>
            <w:tcW w:w="5760" w:type="dxa"/>
            <w:vAlign w:val="bottom"/>
            <w:shd w:val="clear" w:color="auto" w:fill="DBDBDB"/>
          </w:tcPr>
          <w:p>
            <w:pPr>
              <w:ind w:left="300"/>
              <w:spacing w:after="0"/>
              <w:rPr>
                <w:sz w:val="20"/>
                <w:szCs w:val="20"/>
                <w:color w:val="auto"/>
              </w:rPr>
            </w:pPr>
            <w:r>
              <w:rPr>
                <w:rFonts w:ascii="Arial" w:cs="Arial" w:eastAsia="Arial" w:hAnsi="Arial"/>
                <w:sz w:val="15"/>
                <w:szCs w:val="15"/>
                <w:color w:val="auto"/>
              </w:rPr>
              <w:t>Stock Options</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1,050</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1,066</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411</w:t>
            </w:r>
          </w:p>
        </w:tc>
      </w:tr>
      <w:tr>
        <w:trPr>
          <w:trHeight w:val="192"/>
        </w:trPr>
        <w:tc>
          <w:tcPr>
            <w:tcW w:w="576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231,868</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226,650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234,085</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152,433</w:t>
            </w:r>
          </w:p>
        </w:tc>
      </w:tr>
      <w:tr>
        <w:trPr>
          <w:trHeight w:val="20"/>
        </w:trPr>
        <w:tc>
          <w:tcPr>
            <w:tcW w:w="57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02"/>
        </w:trPr>
        <w:tc>
          <w:tcPr>
            <w:tcW w:w="9900" w:type="dxa"/>
            <w:vAlign w:val="bottom"/>
            <w:gridSpan w:val="10"/>
          </w:tcPr>
          <w:p>
            <w:pPr>
              <w:ind w:left="580"/>
              <w:spacing w:after="0"/>
              <w:rPr>
                <w:sz w:val="20"/>
                <w:szCs w:val="20"/>
                <w:color w:val="auto"/>
              </w:rPr>
            </w:pPr>
            <w:r>
              <w:rPr>
                <w:rFonts w:ascii="Arial" w:cs="Arial" w:eastAsia="Arial" w:hAnsi="Arial"/>
                <w:sz w:val="15"/>
                <w:szCs w:val="15"/>
                <w:color w:val="auto"/>
                <w:w w:val="98"/>
              </w:rPr>
              <w:t>The following potential common shares were excluded from the computation of dilutive EPS because their effect would have been anti-dilutive: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5"/>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spacing w:after="0"/>
              <w:rPr>
                <w:sz w:val="14"/>
                <w:szCs w:val="14"/>
                <w:color w:val="auto"/>
              </w:rPr>
            </w:pPr>
          </w:p>
        </w:tc>
      </w:tr>
      <w:tr>
        <w:trPr>
          <w:trHeight w:val="196"/>
        </w:trPr>
        <w:tc>
          <w:tcPr>
            <w:tcW w:w="576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2560" w:type="dxa"/>
            <w:vAlign w:val="bottom"/>
            <w:gridSpan w:val="5"/>
            <w:shd w:val="clear" w:color="auto" w:fill="1D2758"/>
          </w:tcPr>
          <w:p>
            <w:pPr>
              <w:jc w:val="center"/>
              <w:ind w:right="380"/>
              <w:spacing w:after="0"/>
              <w:rPr>
                <w:sz w:val="20"/>
                <w:szCs w:val="20"/>
                <w:color w:val="auto"/>
              </w:rPr>
            </w:pPr>
            <w:r>
              <w:rPr>
                <w:rFonts w:ascii="Arial" w:cs="Arial" w:eastAsia="Arial" w:hAnsi="Arial"/>
                <w:sz w:val="15"/>
                <w:szCs w:val="15"/>
                <w:b w:val="1"/>
                <w:bCs w:val="1"/>
                <w:color w:val="FFFFFF"/>
                <w:w w:val="98"/>
              </w:rPr>
              <w:t>Three Months Ended</w:t>
            </w:r>
          </w:p>
        </w:tc>
        <w:tc>
          <w:tcPr>
            <w:tcW w:w="260" w:type="dxa"/>
            <w:vAlign w:val="bottom"/>
            <w:shd w:val="clear" w:color="auto" w:fill="1D2758"/>
          </w:tcPr>
          <w:p>
            <w:pPr>
              <w:spacing w:after="0"/>
              <w:rPr>
                <w:sz w:val="17"/>
                <w:szCs w:val="17"/>
                <w:color w:val="auto"/>
              </w:rPr>
            </w:pPr>
          </w:p>
        </w:tc>
        <w:tc>
          <w:tcPr>
            <w:tcW w:w="2360" w:type="dxa"/>
            <w:vAlign w:val="bottom"/>
            <w:gridSpan w:val="4"/>
            <w:shd w:val="clear" w:color="auto" w:fill="1D2758"/>
          </w:tcPr>
          <w:p>
            <w:pPr>
              <w:jc w:val="center"/>
              <w:ind w:right="186"/>
              <w:spacing w:after="0"/>
              <w:rPr>
                <w:sz w:val="20"/>
                <w:szCs w:val="20"/>
                <w:color w:val="auto"/>
              </w:rPr>
            </w:pPr>
            <w:r>
              <w:rPr>
                <w:rFonts w:ascii="Arial" w:cs="Arial" w:eastAsia="Arial" w:hAnsi="Arial"/>
                <w:sz w:val="15"/>
                <w:szCs w:val="15"/>
                <w:b w:val="1"/>
                <w:bCs w:val="1"/>
                <w:color w:val="FFFFFF"/>
                <w:w w:val="98"/>
              </w:rPr>
              <w:t>Nine Months Ended</w:t>
            </w:r>
          </w:p>
        </w:tc>
      </w:tr>
      <w:tr>
        <w:trPr>
          <w:trHeight w:val="194"/>
        </w:trPr>
        <w:tc>
          <w:tcPr>
            <w:tcW w:w="5760" w:type="dxa"/>
            <w:vAlign w:val="bottom"/>
            <w:shd w:val="clear" w:color="auto" w:fill="1D2758"/>
          </w:tcPr>
          <w:p>
            <w:pPr>
              <w:spacing w:after="0"/>
              <w:rPr>
                <w:sz w:val="16"/>
                <w:szCs w:val="16"/>
                <w:color w:val="auto"/>
              </w:rPr>
            </w:pPr>
          </w:p>
        </w:tc>
        <w:tc>
          <w:tcPr>
            <w:tcW w:w="300" w:type="dxa"/>
            <w:vAlign w:val="bottom"/>
            <w:shd w:val="clear" w:color="auto" w:fill="1D2758"/>
          </w:tcPr>
          <w:p>
            <w:pPr>
              <w:spacing w:after="0"/>
              <w:rPr>
                <w:sz w:val="16"/>
                <w:szCs w:val="16"/>
                <w:color w:val="auto"/>
              </w:rPr>
            </w:pPr>
          </w:p>
        </w:tc>
        <w:tc>
          <w:tcPr>
            <w:tcW w:w="1600" w:type="dxa"/>
            <w:vAlign w:val="bottom"/>
            <w:gridSpan w:val="3"/>
            <w:shd w:val="clear" w:color="auto" w:fill="1D2758"/>
          </w:tcPr>
          <w:p>
            <w:pPr>
              <w:jc w:val="center"/>
              <w:ind w:left="506"/>
              <w:spacing w:after="0"/>
              <w:rPr>
                <w:sz w:val="20"/>
                <w:szCs w:val="20"/>
                <w:color w:val="auto"/>
              </w:rPr>
            </w:pPr>
            <w:r>
              <w:rPr>
                <w:rFonts w:ascii="Arial" w:cs="Arial" w:eastAsia="Arial" w:hAnsi="Arial"/>
                <w:sz w:val="15"/>
                <w:szCs w:val="15"/>
                <w:b w:val="1"/>
                <w:bCs w:val="1"/>
                <w:color w:val="FFFFFF"/>
                <w:w w:val="99"/>
              </w:rPr>
              <w:t>September 30</w:t>
            </w:r>
          </w:p>
        </w:tc>
        <w:tc>
          <w:tcPr>
            <w:tcW w:w="8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260" w:type="dxa"/>
            <w:vAlign w:val="bottom"/>
            <w:shd w:val="clear" w:color="auto" w:fill="1D2758"/>
          </w:tcPr>
          <w:p>
            <w:pPr>
              <w:spacing w:after="0"/>
              <w:rPr>
                <w:sz w:val="16"/>
                <w:szCs w:val="16"/>
                <w:color w:val="auto"/>
              </w:rPr>
            </w:pPr>
          </w:p>
        </w:tc>
        <w:tc>
          <w:tcPr>
            <w:tcW w:w="2360" w:type="dxa"/>
            <w:vAlign w:val="bottom"/>
            <w:gridSpan w:val="4"/>
            <w:shd w:val="clear" w:color="auto" w:fill="1D2758"/>
          </w:tcPr>
          <w:p>
            <w:pPr>
              <w:jc w:val="center"/>
              <w:ind w:right="166"/>
              <w:spacing w:after="0"/>
              <w:rPr>
                <w:sz w:val="20"/>
                <w:szCs w:val="20"/>
                <w:color w:val="auto"/>
              </w:rPr>
            </w:pPr>
            <w:r>
              <w:rPr>
                <w:rFonts w:ascii="Arial" w:cs="Arial" w:eastAsia="Arial" w:hAnsi="Arial"/>
                <w:sz w:val="15"/>
                <w:szCs w:val="15"/>
                <w:b w:val="1"/>
                <w:bCs w:val="1"/>
                <w:color w:val="FFFFFF"/>
                <w:w w:val="97"/>
              </w:rPr>
              <w:t>September 30</w:t>
            </w:r>
          </w:p>
        </w:tc>
      </w:tr>
      <w:tr>
        <w:trPr>
          <w:trHeight w:val="201"/>
        </w:trPr>
        <w:tc>
          <w:tcPr>
            <w:tcW w:w="5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88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940" w:type="dxa"/>
            <w:vAlign w:val="bottom"/>
            <w:shd w:val="clear" w:color="auto" w:fill="1D2758"/>
          </w:tcPr>
          <w:p>
            <w:pPr>
              <w:jc w:val="right"/>
              <w:ind w:right="36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rPr>
              <w:t>2020</w:t>
            </w:r>
          </w:p>
        </w:tc>
      </w:tr>
      <w:tr>
        <w:trPr>
          <w:trHeight w:val="197"/>
        </w:trPr>
        <w:tc>
          <w:tcPr>
            <w:tcW w:w="5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Warrants</w:t>
            </w:r>
          </w:p>
        </w:tc>
        <w:tc>
          <w:tcPr>
            <w:tcW w:w="300" w:type="dxa"/>
            <w:vAlign w:val="bottom"/>
            <w:shd w:val="clear" w:color="auto" w:fill="DBDBDB"/>
          </w:tcPr>
          <w:p>
            <w:pPr>
              <w:spacing w:after="0"/>
              <w:rPr>
                <w:sz w:val="17"/>
                <w:szCs w:val="17"/>
                <w:color w:val="auto"/>
              </w:rPr>
            </w:pPr>
          </w:p>
        </w:tc>
        <w:tc>
          <w:tcPr>
            <w:tcW w:w="11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18,758</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5760" w:type="dxa"/>
            <w:vAlign w:val="bottom"/>
          </w:tcPr>
          <w:p>
            <w:pPr>
              <w:ind w:left="20"/>
              <w:spacing w:after="0"/>
              <w:rPr>
                <w:sz w:val="20"/>
                <w:szCs w:val="20"/>
                <w:color w:val="auto"/>
              </w:rPr>
            </w:pPr>
            <w:r>
              <w:rPr>
                <w:rFonts w:ascii="Arial" w:cs="Arial" w:eastAsia="Arial" w:hAnsi="Arial"/>
                <w:sz w:val="15"/>
                <w:szCs w:val="15"/>
                <w:color w:val="auto"/>
              </w:rPr>
              <w:t>RSAs</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5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Time-based RSUs</w:t>
            </w:r>
          </w:p>
        </w:tc>
        <w:tc>
          <w:tcPr>
            <w:tcW w:w="300" w:type="dxa"/>
            <w:vAlign w:val="bottom"/>
            <w:shd w:val="clear" w:color="auto" w:fill="DBDBDB"/>
          </w:tcPr>
          <w:p>
            <w:pPr>
              <w:spacing w:after="0"/>
              <w:rPr>
                <w:sz w:val="17"/>
                <w:szCs w:val="17"/>
                <w:color w:val="auto"/>
              </w:rPr>
            </w:pPr>
          </w:p>
        </w:tc>
        <w:tc>
          <w:tcPr>
            <w:tcW w:w="11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1,352</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5760" w:type="dxa"/>
            <w:vAlign w:val="bottom"/>
          </w:tcPr>
          <w:p>
            <w:pPr>
              <w:ind w:left="20"/>
              <w:spacing w:after="0"/>
              <w:rPr>
                <w:sz w:val="20"/>
                <w:szCs w:val="20"/>
                <w:color w:val="auto"/>
              </w:rPr>
            </w:pPr>
            <w:r>
              <w:rPr>
                <w:rFonts w:ascii="Arial" w:cs="Arial" w:eastAsia="Arial" w:hAnsi="Arial"/>
                <w:sz w:val="15"/>
                <w:szCs w:val="15"/>
                <w:color w:val="auto"/>
              </w:rPr>
              <w:t>Performance-based RSUs</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184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5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Stock Options</w:t>
            </w:r>
          </w:p>
        </w:tc>
        <w:tc>
          <w:tcPr>
            <w:tcW w:w="300" w:type="dxa"/>
            <w:vAlign w:val="bottom"/>
            <w:shd w:val="clear" w:color="auto" w:fill="DBDBDB"/>
          </w:tcPr>
          <w:p>
            <w:pPr>
              <w:spacing w:after="0"/>
              <w:rPr>
                <w:sz w:val="17"/>
                <w:szCs w:val="17"/>
                <w:color w:val="auto"/>
              </w:rPr>
            </w:pPr>
          </w:p>
        </w:tc>
        <w:tc>
          <w:tcPr>
            <w:tcW w:w="11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7,630</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4" w:name="page35"/>
    <w:bookmarkEnd w:id="34"/>
    <w:p>
      <w:pPr>
        <w:spacing w:after="0"/>
        <w:rPr>
          <w:sz w:val="20"/>
          <w:szCs w:val="20"/>
          <w:color w:val="auto"/>
        </w:rPr>
      </w:pPr>
      <w:r>
        <w:rPr>
          <w:rFonts w:ascii="Arial" w:cs="Arial" w:eastAsia="Arial" w:hAnsi="Arial"/>
          <w:sz w:val="21"/>
          <w:szCs w:val="21"/>
          <w:color w:val="1D2758"/>
        </w:rPr>
        <w:t>NOTE 20 - Related Parties</w:t>
      </w:r>
    </w:p>
    <w:p>
      <w:pPr>
        <w:spacing w:after="0" w:line="101"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Related party balances included in the Company’s condensed consolidated balance sheets at September 30, 2021 and December 31, 2020,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340" w:type="dxa"/>
            <w:vAlign w:val="bottom"/>
            <w:shd w:val="clear" w:color="auto" w:fill="1D2758"/>
          </w:tcPr>
          <w:p>
            <w:pPr>
              <w:ind w:left="1360"/>
              <w:spacing w:after="0"/>
              <w:rPr>
                <w:sz w:val="20"/>
                <w:szCs w:val="20"/>
                <w:color w:val="auto"/>
              </w:rPr>
            </w:pPr>
            <w:r>
              <w:rPr>
                <w:rFonts w:ascii="Arial" w:cs="Arial" w:eastAsia="Arial" w:hAnsi="Arial"/>
                <w:sz w:val="15"/>
                <w:szCs w:val="15"/>
                <w:b w:val="1"/>
                <w:bCs w:val="1"/>
                <w:color w:val="FFFFFF"/>
              </w:rPr>
              <w:t>Financial Statement Line Item</w:t>
            </w:r>
          </w:p>
        </w:tc>
        <w:tc>
          <w:tcPr>
            <w:tcW w:w="240" w:type="dxa"/>
            <w:vAlign w:val="bottom"/>
            <w:shd w:val="clear" w:color="auto" w:fill="1D2758"/>
          </w:tcPr>
          <w:p>
            <w:pPr>
              <w:spacing w:after="0"/>
              <w:rPr>
                <w:sz w:val="17"/>
                <w:szCs w:val="17"/>
                <w:color w:val="auto"/>
              </w:rPr>
            </w:pPr>
          </w:p>
        </w:tc>
        <w:tc>
          <w:tcPr>
            <w:tcW w:w="1980" w:type="dxa"/>
            <w:vAlign w:val="bottom"/>
            <w:gridSpan w:val="2"/>
            <w:shd w:val="clear" w:color="auto" w:fill="1D2758"/>
          </w:tcPr>
          <w:p>
            <w:pPr>
              <w:ind w:left="140"/>
              <w:spacing w:after="0"/>
              <w:rPr>
                <w:sz w:val="20"/>
                <w:szCs w:val="20"/>
                <w:color w:val="auto"/>
              </w:rPr>
            </w:pPr>
            <w:r>
              <w:rPr>
                <w:rFonts w:ascii="Arial" w:cs="Arial" w:eastAsia="Arial" w:hAnsi="Arial"/>
                <w:sz w:val="15"/>
                <w:szCs w:val="15"/>
                <w:b w:val="1"/>
                <w:bCs w:val="1"/>
                <w:color w:val="FFFFFF"/>
              </w:rPr>
              <w:t>September 30, 2021</w:t>
            </w:r>
          </w:p>
        </w:tc>
        <w:tc>
          <w:tcPr>
            <w:tcW w:w="26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306"/>
              <w:spacing w:after="0"/>
              <w:rPr>
                <w:sz w:val="20"/>
                <w:szCs w:val="20"/>
                <w:color w:val="auto"/>
              </w:rPr>
            </w:pPr>
            <w:r>
              <w:rPr>
                <w:rFonts w:ascii="Arial" w:cs="Arial" w:eastAsia="Arial" w:hAnsi="Arial"/>
                <w:sz w:val="15"/>
                <w:szCs w:val="15"/>
                <w:b w:val="1"/>
                <w:bCs w:val="1"/>
                <w:color w:val="FFFFFF"/>
              </w:rPr>
              <w:t>December 31, 2020</w:t>
            </w:r>
          </w:p>
        </w:tc>
      </w:tr>
      <w:tr>
        <w:trPr>
          <w:trHeight w:val="197"/>
        </w:trPr>
        <w:tc>
          <w:tcPr>
            <w:tcW w:w="25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Receivables due from affiliates</w:t>
            </w:r>
          </w:p>
        </w:tc>
        <w:tc>
          <w:tcPr>
            <w:tcW w:w="4340" w:type="dxa"/>
            <w:vAlign w:val="bottom"/>
            <w:shd w:val="clear" w:color="auto" w:fill="DBDBDB"/>
          </w:tcPr>
          <w:p>
            <w:pPr>
              <w:ind w:left="460"/>
              <w:spacing w:after="0"/>
              <w:rPr>
                <w:sz w:val="20"/>
                <w:szCs w:val="20"/>
                <w:color w:val="auto"/>
              </w:rPr>
            </w:pPr>
            <w:r>
              <w:rPr>
                <w:rFonts w:ascii="Arial" w:cs="Arial" w:eastAsia="Arial" w:hAnsi="Arial"/>
                <w:sz w:val="15"/>
                <w:szCs w:val="15"/>
                <w:color w:val="auto"/>
              </w:rPr>
              <w:t>Trade receivables, net of allowances for credit losses</w:t>
            </w: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433</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w:t>
            </w:r>
          </w:p>
        </w:tc>
      </w:tr>
      <w:tr>
        <w:trPr>
          <w:trHeight w:val="194"/>
        </w:trPr>
        <w:tc>
          <w:tcPr>
            <w:tcW w:w="25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Amounts due to affiliates</w:t>
            </w:r>
          </w:p>
        </w:tc>
        <w:tc>
          <w:tcPr>
            <w:tcW w:w="4340" w:type="dxa"/>
            <w:vAlign w:val="bottom"/>
            <w:tcBorders>
              <w:bottom w:val="single" w:sz="8" w:color="DBDBDB"/>
            </w:tcBorders>
          </w:tcPr>
          <w:p>
            <w:pPr>
              <w:ind w:left="460"/>
              <w:spacing w:after="0"/>
              <w:rPr>
                <w:sz w:val="20"/>
                <w:szCs w:val="20"/>
                <w:color w:val="auto"/>
              </w:rPr>
            </w:pPr>
            <w:r>
              <w:rPr>
                <w:rFonts w:ascii="Arial" w:cs="Arial" w:eastAsia="Arial" w:hAnsi="Arial"/>
                <w:sz w:val="15"/>
                <w:szCs w:val="15"/>
                <w:color w:val="auto"/>
              </w:rPr>
              <w:t>Accrued expenses</w:t>
            </w: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w:t>
            </w: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w:t>
            </w:r>
          </w:p>
        </w:tc>
      </w:tr>
      <w:tr>
        <w:trPr>
          <w:trHeight w:val="217"/>
        </w:trPr>
        <w:tc>
          <w:tcPr>
            <w:tcW w:w="2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related party liabilities, net</w:t>
            </w:r>
          </w:p>
        </w:tc>
        <w:tc>
          <w:tcPr>
            <w:tcW w:w="434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w:t>
            </w:r>
          </w:p>
        </w:tc>
        <w:tc>
          <w:tcPr>
            <w:tcW w:w="8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(431)</w:t>
            </w:r>
          </w:p>
        </w:tc>
      </w:tr>
      <w:tr>
        <w:trPr>
          <w:trHeight w:val="20"/>
        </w:trPr>
        <w:tc>
          <w:tcPr>
            <w:tcW w:w="2560" w:type="dxa"/>
            <w:vAlign w:val="bottom"/>
            <w:tcBorders>
              <w:top w:val="single" w:sz="8" w:color="DBDBDB"/>
            </w:tcBorders>
          </w:tcPr>
          <w:p>
            <w:pPr>
              <w:spacing w:after="0" w:line="20" w:lineRule="exact"/>
              <w:rPr>
                <w:sz w:val="1"/>
                <w:szCs w:val="1"/>
                <w:color w:val="auto"/>
              </w:rPr>
            </w:pPr>
          </w:p>
        </w:tc>
        <w:tc>
          <w:tcPr>
            <w:tcW w:w="43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Related party transactions included in the Company’s condensed consolidated statements of operations for the three and nine months ended September 30, 2021 and 2020, respectively,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shd w:val="clear" w:color="auto" w:fill="1D2758"/>
          </w:tcPr>
          <w:p>
            <w:pPr>
              <w:spacing w:after="0"/>
              <w:rPr>
                <w:sz w:val="14"/>
                <w:szCs w:val="14"/>
                <w:color w:val="auto"/>
              </w:rPr>
            </w:pPr>
          </w:p>
        </w:tc>
        <w:tc>
          <w:tcPr>
            <w:tcW w:w="260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2720" w:type="dxa"/>
            <w:vAlign w:val="bottom"/>
            <w:gridSpan w:val="5"/>
            <w:shd w:val="clear" w:color="auto" w:fill="1D2758"/>
          </w:tcPr>
          <w:p>
            <w:pPr>
              <w:ind w:left="420"/>
              <w:spacing w:after="0"/>
              <w:rPr>
                <w:sz w:val="20"/>
                <w:szCs w:val="20"/>
                <w:color w:val="auto"/>
              </w:rPr>
            </w:pPr>
            <w:r>
              <w:rPr>
                <w:rFonts w:ascii="Arial" w:cs="Arial" w:eastAsia="Arial" w:hAnsi="Arial"/>
                <w:sz w:val="15"/>
                <w:szCs w:val="15"/>
                <w:b w:val="1"/>
                <w:bCs w:val="1"/>
                <w:color w:val="FFFFFF"/>
              </w:rPr>
              <w:t>Three Months Ended</w:t>
            </w:r>
          </w:p>
        </w:tc>
        <w:tc>
          <w:tcPr>
            <w:tcW w:w="340" w:type="dxa"/>
            <w:vAlign w:val="bottom"/>
            <w:shd w:val="clear" w:color="auto" w:fill="1D2758"/>
          </w:tcPr>
          <w:p>
            <w:pPr>
              <w:spacing w:after="0"/>
              <w:rPr>
                <w:sz w:val="14"/>
                <w:szCs w:val="14"/>
                <w:color w:val="auto"/>
              </w:rPr>
            </w:pPr>
          </w:p>
        </w:tc>
        <w:tc>
          <w:tcPr>
            <w:tcW w:w="2660" w:type="dxa"/>
            <w:vAlign w:val="bottom"/>
            <w:gridSpan w:val="4"/>
            <w:shd w:val="clear" w:color="auto" w:fill="1D2758"/>
          </w:tcPr>
          <w:p>
            <w:pPr>
              <w:jc w:val="right"/>
              <w:ind w:right="746"/>
              <w:spacing w:after="0"/>
              <w:rPr>
                <w:sz w:val="20"/>
                <w:szCs w:val="20"/>
                <w:color w:val="auto"/>
              </w:rPr>
            </w:pPr>
            <w:r>
              <w:rPr>
                <w:rFonts w:ascii="Arial" w:cs="Arial" w:eastAsia="Arial" w:hAnsi="Arial"/>
                <w:sz w:val="15"/>
                <w:szCs w:val="15"/>
                <w:b w:val="1"/>
                <w:bCs w:val="1"/>
                <w:color w:val="FFFFFF"/>
              </w:rPr>
              <w:t>Nine Months Ended</w:t>
            </w:r>
          </w:p>
        </w:tc>
      </w:tr>
      <w:tr>
        <w:trPr>
          <w:trHeight w:val="196"/>
        </w:trPr>
        <w:tc>
          <w:tcPr>
            <w:tcW w:w="2600" w:type="dxa"/>
            <w:vAlign w:val="bottom"/>
            <w:shd w:val="clear" w:color="auto" w:fill="1D2758"/>
          </w:tcPr>
          <w:p>
            <w:pPr>
              <w:spacing w:after="0"/>
              <w:rPr>
                <w:sz w:val="17"/>
                <w:szCs w:val="17"/>
                <w:color w:val="auto"/>
              </w:rPr>
            </w:pPr>
          </w:p>
        </w:tc>
        <w:tc>
          <w:tcPr>
            <w:tcW w:w="26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7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9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7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940" w:type="dxa"/>
            <w:vAlign w:val="bottom"/>
            <w:shd w:val="clear" w:color="auto" w:fill="1D2758"/>
          </w:tcPr>
          <w:p>
            <w:pPr>
              <w:spacing w:after="0"/>
              <w:rPr>
                <w:sz w:val="17"/>
                <w:szCs w:val="17"/>
                <w:color w:val="auto"/>
              </w:rPr>
            </w:pPr>
          </w:p>
        </w:tc>
      </w:tr>
      <w:tr>
        <w:trPr>
          <w:trHeight w:val="198"/>
        </w:trPr>
        <w:tc>
          <w:tcPr>
            <w:tcW w:w="26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0" w:type="dxa"/>
            <w:vAlign w:val="bottom"/>
            <w:shd w:val="clear" w:color="auto" w:fill="1D2758"/>
          </w:tcPr>
          <w:p>
            <w:pPr>
              <w:ind w:left="260"/>
              <w:spacing w:after="0"/>
              <w:rPr>
                <w:sz w:val="20"/>
                <w:szCs w:val="20"/>
                <w:color w:val="auto"/>
              </w:rPr>
            </w:pPr>
            <w:r>
              <w:rPr>
                <w:rFonts w:ascii="Arial" w:cs="Arial" w:eastAsia="Arial" w:hAnsi="Arial"/>
                <w:sz w:val="15"/>
                <w:szCs w:val="15"/>
                <w:b w:val="1"/>
                <w:bCs w:val="1"/>
                <w:color w:val="FFFFFF"/>
              </w:rPr>
              <w:t>Financial Statement Line Item</w:t>
            </w:r>
          </w:p>
        </w:tc>
        <w:tc>
          <w:tcPr>
            <w:tcW w:w="32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940" w:type="dxa"/>
            <w:vAlign w:val="bottom"/>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2020</w:t>
            </w:r>
          </w:p>
        </w:tc>
      </w:tr>
      <w:tr>
        <w:trPr>
          <w:trHeight w:val="197"/>
        </w:trPr>
        <w:tc>
          <w:tcPr>
            <w:tcW w:w="2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Leasing revenue from related parties</w:t>
            </w:r>
          </w:p>
        </w:tc>
        <w:tc>
          <w:tcPr>
            <w:tcW w:w="2600" w:type="dxa"/>
            <w:vAlign w:val="bottom"/>
            <w:shd w:val="clear" w:color="auto" w:fill="DBDBDB"/>
          </w:tcPr>
          <w:p>
            <w:pPr>
              <w:spacing w:after="0"/>
              <w:rPr>
                <w:sz w:val="20"/>
                <w:szCs w:val="20"/>
                <w:color w:val="auto"/>
              </w:rPr>
            </w:pPr>
            <w:r>
              <w:rPr>
                <w:rFonts w:ascii="Arial" w:cs="Arial" w:eastAsia="Arial" w:hAnsi="Arial"/>
                <w:sz w:val="15"/>
                <w:szCs w:val="15"/>
                <w:color w:val="auto"/>
              </w:rPr>
              <w:t>Leasing revenue</w:t>
            </w:r>
          </w:p>
        </w:tc>
        <w:tc>
          <w:tcPr>
            <w:tcW w:w="32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541</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504</w:t>
            </w:r>
          </w:p>
        </w:tc>
        <w:tc>
          <w:tcPr>
            <w:tcW w:w="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34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BDBDB"/>
          </w:tcPr>
          <w:p>
            <w:pPr>
              <w:jc w:val="center"/>
              <w:ind w:left="386"/>
              <w:spacing w:after="0"/>
              <w:rPr>
                <w:sz w:val="20"/>
                <w:szCs w:val="20"/>
                <w:color w:val="auto"/>
              </w:rPr>
            </w:pPr>
            <w:r>
              <w:rPr>
                <w:rFonts w:ascii="Arial" w:cs="Arial" w:eastAsia="Arial" w:hAnsi="Arial"/>
                <w:sz w:val="15"/>
                <w:szCs w:val="15"/>
                <w:color w:val="auto"/>
                <w:w w:val="95"/>
              </w:rPr>
              <w:t>1,330</w:t>
            </w:r>
          </w:p>
        </w:tc>
      </w:tr>
      <w:tr>
        <w:trPr>
          <w:trHeight w:val="162"/>
        </w:trPr>
        <w:tc>
          <w:tcPr>
            <w:tcW w:w="2600" w:type="dxa"/>
            <w:vAlign w:val="bottom"/>
          </w:tcPr>
          <w:p>
            <w:pPr>
              <w:spacing w:after="0"/>
              <w:rPr>
                <w:sz w:val="14"/>
                <w:szCs w:val="14"/>
                <w:color w:val="auto"/>
              </w:rPr>
            </w:pPr>
          </w:p>
        </w:tc>
        <w:tc>
          <w:tcPr>
            <w:tcW w:w="2600" w:type="dxa"/>
            <w:vAlign w:val="bottom"/>
          </w:tcPr>
          <w:p>
            <w:pPr>
              <w:spacing w:after="0" w:line="161" w:lineRule="exact"/>
              <w:rPr>
                <w:sz w:val="20"/>
                <w:szCs w:val="20"/>
                <w:color w:val="auto"/>
              </w:rPr>
            </w:pPr>
            <w:r>
              <w:rPr>
                <w:rFonts w:ascii="Arial" w:cs="Arial" w:eastAsia="Arial" w:hAnsi="Arial"/>
                <w:sz w:val="15"/>
                <w:szCs w:val="15"/>
                <w:color w:val="auto"/>
              </w:rPr>
              <w:t>Selling, general &amp; administrative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0"/>
        </w:trPr>
        <w:tc>
          <w:tcPr>
            <w:tcW w:w="26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Consulting expense to related party</w:t>
            </w:r>
          </w:p>
        </w:tc>
        <w:tc>
          <w:tcPr>
            <w:tcW w:w="2600" w:type="dxa"/>
            <w:vAlign w:val="bottom"/>
            <w:tcBorders>
              <w:bottom w:val="single" w:sz="8" w:color="DBDBDB"/>
            </w:tcBorders>
          </w:tcPr>
          <w:p>
            <w:pPr>
              <w:spacing w:after="0"/>
              <w:rPr>
                <w:sz w:val="20"/>
                <w:szCs w:val="20"/>
                <w:color w:val="auto"/>
              </w:rPr>
            </w:pPr>
            <w:r>
              <w:rPr>
                <w:rFonts w:ascii="Arial" w:cs="Arial" w:eastAsia="Arial" w:hAnsi="Arial"/>
                <w:sz w:val="15"/>
                <w:szCs w:val="15"/>
                <w:color w:val="auto"/>
              </w:rPr>
              <w:t>expense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(1,511)</w:t>
            </w:r>
          </w:p>
        </w:tc>
        <w:tc>
          <w:tcPr>
            <w:tcW w:w="8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(1,738)</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(3,660)</w:t>
            </w:r>
          </w:p>
        </w:tc>
        <w:tc>
          <w:tcPr>
            <w:tcW w:w="8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366"/>
              <w:spacing w:after="0"/>
              <w:rPr>
                <w:sz w:val="20"/>
                <w:szCs w:val="20"/>
                <w:color w:val="auto"/>
              </w:rPr>
            </w:pPr>
            <w:r>
              <w:rPr>
                <w:rFonts w:ascii="Arial" w:cs="Arial" w:eastAsia="Arial" w:hAnsi="Arial"/>
                <w:sz w:val="15"/>
                <w:szCs w:val="15"/>
                <w:color w:val="auto"/>
                <w:w w:val="96"/>
              </w:rPr>
              <w:t>(4,733)</w:t>
            </w:r>
          </w:p>
        </w:tc>
      </w:tr>
      <w:tr>
        <w:trPr>
          <w:trHeight w:val="217"/>
        </w:trPr>
        <w:tc>
          <w:tcPr>
            <w:tcW w:w="2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related party expense, net</w:t>
            </w:r>
          </w:p>
        </w:tc>
        <w:tc>
          <w:tcPr>
            <w:tcW w:w="260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(970)</w:t>
            </w:r>
          </w:p>
        </w:tc>
        <w:tc>
          <w:tcPr>
            <w:tcW w:w="8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jc w:val="right"/>
              <w:ind w:right="3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(1,234)</w:t>
            </w:r>
          </w:p>
        </w:tc>
        <w:tc>
          <w:tcPr>
            <w:tcW w:w="8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(2,954)</w:t>
            </w:r>
          </w:p>
        </w:tc>
        <w:tc>
          <w:tcPr>
            <w:tcW w:w="8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jc w:val="right"/>
              <w:ind w:right="34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DBDBDB"/>
          </w:tcPr>
          <w:p>
            <w:pPr>
              <w:jc w:val="center"/>
              <w:ind w:left="366"/>
              <w:spacing w:after="0"/>
              <w:rPr>
                <w:sz w:val="20"/>
                <w:szCs w:val="20"/>
                <w:color w:val="auto"/>
              </w:rPr>
            </w:pPr>
            <w:r>
              <w:rPr>
                <w:rFonts w:ascii="Arial" w:cs="Arial" w:eastAsia="Arial" w:hAnsi="Arial"/>
                <w:sz w:val="15"/>
                <w:szCs w:val="15"/>
                <w:color w:val="auto"/>
                <w:w w:val="96"/>
              </w:rPr>
              <w:t>(3,403)</w:t>
            </w:r>
          </w:p>
        </w:tc>
      </w:tr>
      <w:tr>
        <w:trPr>
          <w:trHeight w:val="20"/>
        </w:trPr>
        <w:tc>
          <w:tcPr>
            <w:tcW w:w="2600" w:type="dxa"/>
            <w:vAlign w:val="bottom"/>
            <w:tcBorders>
              <w:top w:val="single" w:sz="8" w:color="DBDBDB"/>
            </w:tcBorders>
          </w:tcPr>
          <w:p>
            <w:pPr>
              <w:spacing w:after="0" w:line="20" w:lineRule="exact"/>
              <w:rPr>
                <w:sz w:val="1"/>
                <w:szCs w:val="1"/>
                <w:color w:val="auto"/>
              </w:rPr>
            </w:pPr>
          </w:p>
        </w:tc>
        <w:tc>
          <w:tcPr>
            <w:tcW w:w="26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On June 30, 2020, the Company completed the Sapphire Exchange, whereby Sapphire Holdings, an affiliate of TDR Capital, exchanged shares of Class B Common Stock for 10,641,182 shares of Class A Common Stock. As a result of the Sapphire Exchange, all issued and outstanding shares of WillScot’s Class B Common Stock were automatically canceled for no consideration and the existing exchange agreement was automatically terminated.</w:t>
      </w:r>
    </w:p>
    <w:p>
      <w:pPr>
        <w:spacing w:after="0" w:line="42"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August 22, 2018, WillScot’s principal stockholder, Sapphire Holdings, entered into a margin loan (the "Margin Loan") under which all of its shares of WillScot Mobile Mini Common Stock were pledged to secure borrowings of up to $125.0 million under the loan agreement. WillScot Mobile Mini was not a party to the loan agreement and had no obligations thereunder. On June 29, 2021, Sapphire Holdings repaid all outstanding amounts under the Margin Loan with proceeds from the sale of certain shares of WillScot Mobile Mini and no WillScot Mobile Mini shares remain pledged thereunder.</w:t>
      </w:r>
    </w:p>
    <w:p>
      <w:pPr>
        <w:spacing w:after="0" w:line="45"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March 1, 2021, the Company repurchased from Sapphire Holdings and cancelled 2,750,000 shares of its Common Stock. On June 29, 2021, the Company repurchased from Sapphire Holdings and cancelled an additional 3,900,000 shares of its Common Stock. Following the reduction in Sapphire Holdings’ beneficial ownership of Common Stock resulting from the foregoing repurchases and the underwritten secondary offering by Sapphire Holdings of 16,100,000 shares of Common Stock on June 25, 2021, Gary Lindsay resigned his position as a member of the WillScot Mobile Mini board of directors pursuant to the terms of the shareholders agreement dated July 1, 2020 between Sapphire Holdings, TDR Capital II Holdings L.P., TDR Capital, L.L.P. and WillScot Mobile Mini.</w:t>
      </w:r>
    </w:p>
    <w:p>
      <w:pPr>
        <w:spacing w:after="0" w:line="4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September 9, 2021, the Company repurchased from Sapphire Holdings and cancelled an additional 2,379,839 shares of its common stock, and Sapphire Holdings sold its remaining 21,410,019 shares through an underwritten secondary offering. Following the reduction in Sapphire Holdings' beneficial ownership of Common Stock resulting from the foregoing repurchase and secondary offering, Stephen Robertson resigned his position as a member of the Willscot Mobile Mini board of directors pursuant to the aforementioned shareholders agreement dated July 1, 2020, and Sapphire Holdings, TDR Capital II Holdings L.P. and TDR Capital, L.L.P. ceased to be related parties of WillScot Mobile Mini.</w:t>
      </w:r>
    </w:p>
    <w:p>
      <w:pPr>
        <w:spacing w:after="0" w:line="4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Company purchased rental equipment from former related party affiliates for $1.0 million for the three months ended September 30, 2020. The Company purchased rental equipment from related party affiliates of $2.5 million and $2.6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5" w:name="page36"/>
    <w:bookmarkEnd w:id="35"/>
    <w:p>
      <w:pPr>
        <w:ind w:left="1660" w:right="640" w:hanging="1770"/>
        <w:spacing w:after="0" w:line="286" w:lineRule="auto"/>
        <w:tabs>
          <w:tab w:leader="none" w:pos="1640" w:val="left"/>
        </w:tabs>
        <w:rPr>
          <w:sz w:val="20"/>
          <w:szCs w:val="20"/>
          <w:color w:val="auto"/>
        </w:rPr>
      </w:pPr>
      <w:r>
        <w:rPr>
          <w:rFonts w:ascii="Arial" w:cs="Arial" w:eastAsia="Arial" w:hAnsi="Arial"/>
          <w:sz w:val="36"/>
          <w:szCs w:val="36"/>
          <w:b w:val="1"/>
          <w:bCs w:val="1"/>
          <w:color w:val="auto"/>
        </w:rPr>
        <w:t>ITEM 2.</w:t>
        <w:tab/>
        <w:t>Management’s Discussion and Analysis of Financial Condition and Results of Operations</w:t>
      </w:r>
    </w:p>
    <w:p>
      <w:pPr>
        <w:spacing w:after="0" w:line="2"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Mobile Mini Holdings Corp. ("WillScot Mobile Mini"), formerly known as WillScot Corporation ("WillScot"),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nine months ended September 30, 2021 or prior periods. On July 1, 2020, WillScot and Mobile Mini, Inc. (“Mobile Mini”) merged (the “Merger”). As the Merger was completed on July 1, 2020, unless the context otherwise requires, the terms “we”, “us”, “our” “Company” and “WillScot Mobile Mini” as used in these financial statements mean WillScot Corporation and its subsidiaries when referring to periods prior to July 1, 2020 (prior to the Merger) and to WillScot Mobile Mini when referring to periods on or after July 1, 2020 (after the Merger).</w:t>
      </w:r>
    </w:p>
    <w:p>
      <w:pPr>
        <w:spacing w:after="0" w:line="4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the Other Non-GAAP Financial Data and Reconciliations section.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1D2758"/>
        </w:rPr>
        <w:t>Executive Summary and Outlook</w:t>
      </w:r>
    </w:p>
    <w:p>
      <w:pPr>
        <w:spacing w:after="0" w:line="10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We are also a leading provider of specialty containment solutions in the US with over 12,800 tank and pump units in our fleet. As of September 30, 2021, our branch network included approximately 275 branch locations and additional drop lots to service over 85,000 customers. We offer our customers an extensive selection of “Ready to Work” modular space and portable storage solutions with over 155,000 modular space units and over 205,000 portable storage units in our fleet.</w:t>
      </w:r>
    </w:p>
    <w:p>
      <w:pPr>
        <w:spacing w:after="0" w:line="44"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However, given that our customers value flexibility, they consistently extend their leases or renew on a month-to-month basis such that the average effective duration of our lease portfolio excluding seasonal portable storage units is nearly 30 months. We complement our core leasing business by selling both new and used units, allowing us to leverage scale, achieve purchasing benefits and redeploy capital employed in our lease fleet.</w:t>
      </w:r>
    </w:p>
    <w:p>
      <w:pPr>
        <w:spacing w:after="0" w:line="4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education, energy and natural resources, government, and healthcare. Core to our operating model is the ability to redeploy standardized assets across end markets, as we did in 2020 to service emerging demand in the healthcare and government sectors related to COVID-19, as well as expanded space requirements related to social distancing. We track several market leading indicators including those related to our two largest end markets, the commercial and industrial segment and the construction segment, which together accounted for over 85% of our revenues for the three months ended September 30, 2021.</w:t>
      </w:r>
    </w:p>
    <w:p>
      <w:pPr>
        <w:spacing w:after="0" w:line="4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Significant Developments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Mobile Mini Merger</w:t>
      </w:r>
    </w:p>
    <w:p>
      <w:pPr>
        <w:spacing w:after="0" w:line="11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July 1, 2020, we closed the Merger at which time Mobile Mini became a wholly-owned subsidiary of WillScot. Concurrent with the closing of the Merger, we changed our name to WillScot Mobile Mini Holdings Corp. We believe that the Merger is resulting in strategic and financial benefits by combining the two industry leaders in the complementary modular space and portable storage solutions markets. As part of the Merger, we planned to integrate the two companies' customer relationship management, operating, and financial systems. A significant portion of these efforts to date had been focused on the conversion of the combined company onto a single enterprise resource planning system, which was successfully completed during the second quarter of 2021.</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Other Acquisitions</w:t>
      </w:r>
    </w:p>
    <w:p>
      <w:pPr>
        <w:spacing w:after="0" w:line="11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September 17, 2021, the Company acquired certain assets and liabilities of three companies in the United States that focus primarily in the portable storage solutions market for $56.3 million in cash. The primary assets acquired included approximately 11,000 storage units and 400 modular units, the majority of which were on rent. See Note 2 to the condensed consolidated financial statements for further discussion. We continue to manage a pipeline of potential acquisition targets and anticipate that mergers and acquisitions will be a significant portion of our capital allocation priorities.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Reportable Segments</w:t>
      </w:r>
    </w:p>
    <w:p>
      <w:pPr>
        <w:spacing w:after="0" w:line="116"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Following the Merger, we operate in four reporting segments: NA Modular, NA Storage, UK Storage, and Tank and Pump. Prior to the Merger, WillScot had two reporting segments, US Modular and Other North America Modular. These two segments were combined to create the NA Modular segment, which represents the legacy WillScot operations. The other segments, NA Storage, UK Storage, and Tank and Pump, align to the legacy operations and segments reported by Mobile Mini. The reporting segments are aligned with how we operate and analyze our business results.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Financing Activities</w:t>
      </w:r>
    </w:p>
    <w:p>
      <w:pPr>
        <w:spacing w:after="0" w:line="11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March 26, 2021, we redeemed $65.0 million of our 6.125% senior secured notes due 2025 (the “2025 Secured Notes”) at a redemption price of 103.0%, plus accrued and unpaid interest. This repayment was funded by internally generated cash flow and lower cost borrowings under the 2020 ABL facility. Upon redemption in the first quarter of 2021, we recorded a loss on extinguishment of debt in the condensed consolidated statement of operations of $3.2 million comprised of a redemption premium of $1.9 million and write off of unamortized deferred financing fees of $1.3 million.</w:t>
      </w:r>
    </w:p>
    <w:p>
      <w:pPr>
        <w:spacing w:after="0" w:line="45"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June 16, 2021, we redeemed an additional $58.5 million of our 2025 Secured Notes at a redemption price of 103.0%, plus accrued and unpaid interest. This repayment was funded by internally generated cash flow and lower cost borrowings under the 2020 ABL facility. Upon redemption in the second quarter of 2021, we recorded a loss on extinguishment of debt in the condensed consolidated statement of operations of $2.8 million comprised of a redemption premium of $1.8 million and write off of unamortized deferred financing fees of $1.0 million.</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Share and Warrant Repurchases</w:t>
      </w:r>
    </w:p>
    <w:p>
      <w:pPr>
        <w:spacing w:after="0" w:line="11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March 1, 2021, we repurchased and cancelled 2,750,000 shares of our Common Stock directly from Sapphire Holding S.à r.l. (“Sapphire Holdings”), our largest shareholder at that time, which is controlled by TDR Capital LLP (“TDR Capital”), for $73.7 million. On June 29, 2021, we repurchased and cancelled an additional 3,900,000 shares of our Common Stock directly from Sapphire Holdings for $108.2 million. On September 9, 2021, we repurchased and cancelled an additional 2,379,839 shares of our Common Stock directly from Sapphire Holdings for $67.1 million.</w:t>
      </w:r>
    </w:p>
    <w:p>
      <w:pPr>
        <w:spacing w:after="0" w:line="45"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During the nine months ended September 30, 2021, we repurchased and cancelled 3,055,000 2015 Private Warrants for $25.5 million. In addition, during the nine months ended September 30, 2021, 9,655,000 2015 Private Warrants were exercised on a cashless basis, resulting in the issuance of 2,939,898 shares of Common Stock. As a result of these transactions, no 2015 Private Warrants were outstanding as of September 30, 2021.</w:t>
      </w:r>
    </w:p>
    <w:p>
      <w:pPr>
        <w:spacing w:after="0" w:line="42"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During the nine months ended September 30, 2021, we repurchased and cancelled 223,310 2018 Warrants for $2.3 million. In addition, during the nine months ended September 30, 2021, 2,981,195 of the 2018 Warrants were exercised on a cashless basis, resulting in the issuance of 1,372,548 shares of common stock. At September 30, 2021, 6,525,736 of the 2018 Warrants were outstanding.</w:t>
      </w:r>
    </w:p>
    <w:p>
      <w:pPr>
        <w:spacing w:after="0" w:line="29" w:lineRule="exact"/>
        <w:rPr>
          <w:sz w:val="20"/>
          <w:szCs w:val="20"/>
          <w:color w:val="auto"/>
        </w:rPr>
      </w:pPr>
    </w:p>
    <w:p>
      <w:pPr>
        <w:jc w:val="both"/>
        <w:ind w:firstLine="590"/>
        <w:spacing w:after="0" w:line="227" w:lineRule="auto"/>
        <w:rPr>
          <w:sz w:val="20"/>
          <w:szCs w:val="20"/>
          <w:color w:val="auto"/>
        </w:rPr>
      </w:pPr>
      <w:r>
        <w:rPr>
          <w:rFonts w:ascii="Arial" w:cs="Arial" w:eastAsia="Arial" w:hAnsi="Arial"/>
          <w:sz w:val="15"/>
          <w:szCs w:val="15"/>
          <w:color w:val="auto"/>
        </w:rPr>
        <w:t>During the nine months ended September 30, 2021, we repurchased a total of 11,656,552 shares of Common Stock and stock equivalents for $322.6 million, including the shares repurchased from Sapphire Holdings and all repurchased warrants. As of September 30, 2021, we had $142.2 million remaining of a $500.0 million share repurchase authorization under our stock repurchase program. Given the predictability of our free cash flow, we believe that repurchases will be a reoccurring capital allocation priority. In October of 2021, the Company's Board of Directors replaced the existing share repurchase program with a new share repurchase program that authorizes the Company to repurchase up to $1.0 billion of its outstanding shares of Common Stock and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1D2758"/>
        </w:rPr>
        <w:t>COVID-19 Impact on Business</w:t>
      </w:r>
    </w:p>
    <w:p>
      <w:pPr>
        <w:spacing w:after="0" w:line="116"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Since the outbreak of COVID-19 was designated as a global pandemic by the World Health Organization (the “WHO”) in March 2020, our operations have generally continued to operate normally with additional safety protocols in place as we have been considered an essential business in most jurisdictions. The global macroeconomic backdrop and impact on our end markets has evolved rapidly since the beginning of 2020. However, overall our lease portfolio and financial results have proven to be durable and predictable despite the severity of the economic contraction in 2020 and the current expansion in 2021. On a pro forma basis, our deliveries were down 25% in the second quarter of 2020 year over year and 13% in the third quarter of 2020 year over year due to COVID-19 related economic contraction in our largest geographic markets. This reduced delivery demand slowed the growth of our leasing revenues as well as our delivery and installation revenues. However, we successfully implemented significant variable cost and capital expenditure reductions to help offset the financial impact of the temporarily reduced activity levels.</w:t>
      </w:r>
    </w:p>
    <w:p>
      <w:pPr>
        <w:spacing w:after="0" w:line="47"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Importantly, due to our long lease durations, the majority of our gross profit in any given period is from units already out on rent. This gives us significant forward visibility into our future cash flows, which allows us to plan ahead and adjust our capital expenditures and cost structure for varying demand levels. As expected, our portfolio of units already out on rent at the onset of the pandemic was resilient and largely unimpacted, despite the unprecedented swings in economic activity in 2020.</w:t>
      </w:r>
    </w:p>
    <w:p>
      <w:pPr>
        <w:spacing w:after="0" w:line="42"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Activity levels in the fourth quarter of 2020 and the first half of 2021 stabilized, and our volume of new lease activations grew significantly in the second quarter of 2021 as economic activity rebounded sharply with modular deliveries across our NA Modular and NA Storage segments up a combined 9% over 2020 levels and storage product deliveries across these two segments up a combined 39% over 2020 levels and on par with 2019 pro forma activity levels. This recovery continued in the third quarter of 2021 and for the three months ended September 30, 2021, both modular and storage product deliveries across our NA Modular and NA Storage segments were up a combined 6% over 2020 levels. Overall, while new lease activation volumes over the past seven quarters were impacted in line with the swings in economic activity, our lease revenue streams were stable and predictable and remain on an attractive upward long-term trajectory, which is a direct reflection of the diversification in our end markets, our long lease durations, and the success of the organic growth initiatives that we are executing.</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Highlights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For the three months ended September 30, 2021, key drivers of our financial performance included:</w:t>
      </w:r>
    </w:p>
    <w:p>
      <w:pPr>
        <w:spacing w:after="0" w:line="98" w:lineRule="exact"/>
        <w:rPr>
          <w:sz w:val="20"/>
          <w:szCs w:val="20"/>
          <w:color w:val="auto"/>
        </w:rPr>
      </w:pPr>
    </w:p>
    <w:p>
      <w:pPr>
        <w:ind w:left="580" w:hanging="287"/>
        <w:spacing w:after="0" w:line="246" w:lineRule="auto"/>
        <w:tabs>
          <w:tab w:leader="none" w:pos="570"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color w:val="auto"/>
        </w:rPr>
        <w:t>Total revenues increased by $73.3 million, or 17.6%. Leasing revenue increased $63.3 million, or 21.1%, delivery and installation revenue increased $15.0 million, or 17.7%, rental unit sales decreased $1.6 million, or 12.1%, and new sales revenue decreased $3.5 million, or 18.0%.</w:t>
      </w:r>
    </w:p>
    <w:p>
      <w:pPr>
        <w:spacing w:after="0" w:line="89" w:lineRule="exact"/>
        <w:rPr>
          <w:rFonts w:ascii="Arial" w:cs="Arial" w:eastAsia="Arial" w:hAnsi="Arial"/>
          <w:sz w:val="15"/>
          <w:szCs w:val="15"/>
          <w:b w:val="1"/>
          <w:bCs w:val="1"/>
          <w:i w:val="1"/>
          <w:iCs w:val="1"/>
          <w:color w:val="auto"/>
        </w:rPr>
      </w:pPr>
    </w:p>
    <w:p>
      <w:pPr>
        <w:ind w:left="58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Key leasing revenue drivers include:</w:t>
      </w:r>
    </w:p>
    <w:p>
      <w:pPr>
        <w:spacing w:after="0" w:line="98" w:lineRule="exact"/>
        <w:rPr>
          <w:rFonts w:ascii="Arial" w:cs="Arial" w:eastAsia="Arial" w:hAnsi="Arial"/>
          <w:sz w:val="15"/>
          <w:szCs w:val="15"/>
          <w:b w:val="1"/>
          <w:bCs w:val="1"/>
          <w:i w:val="1"/>
          <w:iCs w:val="1"/>
          <w:color w:val="auto"/>
        </w:rPr>
      </w:pPr>
    </w:p>
    <w:p>
      <w:pPr>
        <w:ind w:left="1180" w:hanging="295"/>
        <w:spacing w:after="0" w:line="243"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portable storage units on rent increased 19,408 units, or 13.5%, and average modular space units on rent decreased 1,395 units, or 1.3%. The increase in average portable storage units on rent was driven by significant increases in delivery activity during 2021 as economic activity rebounded versus 2020 more quickly across portable storage units than modular space units.</w:t>
      </w:r>
    </w:p>
    <w:p>
      <w:pPr>
        <w:spacing w:after="0" w:line="90" w:lineRule="exact"/>
        <w:rPr>
          <w:rFonts w:ascii="Arial" w:cs="Arial" w:eastAsia="Arial" w:hAnsi="Arial"/>
          <w:sz w:val="15"/>
          <w:szCs w:val="15"/>
          <w:b w:val="1"/>
          <w:bCs w:val="1"/>
          <w:i w:val="1"/>
          <w:iCs w:val="1"/>
          <w:color w:val="auto"/>
        </w:rPr>
      </w:pPr>
    </w:p>
    <w:p>
      <w:pPr>
        <w:ind w:left="1180" w:hanging="295"/>
        <w:spacing w:after="0" w:line="243"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modular space monthly rental rate increased $127, or 19.8%, to $767 driven by strong pricing performance across all relevant segments. Average modular space monthly rental rates increased by $141, or 20.3%, in the NA Modular segment, by $97, or 19.2%, in the NA Storage segment, and by $98, or 27.5% in the UK Storage segment.</w:t>
      </w:r>
    </w:p>
    <w:p>
      <w:pPr>
        <w:spacing w:after="0" w:line="90" w:lineRule="exact"/>
        <w:rPr>
          <w:rFonts w:ascii="Arial" w:cs="Arial" w:eastAsia="Arial" w:hAnsi="Arial"/>
          <w:sz w:val="15"/>
          <w:szCs w:val="15"/>
          <w:b w:val="1"/>
          <w:bCs w:val="1"/>
          <w:i w:val="1"/>
          <w:iCs w:val="1"/>
          <w:color w:val="auto"/>
        </w:rPr>
      </w:pPr>
    </w:p>
    <w:p>
      <w:pPr>
        <w:ind w:left="1180" w:hanging="295"/>
        <w:spacing w:after="0" w:line="246"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portable storage monthly rental rate increased $14, or 10.7%, to $145 driven by increased pricing as a result of our price management tools and processes, further supported by tight supply on portable storage containers in the markets in which we operate.</w:t>
      </w:r>
    </w:p>
    <w:p>
      <w:pPr>
        <w:spacing w:after="0" w:line="89" w:lineRule="exact"/>
        <w:rPr>
          <w:rFonts w:ascii="Arial" w:cs="Arial" w:eastAsia="Arial" w:hAnsi="Arial"/>
          <w:sz w:val="15"/>
          <w:szCs w:val="15"/>
          <w:b w:val="1"/>
          <w:bCs w:val="1"/>
          <w:i w:val="1"/>
          <w:iCs w:val="1"/>
          <w:color w:val="auto"/>
        </w:rPr>
      </w:pPr>
    </w:p>
    <w:p>
      <w:pPr>
        <w:ind w:left="1180" w:hanging="295"/>
        <w:spacing w:after="0" w:line="246"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utilization for portable storage units increased to 83.9% from 73.2% for the same period in 2020 driven by increased demand in 2021 as compared to the same period in 2020. Average utilization for modular space units decreased 50 basis points ("bps") to 70.1%.</w:t>
      </w:r>
    </w:p>
    <w:p>
      <w:pPr>
        <w:spacing w:after="0" w:line="89" w:lineRule="exact"/>
        <w:rPr>
          <w:rFonts w:ascii="Arial" w:cs="Arial" w:eastAsia="Arial" w:hAnsi="Arial"/>
          <w:sz w:val="15"/>
          <w:szCs w:val="15"/>
          <w:b w:val="1"/>
          <w:bCs w:val="1"/>
          <w:i w:val="1"/>
          <w:iCs w:val="1"/>
          <w:color w:val="auto"/>
        </w:rPr>
      </w:pPr>
    </w:p>
    <w:p>
      <w:pPr>
        <w:jc w:val="both"/>
        <w:ind w:left="580" w:hanging="287"/>
        <w:spacing w:after="0"/>
        <w:tabs>
          <w:tab w:leader="none" w:pos="570" w:val="left"/>
        </w:tabs>
        <w:numPr>
          <w:ilvl w:val="0"/>
          <w:numId w:val="11"/>
        </w:numPr>
        <w:rPr>
          <w:rFonts w:ascii="Arial" w:cs="Arial" w:eastAsia="Arial" w:hAnsi="Arial"/>
          <w:sz w:val="15"/>
          <w:szCs w:val="15"/>
          <w:b w:val="1"/>
          <w:bCs w:val="1"/>
          <w:i w:val="1"/>
          <w:iCs w:val="1"/>
          <w:color w:val="1D2758"/>
        </w:rPr>
      </w:pPr>
      <w:r>
        <w:rPr>
          <w:rFonts w:ascii="Arial" w:cs="Arial" w:eastAsia="Arial" w:hAnsi="Arial"/>
          <w:sz w:val="15"/>
          <w:szCs w:val="15"/>
          <w:color w:val="auto"/>
        </w:rPr>
        <w:t>NA Modular segment revenue, which represents 61.0% of consolidated revenue for the three months ended September 30, 2021, increased $31.2 million, or 11.6%, to $299.1 million. The increase was driven by our core leasing revenue, which grew $27.5 million, or 14.3%, due to continued growth of pricing and value added products. Delivery and installation revenues increased $5.9 million, or 11.3%, driven by increased demand for new project deliveries as compared to 2020, which was significantly impacted by slowdowns associated with COVID-19. The increases to leasing revenue and delivery and installation revenues were partially offset by declines in revenues for portable storage units as the result of transitioning the majority of the portable storage product business within the NA Modular segment to the NA Storage segment. Rental unit sales decreased $1.8 million, or 18.8%, and new unit sales decreased $0.5 million, or 3.6%. NA Modular revenue drivers for the three months ended September 30, 2021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8" w:name="page39"/>
    <w:bookmarkEnd w:id="38"/>
    <w:p>
      <w:pPr>
        <w:ind w:left="887" w:hanging="295"/>
        <w:spacing w:after="0" w:line="246" w:lineRule="auto"/>
        <w:rPr>
          <w:sz w:val="20"/>
          <w:szCs w:val="20"/>
          <w:color w:val="auto"/>
        </w:rPr>
      </w:pPr>
      <w:r>
        <w:rPr>
          <w:rFonts w:ascii="Arial" w:cs="Arial" w:eastAsia="Arial" w:hAnsi="Arial"/>
          <w:sz w:val="15"/>
          <w:szCs w:val="15"/>
          <w:color w:val="auto"/>
        </w:rPr>
        <w:t>– Modular space average monthly rental rate of $834, increased 20.3% year over year representing a continuation of the long-term price optimization and VAPS penetration opportunities across our portfolio.</w:t>
      </w:r>
    </w:p>
    <w:p>
      <w:pPr>
        <w:spacing w:after="0" w:line="89" w:lineRule="exact"/>
        <w:rPr>
          <w:sz w:val="20"/>
          <w:szCs w:val="20"/>
          <w:color w:val="auto"/>
        </w:rPr>
      </w:pPr>
    </w:p>
    <w:p>
      <w:pPr>
        <w:ind w:left="887" w:hanging="295"/>
        <w:spacing w:after="0" w:line="246" w:lineRule="auto"/>
        <w:rPr>
          <w:sz w:val="20"/>
          <w:szCs w:val="20"/>
          <w:color w:val="auto"/>
        </w:rPr>
      </w:pPr>
      <w:r>
        <w:rPr>
          <w:rFonts w:ascii="Arial" w:cs="Arial" w:eastAsia="Arial" w:hAnsi="Arial"/>
          <w:sz w:val="15"/>
          <w:szCs w:val="15"/>
          <w:color w:val="auto"/>
        </w:rPr>
        <w:t>– Average modular space units on rent decreased 2,182, or 2.5%, year over year driven by lower deliveries during 2020 as a result of the COVID-19 pandemic. Sequentially from June 30, 2021, modular space units on rent increased approximately 700 units, or 0.8% during the third quarter.</w:t>
      </w:r>
    </w:p>
    <w:p>
      <w:pPr>
        <w:spacing w:after="0" w:line="89" w:lineRule="exact"/>
        <w:rPr>
          <w:sz w:val="20"/>
          <w:szCs w:val="20"/>
          <w:color w:val="auto"/>
        </w:rPr>
      </w:pPr>
    </w:p>
    <w:p>
      <w:pPr>
        <w:ind w:left="887" w:hanging="295"/>
        <w:spacing w:after="0" w:line="243" w:lineRule="auto"/>
        <w:rPr>
          <w:sz w:val="20"/>
          <w:szCs w:val="20"/>
          <w:color w:val="auto"/>
        </w:rPr>
      </w:pPr>
      <w:r>
        <w:rPr>
          <w:rFonts w:ascii="Arial" w:cs="Arial" w:eastAsia="Arial" w:hAnsi="Arial"/>
          <w:sz w:val="15"/>
          <w:szCs w:val="15"/>
          <w:color w:val="auto"/>
        </w:rPr>
        <w:t>– Average modular space monthly utilization decreased 70 bps to 67.6% for the three months ended September 30, 2021, as compared to the three months ended September 30, 2020. Sequentially from the second quarter, average modular utilization decreased 10 bps, however end of period utilization increased over 100 bps from June 30, 2021 to September 30, 2021.</w:t>
      </w:r>
    </w:p>
    <w:p>
      <w:pPr>
        <w:spacing w:after="0" w:line="90" w:lineRule="exact"/>
        <w:rPr>
          <w:sz w:val="20"/>
          <w:szCs w:val="20"/>
          <w:color w:val="auto"/>
        </w:rPr>
      </w:pPr>
    </w:p>
    <w:p>
      <w:pPr>
        <w:jc w:val="both"/>
        <w:ind w:left="287" w:hanging="287"/>
        <w:spacing w:after="0" w:line="260" w:lineRule="auto"/>
        <w:tabs>
          <w:tab w:leader="none" w:pos="277" w:val="left"/>
        </w:tabs>
        <w:numPr>
          <w:ilvl w:val="0"/>
          <w:numId w:val="12"/>
        </w:numPr>
        <w:rPr>
          <w:rFonts w:ascii="Arial" w:cs="Arial" w:eastAsia="Arial" w:hAnsi="Arial"/>
          <w:sz w:val="14"/>
          <w:szCs w:val="14"/>
          <w:color w:val="auto"/>
        </w:rPr>
      </w:pPr>
      <w:r>
        <w:rPr>
          <w:rFonts w:ascii="Arial" w:cs="Arial" w:eastAsia="Arial" w:hAnsi="Arial"/>
          <w:sz w:val="14"/>
          <w:szCs w:val="14"/>
          <w:color w:val="auto"/>
        </w:rPr>
        <w:t>NA Storage segment revenue, which represents 27.3% of consolidated revenue for the three months ended September 30, 2021, increased $29.4 million, or 28.1%, to $133.9 million. The increase was driven by our core leasing revenue, which grew $24.2 million, or 31.4%, due to increased units on rent driven by significant increases in delivery activity during 2021 as economic activity rebounded versus 2020, and increased pricing. Delivery and installation revenues increased $7.4 million, or 35.4%, driven by increased demand for new project deliveries as compared to 2020, which was significantly impacted by slowdowns associated with COVID-19. The increases to leasing revenue and delivery and installation revenues in the NA Storage segment were also impacted as the result of transitioning the majority of the portable storage product business within the NA Modular segment to the NA Storage segment. Rental unit sales increased $0.3 million, or 10.7%, and new unit sales decreased $2.5 million, or 65.8%. NA Storage revenue drivers for the three months ended September 30, 2021 included:</w:t>
      </w:r>
    </w:p>
    <w:p>
      <w:pPr>
        <w:spacing w:after="0" w:line="83" w:lineRule="exact"/>
        <w:rPr>
          <w:sz w:val="20"/>
          <w:szCs w:val="20"/>
          <w:color w:val="auto"/>
        </w:rPr>
      </w:pPr>
    </w:p>
    <w:p>
      <w:pPr>
        <w:jc w:val="both"/>
        <w:ind w:left="887" w:hanging="296"/>
        <w:spacing w:after="0" w:line="243" w:lineRule="auto"/>
        <w:tabs>
          <w:tab w:leader="none" w:pos="877" w:val="left"/>
        </w:tabs>
        <w:numPr>
          <w:ilvl w:val="1"/>
          <w:numId w:val="13"/>
        </w:numPr>
        <w:rPr>
          <w:rFonts w:ascii="Arial" w:cs="Arial" w:eastAsia="Arial" w:hAnsi="Arial"/>
          <w:sz w:val="15"/>
          <w:szCs w:val="15"/>
          <w:color w:val="auto"/>
        </w:rPr>
      </w:pPr>
      <w:r>
        <w:rPr>
          <w:rFonts w:ascii="Arial" w:cs="Arial" w:eastAsia="Arial" w:hAnsi="Arial"/>
          <w:sz w:val="15"/>
          <w:szCs w:val="15"/>
          <w:color w:val="auto"/>
        </w:rPr>
        <w:t>Portable storage average monthly rental rate of $155, increased 6.9% year over year as a result of our price management tools and processes, further supported by tight supply on portable storage containers in the markets in which we operate. Modular space average monthly rental rate of $602, increased 19.2% year over year as a result of price optimization and early benefits from increased VAPS penetration opportunities.</w:t>
      </w:r>
    </w:p>
    <w:p>
      <w:pPr>
        <w:spacing w:after="0" w:line="90" w:lineRule="exact"/>
        <w:rPr>
          <w:rFonts w:ascii="Arial" w:cs="Arial" w:eastAsia="Arial" w:hAnsi="Arial"/>
          <w:sz w:val="15"/>
          <w:szCs w:val="15"/>
          <w:color w:val="auto"/>
        </w:rPr>
      </w:pPr>
    </w:p>
    <w:p>
      <w:pPr>
        <w:jc w:val="both"/>
        <w:ind w:left="887" w:hanging="296"/>
        <w:spacing w:after="0"/>
        <w:tabs>
          <w:tab w:leader="none" w:pos="877" w:val="left"/>
        </w:tabs>
        <w:numPr>
          <w:ilvl w:val="1"/>
          <w:numId w:val="13"/>
        </w:numPr>
        <w:rPr>
          <w:rFonts w:ascii="Arial" w:cs="Arial" w:eastAsia="Arial" w:hAnsi="Arial"/>
          <w:sz w:val="15"/>
          <w:szCs w:val="15"/>
          <w:color w:val="auto"/>
        </w:rPr>
      </w:pPr>
      <w:r>
        <w:rPr>
          <w:rFonts w:ascii="Arial" w:cs="Arial" w:eastAsia="Arial" w:hAnsi="Arial"/>
          <w:sz w:val="15"/>
          <w:szCs w:val="15"/>
          <w:color w:val="auto"/>
        </w:rPr>
        <w:t>Average portable storage units on rent increased 31,902, or 30.3%, year over year driven by significant increases in delivery activity during 2021 as economic activity rebounded versus 2020. NA Storage portable storage units on rent also increased as a result of the transitioning of the majority of the portable storage product business within the NA Modular segment to the NA Storage segment during the third quarter, which represented the transfer of approximately 12,000 units on rent. Combined, average portable storage units on rent for the NA Storage and NA Modular segments increased approximately 16,922 units, or 14.0%. Given the timing of acquisitions during the quarter, acquisition units did not have a material impact on average units on rent. Average modular space units on rent were essentially flat year over year.</w:t>
      </w:r>
    </w:p>
    <w:p>
      <w:pPr>
        <w:spacing w:after="0" w:line="96" w:lineRule="exact"/>
        <w:rPr>
          <w:rFonts w:ascii="Arial" w:cs="Arial" w:eastAsia="Arial" w:hAnsi="Arial"/>
          <w:sz w:val="15"/>
          <w:szCs w:val="15"/>
          <w:color w:val="auto"/>
        </w:rPr>
      </w:pPr>
    </w:p>
    <w:p>
      <w:pPr>
        <w:jc w:val="both"/>
        <w:ind w:left="887" w:hanging="296"/>
        <w:spacing w:after="0" w:line="243" w:lineRule="auto"/>
        <w:tabs>
          <w:tab w:leader="none" w:pos="877" w:val="left"/>
        </w:tabs>
        <w:numPr>
          <w:ilvl w:val="1"/>
          <w:numId w:val="13"/>
        </w:numPr>
        <w:rPr>
          <w:rFonts w:ascii="Arial" w:cs="Arial" w:eastAsia="Arial" w:hAnsi="Arial"/>
          <w:sz w:val="15"/>
          <w:szCs w:val="15"/>
          <w:color w:val="auto"/>
        </w:rPr>
      </w:pPr>
      <w:r>
        <w:rPr>
          <w:rFonts w:ascii="Arial" w:cs="Arial" w:eastAsia="Arial" w:hAnsi="Arial"/>
          <w:sz w:val="15"/>
          <w:szCs w:val="15"/>
          <w:color w:val="auto"/>
        </w:rPr>
        <w:t>Average portable storage monthly utilization increased 980 bps to 83.2% for the three months ended September 30, 2021, as compared to the three months ended September 30, 2020. Average modular space monthly utilization decreased 280 bps to 77.6% for three months ended September 30, 2021, as compared to the three months ended September 30, 2020.</w:t>
      </w:r>
    </w:p>
    <w:p>
      <w:pPr>
        <w:spacing w:after="0" w:line="90" w:lineRule="exact"/>
        <w:rPr>
          <w:rFonts w:ascii="Arial" w:cs="Arial" w:eastAsia="Arial" w:hAnsi="Arial"/>
          <w:sz w:val="15"/>
          <w:szCs w:val="15"/>
          <w:color w:val="auto"/>
        </w:rPr>
      </w:pPr>
    </w:p>
    <w:p>
      <w:pPr>
        <w:jc w:val="both"/>
        <w:ind w:left="287" w:hanging="287"/>
        <w:spacing w:after="0" w:line="241" w:lineRule="auto"/>
        <w:tabs>
          <w:tab w:leader="none" w:pos="277" w:val="left"/>
        </w:tabs>
        <w:numPr>
          <w:ilvl w:val="0"/>
          <w:numId w:val="13"/>
        </w:numPr>
        <w:rPr>
          <w:rFonts w:ascii="Arial" w:cs="Arial" w:eastAsia="Arial" w:hAnsi="Arial"/>
          <w:sz w:val="15"/>
          <w:szCs w:val="15"/>
          <w:color w:val="auto"/>
        </w:rPr>
      </w:pPr>
      <w:r>
        <w:rPr>
          <w:rFonts w:ascii="Arial" w:cs="Arial" w:eastAsia="Arial" w:hAnsi="Arial"/>
          <w:sz w:val="15"/>
          <w:szCs w:val="15"/>
          <w:color w:val="auto"/>
        </w:rPr>
        <w:t>Generated consolidated net income of $61.1 million for the three months ended September 30, 2021. Net Income Excluding Gain/Loss from Warrants of $61.1 million for the three months ended September 30, 2021 represented an increase of $44.8 million versus the three months ended September 30, 2020, and included $11.1 million of discrete costs expensed in the period related to merger integration activities. Discrete costs in the period included $8.6 million of integration and transaction costs and $2.5 million of restructuring costs, lease impairment expense and other related charges.</w:t>
      </w:r>
    </w:p>
    <w:p>
      <w:pPr>
        <w:spacing w:after="0" w:line="94" w:lineRule="exact"/>
        <w:rPr>
          <w:rFonts w:ascii="Arial" w:cs="Arial" w:eastAsia="Arial" w:hAnsi="Arial"/>
          <w:sz w:val="15"/>
          <w:szCs w:val="15"/>
          <w:color w:val="auto"/>
        </w:rPr>
      </w:pPr>
    </w:p>
    <w:p>
      <w:pPr>
        <w:ind w:left="287" w:hanging="287"/>
        <w:spacing w:after="0" w:line="246" w:lineRule="auto"/>
        <w:tabs>
          <w:tab w:leader="none" w:pos="277"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color w:val="auto"/>
        </w:rPr>
        <w:t>Adjusted EBITDA of $190.1 million for the three months ended September 30, 2021 represented an increase of $26.5 million, or 16.2%, as compared to the same period in 2020. This increase was driven primarily by increased leasing gross profit.</w:t>
      </w:r>
    </w:p>
    <w:p>
      <w:pPr>
        <w:spacing w:after="0" w:line="89" w:lineRule="exact"/>
        <w:rPr>
          <w:rFonts w:ascii="Arial" w:cs="Arial" w:eastAsia="Arial" w:hAnsi="Arial"/>
          <w:sz w:val="15"/>
          <w:szCs w:val="15"/>
          <w:b w:val="1"/>
          <w:bCs w:val="1"/>
          <w:i w:val="1"/>
          <w:iCs w:val="1"/>
          <w:color w:val="auto"/>
        </w:rPr>
      </w:pPr>
    </w:p>
    <w:p>
      <w:pPr>
        <w:ind w:left="287" w:hanging="287"/>
        <w:spacing w:after="0" w:line="246" w:lineRule="auto"/>
        <w:tabs>
          <w:tab w:leader="none" w:pos="277"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Consolidated Adjusted EBITDA Margin was 38.8% in the third quarter of 2021 and decreased 50 bps versus prior year driven by an expected higher proportion of delivery and installation revenues to total revenues and increased variable costs as a result of higher activity levels in the current year quarter.</w:t>
      </w:r>
    </w:p>
    <w:p>
      <w:pPr>
        <w:spacing w:after="0" w:line="89" w:lineRule="exact"/>
        <w:rPr>
          <w:rFonts w:ascii="Arial" w:cs="Arial" w:eastAsia="Arial" w:hAnsi="Arial"/>
          <w:sz w:val="15"/>
          <w:szCs w:val="15"/>
          <w:color w:val="auto"/>
        </w:rPr>
      </w:pPr>
    </w:p>
    <w:p>
      <w:pPr>
        <w:jc w:val="both"/>
        <w:ind w:left="287" w:hanging="287"/>
        <w:spacing w:after="0" w:line="243" w:lineRule="auto"/>
        <w:tabs>
          <w:tab w:leader="none" w:pos="277"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Generated Free Cash Flow of $78.5 million for the three months ended September 30, 2021 representing an increase of $50.5 million as compared to the same period in 2020. Net cash provided by operating activities increased $69.0 million to $130.4 million. Net cash used in investing activities increased by $18.7 million to support increases in delivery activity during 2021 as economic activity rebounded versus 2020.</w:t>
      </w:r>
    </w:p>
    <w:p>
      <w:pPr>
        <w:spacing w:after="0" w:line="90" w:lineRule="exact"/>
        <w:rPr>
          <w:rFonts w:ascii="Arial" w:cs="Arial" w:eastAsia="Arial" w:hAnsi="Arial"/>
          <w:sz w:val="15"/>
          <w:szCs w:val="15"/>
          <w:b w:val="1"/>
          <w:bCs w:val="1"/>
          <w:color w:val="auto"/>
        </w:rPr>
      </w:pPr>
    </w:p>
    <w:p>
      <w:pPr>
        <w:jc w:val="both"/>
        <w:ind w:left="287" w:hanging="287"/>
        <w:spacing w:after="0" w:line="241" w:lineRule="auto"/>
        <w:tabs>
          <w:tab w:leader="none" w:pos="27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Returned $106.3 million to shareholders through stock and warrant repurchases and closed three acquisitions totaling approximately 11,000 storage units and 400 modular units for $56.3 million in cash during the three months ended September 30, 2021. The predictability of our free cash flow allows us to pursue multiple capital allocation priorities opportunistically, including investing in organic opportunities we see in the market, continuing our deleveraging trajectory, opportunistically executing accretive acquisitions, and returning capital to shareholders.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73"/>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45720</wp:posOffset>
            </wp:positionV>
            <wp:extent cx="71697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947"/>
          </w:cols>
          <w:pgMar w:left="613" w:top="1027" w:right="339" w:bottom="1440" w:gutter="0" w:footer="0" w:header="0"/>
        </w:sectPr>
      </w:pPr>
    </w:p>
    <w:bookmarkStart w:id="39" w:name="page40"/>
    <w:bookmarkEnd w:id="39"/>
    <w:p>
      <w:pPr>
        <w:spacing w:after="0"/>
        <w:rPr>
          <w:sz w:val="20"/>
          <w:szCs w:val="20"/>
          <w:color w:val="auto"/>
        </w:rPr>
      </w:pPr>
      <w:r>
        <w:rPr>
          <w:rFonts w:ascii="Arial" w:cs="Arial" w:eastAsia="Arial" w:hAnsi="Arial"/>
          <w:sz w:val="21"/>
          <w:szCs w:val="21"/>
          <w:color w:val="1D2758"/>
        </w:rPr>
        <w:t>Consolidated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 2021 Compared to the Three Months Ended September 30, 2020</w:t>
      </w:r>
    </w:p>
    <w:p>
      <w:pPr>
        <w:spacing w:after="0" w:line="13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Our condensed consolidated statements of operations for the three months ended September 30, 2021 and 2020 are presented below. The below results only include Mobile Mini for the periods subsequent to the Merger: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shd w:val="clear" w:color="auto" w:fill="1D2758"/>
          </w:tcPr>
          <w:p>
            <w:pPr>
              <w:spacing w:after="0"/>
              <w:rPr>
                <w:sz w:val="19"/>
                <w:szCs w:val="19"/>
                <w:color w:val="auto"/>
              </w:rPr>
            </w:pPr>
          </w:p>
        </w:tc>
        <w:tc>
          <w:tcPr>
            <w:tcW w:w="3420" w:type="dxa"/>
            <w:vAlign w:val="bottom"/>
            <w:gridSpan w:val="4"/>
            <w:shd w:val="clear" w:color="auto" w:fill="1D2758"/>
          </w:tcPr>
          <w:p>
            <w:pPr>
              <w:ind w:left="820"/>
              <w:spacing w:after="0"/>
              <w:rPr>
                <w:sz w:val="20"/>
                <w:szCs w:val="20"/>
                <w:color w:val="auto"/>
              </w:rPr>
            </w:pPr>
            <w:r>
              <w:rPr>
                <w:rFonts w:ascii="Arial" w:cs="Arial" w:eastAsia="Arial" w:hAnsi="Arial"/>
                <w:sz w:val="15"/>
                <w:szCs w:val="15"/>
                <w:b w:val="1"/>
                <w:bCs w:val="1"/>
                <w:color w:val="FFFFFF"/>
              </w:rPr>
              <w:t>Three Months Ended September 30,</w:t>
            </w:r>
          </w:p>
        </w:tc>
        <w:tc>
          <w:tcPr>
            <w:tcW w:w="66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140" w:type="dxa"/>
            <w:vAlign w:val="bottom"/>
            <w:shd w:val="clear" w:color="auto" w:fill="1D2758"/>
          </w:tcPr>
          <w:p>
            <w:pPr>
              <w:spacing w:after="0"/>
              <w:rPr>
                <w:sz w:val="19"/>
                <w:szCs w:val="19"/>
                <w:color w:val="auto"/>
              </w:rPr>
            </w:pPr>
          </w:p>
        </w:tc>
        <w:tc>
          <w:tcPr>
            <w:tcW w:w="86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0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80" w:type="dxa"/>
            <w:vAlign w:val="bottom"/>
            <w:vMerge w:val="restart"/>
            <w:shd w:val="clear" w:color="auto" w:fill="1D2758"/>
          </w:tcPr>
          <w:p>
            <w:pPr>
              <w:ind w:left="840"/>
              <w:spacing w:after="0"/>
              <w:rPr>
                <w:sz w:val="20"/>
                <w:szCs w:val="20"/>
                <w:color w:val="auto"/>
              </w:rPr>
            </w:pPr>
            <w:r>
              <w:rPr>
                <w:rFonts w:ascii="Arial" w:cs="Arial" w:eastAsia="Arial" w:hAnsi="Arial"/>
                <w:sz w:val="15"/>
                <w:szCs w:val="15"/>
                <w:b w:val="1"/>
                <w:bCs w:val="1"/>
                <w:color w:val="FFFFFF"/>
              </w:rPr>
              <w:t>2021</w:t>
            </w:r>
          </w:p>
        </w:tc>
        <w:tc>
          <w:tcPr>
            <w:tcW w:w="7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340" w:type="dxa"/>
            <w:vAlign w:val="bottom"/>
            <w:vMerge w:val="restart"/>
            <w:shd w:val="clear" w:color="auto" w:fill="1D2758"/>
          </w:tcPr>
          <w:p>
            <w:pPr>
              <w:jc w:val="right"/>
              <w:ind w:right="106"/>
              <w:spacing w:after="0"/>
              <w:rPr>
                <w:sz w:val="20"/>
                <w:szCs w:val="20"/>
                <w:color w:val="auto"/>
              </w:rPr>
            </w:pPr>
            <w:r>
              <w:rPr>
                <w:rFonts w:ascii="Arial" w:cs="Arial" w:eastAsia="Arial" w:hAnsi="Arial"/>
                <w:sz w:val="15"/>
                <w:szCs w:val="15"/>
                <w:b w:val="1"/>
                <w:bCs w:val="1"/>
                <w:color w:val="FFFFFF"/>
              </w:rPr>
              <w:t>2020</w:t>
            </w:r>
          </w:p>
        </w:tc>
        <w:tc>
          <w:tcPr>
            <w:tcW w:w="6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1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 vs. 2020</w:t>
            </w:r>
          </w:p>
        </w:tc>
        <w:tc>
          <w:tcPr>
            <w:tcW w:w="860" w:type="dxa"/>
            <w:vAlign w:val="bottom"/>
            <w:shd w:val="clear" w:color="auto" w:fill="1D2758"/>
          </w:tcPr>
          <w:p>
            <w:pPr>
              <w:jc w:val="right"/>
              <w:ind w:right="106"/>
              <w:spacing w:after="0"/>
              <w:rPr>
                <w:sz w:val="20"/>
                <w:szCs w:val="20"/>
                <w:color w:val="auto"/>
              </w:rPr>
            </w:pPr>
            <w:r>
              <w:rPr>
                <w:rFonts w:ascii="Arial" w:cs="Arial" w:eastAsia="Arial" w:hAnsi="Arial"/>
                <w:sz w:val="15"/>
                <w:szCs w:val="15"/>
                <w:b w:val="1"/>
                <w:bCs w:val="1"/>
                <w:color w:val="FFFFFF"/>
                <w:w w:val="97"/>
              </w:rPr>
              <w:t>$ Change</w:t>
            </w:r>
          </w:p>
        </w:tc>
        <w:tc>
          <w:tcPr>
            <w:tcW w:w="0" w:type="dxa"/>
            <w:vAlign w:val="bottom"/>
          </w:tcPr>
          <w:p>
            <w:pPr>
              <w:spacing w:after="0"/>
              <w:rPr>
                <w:sz w:val="1"/>
                <w:szCs w:val="1"/>
                <w:color w:val="auto"/>
              </w:rPr>
            </w:pPr>
          </w:p>
        </w:tc>
      </w:tr>
      <w:tr>
        <w:trPr>
          <w:trHeight w:val="91"/>
        </w:trPr>
        <w:tc>
          <w:tcPr>
            <w:tcW w:w="506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720" w:type="dxa"/>
            <w:vAlign w:val="bottom"/>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1340" w:type="dxa"/>
            <w:vAlign w:val="bottom"/>
            <w:vMerge w:val="continue"/>
            <w:shd w:val="clear" w:color="auto" w:fill="1D2758"/>
          </w:tcPr>
          <w:p>
            <w:pPr>
              <w:spacing w:after="0"/>
              <w:rPr>
                <w:sz w:val="7"/>
                <w:szCs w:val="7"/>
                <w:color w:val="auto"/>
              </w:rPr>
            </w:pPr>
          </w:p>
        </w:tc>
        <w:tc>
          <w:tcPr>
            <w:tcW w:w="66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140" w:type="dxa"/>
            <w:vAlign w:val="bottom"/>
            <w:shd w:val="clear" w:color="auto" w:fill="1D2758"/>
          </w:tcPr>
          <w:p>
            <w:pPr>
              <w:spacing w:after="0"/>
              <w:rPr>
                <w:sz w:val="7"/>
                <w:szCs w:val="7"/>
                <w:color w:val="auto"/>
              </w:rPr>
            </w:pPr>
          </w:p>
        </w:tc>
        <w:tc>
          <w:tcPr>
            <w:tcW w:w="8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jc w:val="right"/>
              <w:ind w:right="1106"/>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363,396</w:t>
            </w: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1166"/>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300,082</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96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63,314</w:t>
            </w:r>
          </w:p>
        </w:tc>
        <w:tc>
          <w:tcPr>
            <w:tcW w:w="0" w:type="dxa"/>
            <w:vAlign w:val="bottom"/>
          </w:tcPr>
          <w:p>
            <w:pPr>
              <w:spacing w:after="0"/>
              <w:rPr>
                <w:sz w:val="1"/>
                <w:szCs w:val="1"/>
                <w:color w:val="auto"/>
              </w:rPr>
            </w:pPr>
          </w:p>
        </w:tc>
      </w:tr>
      <w:tr>
        <w:trPr>
          <w:trHeight w:val="194"/>
        </w:trPr>
        <w:tc>
          <w:tcPr>
            <w:tcW w:w="5060" w:type="dxa"/>
            <w:vAlign w:val="bottom"/>
          </w:tcPr>
          <w:p>
            <w:pPr>
              <w:ind w:left="40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99,699</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84,694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15,005</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40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15,860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19,360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(3,500)</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Rental units</w:t>
            </w:r>
          </w:p>
        </w:tc>
        <w:tc>
          <w:tcPr>
            <w:tcW w:w="12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11,597</w:t>
            </w:r>
          </w:p>
        </w:tc>
        <w:tc>
          <w:tcPr>
            <w:tcW w:w="80" w:type="dxa"/>
            <w:vAlign w:val="bottom"/>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13,179</w:t>
            </w:r>
          </w:p>
        </w:tc>
        <w:tc>
          <w:tcPr>
            <w:tcW w:w="100" w:type="dxa"/>
            <w:vAlign w:val="bottom"/>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(1,582)</w:t>
            </w:r>
          </w:p>
        </w:tc>
        <w:tc>
          <w:tcPr>
            <w:tcW w:w="0" w:type="dxa"/>
            <w:vAlign w:val="bottom"/>
          </w:tcPr>
          <w:p>
            <w:pPr>
              <w:spacing w:after="0"/>
              <w:rPr>
                <w:sz w:val="1"/>
                <w:szCs w:val="1"/>
                <w:color w:val="auto"/>
              </w:rPr>
            </w:pPr>
          </w:p>
        </w:tc>
      </w:tr>
      <w:tr>
        <w:trPr>
          <w:trHeight w:val="186"/>
        </w:trPr>
        <w:tc>
          <w:tcPr>
            <w:tcW w:w="5060" w:type="dxa"/>
            <w:vAlign w:val="bottom"/>
          </w:tcPr>
          <w:p>
            <w:pPr>
              <w:ind w:left="600"/>
              <w:spacing w:after="0"/>
              <w:rPr>
                <w:sz w:val="20"/>
                <w:szCs w:val="20"/>
                <w:color w:val="auto"/>
              </w:rPr>
            </w:pPr>
            <w:r>
              <w:rPr>
                <w:rFonts w:ascii="Arial" w:cs="Arial" w:eastAsia="Arial" w:hAnsi="Arial"/>
                <w:sz w:val="15"/>
                <w:szCs w:val="15"/>
                <w:color w:val="auto"/>
              </w:rPr>
              <w:t>Total revenues</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490,552</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417,315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73,237</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82,448</w:t>
            </w: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64,788</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17,660</w:t>
            </w:r>
          </w:p>
        </w:tc>
        <w:tc>
          <w:tcPr>
            <w:tcW w:w="0" w:type="dxa"/>
            <w:vAlign w:val="bottom"/>
          </w:tcPr>
          <w:p>
            <w:pPr>
              <w:spacing w:after="0"/>
              <w:rPr>
                <w:sz w:val="1"/>
                <w:szCs w:val="1"/>
                <w:color w:val="auto"/>
              </w:rPr>
            </w:pPr>
          </w:p>
        </w:tc>
      </w:tr>
      <w:tr>
        <w:trPr>
          <w:trHeight w:val="194"/>
        </w:trPr>
        <w:tc>
          <w:tcPr>
            <w:tcW w:w="5060" w:type="dxa"/>
            <w:vAlign w:val="bottom"/>
          </w:tcPr>
          <w:p>
            <w:pPr>
              <w:ind w:left="40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80,991</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66,354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14,637</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40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11,499</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12,935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(1,436)</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Rental units</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5,603</w:t>
            </w: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8,837</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(3,234)</w:t>
            </w:r>
          </w:p>
        </w:tc>
        <w:tc>
          <w:tcPr>
            <w:tcW w:w="0" w:type="dxa"/>
            <w:vAlign w:val="bottom"/>
          </w:tcPr>
          <w:p>
            <w:pPr>
              <w:spacing w:after="0"/>
              <w:rPr>
                <w:sz w:val="1"/>
                <w:szCs w:val="1"/>
                <w:color w:val="auto"/>
              </w:rPr>
            </w:pPr>
          </w:p>
        </w:tc>
      </w:tr>
      <w:tr>
        <w:trPr>
          <w:trHeight w:val="194"/>
        </w:trPr>
        <w:tc>
          <w:tcPr>
            <w:tcW w:w="50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56,462</w:t>
            </w:r>
          </w:p>
        </w:tc>
        <w:tc>
          <w:tcPr>
            <w:tcW w:w="80" w:type="dxa"/>
            <w:vAlign w:val="bottom"/>
            <w:tcBorders>
              <w:bottom w:val="single" w:sz="8" w:color="DBDBDB"/>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54,837</w:t>
            </w:r>
          </w:p>
        </w:tc>
        <w:tc>
          <w:tcPr>
            <w:tcW w:w="100" w:type="dxa"/>
            <w:vAlign w:val="bottom"/>
            <w:tcBorders>
              <w:bottom w:val="single" w:sz="8" w:color="DBDBDB"/>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1,625</w:t>
            </w:r>
          </w:p>
        </w:tc>
        <w:tc>
          <w:tcPr>
            <w:tcW w:w="0" w:type="dxa"/>
            <w:vAlign w:val="bottom"/>
          </w:tcPr>
          <w:p>
            <w:pPr>
              <w:spacing w:after="0"/>
              <w:rPr>
                <w:sz w:val="1"/>
                <w:szCs w:val="1"/>
                <w:color w:val="auto"/>
              </w:rPr>
            </w:pPr>
          </w:p>
        </w:tc>
      </w:tr>
      <w:tr>
        <w:trPr>
          <w:trHeight w:val="192"/>
        </w:trPr>
        <w:tc>
          <w:tcPr>
            <w:tcW w:w="5060" w:type="dxa"/>
            <w:vAlign w:val="bottom"/>
            <w:shd w:val="clear" w:color="auto" w:fill="DBDBDB"/>
          </w:tcPr>
          <w:p>
            <w:pPr>
              <w:ind w:left="400"/>
              <w:spacing w:after="0"/>
              <w:rPr>
                <w:sz w:val="20"/>
                <w:szCs w:val="20"/>
                <w:color w:val="auto"/>
              </w:rPr>
            </w:pPr>
            <w:r>
              <w:rPr>
                <w:rFonts w:ascii="Arial" w:cs="Arial" w:eastAsia="Arial" w:hAnsi="Arial"/>
                <w:sz w:val="15"/>
                <w:szCs w:val="15"/>
                <w:color w:val="auto"/>
              </w:rPr>
              <w:t>Gross profit</w:t>
            </w:r>
          </w:p>
        </w:tc>
        <w:tc>
          <w:tcPr>
            <w:tcW w:w="128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253,549</w:t>
            </w:r>
          </w:p>
        </w:tc>
        <w:tc>
          <w:tcPr>
            <w:tcW w:w="8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209,564</w:t>
            </w:r>
          </w:p>
        </w:tc>
        <w:tc>
          <w:tcPr>
            <w:tcW w:w="10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43,985</w:t>
            </w:r>
          </w:p>
        </w:tc>
        <w:tc>
          <w:tcPr>
            <w:tcW w:w="0" w:type="dxa"/>
            <w:vAlign w:val="bottom"/>
          </w:tcPr>
          <w:p>
            <w:pPr>
              <w:spacing w:after="0"/>
              <w:rPr>
                <w:sz w:val="1"/>
                <w:szCs w:val="1"/>
                <w:color w:val="auto"/>
              </w:rPr>
            </w:pPr>
          </w:p>
        </w:tc>
      </w:tr>
      <w:tr>
        <w:trPr>
          <w:trHeight w:val="194"/>
        </w:trPr>
        <w:tc>
          <w:tcPr>
            <w:tcW w:w="5060" w:type="dxa"/>
            <w:vAlign w:val="bottom"/>
          </w:tcPr>
          <w:p>
            <w:pPr>
              <w:ind w:left="20"/>
              <w:spacing w:after="0"/>
              <w:rPr>
                <w:sz w:val="20"/>
                <w:szCs w:val="20"/>
                <w:color w:val="auto"/>
              </w:rPr>
            </w:pPr>
            <w:r>
              <w:rPr>
                <w:rFonts w:ascii="Arial" w:cs="Arial" w:eastAsia="Arial" w:hAnsi="Arial"/>
                <w:sz w:val="15"/>
                <w:szCs w:val="15"/>
                <w:color w:val="auto"/>
              </w:rPr>
              <w:t>Expenses:</w:t>
            </w: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133,424</w:t>
            </w: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112,079</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21,345</w:t>
            </w: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303</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52,191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(51,888)</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depreciation and amortization</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18,814</w:t>
            </w: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16,867</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1,947</w:t>
            </w: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601</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944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(343)</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1,856</w:t>
            </w: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3,854</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(1,998)</w:t>
            </w: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rPr>
                <w:sz w:val="20"/>
                <w:szCs w:val="20"/>
                <w:color w:val="auto"/>
              </w:rPr>
            </w:pPr>
            <w:r>
              <w:rPr>
                <w:rFonts w:ascii="Arial" w:cs="Arial" w:eastAsia="Arial" w:hAnsi="Arial"/>
                <w:sz w:val="15"/>
                <w:szCs w:val="15"/>
                <w:color w:val="auto"/>
              </w:rPr>
              <w:t>Currency losses (gains), net</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(income), net</w:t>
            </w:r>
          </w:p>
        </w:tc>
        <w:tc>
          <w:tcPr>
            <w:tcW w:w="12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1,476</w:t>
            </w:r>
          </w:p>
        </w:tc>
        <w:tc>
          <w:tcPr>
            <w:tcW w:w="80" w:type="dxa"/>
            <w:vAlign w:val="bottom"/>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(1,012)</w:t>
            </w:r>
          </w:p>
        </w:tc>
        <w:tc>
          <w:tcPr>
            <w:tcW w:w="100" w:type="dxa"/>
            <w:vAlign w:val="bottom"/>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2,488</w:t>
            </w:r>
          </w:p>
        </w:tc>
        <w:tc>
          <w:tcPr>
            <w:tcW w:w="0" w:type="dxa"/>
            <w:vAlign w:val="bottom"/>
          </w:tcPr>
          <w:p>
            <w:pPr>
              <w:spacing w:after="0"/>
              <w:rPr>
                <w:sz w:val="1"/>
                <w:szCs w:val="1"/>
                <w:color w:val="auto"/>
              </w:rPr>
            </w:pPr>
          </w:p>
        </w:tc>
      </w:tr>
      <w:tr>
        <w:trPr>
          <w:trHeight w:val="186"/>
        </w:trPr>
        <w:tc>
          <w:tcPr>
            <w:tcW w:w="5060" w:type="dxa"/>
            <w:vAlign w:val="bottom"/>
          </w:tcPr>
          <w:p>
            <w:pPr>
              <w:ind w:left="400"/>
              <w:spacing w:after="0"/>
              <w:rPr>
                <w:sz w:val="20"/>
                <w:szCs w:val="20"/>
                <w:color w:val="auto"/>
              </w:rPr>
            </w:pPr>
            <w:r>
              <w:rPr>
                <w:rFonts w:ascii="Arial" w:cs="Arial" w:eastAsia="Arial" w:hAnsi="Arial"/>
                <w:sz w:val="15"/>
                <w:szCs w:val="15"/>
                <w:color w:val="auto"/>
              </w:rPr>
              <w:t>Operating income</w:t>
            </w:r>
          </w:p>
        </w:tc>
        <w:tc>
          <w:tcPr>
            <w:tcW w:w="1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96,948</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25,012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71,936</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29,201</w:t>
            </w:r>
          </w:p>
        </w:tc>
        <w:tc>
          <w:tcPr>
            <w:tcW w:w="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33,034</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(3,833)</w:t>
            </w: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12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22,303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(22,303)</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1280" w:type="dxa"/>
            <w:vAlign w:val="bottom"/>
            <w:shd w:val="clear" w:color="auto" w:fill="DBDBDB"/>
          </w:tcPr>
          <w:p>
            <w:pPr>
              <w:spacing w:after="0"/>
              <w:rPr>
                <w:sz w:val="17"/>
                <w:szCs w:val="17"/>
                <w:color w:val="auto"/>
              </w:rPr>
            </w:pP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42,401</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(42,401)</w:t>
            </w:r>
          </w:p>
        </w:tc>
        <w:tc>
          <w:tcPr>
            <w:tcW w:w="0" w:type="dxa"/>
            <w:vAlign w:val="bottom"/>
          </w:tcPr>
          <w:p>
            <w:pPr>
              <w:spacing w:after="0"/>
              <w:rPr>
                <w:sz w:val="1"/>
                <w:szCs w:val="1"/>
                <w:color w:val="auto"/>
              </w:rPr>
            </w:pPr>
          </w:p>
        </w:tc>
      </w:tr>
      <w:tr>
        <w:trPr>
          <w:trHeight w:val="186"/>
        </w:trPr>
        <w:tc>
          <w:tcPr>
            <w:tcW w:w="5060" w:type="dxa"/>
            <w:vAlign w:val="bottom"/>
          </w:tcPr>
          <w:p>
            <w:pPr>
              <w:ind w:left="20"/>
              <w:spacing w:after="0"/>
              <w:rPr>
                <w:sz w:val="20"/>
                <w:szCs w:val="20"/>
                <w:color w:val="auto"/>
              </w:rPr>
            </w:pPr>
            <w:r>
              <w:rPr>
                <w:rFonts w:ascii="Arial" w:cs="Arial" w:eastAsia="Arial" w:hAnsi="Arial"/>
                <w:sz w:val="15"/>
                <w:szCs w:val="15"/>
                <w:color w:val="auto"/>
              </w:rPr>
              <w:t>Income (loss) before income tax</w:t>
            </w:r>
          </w:p>
        </w:tc>
        <w:tc>
          <w:tcPr>
            <w:tcW w:w="1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67,747</w:t>
            </w:r>
          </w:p>
        </w:tc>
        <w:tc>
          <w:tcPr>
            <w:tcW w:w="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(72,726)</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140,473</w:t>
            </w:r>
          </w:p>
        </w:tc>
        <w:tc>
          <w:tcPr>
            <w:tcW w:w="0" w:type="dxa"/>
            <w:vAlign w:val="bottom"/>
          </w:tcPr>
          <w:p>
            <w:pPr>
              <w:spacing w:after="0"/>
              <w:rPr>
                <w:sz w:val="1"/>
                <w:szCs w:val="1"/>
                <w:color w:val="auto"/>
              </w:rPr>
            </w:pPr>
          </w:p>
        </w:tc>
      </w:tr>
      <w:tr>
        <w:trPr>
          <w:trHeight w:val="19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(benefit)</w:t>
            </w:r>
          </w:p>
        </w:tc>
        <w:tc>
          <w:tcPr>
            <w:tcW w:w="12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6,644</w:t>
            </w:r>
          </w:p>
        </w:tc>
        <w:tc>
          <w:tcPr>
            <w:tcW w:w="80" w:type="dxa"/>
            <w:vAlign w:val="bottom"/>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(66,675)</w:t>
            </w:r>
          </w:p>
        </w:tc>
        <w:tc>
          <w:tcPr>
            <w:tcW w:w="100" w:type="dxa"/>
            <w:vAlign w:val="bottom"/>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73,319</w:t>
            </w:r>
          </w:p>
        </w:tc>
        <w:tc>
          <w:tcPr>
            <w:tcW w:w="0" w:type="dxa"/>
            <w:vAlign w:val="bottom"/>
          </w:tcPr>
          <w:p>
            <w:pPr>
              <w:spacing w:after="0"/>
              <w:rPr>
                <w:sz w:val="1"/>
                <w:szCs w:val="1"/>
                <w:color w:val="auto"/>
              </w:rPr>
            </w:pPr>
          </w:p>
        </w:tc>
      </w:tr>
      <w:tr>
        <w:trPr>
          <w:trHeight w:val="186"/>
        </w:trPr>
        <w:tc>
          <w:tcPr>
            <w:tcW w:w="5060" w:type="dxa"/>
            <w:vAlign w:val="bottom"/>
          </w:tcPr>
          <w:p>
            <w:pPr>
              <w:ind w:left="20"/>
              <w:spacing w:after="0"/>
              <w:rPr>
                <w:sz w:val="20"/>
                <w:szCs w:val="20"/>
                <w:color w:val="auto"/>
              </w:rPr>
            </w:pPr>
            <w:r>
              <w:rPr>
                <w:rFonts w:ascii="Arial" w:cs="Arial" w:eastAsia="Arial" w:hAnsi="Arial"/>
                <w:sz w:val="15"/>
                <w:szCs w:val="15"/>
                <w:color w:val="auto"/>
              </w:rPr>
              <w:t>Net income (loss) attributable to WillScot Mobile Mini</w:t>
            </w:r>
          </w:p>
        </w:tc>
        <w:tc>
          <w:tcPr>
            <w:tcW w:w="1280" w:type="dxa"/>
            <w:vAlign w:val="bottom"/>
            <w:tcBorders>
              <w:bottom w:val="single" w:sz="8" w:color="auto"/>
            </w:tcBorders>
          </w:tcPr>
          <w:p>
            <w:pPr>
              <w:jc w:val="right"/>
              <w:ind w:right="1106"/>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61,103</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ind w:right="116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(6,051)</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96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67,154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Three Months Ended September 30, 2021 and 2020</w:t>
      </w:r>
    </w:p>
    <w:p>
      <w:pPr>
        <w:spacing w:after="0" w:line="116" w:lineRule="exact"/>
        <w:rPr>
          <w:sz w:val="20"/>
          <w:szCs w:val="20"/>
          <w:color w:val="auto"/>
        </w:rPr>
      </w:pPr>
    </w:p>
    <w:p>
      <w:pPr>
        <w:jc w:val="both"/>
        <w:ind w:firstLine="590"/>
        <w:spacing w:after="0" w:line="24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$73.3 million, or 17.6%, to $490.6 million for the three months ended September 30, 2021 from $417.3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2020. Leasing revenue increased $63.3 million, or 21.1%, as compared to the same period in 2020 driven by improved pricing and value added products, and an increase of 19,408 average portable storage units on rent driven by significant increases in delivery activity during 2021 across portable storage units as economic activity rebounded versus 2020. Delivery and installation revenues increased $15.0 million, or 17.7%, due to increased overall activity across all of our segments. Rental unit sales decreased $1.6 million, or 12.1%, and new unit sales decreased $3.5 million, or 18.0%.</w:t>
      </w:r>
    </w:p>
    <w:p>
      <w:pPr>
        <w:spacing w:after="0" w:line="40"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Total average units on rent for the three months ended September 30, 2021 and 2020 were 273,080 and 255,067, respectively, representing an increase of 18,013, or 7.1%. Portable storage average units on rent increased by 19,408 units, or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0" w:name="page41"/>
    <w:bookmarkEnd w:id="40"/>
    <w:p>
      <w:pPr>
        <w:jc w:val="both"/>
        <w:spacing w:after="0"/>
        <w:rPr>
          <w:sz w:val="20"/>
          <w:szCs w:val="20"/>
          <w:color w:val="auto"/>
        </w:rPr>
      </w:pPr>
      <w:r>
        <w:rPr>
          <w:rFonts w:ascii="Arial" w:cs="Arial" w:eastAsia="Arial" w:hAnsi="Arial"/>
          <w:sz w:val="15"/>
          <w:szCs w:val="15"/>
          <w:color w:val="auto"/>
        </w:rPr>
        <w:t>13.5%, for the three months ended September 30, 2021 driven by strong delivery growth in 2021 as a result of increased economic activity versus 2020. The average portable storage unit utilization rate during the three months ended September 30, 2021 was 83.9%, as compared to 73.2% during the same period in 2020. Modular space average units on rent decreased 1,395 units, or 1.3%, for the three months ended September 30, 2021 as compared to the three months ended September 30, 2020 driven by lower deliveries during 2020 as a result of the COVID-19 pandemic and delivery activity in 2021 has not rebounded as significantly for modular products as it has for portable storage products. The average modular space unit utilization rate during the three months ended September 30, 2021 was 70.1%, as compared to 70.6% during the same period in 2020.</w:t>
      </w:r>
    </w:p>
    <w:p>
      <w:pPr>
        <w:spacing w:after="0" w:line="4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Modular space average monthly rental rates increased 19.8% to $767 for the three months ended September 30, 2021. Improved pricing was achieved across all relevant segments. Average modular space monthly rental rates increased by $141, or 20.3%, to $834 in the NA Modular segment, by $97, or 19.2%, in the NA Storage segment, and by $98, or 27.5% in the UK Storage segment. Increases were driven by a continuation of the long-term price optimization and VAPS penetration opportunities across our NA Modular segment as well as by some early application of these same price management tools and processes across the NA Storage and UK Storage segments. NA Storage also is beginning to see early benefits from increased VAPS penetration opportunities.</w:t>
      </w:r>
    </w:p>
    <w:p>
      <w:pPr>
        <w:spacing w:after="0" w:line="4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Average portable storage monthly rental rates increased 10.7% to $145 for the three months ended September 30, 2021 driven by our price management tools and processes, further supported by tight supply on portable storage containers in the markets in which we operate.</w:t>
      </w:r>
    </w:p>
    <w:p>
      <w:pPr>
        <w:spacing w:after="0" w:line="71"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51.7% and 50.2% for the three months ended September 30, 2021 and 2020, respectively. Our gross profit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percentage, excluding the effects of depreciation, was 63.2% and 63.4% for the three months ended September 30, 2021 and 2020, respectively.</w:t>
      </w:r>
    </w:p>
    <w:p>
      <w:pPr>
        <w:spacing w:after="0" w:line="22"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Gross profit increased $44.0 million, or 21.0%, to $253.5 million for the three months ended September 30, 2021 from $209.6 million for the three months ended September 30, 2020. The increase in gross profit is a result of a $45.7 million increase in leasing gross profit and increased delivery and installation gross profit of $0.4 million, partially offset by decreased new and rental unit sale margins of $0.5 million. Increases were primarily a result of increased revenues due to favorable average monthly rental rates across both portable storage and modular space units, as well as due to increased portable storage units on rent, partially offset by increased variable costs during the period as a result of increased delivery activity. Depreciation increased $1.6 million as a result of capital investments made over the past twelve months in our existing rental equipment.</w:t>
      </w:r>
    </w:p>
    <w:p>
      <w:pPr>
        <w:spacing w:after="0" w:line="78"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4"/>
          <w:szCs w:val="14"/>
          <w:b w:val="1"/>
          <w:bCs w:val="1"/>
          <w:i w:val="1"/>
          <w:iCs w:val="1"/>
          <w:color w:val="auto"/>
        </w:rPr>
        <w:t xml:space="preserve">SG&amp;A: </w:t>
      </w:r>
      <w:r>
        <w:rPr>
          <w:rFonts w:ascii="Arial" w:cs="Arial" w:eastAsia="Arial" w:hAnsi="Arial"/>
          <w:sz w:val="14"/>
          <w:szCs w:val="14"/>
          <w:color w:val="auto"/>
        </w:rPr>
        <w:t>Selling, general and administrative ("SG&amp;A") increased $21.3 million, or 19.0%, to $133.4 million for the three months ended September 30,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$112.1 million for the three months ended September 30, 2020. Approximately $6.9 million of the increase is related to variable compensation and commissions related to increased delivery activity and financial performance with other increases in occupancy costs, insurance costs, and increased travel and entertainment costs as travel reopened a bit more as compared to 2020. Additionally, as a result of the Merger and the related integration, integration costs increased $1.1 million to $8.2 million for the three months ended September 30, 2021, compared to $7.1 million for the three months ended September 30, 2020, and stock compensation expense increased $3.4 million to $6.3 million for the three months ended September 30, 2021, compared to $2.9 million for the three months ended September 30, 2020.</w:t>
      </w:r>
    </w:p>
    <w:p>
      <w:pPr>
        <w:spacing w:after="0" w:line="61"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Transaction Costs: </w:t>
      </w:r>
      <w:r>
        <w:rPr>
          <w:rFonts w:ascii="Arial" w:cs="Arial" w:eastAsia="Arial" w:hAnsi="Arial"/>
          <w:sz w:val="15"/>
          <w:szCs w:val="15"/>
          <w:color w:val="auto"/>
        </w:rPr>
        <w:t>Transaction costs decreased from $52.2 million for the three months ended September 30, 2020 to $0.3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2021. Transaction costs for the three months ended September 30, 2020 were related to the Merger which closed on July 1, 2020.</w:t>
      </w:r>
    </w:p>
    <w:p>
      <w:pPr>
        <w:spacing w:after="0" w:line="53"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$1.9 million to $18.8 million for the three months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compared to $16.9 million for the three months ended September 30, 2020. The increase was driven by increased depreciation as a result of our recent investments in our enterprise resource planning system and other infrastructure investments across our branch network.</w:t>
      </w:r>
    </w:p>
    <w:p>
      <w:pPr>
        <w:spacing w:after="0" w:line="65"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was $0.6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2021 as compared to $0.9 million for the three months ended September 30, 2020.</w:t>
      </w:r>
    </w:p>
    <w:p>
      <w:pPr>
        <w:spacing w:after="0" w:line="53"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In the three months ended September 30, 2021, the Company had $1.9 million of restructuring costs. In the three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2020, the Company had $3.9 million of restructuring costs. Restructuring costs in both periods were primarily driven by employee termination costs as a result of the elimination of positions due to the Merger.</w:t>
      </w:r>
    </w:p>
    <w:p>
      <w:pPr>
        <w:spacing w:after="0" w:line="16"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Currency Losses (Gains), net: </w:t>
      </w:r>
      <w:r>
        <w:rPr>
          <w:rFonts w:ascii="Arial" w:cs="Arial" w:eastAsia="Arial" w:hAnsi="Arial"/>
          <w:sz w:val="15"/>
          <w:szCs w:val="15"/>
          <w:color w:val="auto"/>
        </w:rPr>
        <w:t>Currency losses, net changed by $0.5 million to a $0.1 million loss for the three months ended September 30, 2021 from a $0.4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gain for the three months ended September 30, 2020. This change was primarily attributable to the impact of foreign currency exchanges rate changes on intercompany receivables and payables denominated in a currency other than the subsidiary's functional currency.</w:t>
      </w:r>
    </w:p>
    <w:p>
      <w:pPr>
        <w:spacing w:after="0" w:line="65"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Other Expense (Income), Net: </w:t>
      </w:r>
      <w:r>
        <w:rPr>
          <w:rFonts w:ascii="Arial" w:cs="Arial" w:eastAsia="Arial" w:hAnsi="Arial"/>
          <w:sz w:val="15"/>
          <w:szCs w:val="15"/>
          <w:color w:val="auto"/>
        </w:rPr>
        <w:t>Other expense (income), net was expense of $1.5 million for the three months ended September 30, 2021 compared to income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$1.0 million for the three months ended September 30, 2020. Other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1" w:name="page42"/>
    <w:bookmarkEnd w:id="41"/>
    <w:p>
      <w:pPr>
        <w:jc w:val="both"/>
        <w:spacing w:after="0" w:line="246" w:lineRule="auto"/>
        <w:rPr>
          <w:sz w:val="20"/>
          <w:szCs w:val="20"/>
          <w:color w:val="auto"/>
        </w:rPr>
      </w:pPr>
      <w:r>
        <w:rPr>
          <w:rFonts w:ascii="Arial" w:cs="Arial" w:eastAsia="Arial" w:hAnsi="Arial"/>
          <w:sz w:val="15"/>
          <w:szCs w:val="15"/>
          <w:color w:val="auto"/>
        </w:rPr>
        <w:t>of $1.5 million for the three months ended September 30, 2021 is primarily related to losses incurred related to Hurricane Ida in the Gulf Coast area of the United States, and other income, net of $1.0 million for the three months ended September 30, 2020 reflected the reversal of a non-income tax liability of $1.3 million.</w:t>
      </w:r>
    </w:p>
    <w:p>
      <w:pPr>
        <w:spacing w:after="0" w:line="7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decreased $3.8 million, or 11.5%, to $29.2 million for the three months ended September 30, 2021 from $33.0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2020. The decrease in interest expense is a result of the lower overall weighted average interest rates as a result of our financing activities. See Note 9 to the condensed consolidated financial statements for further discussion of our debt.</w:t>
      </w:r>
    </w:p>
    <w:p>
      <w:pPr>
        <w:spacing w:after="0" w:line="65"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b w:val="1"/>
          <w:bCs w:val="1"/>
          <w:i w:val="1"/>
          <w:iCs w:val="1"/>
          <w:color w:val="auto"/>
        </w:rPr>
        <w:t xml:space="preserve">Fair Value Loss on Common Stock Warrant Liabilities: </w:t>
      </w:r>
      <w:r>
        <w:rPr>
          <w:rFonts w:ascii="Arial" w:cs="Arial" w:eastAsia="Arial" w:hAnsi="Arial"/>
          <w:sz w:val="15"/>
          <w:szCs w:val="15"/>
          <w:color w:val="auto"/>
        </w:rPr>
        <w:t>The fair value loss on common stock warrant liabilities was a $22.3 million loss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2020. The loss for the three months ended September 30, 2020 was primarily due to the change in estimated fair value of common stock warrant liabilities. At September 30, 2021, no 2015 Public or Private Warrants were outstanding, and as a result, there was no fair value loss on common stock warrant liabilities recorded for the three months ended September 30, 2021. At September 30, 2021, 6,525,736 2018 Warrants were outstanding and classified as a component of equity, therefore, we will not reflect a common stock warrant liability on our balance sheet or related income or expense from changes in fair value on our statement of operations in the future.</w:t>
      </w:r>
    </w:p>
    <w:p>
      <w:pPr>
        <w:spacing w:after="0" w:line="75"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During the three months ended September 30, 2020, as a result of the Merger and the related financing transactions,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recorded a loss on extinguishment of debt of $42.4 million. This loss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the 2017 ABL Facility.</w:t>
      </w:r>
    </w:p>
    <w:p>
      <w:pPr>
        <w:spacing w:after="0" w:line="68"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$73.3 million to an expense of $6.6 million for the three months ended September 30, 2021 compared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benefit of $66.7 million for the three months ended September 30, 2020. The increase in expense was driven by pre-tax income increase for the three months ended September 30, 2021. Additionally, a $54.1 million tax benefit was recorded in three months ended September 30, 2020 due to the reversal of the Company's valuation allowance after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Nine Months Ended September 30, 2021 Compared to the Nine Months Ended September 30, 2020</w:t>
      </w:r>
    </w:p>
    <w:p>
      <w:pPr>
        <w:spacing w:after="0" w:line="134" w:lineRule="exact"/>
        <w:rPr>
          <w:sz w:val="20"/>
          <w:szCs w:val="20"/>
          <w:color w:val="auto"/>
        </w:rPr>
      </w:pPr>
    </w:p>
    <w:p>
      <w:pPr>
        <w:ind w:firstLine="590"/>
        <w:spacing w:after="0" w:line="246" w:lineRule="auto"/>
        <w:rPr>
          <w:sz w:val="20"/>
          <w:szCs w:val="20"/>
          <w:color w:val="auto"/>
        </w:rPr>
      </w:pPr>
      <w:r>
        <w:rPr>
          <w:rFonts w:ascii="Arial" w:cs="Arial" w:eastAsia="Arial" w:hAnsi="Arial"/>
          <w:sz w:val="15"/>
          <w:szCs w:val="15"/>
          <w:color w:val="auto"/>
        </w:rPr>
        <w:t>Our condensed consolidated statements of operations for the nine months ended September 30, 2021 and 2020 are presented below. The below results only include Mobile Mini for the periods subsequent to the Merger: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shd w:val="clear" w:color="auto" w:fill="1D2758"/>
          </w:tcPr>
          <w:p>
            <w:pPr>
              <w:spacing w:after="0"/>
              <w:rPr>
                <w:sz w:val="19"/>
                <w:szCs w:val="19"/>
                <w:color w:val="auto"/>
              </w:rPr>
            </w:pPr>
          </w:p>
        </w:tc>
        <w:tc>
          <w:tcPr>
            <w:tcW w:w="3400" w:type="dxa"/>
            <w:vAlign w:val="bottom"/>
            <w:gridSpan w:val="4"/>
            <w:shd w:val="clear" w:color="auto" w:fill="1D2758"/>
          </w:tcPr>
          <w:p>
            <w:pPr>
              <w:jc w:val="right"/>
              <w:ind w:right="6"/>
              <w:spacing w:after="0"/>
              <w:rPr>
                <w:sz w:val="20"/>
                <w:szCs w:val="20"/>
                <w:color w:val="auto"/>
              </w:rPr>
            </w:pPr>
            <w:r>
              <w:rPr>
                <w:rFonts w:ascii="Arial" w:cs="Arial" w:eastAsia="Arial" w:hAnsi="Arial"/>
                <w:sz w:val="15"/>
                <w:szCs w:val="15"/>
                <w:b w:val="1"/>
                <w:bCs w:val="1"/>
                <w:color w:val="FFFFFF"/>
              </w:rPr>
              <w:t>Nine Months Ended September 30,</w:t>
            </w:r>
          </w:p>
        </w:tc>
        <w:tc>
          <w:tcPr>
            <w:tcW w:w="70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140" w:type="dxa"/>
            <w:vAlign w:val="bottom"/>
            <w:shd w:val="clear" w:color="auto" w:fill="1D2758"/>
          </w:tcPr>
          <w:p>
            <w:pPr>
              <w:spacing w:after="0"/>
              <w:rPr>
                <w:sz w:val="19"/>
                <w:szCs w:val="19"/>
                <w:color w:val="auto"/>
              </w:rPr>
            </w:pPr>
          </w:p>
        </w:tc>
        <w:tc>
          <w:tcPr>
            <w:tcW w:w="86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0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7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300" w:type="dxa"/>
            <w:vAlign w:val="bottom"/>
            <w:vMerge w:val="restart"/>
            <w:shd w:val="clear" w:color="auto" w:fill="1D2758"/>
          </w:tcPr>
          <w:p>
            <w:pPr>
              <w:jc w:val="right"/>
              <w:ind w:right="66"/>
              <w:spacing w:after="0"/>
              <w:rPr>
                <w:sz w:val="20"/>
                <w:szCs w:val="20"/>
                <w:color w:val="auto"/>
              </w:rPr>
            </w:pPr>
            <w:r>
              <w:rPr>
                <w:rFonts w:ascii="Arial" w:cs="Arial" w:eastAsia="Arial" w:hAnsi="Arial"/>
                <w:sz w:val="15"/>
                <w:szCs w:val="15"/>
                <w:b w:val="1"/>
                <w:bCs w:val="1"/>
                <w:color w:val="FFFFFF"/>
              </w:rPr>
              <w:t>2020</w:t>
            </w:r>
          </w:p>
        </w:tc>
        <w:tc>
          <w:tcPr>
            <w:tcW w:w="7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1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 vs. 2020</w:t>
            </w:r>
          </w:p>
        </w:tc>
        <w:tc>
          <w:tcPr>
            <w:tcW w:w="860" w:type="dxa"/>
            <w:vAlign w:val="bottom"/>
            <w:shd w:val="clear" w:color="auto" w:fill="1D2758"/>
          </w:tcPr>
          <w:p>
            <w:pPr>
              <w:jc w:val="right"/>
              <w:ind w:right="106"/>
              <w:spacing w:after="0"/>
              <w:rPr>
                <w:sz w:val="20"/>
                <w:szCs w:val="20"/>
                <w:color w:val="auto"/>
              </w:rPr>
            </w:pPr>
            <w:r>
              <w:rPr>
                <w:rFonts w:ascii="Arial" w:cs="Arial" w:eastAsia="Arial" w:hAnsi="Arial"/>
                <w:sz w:val="15"/>
                <w:szCs w:val="15"/>
                <w:b w:val="1"/>
                <w:bCs w:val="1"/>
                <w:color w:val="FFFFFF"/>
                <w:w w:val="97"/>
              </w:rPr>
              <w:t>$ Change</w:t>
            </w:r>
          </w:p>
        </w:tc>
        <w:tc>
          <w:tcPr>
            <w:tcW w:w="0" w:type="dxa"/>
            <w:vAlign w:val="bottom"/>
          </w:tcPr>
          <w:p>
            <w:pPr>
              <w:spacing w:after="0"/>
              <w:rPr>
                <w:sz w:val="1"/>
                <w:szCs w:val="1"/>
                <w:color w:val="auto"/>
              </w:rPr>
            </w:pPr>
          </w:p>
        </w:tc>
      </w:tr>
      <w:tr>
        <w:trPr>
          <w:trHeight w:val="91"/>
        </w:trPr>
        <w:tc>
          <w:tcPr>
            <w:tcW w:w="504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780" w:type="dxa"/>
            <w:vAlign w:val="bottom"/>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1300" w:type="dxa"/>
            <w:vAlign w:val="bottom"/>
            <w:vMerge w:val="continue"/>
            <w:shd w:val="clear" w:color="auto" w:fill="1D2758"/>
          </w:tcPr>
          <w:p>
            <w:pPr>
              <w:spacing w:after="0"/>
              <w:rPr>
                <w:sz w:val="7"/>
                <w:szCs w:val="7"/>
                <w:color w:val="auto"/>
              </w:rPr>
            </w:pPr>
          </w:p>
        </w:tc>
        <w:tc>
          <w:tcPr>
            <w:tcW w:w="70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140" w:type="dxa"/>
            <w:vAlign w:val="bottom"/>
            <w:shd w:val="clear" w:color="auto" w:fill="1D2758"/>
          </w:tcPr>
          <w:p>
            <w:pPr>
              <w:spacing w:after="0"/>
              <w:rPr>
                <w:sz w:val="7"/>
                <w:szCs w:val="7"/>
                <w:color w:val="auto"/>
              </w:rPr>
            </w:pPr>
          </w:p>
        </w:tc>
        <w:tc>
          <w:tcPr>
            <w:tcW w:w="8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Leasing</w:t>
            </w:r>
          </w:p>
        </w:tc>
        <w:tc>
          <w:tcPr>
            <w:tcW w:w="1240" w:type="dxa"/>
            <w:vAlign w:val="bottom"/>
            <w:shd w:val="clear" w:color="auto" w:fill="DBDBDB"/>
          </w:tcPr>
          <w:p>
            <w:pPr>
              <w:jc w:val="right"/>
              <w:ind w:right="1066"/>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1,022,237</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1126"/>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678,577</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96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343,660</w:t>
            </w:r>
          </w:p>
        </w:tc>
        <w:tc>
          <w:tcPr>
            <w:tcW w:w="0" w:type="dxa"/>
            <w:vAlign w:val="bottom"/>
          </w:tcPr>
          <w:p>
            <w:pPr>
              <w:spacing w:after="0"/>
              <w:rPr>
                <w:sz w:val="1"/>
                <w:szCs w:val="1"/>
                <w:color w:val="auto"/>
              </w:rPr>
            </w:pPr>
          </w:p>
        </w:tc>
      </w:tr>
      <w:tr>
        <w:trPr>
          <w:trHeight w:val="194"/>
        </w:trPr>
        <w:tc>
          <w:tcPr>
            <w:tcW w:w="5040" w:type="dxa"/>
            <w:vAlign w:val="bottom"/>
          </w:tcPr>
          <w:p>
            <w:pPr>
              <w:ind w:left="400"/>
              <w:spacing w:after="0"/>
              <w:rPr>
                <w:sz w:val="20"/>
                <w:szCs w:val="20"/>
                <w:color w:val="auto"/>
              </w:rPr>
            </w:pPr>
            <w:r>
              <w:rPr>
                <w:rFonts w:ascii="Arial" w:cs="Arial" w:eastAsia="Arial" w:hAnsi="Arial"/>
                <w:sz w:val="15"/>
                <w:szCs w:val="15"/>
                <w:color w:val="auto"/>
              </w:rPr>
              <w:t>Delivery and installation</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274,883</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187,404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87,479</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40" w:type="dxa"/>
            <w:vAlign w:val="bottom"/>
          </w:tcPr>
          <w:p>
            <w:pPr>
              <w:ind w:left="400"/>
              <w:spacing w:after="0"/>
              <w:rPr>
                <w:sz w:val="20"/>
                <w:szCs w:val="20"/>
                <w:color w:val="auto"/>
              </w:rPr>
            </w:pPr>
            <w:r>
              <w:rPr>
                <w:rFonts w:ascii="Arial" w:cs="Arial" w:eastAsia="Arial" w:hAnsi="Arial"/>
                <w:sz w:val="15"/>
                <w:szCs w:val="15"/>
                <w:color w:val="auto"/>
              </w:rPr>
              <w:t>New units</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37,823</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38,736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Rental units</w:t>
            </w:r>
          </w:p>
        </w:tc>
        <w:tc>
          <w:tcPr>
            <w:tcW w:w="124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42,034</w:t>
            </w:r>
          </w:p>
        </w:tc>
        <w:tc>
          <w:tcPr>
            <w:tcW w:w="80" w:type="dxa"/>
            <w:vAlign w:val="bottom"/>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25,281</w:t>
            </w:r>
          </w:p>
        </w:tc>
        <w:tc>
          <w:tcPr>
            <w:tcW w:w="100" w:type="dxa"/>
            <w:vAlign w:val="bottom"/>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16,753</w:t>
            </w:r>
          </w:p>
        </w:tc>
        <w:tc>
          <w:tcPr>
            <w:tcW w:w="0" w:type="dxa"/>
            <w:vAlign w:val="bottom"/>
          </w:tcPr>
          <w:p>
            <w:pPr>
              <w:spacing w:after="0"/>
              <w:rPr>
                <w:sz w:val="1"/>
                <w:szCs w:val="1"/>
                <w:color w:val="auto"/>
              </w:rPr>
            </w:pPr>
          </w:p>
        </w:tc>
      </w:tr>
      <w:tr>
        <w:trPr>
          <w:trHeight w:val="186"/>
        </w:trPr>
        <w:tc>
          <w:tcPr>
            <w:tcW w:w="5040" w:type="dxa"/>
            <w:vAlign w:val="bottom"/>
          </w:tcPr>
          <w:p>
            <w:pPr>
              <w:ind w:left="600"/>
              <w:spacing w:after="0"/>
              <w:rPr>
                <w:sz w:val="20"/>
                <w:szCs w:val="20"/>
                <w:color w:val="auto"/>
              </w:rPr>
            </w:pPr>
            <w:r>
              <w:rPr>
                <w:rFonts w:ascii="Arial" w:cs="Arial" w:eastAsia="Arial" w:hAnsi="Arial"/>
                <w:sz w:val="15"/>
                <w:szCs w:val="15"/>
                <w:color w:val="auto"/>
              </w:rPr>
              <w:t>Total revenues</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1,376,977</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929,998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446,979</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Leasing</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235,375</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162,344</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73,031</w:t>
            </w:r>
          </w:p>
        </w:tc>
        <w:tc>
          <w:tcPr>
            <w:tcW w:w="0" w:type="dxa"/>
            <w:vAlign w:val="bottom"/>
          </w:tcPr>
          <w:p>
            <w:pPr>
              <w:spacing w:after="0"/>
              <w:rPr>
                <w:sz w:val="1"/>
                <w:szCs w:val="1"/>
                <w:color w:val="auto"/>
              </w:rPr>
            </w:pPr>
          </w:p>
        </w:tc>
      </w:tr>
      <w:tr>
        <w:trPr>
          <w:trHeight w:val="194"/>
        </w:trPr>
        <w:tc>
          <w:tcPr>
            <w:tcW w:w="5040" w:type="dxa"/>
            <w:vAlign w:val="bottom"/>
          </w:tcPr>
          <w:p>
            <w:pPr>
              <w:ind w:left="400"/>
              <w:spacing w:after="0"/>
              <w:rPr>
                <w:sz w:val="20"/>
                <w:szCs w:val="20"/>
                <w:color w:val="auto"/>
              </w:rPr>
            </w:pPr>
            <w:r>
              <w:rPr>
                <w:rFonts w:ascii="Arial" w:cs="Arial" w:eastAsia="Arial" w:hAnsi="Arial"/>
                <w:sz w:val="15"/>
                <w:szCs w:val="15"/>
                <w:color w:val="auto"/>
              </w:rPr>
              <w:t>Delivery and installation</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228,280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153,742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74,538</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40" w:type="dxa"/>
            <w:vAlign w:val="bottom"/>
          </w:tcPr>
          <w:p>
            <w:pPr>
              <w:ind w:left="400"/>
              <w:spacing w:after="0"/>
              <w:rPr>
                <w:sz w:val="20"/>
                <w:szCs w:val="20"/>
                <w:color w:val="auto"/>
              </w:rPr>
            </w:pPr>
            <w:r>
              <w:rPr>
                <w:rFonts w:ascii="Arial" w:cs="Arial" w:eastAsia="Arial" w:hAnsi="Arial"/>
                <w:sz w:val="15"/>
                <w:szCs w:val="15"/>
                <w:color w:val="auto"/>
              </w:rPr>
              <w:t>New units</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25,660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25,469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Rental units</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22,870</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16,446</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6,424</w:t>
            </w:r>
          </w:p>
        </w:tc>
        <w:tc>
          <w:tcPr>
            <w:tcW w:w="0" w:type="dxa"/>
            <w:vAlign w:val="bottom"/>
          </w:tcPr>
          <w:p>
            <w:pPr>
              <w:spacing w:after="0"/>
              <w:rPr>
                <w:sz w:val="1"/>
                <w:szCs w:val="1"/>
                <w:color w:val="auto"/>
              </w:rPr>
            </w:pPr>
          </w:p>
        </w:tc>
      </w:tr>
      <w:tr>
        <w:trPr>
          <w:trHeight w:val="194"/>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175,053</w:t>
            </w:r>
          </w:p>
        </w:tc>
        <w:tc>
          <w:tcPr>
            <w:tcW w:w="80" w:type="dxa"/>
            <w:vAlign w:val="bottom"/>
            <w:tcBorders>
              <w:bottom w:val="single" w:sz="8" w:color="DBDBDB"/>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146,279</w:t>
            </w:r>
          </w:p>
        </w:tc>
        <w:tc>
          <w:tcPr>
            <w:tcW w:w="100" w:type="dxa"/>
            <w:vAlign w:val="bottom"/>
            <w:tcBorders>
              <w:bottom w:val="single" w:sz="8" w:color="DBDBDB"/>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28,774</w:t>
            </w:r>
          </w:p>
        </w:tc>
        <w:tc>
          <w:tcPr>
            <w:tcW w:w="0" w:type="dxa"/>
            <w:vAlign w:val="bottom"/>
          </w:tcPr>
          <w:p>
            <w:pPr>
              <w:spacing w:after="0"/>
              <w:rPr>
                <w:sz w:val="1"/>
                <w:szCs w:val="1"/>
                <w:color w:val="auto"/>
              </w:rPr>
            </w:pPr>
          </w:p>
        </w:tc>
      </w:tr>
      <w:tr>
        <w:trPr>
          <w:trHeight w:val="192"/>
        </w:trPr>
        <w:tc>
          <w:tcPr>
            <w:tcW w:w="5040" w:type="dxa"/>
            <w:vAlign w:val="bottom"/>
            <w:shd w:val="clear" w:color="auto" w:fill="DBDBDB"/>
          </w:tcPr>
          <w:p>
            <w:pPr>
              <w:ind w:left="400"/>
              <w:spacing w:after="0"/>
              <w:rPr>
                <w:sz w:val="20"/>
                <w:szCs w:val="20"/>
                <w:color w:val="auto"/>
              </w:rPr>
            </w:pPr>
            <w:r>
              <w:rPr>
                <w:rFonts w:ascii="Arial" w:cs="Arial" w:eastAsia="Arial" w:hAnsi="Arial"/>
                <w:sz w:val="15"/>
                <w:szCs w:val="15"/>
                <w:color w:val="auto"/>
              </w:rPr>
              <w:t>Gross profit</w:t>
            </w:r>
          </w:p>
        </w:tc>
        <w:tc>
          <w:tcPr>
            <w:tcW w:w="124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689,739</w:t>
            </w: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425,718</w:t>
            </w:r>
          </w:p>
        </w:tc>
        <w:tc>
          <w:tcPr>
            <w:tcW w:w="10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264,021</w:t>
            </w:r>
          </w:p>
        </w:tc>
        <w:tc>
          <w:tcPr>
            <w:tcW w:w="0" w:type="dxa"/>
            <w:vAlign w:val="bottom"/>
          </w:tcPr>
          <w:p>
            <w:pPr>
              <w:spacing w:after="0"/>
              <w:rPr>
                <w:sz w:val="1"/>
                <w:szCs w:val="1"/>
                <w:color w:val="auto"/>
              </w:rPr>
            </w:pPr>
          </w:p>
        </w:tc>
      </w:tr>
      <w:tr>
        <w:trPr>
          <w:trHeight w:val="194"/>
        </w:trPr>
        <w:tc>
          <w:tcPr>
            <w:tcW w:w="5040" w:type="dxa"/>
            <w:vAlign w:val="bottom"/>
          </w:tcPr>
          <w:p>
            <w:pPr>
              <w:ind w:left="20"/>
              <w:spacing w:after="0"/>
              <w:rPr>
                <w:sz w:val="20"/>
                <w:szCs w:val="20"/>
                <w:color w:val="auto"/>
              </w:rPr>
            </w:pPr>
            <w:r>
              <w:rPr>
                <w:rFonts w:ascii="Arial" w:cs="Arial" w:eastAsia="Arial" w:hAnsi="Arial"/>
                <w:sz w:val="15"/>
                <w:szCs w:val="15"/>
                <w:color w:val="auto"/>
              </w:rPr>
              <w:t>Expenses:</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372,296</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241,269</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131,027</w:t>
            </w:r>
          </w:p>
        </w:tc>
        <w:tc>
          <w:tcPr>
            <w:tcW w:w="0" w:type="dxa"/>
            <w:vAlign w:val="bottom"/>
          </w:tcPr>
          <w:p>
            <w:pPr>
              <w:spacing w:after="0"/>
              <w:rPr>
                <w:sz w:val="1"/>
                <w:szCs w:val="1"/>
                <w:color w:val="auto"/>
              </w:rPr>
            </w:pPr>
          </w:p>
        </w:tc>
      </w:tr>
      <w:tr>
        <w:trPr>
          <w:trHeight w:val="194"/>
        </w:trPr>
        <w:tc>
          <w:tcPr>
            <w:tcW w:w="504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1,147</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63,241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(62,094)</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depreciation and amortization</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58,760</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22,824</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35,936</w:t>
            </w:r>
          </w:p>
        </w:tc>
        <w:tc>
          <w:tcPr>
            <w:tcW w:w="0" w:type="dxa"/>
            <w:vAlign w:val="bottom"/>
          </w:tcPr>
          <w:p>
            <w:pPr>
              <w:spacing w:after="0"/>
              <w:rPr>
                <w:sz w:val="1"/>
                <w:szCs w:val="1"/>
                <w:color w:val="auto"/>
              </w:rPr>
            </w:pPr>
          </w:p>
        </w:tc>
      </w:tr>
      <w:tr>
        <w:trPr>
          <w:trHeight w:val="194"/>
        </w:trPr>
        <w:tc>
          <w:tcPr>
            <w:tcW w:w="5040" w:type="dxa"/>
            <w:vAlign w:val="bottom"/>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2,328</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3,999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(1,671)</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11,958</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4,543</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7,415</w:t>
            </w:r>
          </w:p>
        </w:tc>
        <w:tc>
          <w:tcPr>
            <w:tcW w:w="0" w:type="dxa"/>
            <w:vAlign w:val="bottom"/>
          </w:tcPr>
          <w:p>
            <w:pPr>
              <w:spacing w:after="0"/>
              <w:rPr>
                <w:sz w:val="1"/>
                <w:szCs w:val="1"/>
                <w:color w:val="auto"/>
              </w:rPr>
            </w:pPr>
          </w:p>
        </w:tc>
      </w:tr>
      <w:tr>
        <w:trPr>
          <w:trHeight w:val="194"/>
        </w:trPr>
        <w:tc>
          <w:tcPr>
            <w:tcW w:w="504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(income), net</w:t>
            </w:r>
          </w:p>
        </w:tc>
        <w:tc>
          <w:tcPr>
            <w:tcW w:w="124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207</w:t>
            </w:r>
          </w:p>
        </w:tc>
        <w:tc>
          <w:tcPr>
            <w:tcW w:w="80" w:type="dxa"/>
            <w:vAlign w:val="bottom"/>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(1,757)</w:t>
            </w:r>
          </w:p>
        </w:tc>
        <w:tc>
          <w:tcPr>
            <w:tcW w:w="100" w:type="dxa"/>
            <w:vAlign w:val="bottom"/>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186"/>
        </w:trPr>
        <w:tc>
          <w:tcPr>
            <w:tcW w:w="5040" w:type="dxa"/>
            <w:vAlign w:val="bottom"/>
          </w:tcPr>
          <w:p>
            <w:pPr>
              <w:ind w:left="400"/>
              <w:spacing w:after="0"/>
              <w:rPr>
                <w:sz w:val="20"/>
                <w:szCs w:val="20"/>
                <w:color w:val="auto"/>
              </w:rPr>
            </w:pPr>
            <w:r>
              <w:rPr>
                <w:rFonts w:ascii="Arial" w:cs="Arial" w:eastAsia="Arial" w:hAnsi="Arial"/>
                <w:sz w:val="15"/>
                <w:szCs w:val="15"/>
                <w:color w:val="auto"/>
              </w:rPr>
              <w:t>Operating income</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242,847</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91,452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151,395</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88,377</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89,810</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(1,433)</w:t>
            </w:r>
          </w:p>
        </w:tc>
        <w:tc>
          <w:tcPr>
            <w:tcW w:w="0" w:type="dxa"/>
            <w:vAlign w:val="bottom"/>
          </w:tcPr>
          <w:p>
            <w:pPr>
              <w:spacing w:after="0"/>
              <w:rPr>
                <w:sz w:val="1"/>
                <w:szCs w:val="1"/>
                <w:color w:val="auto"/>
              </w:rPr>
            </w:pPr>
          </w:p>
        </w:tc>
      </w:tr>
      <w:tr>
        <w:trPr>
          <w:trHeight w:val="194"/>
        </w:trPr>
        <w:tc>
          <w:tcPr>
            <w:tcW w:w="5040" w:type="dxa"/>
            <w:vAlign w:val="bottom"/>
          </w:tcPr>
          <w:p>
            <w:pPr>
              <w:ind w:left="220"/>
              <w:spacing w:after="0"/>
              <w:rPr>
                <w:sz w:val="20"/>
                <w:szCs w:val="20"/>
                <w:color w:val="auto"/>
              </w:rPr>
            </w:pPr>
            <w:r>
              <w:rPr>
                <w:rFonts w:ascii="Arial" w:cs="Arial" w:eastAsia="Arial" w:hAnsi="Arial"/>
                <w:sz w:val="15"/>
                <w:szCs w:val="15"/>
                <w:color w:val="auto"/>
              </w:rPr>
              <w:t>Fair value loss (gain) on common stock warrant liabilities</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26,597</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(46,063)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72,660</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124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80" w:type="dxa"/>
            <w:vAlign w:val="bottom"/>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42,401</w:t>
            </w:r>
          </w:p>
        </w:tc>
        <w:tc>
          <w:tcPr>
            <w:tcW w:w="100" w:type="dxa"/>
            <w:vAlign w:val="bottom"/>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(36,402)</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5"/>
                <w:szCs w:val="15"/>
                <w:color w:val="auto"/>
              </w:rPr>
              <w:t>Income before income tax</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121,874</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5,304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116,570</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(benefit)</w:t>
            </w:r>
          </w:p>
        </w:tc>
        <w:tc>
          <w:tcPr>
            <w:tcW w:w="124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35,953</w:t>
            </w:r>
          </w:p>
        </w:tc>
        <w:tc>
          <w:tcPr>
            <w:tcW w:w="80" w:type="dxa"/>
            <w:vAlign w:val="bottom"/>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(66,170)</w:t>
            </w:r>
          </w:p>
        </w:tc>
        <w:tc>
          <w:tcPr>
            <w:tcW w:w="100" w:type="dxa"/>
            <w:vAlign w:val="bottom"/>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102,123</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85,921</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71,474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14,447</w:t>
            </w:r>
          </w:p>
        </w:tc>
        <w:tc>
          <w:tcPr>
            <w:tcW w:w="0" w:type="dxa"/>
            <w:vAlign w:val="bottom"/>
          </w:tcPr>
          <w:p>
            <w:pPr>
              <w:spacing w:after="0"/>
              <w:rPr>
                <w:sz w:val="1"/>
                <w:szCs w:val="1"/>
                <w:color w:val="auto"/>
              </w:rPr>
            </w:pPr>
          </w:p>
        </w:tc>
      </w:tr>
      <w:tr>
        <w:trPr>
          <w:trHeight w:val="199"/>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attributable to non-controlling interest, net of tax</w:t>
            </w:r>
          </w:p>
        </w:tc>
        <w:tc>
          <w:tcPr>
            <w:tcW w:w="1240" w:type="dxa"/>
            <w:vAlign w:val="bottom"/>
            <w:shd w:val="clear" w:color="auto" w:fill="DBDBDB"/>
          </w:tcPr>
          <w:p>
            <w:pPr>
              <w:spacing w:after="0"/>
              <w:rPr>
                <w:sz w:val="17"/>
                <w:szCs w:val="17"/>
                <w:color w:val="auto"/>
              </w:rPr>
            </w:pPr>
          </w:p>
        </w:tc>
        <w:tc>
          <w:tcPr>
            <w:tcW w:w="86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1,213</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5"/>
                <w:szCs w:val="15"/>
                <w:color w:val="auto"/>
              </w:rPr>
              <w:t>Net income attributable to WillScot Mobile Mini</w:t>
            </w:r>
          </w:p>
        </w:tc>
        <w:tc>
          <w:tcPr>
            <w:tcW w:w="1240" w:type="dxa"/>
            <w:vAlign w:val="bottom"/>
            <w:tcBorders>
              <w:top w:val="single" w:sz="8" w:color="auto"/>
              <w:bottom w:val="single" w:sz="8" w:color="auto"/>
            </w:tcBorders>
          </w:tcPr>
          <w:p>
            <w:pPr>
              <w:jc w:val="right"/>
              <w:ind w:right="1066"/>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85,921</w:t>
            </w:r>
          </w:p>
        </w:tc>
        <w:tc>
          <w:tcPr>
            <w:tcW w:w="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ind w:right="1126"/>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70,261</w:t>
            </w:r>
          </w:p>
        </w:tc>
        <w:tc>
          <w:tcPr>
            <w:tcW w:w="1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15,660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Comparison of Nine Months Ended September 30, 2021 and 2020</w:t>
      </w:r>
    </w:p>
    <w:p>
      <w:pPr>
        <w:spacing w:after="0" w:line="116" w:lineRule="exact"/>
        <w:rPr>
          <w:sz w:val="20"/>
          <w:szCs w:val="20"/>
          <w:color w:val="auto"/>
        </w:rPr>
      </w:pPr>
    </w:p>
    <w:p>
      <w:pPr>
        <w:jc w:val="both"/>
        <w:ind w:firstLine="590"/>
        <w:spacing w:after="0" w:line="244"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$447.0 million, or 48.1%, to $1,377.0 million for the nine months ended September 30, 2021 from $930.0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2020. The increase was driven by the addition of Mobile Mini's revenues to our consolidated results for the full year, as well as by increased activity in the third quarter of 2021. The Merger closed on July 1, 2020, and the addition of Mobile Mini's results for the first and second quarter of 2021 drove a $330.8 million year over year increase. Leasing revenue increased $343.7 million, or 50.6%, as compared to the same period in 2020 driven by an increase of 109,542 average modular space and portable storage units on rent as a result of the Merger and increased economic activity, and improved pricing and value added products in our NA Modular segment. Delivery and installation revenues increased $87.5 million, or 46.7%, due to increased overall activity as a result of the Merger and increased activity in 2021. Rental unit sales increased $16.8 million, or 66.4%, and new unit sales decreased $0.9 million, or 2.3%.</w:t>
      </w:r>
    </w:p>
    <w:p>
      <w:pPr>
        <w:spacing w:after="0" w:line="45"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Total average units on rent for the nine months ended September 30, 2021 and 2020 were 263,664 and 154,122, respectively. The increase was due to units acquired as part of the Merger, and increased units on rent year over year in the third quarter on portable storage units. In total, modular space average units on rent increased 14,779 units, or 15.5%, for the nine months ended September 30, 2021 as compared to the nine months ended September 30, 2020. Modular space average monthly rental rates increased 11.3% to $727 for the nine months ended September 30, 2021. Portable storage average units on rent increased by 94,763 units, or 161.5%, for the nine months ended September 30, 2021 driven by units acquired as part of the Merger and increased units on rent year over year in the third quarter. Average portable storage monthly rental rates increased 8.5% to $140 for the nine months ended September 30, 2021 driven by the accretive impact of higher rates from the Mobile Mini portable storage fleet and year over year increases during the third quarter. The average modular space unit utilization rate during the nine months ended September 30, 2021 was 70.2%, as compared to 69.8% during the same period in 2020. This increase was driven by higher utilization on units acquired as part of the Merger. The average portable storage unit utilization rate during the nine months ended September 30, 2021 was 78.7%, as compared to 71.3% during the same period in 2020. The increase in average portable storage utilization rate was driven by higher utilization on the acquired Mobile Mini units and continued improvement in portable storage utilization rates year over year in the third quarter.</w:t>
      </w:r>
    </w:p>
    <w:p>
      <w:pPr>
        <w:spacing w:after="0" w:line="77"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50.1% and 45.8% for the nine months ended September 30, 2021 and 2020, respectively. Our gross profit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percentage, excluding the effects of depreciation, was 62.8% and 61.5% for the nine months ended September 30, 2021 and 2020, respectively.</w:t>
      </w:r>
    </w:p>
    <w:p>
      <w:pPr>
        <w:spacing w:after="0" w:line="22"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Gross profit increased $264.0 million, or 62.0%, to $689.7 million for the nine months ended September 30, 2021 from $425.7 million for the nine months ended September 30, 2020. The increase in gross profit is a result of a $270.6 million increase in leasing gross profit, increased delivery and installation gross profit of $12.9 million, and increased new and rental unit sale margins of $9.2 million. Increases in all were primarily a result of increased revenues due to the Merger and due to favorable average monthly rental rates on modular space and portable storage units, as well as favorable year over year volumes on portable storage units in the third quarter. Depreciation increased to $175.1 million as a result of fleet acquired in the Merger and capital investments made in our existing rental equipment.</w:t>
      </w:r>
    </w:p>
    <w:p>
      <w:pPr>
        <w:spacing w:after="0" w:line="75" w:lineRule="exact"/>
        <w:rPr>
          <w:sz w:val="20"/>
          <w:szCs w:val="20"/>
          <w:color w:val="auto"/>
        </w:rPr>
      </w:pPr>
    </w:p>
    <w:p>
      <w:pPr>
        <w:jc w:val="both"/>
        <w:ind w:firstLine="590"/>
        <w:spacing w:after="0" w:line="263" w:lineRule="auto"/>
        <w:rPr>
          <w:sz w:val="20"/>
          <w:szCs w:val="20"/>
          <w:color w:val="auto"/>
        </w:rPr>
      </w:pPr>
      <w:r>
        <w:rPr>
          <w:rFonts w:ascii="Arial" w:cs="Arial" w:eastAsia="Arial" w:hAnsi="Arial"/>
          <w:sz w:val="14"/>
          <w:szCs w:val="14"/>
          <w:b w:val="1"/>
          <w:bCs w:val="1"/>
          <w:i w:val="1"/>
          <w:iCs w:val="1"/>
          <w:color w:val="auto"/>
        </w:rPr>
        <w:t xml:space="preserve">SG&amp;A: </w:t>
      </w:r>
      <w:r>
        <w:rPr>
          <w:rFonts w:ascii="Arial" w:cs="Arial" w:eastAsia="Arial" w:hAnsi="Arial"/>
          <w:sz w:val="14"/>
          <w:szCs w:val="14"/>
          <w:color w:val="auto"/>
        </w:rPr>
        <w:t>Selling, general and administrative ("SG&amp;A") increased $131.0 million, or 54.3%, to $372.3 million for the nine months ended September 30,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$241.3 million for the nine months ended September 30, 2020. The primary driver of the increase is related to additional SG&amp;A costs related to operating a larger business as a result of the Merger. The Merger closed on July 1, 2020, and SG&amp;A costs included in Adjusted EBITDA for the NA Storage, UK Storage, and Tank and Pump segments in the first and second quarters of 2021 drove $89.9 million of the year over year increase. Additionally, as a result of the Merger and the related integration, integration costs increased $12.3 million to $23.2 million for the nine months ended September 30, 2021, compared to $10.9 million for the nine months ended September 30, 2020 and stock compensation expense increased $7.5 million to $14.5 million for the nine months ended September 30, 2021, compared to $7.0 million for the nine months ended September 30, 2020. The primary driver of the remaining increases are related to additional SG&amp;A costs related to increased economic activity, including increased employee and occupancy costs, insurance costs, and increased travel and entertainment costs as travel reopened a bit more as compared to 2020.</w:t>
      </w:r>
    </w:p>
    <w:p>
      <w:pPr>
        <w:spacing w:after="0" w:line="64"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Transaction Costs: </w:t>
      </w:r>
      <w:r>
        <w:rPr>
          <w:rFonts w:ascii="Arial" w:cs="Arial" w:eastAsia="Arial" w:hAnsi="Arial"/>
          <w:sz w:val="15"/>
          <w:szCs w:val="15"/>
          <w:color w:val="auto"/>
        </w:rPr>
        <w:t>Transaction costs decreased $62.1 million to $1.1 million for the nine months ended September 30, 2021 compared to $63.2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2020. Transaction costs for the nine months ended September 30, 2020 were related to the Merger which closed on July 1, 2020.</w:t>
      </w:r>
    </w:p>
    <w:p>
      <w:pPr>
        <w:spacing w:after="0" w:line="53"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$36.0 million to $58.8 million for the nine months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compared to $22.8 million for the nine months ended September 30, 2020 driven by increased depreciation and amortization as a result of property, plant and equipment and intangible assets acquired in the Merger and our recent investments in our enterprise resource planning system, and the amortization of the customer relationship intangible assets acquired in the Merger.</w:t>
      </w:r>
    </w:p>
    <w:p>
      <w:pPr>
        <w:spacing w:after="0" w:line="68"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was $2.3 million for the nine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2021 as compared to $4.0 million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4" w:name="page45"/>
    <w:bookmarkEnd w:id="44"/>
    <w:p>
      <w:pPr>
        <w:jc w:val="both"/>
        <w:ind w:firstLine="590"/>
        <w:spacing w:after="0" w:line="273" w:lineRule="auto"/>
        <w:rPr>
          <w:sz w:val="20"/>
          <w:szCs w:val="20"/>
          <w:color w:val="auto"/>
        </w:rPr>
      </w:pPr>
      <w:r>
        <w:rPr>
          <w:rFonts w:ascii="Arial" w:cs="Arial" w:eastAsia="Arial" w:hAnsi="Arial"/>
          <w:sz w:val="14"/>
          <w:szCs w:val="14"/>
          <w:b w:val="1"/>
          <w:bCs w:val="1"/>
          <w:i w:val="1"/>
          <w:iCs w:val="1"/>
          <w:color w:val="auto"/>
        </w:rPr>
        <w:t xml:space="preserve">Restructuring Costs: </w:t>
      </w:r>
      <w:r>
        <w:rPr>
          <w:rFonts w:ascii="Arial" w:cs="Arial" w:eastAsia="Arial" w:hAnsi="Arial"/>
          <w:sz w:val="14"/>
          <w:szCs w:val="14"/>
          <w:color w:val="auto"/>
        </w:rPr>
        <w:t>In the nine months ended September 30, 2021, the Company had $12.0 million of restructuring costs primarily as a result of employee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termination costs from the elimination of positions due to the Merger. $7.2 million of the employee termination costs were settled in stock, which is non-cash and non-recurring and not included in stock compensation expense. In the nine months ended September 30, 2020, $4.5 million of restructuring costs were primarily due to employee termination costs as a result of the Merger and, to a lesser extent, reductions in force across our branch network in response to COVID-19 economic conditions.</w:t>
      </w:r>
    </w:p>
    <w:p>
      <w:pPr>
        <w:spacing w:after="0" w:line="5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increased by $0.1 million to a $0.2 million loss for the nine months ended September 30, 2021 from a $0.1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loss for the nine months ended September 30, 2020. This increase was primarily attributable to the impact of foreign currency exchanges rate changes on intercompany receivables and payables denominated in a currency other than the subsidiary's functional currency.</w:t>
      </w:r>
    </w:p>
    <w:p>
      <w:pPr>
        <w:spacing w:after="0" w:line="65"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Other Expense (Income), Net: </w:t>
      </w:r>
      <w:r>
        <w:rPr>
          <w:rFonts w:ascii="Arial" w:cs="Arial" w:eastAsia="Arial" w:hAnsi="Arial"/>
          <w:sz w:val="15"/>
          <w:szCs w:val="15"/>
          <w:color w:val="auto"/>
        </w:rPr>
        <w:t>Other expense (income), net was $0.2 million of expense for the nine months ended September 30, 2021 compared to $1.8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income for the nine months ended September 30, 2020. Other income, net of $1.8 million for the nine months ended September 30, 2020 was primarily related to the reversal of a non-income tax liability of $2.5 million.</w:t>
      </w:r>
    </w:p>
    <w:p>
      <w:pPr>
        <w:spacing w:after="0" w:line="65"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decreased $1.4 million to $88.4 million for the nine months ended September 30, 2021 from $89.8 million for the nine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2020. The decrease in interest expense was a result of the lower overall weighted average interest rates as a result of our financing activities. See Note 9 to the condensed consolidated financial statements for further discussion of our debt.</w:t>
      </w:r>
    </w:p>
    <w:p>
      <w:pPr>
        <w:spacing w:after="0" w:line="65" w:lineRule="exact"/>
        <w:rPr>
          <w:sz w:val="20"/>
          <w:szCs w:val="20"/>
          <w:color w:val="auto"/>
        </w:rPr>
      </w:pPr>
    </w:p>
    <w:p>
      <w:pPr>
        <w:jc w:val="both"/>
        <w:ind w:firstLine="590"/>
        <w:spacing w:after="0" w:line="306" w:lineRule="auto"/>
        <w:rPr>
          <w:sz w:val="20"/>
          <w:szCs w:val="20"/>
          <w:color w:val="auto"/>
        </w:rPr>
      </w:pPr>
      <w:r>
        <w:rPr>
          <w:rFonts w:ascii="Arial" w:cs="Arial" w:eastAsia="Arial" w:hAnsi="Arial"/>
          <w:sz w:val="14"/>
          <w:szCs w:val="14"/>
          <w:b w:val="1"/>
          <w:bCs w:val="1"/>
          <w:i w:val="1"/>
          <w:iCs w:val="1"/>
          <w:color w:val="auto"/>
        </w:rPr>
        <w:t xml:space="preserve">Fair Value Loss (Gain) on Common Stock Warrant Liabilities: </w:t>
      </w:r>
      <w:r>
        <w:rPr>
          <w:rFonts w:ascii="Arial" w:cs="Arial" w:eastAsia="Arial" w:hAnsi="Arial"/>
          <w:sz w:val="14"/>
          <w:szCs w:val="14"/>
          <w:color w:val="auto"/>
        </w:rPr>
        <w:t>The fair value loss (gain) on common stock warrant liabilities increased $72.7 million to a $26.6</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loss for the nine months ended September 30, 2021 from a $46.1 million gain for the nine months ended September 30, 2020. The increase was primarily due to the</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change in estimated fair value of common stock warrant liabilities. At September 30, 2021, no 2015 Public or Private Warrants remain outstanding. At September 30, 2021, 6,525,736 2018 Warrants were outstanding and classified as a component of equity, therefore, we will not reflect a common stock warrant liability on our balance sheet or related income or expense from changes in fair value on our statement of operations in the future.</w:t>
      </w:r>
    </w:p>
    <w:p>
      <w:pPr>
        <w:spacing w:after="0" w:line="6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During the nine months ended September 30, 2021, we redeemed $123.5 million of the outstanding principal of our 2025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Secured Notes and recorded a loss on extinguishment of debt of $6.0 million comprised of a redemption premium of $3.7 million and write off of unamortized deferred financing fees of $2.3 million. As a result of the Merger and the related financing transactions, we recorded a loss on extinguishment of debt of $42.4 million in the nine months ended September 30, 2020. This loss on extinguishment of debt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the 2017 ABL Facility.</w:t>
      </w:r>
    </w:p>
    <w:p>
      <w:pPr>
        <w:spacing w:after="0" w:line="75"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$102.2 million to expense of $36.0 million for the nine months ended September 30, 2021 compared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benefit of $66.2 million for the nine months ended September 30, 2020. The increase in expense was driven by pre-tax income increase for the nine months ended September 30, 2021. Additionally, a $56.8 million tax benefit was recorded in nine months ended September 30, 2020 due to the reversal of the Company's valuation allowance after the merger with Mobile Mini.</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1D2758"/>
        </w:rPr>
        <w:t>Business Segment Results</w:t>
      </w:r>
    </w:p>
    <w:p>
      <w:pPr>
        <w:spacing w:after="0" w:line="101"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The Company operates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 representing a shift of approximately $5.0 million of revenue and gross margin per quarter from the NA Modular segment to the NA Storage segment. This adjustment was not made to the historical segment results of prior periods, given its relative immateriality.</w:t>
      </w:r>
    </w:p>
    <w:p>
      <w:pPr>
        <w:spacing w:after="0" w:line="4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following tables and discussion summarize our reportable segment financial information for the three and nine months ended September 30, 2021 and 2020. The below results only include Mobile Mini for the periods subsequent to the Merger. A Summary Business Segment Supplemental Unaudited Pro Forma Financial Information section has been included in this MD&amp;A in order to provide period over period comparable financial information for the NA Storage, UK Storage and Tank and Pump reporting segments as these segments were not included in our reported results for the first six months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Comparison of Three Months Ended September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240" w:type="dxa"/>
            <w:vAlign w:val="bottom"/>
            <w:gridSpan w:val="5"/>
            <w:shd w:val="clear" w:color="auto" w:fill="1D2758"/>
          </w:tcPr>
          <w:p>
            <w:pPr>
              <w:jc w:val="right"/>
              <w:ind w:right="726"/>
              <w:spacing w:after="0"/>
              <w:rPr>
                <w:sz w:val="20"/>
                <w:szCs w:val="20"/>
                <w:color w:val="auto"/>
              </w:rPr>
            </w:pPr>
            <w:r>
              <w:rPr>
                <w:rFonts w:ascii="Arial" w:cs="Arial" w:eastAsia="Arial" w:hAnsi="Arial"/>
                <w:sz w:val="15"/>
                <w:szCs w:val="15"/>
                <w:b w:val="1"/>
                <w:bCs w:val="1"/>
                <w:color w:val="FFFFFF"/>
              </w:rPr>
              <w:t>Three Months Ended September 30, 2021</w:t>
            </w:r>
          </w:p>
        </w:tc>
        <w:tc>
          <w:tcPr>
            <w:tcW w:w="36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00" w:type="dxa"/>
            <w:vAlign w:val="bottom"/>
            <w:shd w:val="clear" w:color="auto" w:fill="1D2758"/>
          </w:tcPr>
          <w:p>
            <w:pPr>
              <w:spacing w:after="0"/>
              <w:rPr>
                <w:sz w:val="17"/>
                <w:szCs w:val="17"/>
                <w:color w:val="auto"/>
              </w:rPr>
            </w:pPr>
          </w:p>
        </w:tc>
        <w:tc>
          <w:tcPr>
            <w:tcW w:w="1260" w:type="dxa"/>
            <w:vAlign w:val="bottom"/>
            <w:vMerge w:val="restart"/>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7"/>
                <w:szCs w:val="17"/>
                <w:color w:val="auto"/>
              </w:rPr>
            </w:pPr>
          </w:p>
        </w:tc>
        <w:tc>
          <w:tcPr>
            <w:tcW w:w="1260" w:type="dxa"/>
            <w:vAlign w:val="bottom"/>
            <w:vMerge w:val="restart"/>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7"/>
                <w:szCs w:val="17"/>
                <w:color w:val="auto"/>
              </w:rPr>
            </w:pPr>
          </w:p>
        </w:tc>
        <w:tc>
          <w:tcPr>
            <w:tcW w:w="1240" w:type="dxa"/>
            <w:vAlign w:val="bottom"/>
            <w:vMerge w:val="restart"/>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UK Storage</w:t>
            </w:r>
          </w:p>
        </w:tc>
        <w:tc>
          <w:tcPr>
            <w:tcW w:w="180" w:type="dxa"/>
            <w:vAlign w:val="bottom"/>
            <w:shd w:val="clear" w:color="auto" w:fill="1D2758"/>
          </w:tcPr>
          <w:p>
            <w:pPr>
              <w:spacing w:after="0"/>
              <w:rPr>
                <w:sz w:val="17"/>
                <w:szCs w:val="17"/>
                <w:color w:val="auto"/>
              </w:rPr>
            </w:pPr>
          </w:p>
        </w:tc>
        <w:tc>
          <w:tcPr>
            <w:tcW w:w="1320" w:type="dxa"/>
            <w:vAlign w:val="bottom"/>
            <w:vMerge w:val="restart"/>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w w:val="98"/>
              </w:rPr>
              <w:t>Tank and Pump</w:t>
            </w:r>
          </w:p>
        </w:tc>
        <w:tc>
          <w:tcPr>
            <w:tcW w:w="360" w:type="dxa"/>
            <w:vAlign w:val="bottom"/>
            <w:shd w:val="clear" w:color="auto" w:fill="1D2758"/>
          </w:tcPr>
          <w:p>
            <w:pPr>
              <w:spacing w:after="0"/>
              <w:rPr>
                <w:sz w:val="17"/>
                <w:szCs w:val="17"/>
                <w:color w:val="auto"/>
              </w:rPr>
            </w:pPr>
          </w:p>
        </w:tc>
        <w:tc>
          <w:tcPr>
            <w:tcW w:w="1100" w:type="dxa"/>
            <w:vAlign w:val="bottom"/>
            <w:vMerge w:val="restart"/>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7"/>
        </w:trPr>
        <w:tc>
          <w:tcPr>
            <w:tcW w:w="3840" w:type="dxa"/>
            <w:vAlign w:val="bottom"/>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299,051</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133,897</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28,099</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29,505</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490,552</w:t>
            </w: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127,854</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92,496</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18,876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14,323</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253,549</w:t>
            </w:r>
          </w:p>
        </w:tc>
        <w:tc>
          <w:tcPr>
            <w:tcW w:w="0" w:type="dxa"/>
            <w:vAlign w:val="bottom"/>
          </w:tcPr>
          <w:p>
            <w:pPr>
              <w:spacing w:after="0"/>
              <w:rPr>
                <w:sz w:val="1"/>
                <w:szCs w:val="1"/>
                <w:color w:val="auto"/>
              </w:rPr>
            </w:pP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106,825</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59,123</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13,255</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10,946</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190,149</w:t>
            </w: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31,789</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11,920</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11,649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5,016</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60,374</w:t>
            </w:r>
          </w:p>
        </w:tc>
        <w:tc>
          <w:tcPr>
            <w:tcW w:w="0" w:type="dxa"/>
            <w:vAlign w:val="bottom"/>
          </w:tcPr>
          <w:p>
            <w:pPr>
              <w:spacing w:after="0"/>
              <w:rPr>
                <w:sz w:val="1"/>
                <w:szCs w:val="1"/>
                <w:color w:val="auto"/>
              </w:rPr>
            </w:pP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84,218</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16,316</w:t>
            </w: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9,298</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109,832</w:t>
            </w: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67.6 %</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77.6 %</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83.4 %</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 %</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70.1 %</w:t>
            </w:r>
          </w:p>
        </w:tc>
        <w:tc>
          <w:tcPr>
            <w:tcW w:w="0" w:type="dxa"/>
            <w:vAlign w:val="bottom"/>
          </w:tcPr>
          <w:p>
            <w:pPr>
              <w:spacing w:after="0"/>
              <w:rPr>
                <w:sz w:val="1"/>
                <w:szCs w:val="1"/>
                <w:color w:val="auto"/>
              </w:rPr>
            </w:pP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834</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602</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454</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767</w:t>
            </w: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00" w:type="dxa"/>
            <w:vAlign w:val="bottom"/>
          </w:tcPr>
          <w:p>
            <w:pPr>
              <w:spacing w:after="0"/>
              <w:rPr>
                <w:sz w:val="16"/>
                <w:szCs w:val="16"/>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493</w:t>
            </w:r>
          </w:p>
        </w:tc>
        <w:tc>
          <w:tcPr>
            <w:tcW w:w="240" w:type="dxa"/>
            <w:vAlign w:val="bottom"/>
          </w:tcPr>
          <w:p>
            <w:pPr>
              <w:spacing w:after="0"/>
              <w:rPr>
                <w:sz w:val="16"/>
                <w:szCs w:val="16"/>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137,123</w:t>
            </w:r>
          </w:p>
        </w:tc>
        <w:tc>
          <w:tcPr>
            <w:tcW w:w="240" w:type="dxa"/>
            <w:vAlign w:val="bottom"/>
          </w:tcPr>
          <w:p>
            <w:pPr>
              <w:spacing w:after="0"/>
              <w:rPr>
                <w:sz w:val="16"/>
                <w:szCs w:val="16"/>
                <w:color w:val="auto"/>
              </w:rPr>
            </w:pP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25,632</w:t>
            </w:r>
          </w:p>
        </w:tc>
        <w:tc>
          <w:tcPr>
            <w:tcW w:w="180" w:type="dxa"/>
            <w:vAlign w:val="bottom"/>
          </w:tcPr>
          <w:p>
            <w:pPr>
              <w:spacing w:after="0"/>
              <w:rPr>
                <w:sz w:val="16"/>
                <w:szCs w:val="16"/>
                <w:color w:val="auto"/>
              </w:rPr>
            </w:pP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163,248</w:t>
            </w:r>
          </w:p>
        </w:tc>
        <w:tc>
          <w:tcPr>
            <w:tcW w:w="0" w:type="dxa"/>
            <w:vAlign w:val="bottom"/>
          </w:tcPr>
          <w:p>
            <w:pPr>
              <w:spacing w:after="0"/>
              <w:rPr>
                <w:sz w:val="1"/>
                <w:szCs w:val="1"/>
                <w:color w:val="auto"/>
              </w:rPr>
            </w:pP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48.0 %</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83.2 %</w:t>
            </w: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89.1 %</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83.9 %</w:t>
            </w: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179</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155</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90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64"/>
        </w:trPr>
        <w:tc>
          <w:tcPr>
            <w:tcW w:w="3840" w:type="dxa"/>
            <w:vAlign w:val="bottom"/>
            <w:shd w:val="clear" w:color="auto" w:fill="DBDBDB"/>
          </w:tcPr>
          <w:p>
            <w:pPr>
              <w:ind w:left="20"/>
              <w:spacing w:after="0" w:line="164" w:lineRule="exact"/>
              <w:rPr>
                <w:sz w:val="20"/>
                <w:szCs w:val="20"/>
                <w:color w:val="auto"/>
              </w:rPr>
            </w:pPr>
            <w:r>
              <w:rPr>
                <w:rFonts w:ascii="Arial" w:cs="Arial" w:eastAsia="Arial" w:hAnsi="Arial"/>
                <w:sz w:val="15"/>
                <w:szCs w:val="15"/>
                <w:color w:val="auto"/>
              </w:rPr>
              <w:t>Average tank and pump solutions rental fleet utilization</w:t>
            </w:r>
          </w:p>
        </w:tc>
        <w:tc>
          <w:tcPr>
            <w:tcW w:w="20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18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74.8 %</w:t>
            </w:r>
          </w:p>
        </w:tc>
        <w:tc>
          <w:tcPr>
            <w:tcW w:w="3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74.8 %</w:t>
            </w: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240" w:type="dxa"/>
            <w:vAlign w:val="bottom"/>
            <w:gridSpan w:val="5"/>
            <w:shd w:val="clear" w:color="auto" w:fill="1D2758"/>
          </w:tcPr>
          <w:p>
            <w:pPr>
              <w:jc w:val="right"/>
              <w:ind w:right="726"/>
              <w:spacing w:after="0"/>
              <w:rPr>
                <w:sz w:val="20"/>
                <w:szCs w:val="20"/>
                <w:color w:val="auto"/>
              </w:rPr>
            </w:pPr>
            <w:r>
              <w:rPr>
                <w:rFonts w:ascii="Arial" w:cs="Arial" w:eastAsia="Arial" w:hAnsi="Arial"/>
                <w:sz w:val="15"/>
                <w:szCs w:val="15"/>
                <w:b w:val="1"/>
                <w:bCs w:val="1"/>
                <w:color w:val="FFFFFF"/>
              </w:rPr>
              <w:t>Three Months Ended September 30, 2020</w:t>
            </w:r>
          </w:p>
        </w:tc>
        <w:tc>
          <w:tcPr>
            <w:tcW w:w="36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197"/>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UK Storage</w:t>
            </w: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w w:val="98"/>
              </w:rPr>
              <w:t>Tank and Pump</w:t>
            </w:r>
          </w:p>
        </w:tc>
        <w:tc>
          <w:tcPr>
            <w:tcW w:w="36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Total</w:t>
            </w:r>
          </w:p>
        </w:tc>
      </w:tr>
      <w:tr>
        <w:trPr>
          <w:trHeight w:val="197"/>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267,867</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104,493</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21,653</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23,302</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417,315</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112,079</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73,384</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12,671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11,430</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209,564</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100,281</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46,465</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8,306</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8,507</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163,559</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34,249</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7,234</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677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431</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42,591</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86,400</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16,383</w:t>
            </w: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8,444</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111,227</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68.3 %</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80.4 %</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79.1 %</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 %</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70.6 %</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693</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505</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356</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640</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00" w:type="dxa"/>
            <w:vAlign w:val="bottom"/>
          </w:tcPr>
          <w:p>
            <w:pPr>
              <w:spacing w:after="0"/>
              <w:rPr>
                <w:sz w:val="16"/>
                <w:szCs w:val="16"/>
                <w:color w:val="auto"/>
              </w:rPr>
            </w:pP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15,473</w:t>
            </w:r>
          </w:p>
        </w:tc>
        <w:tc>
          <w:tcPr>
            <w:tcW w:w="240" w:type="dxa"/>
            <w:vAlign w:val="bottom"/>
          </w:tcPr>
          <w:p>
            <w:pPr>
              <w:spacing w:after="0"/>
              <w:rPr>
                <w:sz w:val="16"/>
                <w:szCs w:val="16"/>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105,221</w:t>
            </w:r>
          </w:p>
        </w:tc>
        <w:tc>
          <w:tcPr>
            <w:tcW w:w="240" w:type="dxa"/>
            <w:vAlign w:val="bottom"/>
          </w:tcPr>
          <w:p>
            <w:pPr>
              <w:spacing w:after="0"/>
              <w:rPr>
                <w:sz w:val="16"/>
                <w:szCs w:val="16"/>
                <w:color w:val="auto"/>
              </w:rPr>
            </w:pP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23,146</w:t>
            </w:r>
          </w:p>
        </w:tc>
        <w:tc>
          <w:tcPr>
            <w:tcW w:w="180" w:type="dxa"/>
            <w:vAlign w:val="bottom"/>
          </w:tcPr>
          <w:p>
            <w:pPr>
              <w:spacing w:after="0"/>
              <w:rPr>
                <w:sz w:val="16"/>
                <w:szCs w:val="16"/>
                <w:color w:val="auto"/>
              </w:rPr>
            </w:pP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143,840</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61.3 %</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73.4 %</w:t>
            </w: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83.2 %</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73.2 %</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124</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145</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75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131</w:t>
            </w:r>
          </w:p>
        </w:tc>
      </w:tr>
      <w:tr>
        <w:trPr>
          <w:trHeight w:val="164"/>
        </w:trPr>
        <w:tc>
          <w:tcPr>
            <w:tcW w:w="3840" w:type="dxa"/>
            <w:vAlign w:val="bottom"/>
            <w:shd w:val="clear" w:color="auto" w:fill="DBDBDB"/>
          </w:tcPr>
          <w:p>
            <w:pPr>
              <w:ind w:left="20"/>
              <w:spacing w:after="0" w:line="164" w:lineRule="exact"/>
              <w:rPr>
                <w:sz w:val="20"/>
                <w:szCs w:val="20"/>
                <w:color w:val="auto"/>
              </w:rPr>
            </w:pPr>
            <w:r>
              <w:rPr>
                <w:rFonts w:ascii="Arial" w:cs="Arial" w:eastAsia="Arial" w:hAnsi="Arial"/>
                <w:sz w:val="15"/>
                <w:szCs w:val="15"/>
                <w:color w:val="auto"/>
              </w:rPr>
              <w:t>Average tank and pump solutions rental fleet utilization</w:t>
            </w:r>
          </w:p>
        </w:tc>
        <w:tc>
          <w:tcPr>
            <w:tcW w:w="20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183"/>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18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58.2 %</w:t>
            </w:r>
          </w:p>
        </w:tc>
        <w:tc>
          <w:tcPr>
            <w:tcW w:w="3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58.2 %</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Modular</w:t>
      </w:r>
    </w:p>
    <w:p>
      <w:pPr>
        <w:spacing w:after="0" w:line="98"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$31.2 million, or 11.6%, to $299.1 million for the three months ended September 30, 2021 from $267.9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2020. The increase was primarily the result of a $27.5 million, or 14.3%, increase in leasing revenue, and a $5.9 million, or 11.3% increase in modular delivery and installation revenue. The increases to leasing revenue and delivery and installation revenues were partially offset by declines in revenues for portable storage units as a result of transitioning the majority of the portable storage product business within the NA Modular segment to the NA Storage segment. Approximately 12,000 units were transferred during the third quarter to the NA Storage segment, reallocating approximately $5.0 million of revenue from NA Modular to NA Storage relative to the third quarter of 2020. The increases to leasing revenue and delivery and installation revenues were also partially offset by a decrease of $1.8 million, or 18.8%, in rental unit sales revenue and a $0.5 million, or 3.6%, decrease in new unit sales. Average modular space monthly rental rates increased 20.3% for the three months ended September 30, 2021 to $834 driven by the continuation of the long-term price optimization and VAPS penetration opportunities across our portfolio. Improved pricing was partially offset by lower volumes as average modular space units on rent decreased by 2,182 units, or 2.5%, year over year. The decrease was driven primarily by reduced demand for new project deliveries as a result of the COVID-19 pandemic primarily in the second and third quarter of 2020. Economic activity in 2021 has improved and sequentially from June 30, 2021, modular space units on rent increased approximately 700 units, or 0.8% during the third quarter.</w:t>
      </w:r>
    </w:p>
    <w:p>
      <w:pPr>
        <w:spacing w:after="0" w:line="79"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$15.8 million, or 14.1%, to $127.9 million for the three months ended September 30, 2021 from $112.1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2020. The increase in gross profit was driven by higher leasing gross profit, which increased $17.7 million, or 12.4%, driven from improved pricing including VAPS, and partly offset by the reallocation of approximately $5.0 million of revenue and gross profit from NA Modular segment to the NA Storage segment relative to the third quarter of 2020. The increase in gross profit from leasing for the three months ended September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6" w:name="page47"/>
    <w:bookmarkEnd w:id="46"/>
    <w:p>
      <w:pPr>
        <w:jc w:val="both"/>
        <w:spacing w:after="0" w:line="243" w:lineRule="auto"/>
        <w:rPr>
          <w:sz w:val="20"/>
          <w:szCs w:val="20"/>
          <w:color w:val="auto"/>
        </w:rPr>
      </w:pPr>
      <w:r>
        <w:rPr>
          <w:rFonts w:ascii="Arial" w:cs="Arial" w:eastAsia="Arial" w:hAnsi="Arial"/>
          <w:sz w:val="15"/>
          <w:szCs w:val="15"/>
          <w:color w:val="auto"/>
        </w:rPr>
        <w:t>30, 2021 was further complemented by a $1.1 million increase in rental unit sales gross profit. These increases were partially offset by a $1.3 million decrease in delivery and installation gross profit driven by higher fleet relocation expenses, a $1.1 million decrease in new sales gross profit, and a $0.6 million increase in depreciation of rental equipment related to capital investments made in our existing rental equipment.</w:t>
      </w:r>
    </w:p>
    <w:p>
      <w:pPr>
        <w:spacing w:after="0" w:line="73"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$6.5 million, or 6.5%, to $106.8 million for the three months ended September 30, 2021 from $100.3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2020. The increase was driven by higher leasing gross profit discussed above. SG&amp;A, excluding discrete items, increased $7.6 million, or 12.9%, for the three months ended September 30, 2021, as compared to the three months ended September 30, 2020.</w:t>
      </w:r>
    </w:p>
    <w:p>
      <w:pPr>
        <w:spacing w:after="0" w:line="65"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decreased $2.4 million, or 7.0%, to $31.8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2021 from $34.2 million for the three months ended September 30, 2020.</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Storage</w:t>
      </w:r>
    </w:p>
    <w:p>
      <w:pPr>
        <w:spacing w:after="0" w:line="98"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$29.4 million, or 28.1%, to $133.9 million for the three months ended September 30, 2021 from $104.5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September 30, 2020. Leasing revenues increased $24.2 million in the current quarter compared to the prior-year quarter. Modular space average units on rent decreased 0.4% and average modular space monthly rental rates increased 19.2% year-over-year driven primarily by increased pricing on new deliveries. Portable storage units on rent increased 30.3% driven by increased economic activity. NA Storage portable storage units on rent also increased as a result of the transitioning of the majority of the portable storage product business within the NA Modular segment to the NA Storage segment during the third quarter, which represented the transfer of approximately 12,000 units on rent. Combined, average portable storage units on rent for the NA Storage and NA Modular segments increased approximately 16,922 units, or 14.0%. Given the timing of acquisitions during the quarter, acquisition units did not have a material impact on average units on rent. Average portable storage monthly rental rates increased 6.9% year-over-year also as a result of increased pricing on new deliveries. Delivery and installation revenues increased $7.4 million year-over-year as delivery levels have increased as a result of economic recovery. Sales revenues decreased $2.2 million compared to the prior-year quarter.</w:t>
      </w:r>
    </w:p>
    <w:p>
      <w:pPr>
        <w:spacing w:after="0" w:line="76"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$19.1 million, or 26.0%, to $92.5 million for the three months ended September 30, 2021 compared to $73.4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September 30, 2020. Gross profit on leasing activity increased by $18.9 million year-over-year driven both by increased volume and pricing as described above. For delivery and installation, gross profit increased $1.3 million. Sales gross profit decreased by $0.2 million to $2.1 million.</w:t>
      </w:r>
    </w:p>
    <w:p>
      <w:pPr>
        <w:spacing w:after="0" w:line="65" w:lineRule="exact"/>
        <w:rPr>
          <w:sz w:val="20"/>
          <w:szCs w:val="20"/>
          <w:color w:val="auto"/>
        </w:rPr>
      </w:pPr>
    </w:p>
    <w:p>
      <w:pPr>
        <w:jc w:val="both"/>
        <w:ind w:firstLine="590"/>
        <w:spacing w:after="0" w:line="247"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$12.6 million, or 27.1%, to $59.1 million for the three months ended September 30, 2021 from $46.5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September 30, 2020 and the margin contracted to 44.2% from 44.5% as a result of increased delivery activity. The increase in Adjusted EBITDA was driven primarily by increased leasing gross profit as described above, partially offset by increased SG&amp;A. Excluding acquisition costs and stock-based compensation, SG&amp;A increased $7.3 million in this segment. The increase was comprised of increased costs for personnel, including commissions and other variable compensation, travel, and computer costs.</w:t>
      </w:r>
    </w:p>
    <w:p>
      <w:pPr>
        <w:spacing w:after="0" w:line="72"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$11.9 million were $4.7 million higher than the prior-year</w:t>
      </w:r>
      <w:r>
        <w:rPr>
          <w:rFonts w:ascii="Arial" w:cs="Arial" w:eastAsia="Arial" w:hAnsi="Arial"/>
          <w:sz w:val="15"/>
          <w:szCs w:val="15"/>
          <w:b w:val="1"/>
          <w:bCs w:val="1"/>
          <w:color w:val="auto"/>
        </w:rPr>
        <w:t xml:space="preserve"> </w:t>
      </w:r>
      <w:r>
        <w:rPr>
          <w:rFonts w:ascii="Arial" w:cs="Arial" w:eastAsia="Arial" w:hAnsi="Arial"/>
          <w:sz w:val="15"/>
          <w:szCs w:val="15"/>
          <w:color w:val="auto"/>
        </w:rPr>
        <w:t>quarter driven by increased fleet investments for specific products, largely portable storage units and ground level offices, to grow units on rent as demand has recovered to pre-COVID-19 levels.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UK Storage</w:t>
      </w:r>
    </w:p>
    <w:p>
      <w:pPr>
        <w:spacing w:after="0" w:line="98" w:lineRule="exact"/>
        <w:rPr>
          <w:sz w:val="20"/>
          <w:szCs w:val="20"/>
          <w:color w:val="auto"/>
        </w:rPr>
      </w:pPr>
    </w:p>
    <w:p>
      <w:pPr>
        <w:jc w:val="both"/>
        <w:ind w:firstLine="590"/>
        <w:spacing w:after="0" w:line="247"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$6.4 million, or 29.5%, to $28.1 million for the three months ended September 30, 2021 from $21.7 million for the three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September 30, 2020. In local currency total revenues increased 21.7%. Leasing revenues increased $6.3 million in the current quarter compared to the prior-year quarter. Modular space average units on rent increased 10.1%, while portable storage units on rent increased 10.7%. Average monthly rental rates for modular space units and portable storage units increased 27.5% and 20.0% year-over-year, respectively, including the impacts of currency fluctuations. Delivery and installation revenues increased $0.9 million year-over-year. Sales revenues decreased $0.7 million compared to the prior-year quarter.</w:t>
      </w:r>
    </w:p>
    <w:p>
      <w:pPr>
        <w:spacing w:after="0" w:line="72"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$6.2 million, or 49.2%, for the three months ended September 30, 2021 to $18.9 million from $12.7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September 30, 2020. In local currency, gross profit increased 39.7%. This increase was driven by a significant increase in fleet utilization coupled with strong rental rate growth and strategic cost management.</w:t>
      </w:r>
    </w:p>
    <w:p>
      <w:pPr>
        <w:spacing w:after="0" w:line="65"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$5.0 million, or 60.0%, to $13.3 million for three months ended September 30, 2021 from $8.3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September 30, 2020 and the margin expanded to 47.2% from 38.4%. The increase results primarily from the favorable gross profit discussed above, partially offset by increased SG&amp;A of $1.2 million driven by increased costs for personnel, including commissions and other variable compensation.</w:t>
      </w:r>
    </w:p>
    <w:p>
      <w:pPr>
        <w:spacing w:after="0" w:line="65"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$11.6 million were driving the $10.9 million increase</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the prior-year quarter. These investments were made to fulfill increasing demand and to drive increased units on rent and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i w:val="1"/>
          <w:iCs w:val="1"/>
          <w:color w:val="1D2758"/>
        </w:rPr>
        <w:t>Tank &amp; Pump</w:t>
      </w:r>
    </w:p>
    <w:p>
      <w:pPr>
        <w:spacing w:after="0" w:line="98" w:lineRule="exact"/>
        <w:rPr>
          <w:sz w:val="20"/>
          <w:szCs w:val="20"/>
          <w:color w:val="auto"/>
        </w:rPr>
      </w:pPr>
    </w:p>
    <w:p>
      <w:pPr>
        <w:jc w:val="both"/>
        <w:ind w:firstLine="590"/>
        <w:spacing w:after="0" w:line="247"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$6.2 million, or 26.6%, to $29.5 million for the three months ended September 30, 2021 from $23.3 million for the three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September 30, 2020. These increases were driven by increased average original rental cost ("OEC") rental fleet utilization, which increased 1660 bps to 74.8% for the three months ended September 30, 2021 from 58.2% for the three months ended September 30, 2020. 2020 results beginning in the second quarter especially were significantly impacted by lower mid- and down-stream oil and gas activity, petrochemical refining activity and specifically the lower demand for jet fuel resulting from COVID-19.</w:t>
      </w:r>
    </w:p>
    <w:p>
      <w:pPr>
        <w:spacing w:after="0" w:line="72"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$2.9 million, or 25.4%, for the three months ended September 30, 2021 to $14.3 million from $11.4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September 30, 2020. This increase was driven by increased gross profit for leasing activity, which increased $3.5 million driven by the increased revenue as discussed above.</w:t>
      </w:r>
    </w:p>
    <w:p>
      <w:pPr>
        <w:spacing w:after="0" w:line="65"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$2.5 million, or 29.8%, to $11.0 million for the three months ended September 30, 2021 from $8.5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September 30, 2020 and the margin expanded to 37.1% from 36.5%. The increase in Adjusted EBITDA was driven by the increased gross profit discussed above, partially offset by a $0.6 million increase in SG&amp;A expense driven primarily by increased personnel costs.</w:t>
      </w:r>
    </w:p>
    <w:p>
      <w:pPr>
        <w:spacing w:after="0" w:line="65"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Current quarter expenditures of $5.0 million were $4.6 million higher than the prior-year quarter as we began to</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 investment in additional rental equipment to fund increasing fleet utilization.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Nine Months Ended September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24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120" w:type="dxa"/>
            <w:vAlign w:val="bottom"/>
            <w:gridSpan w:val="5"/>
            <w:shd w:val="clear" w:color="auto" w:fill="1D2758"/>
          </w:tcPr>
          <w:p>
            <w:pPr>
              <w:jc w:val="right"/>
              <w:ind w:right="546"/>
              <w:spacing w:after="0"/>
              <w:rPr>
                <w:sz w:val="20"/>
                <w:szCs w:val="20"/>
                <w:color w:val="auto"/>
              </w:rPr>
            </w:pPr>
            <w:r>
              <w:rPr>
                <w:rFonts w:ascii="Arial" w:cs="Arial" w:eastAsia="Arial" w:hAnsi="Arial"/>
                <w:sz w:val="15"/>
                <w:szCs w:val="15"/>
                <w:b w:val="1"/>
                <w:bCs w:val="1"/>
                <w:color w:val="FFFFFF"/>
              </w:rPr>
              <w:t>Nine Months Ended September 30, 2021</w:t>
            </w:r>
          </w:p>
        </w:tc>
        <w:tc>
          <w:tcPr>
            <w:tcW w:w="32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80" w:type="dxa"/>
            <w:vAlign w:val="bottom"/>
            <w:shd w:val="clear" w:color="auto" w:fill="1D2758"/>
          </w:tcPr>
          <w:p>
            <w:pPr>
              <w:spacing w:after="0"/>
              <w:rPr>
                <w:sz w:val="17"/>
                <w:szCs w:val="17"/>
                <w:color w:val="auto"/>
              </w:rPr>
            </w:pPr>
          </w:p>
        </w:tc>
        <w:tc>
          <w:tcPr>
            <w:tcW w:w="1240" w:type="dxa"/>
            <w:vAlign w:val="bottom"/>
            <w:vMerge w:val="restart"/>
            <w:shd w:val="clear" w:color="auto" w:fill="1D2758"/>
          </w:tcPr>
          <w:p>
            <w:pPr>
              <w:jc w:val="right"/>
              <w:ind w:right="246"/>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7"/>
                <w:szCs w:val="17"/>
                <w:color w:val="auto"/>
              </w:rPr>
            </w:pPr>
          </w:p>
        </w:tc>
        <w:tc>
          <w:tcPr>
            <w:tcW w:w="1240" w:type="dxa"/>
            <w:vAlign w:val="bottom"/>
            <w:vMerge w:val="restart"/>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7"/>
                <w:szCs w:val="17"/>
                <w:color w:val="auto"/>
              </w:rPr>
            </w:pPr>
          </w:p>
        </w:tc>
        <w:tc>
          <w:tcPr>
            <w:tcW w:w="1220" w:type="dxa"/>
            <w:vAlign w:val="bottom"/>
            <w:vMerge w:val="restart"/>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7"/>
                <w:szCs w:val="17"/>
                <w:color w:val="auto"/>
              </w:rPr>
            </w:pPr>
          </w:p>
        </w:tc>
        <w:tc>
          <w:tcPr>
            <w:tcW w:w="1260" w:type="dxa"/>
            <w:vAlign w:val="bottom"/>
            <w:vMerge w:val="restart"/>
            <w:shd w:val="clear" w:color="auto" w:fill="1D2758"/>
          </w:tcPr>
          <w:p>
            <w:pPr>
              <w:jc w:val="right"/>
              <w:ind w:right="66"/>
              <w:spacing w:after="0"/>
              <w:rPr>
                <w:sz w:val="20"/>
                <w:szCs w:val="20"/>
                <w:color w:val="auto"/>
              </w:rPr>
            </w:pPr>
            <w:r>
              <w:rPr>
                <w:rFonts w:ascii="Arial" w:cs="Arial" w:eastAsia="Arial" w:hAnsi="Arial"/>
                <w:sz w:val="15"/>
                <w:szCs w:val="15"/>
                <w:b w:val="1"/>
                <w:bCs w:val="1"/>
                <w:color w:val="FFFFFF"/>
                <w:w w:val="98"/>
              </w:rPr>
              <w:t>Tank and Pump</w:t>
            </w:r>
          </w:p>
        </w:tc>
        <w:tc>
          <w:tcPr>
            <w:tcW w:w="32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080" w:type="dxa"/>
            <w:vAlign w:val="bottom"/>
            <w:vMerge w:val="restart"/>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7"/>
        </w:trPr>
        <w:tc>
          <w:tcPr>
            <w:tcW w:w="372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20" w:type="dxa"/>
            <w:vAlign w:val="bottom"/>
            <w:vMerge w:val="continue"/>
            <w:shd w:val="clear" w:color="auto" w:fill="1D2758"/>
          </w:tcPr>
          <w:p>
            <w:pPr>
              <w:spacing w:after="0"/>
              <w:rPr>
                <w:sz w:val="7"/>
                <w:szCs w:val="7"/>
                <w:color w:val="auto"/>
              </w:rPr>
            </w:pPr>
          </w:p>
        </w:tc>
        <w:tc>
          <w:tcPr>
            <w:tcW w:w="16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08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854,657</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357,439</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83,538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81,343</w:t>
            </w:r>
          </w:p>
        </w:tc>
        <w:tc>
          <w:tcPr>
            <w:tcW w:w="32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1,376,977</w:t>
            </w:r>
          </w:p>
        </w:tc>
        <w:tc>
          <w:tcPr>
            <w:tcW w:w="0" w:type="dxa"/>
            <w:vAlign w:val="bottom"/>
          </w:tcPr>
          <w:p>
            <w:pPr>
              <w:spacing w:after="0"/>
              <w:rPr>
                <w:sz w:val="1"/>
                <w:szCs w:val="1"/>
                <w:color w:val="auto"/>
              </w:rPr>
            </w:pPr>
          </w:p>
        </w:tc>
      </w:tr>
      <w:tr>
        <w:trPr>
          <w:trHeight w:val="194"/>
        </w:trPr>
        <w:tc>
          <w:tcPr>
            <w:tcW w:w="372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356,992</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240,836</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66"/>
              <w:spacing w:after="0"/>
              <w:rPr>
                <w:sz w:val="20"/>
                <w:szCs w:val="20"/>
                <w:color w:val="auto"/>
              </w:rPr>
            </w:pPr>
            <w:r>
              <w:rPr>
                <w:rFonts w:ascii="Arial" w:cs="Arial" w:eastAsia="Arial" w:hAnsi="Arial"/>
                <w:sz w:val="15"/>
                <w:szCs w:val="15"/>
                <w:color w:val="auto"/>
              </w:rPr>
              <w:t>53,306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38,605</w:t>
            </w:r>
          </w:p>
        </w:tc>
        <w:tc>
          <w:tcPr>
            <w:tcW w:w="320" w:type="dxa"/>
            <w:vAlign w:val="bottom"/>
          </w:tcPr>
          <w:p>
            <w:pPr>
              <w:spacing w:after="0"/>
              <w:rPr>
                <w:sz w:val="16"/>
                <w:szCs w:val="16"/>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689,739</w:t>
            </w:r>
          </w:p>
        </w:tc>
        <w:tc>
          <w:tcPr>
            <w:tcW w:w="0" w:type="dxa"/>
            <w:vAlign w:val="bottom"/>
          </w:tcPr>
          <w:p>
            <w:pPr>
              <w:spacing w:after="0"/>
              <w:rPr>
                <w:sz w:val="1"/>
                <w:szCs w:val="1"/>
                <w:color w:val="auto"/>
              </w:rPr>
            </w:pPr>
          </w:p>
        </w:tc>
      </w:tr>
      <w:tr>
        <w:trPr>
          <w:trHeight w:val="199"/>
        </w:trPr>
        <w:tc>
          <w:tcPr>
            <w:tcW w:w="3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307,741</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154,971</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36,647</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29,870</w:t>
            </w:r>
          </w:p>
        </w:tc>
        <w:tc>
          <w:tcPr>
            <w:tcW w:w="32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529,229</w:t>
            </w:r>
          </w:p>
        </w:tc>
        <w:tc>
          <w:tcPr>
            <w:tcW w:w="0" w:type="dxa"/>
            <w:vAlign w:val="bottom"/>
          </w:tcPr>
          <w:p>
            <w:pPr>
              <w:spacing w:after="0"/>
              <w:rPr>
                <w:sz w:val="1"/>
                <w:szCs w:val="1"/>
                <w:color w:val="auto"/>
              </w:rPr>
            </w:pPr>
          </w:p>
        </w:tc>
      </w:tr>
      <w:tr>
        <w:trPr>
          <w:trHeight w:val="194"/>
        </w:trPr>
        <w:tc>
          <w:tcPr>
            <w:tcW w:w="372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120,288</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24,165</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66"/>
              <w:spacing w:after="0"/>
              <w:rPr>
                <w:sz w:val="20"/>
                <w:szCs w:val="20"/>
                <w:color w:val="auto"/>
              </w:rPr>
            </w:pPr>
            <w:r>
              <w:rPr>
                <w:rFonts w:ascii="Arial" w:cs="Arial" w:eastAsia="Arial" w:hAnsi="Arial"/>
                <w:sz w:val="15"/>
                <w:szCs w:val="15"/>
                <w:color w:val="auto"/>
              </w:rPr>
              <w:t>22,645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11,093</w:t>
            </w:r>
          </w:p>
        </w:tc>
        <w:tc>
          <w:tcPr>
            <w:tcW w:w="320" w:type="dxa"/>
            <w:vAlign w:val="bottom"/>
          </w:tcPr>
          <w:p>
            <w:pPr>
              <w:ind w:left="20"/>
              <w:spacing w:after="0"/>
              <w:rPr>
                <w:sz w:val="20"/>
                <w:szCs w:val="20"/>
                <w:color w:val="auto"/>
              </w:rPr>
            </w:pPr>
            <w:r>
              <w:rPr>
                <w:rFonts w:ascii="Arial" w:cs="Arial" w:eastAsia="Arial" w:hAnsi="Arial"/>
                <w:sz w:val="15"/>
                <w:szCs w:val="15"/>
                <w:color w:val="auto"/>
              </w:rPr>
              <w:t>$ —</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178,191</w:t>
            </w:r>
          </w:p>
        </w:tc>
        <w:tc>
          <w:tcPr>
            <w:tcW w:w="0" w:type="dxa"/>
            <w:vAlign w:val="bottom"/>
          </w:tcPr>
          <w:p>
            <w:pPr>
              <w:spacing w:after="0"/>
              <w:rPr>
                <w:sz w:val="1"/>
                <w:szCs w:val="1"/>
                <w:color w:val="auto"/>
              </w:rPr>
            </w:pPr>
          </w:p>
        </w:tc>
      </w:tr>
      <w:tr>
        <w:trPr>
          <w:trHeight w:val="199"/>
        </w:trPr>
        <w:tc>
          <w:tcPr>
            <w:tcW w:w="3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84,589</w:t>
            </w: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16,371</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9,256</w:t>
            </w:r>
          </w:p>
        </w:tc>
        <w:tc>
          <w:tcPr>
            <w:tcW w:w="16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110,216</w:t>
            </w:r>
          </w:p>
        </w:tc>
        <w:tc>
          <w:tcPr>
            <w:tcW w:w="0" w:type="dxa"/>
            <w:vAlign w:val="bottom"/>
          </w:tcPr>
          <w:p>
            <w:pPr>
              <w:spacing w:after="0"/>
              <w:rPr>
                <w:sz w:val="1"/>
                <w:szCs w:val="1"/>
                <w:color w:val="auto"/>
              </w:rPr>
            </w:pPr>
          </w:p>
        </w:tc>
      </w:tr>
      <w:tr>
        <w:trPr>
          <w:trHeight w:val="194"/>
        </w:trPr>
        <w:tc>
          <w:tcPr>
            <w:tcW w:w="372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67.6 %</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78.5 %</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83.8 %</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 %</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70.2 %</w:t>
            </w:r>
          </w:p>
        </w:tc>
        <w:tc>
          <w:tcPr>
            <w:tcW w:w="0" w:type="dxa"/>
            <w:vAlign w:val="bottom"/>
          </w:tcPr>
          <w:p>
            <w:pPr>
              <w:spacing w:after="0"/>
              <w:rPr>
                <w:sz w:val="1"/>
                <w:szCs w:val="1"/>
                <w:color w:val="auto"/>
              </w:rPr>
            </w:pPr>
          </w:p>
        </w:tc>
      </w:tr>
      <w:tr>
        <w:trPr>
          <w:trHeight w:val="199"/>
        </w:trPr>
        <w:tc>
          <w:tcPr>
            <w:tcW w:w="3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790</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570</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428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194"/>
        </w:trPr>
        <w:tc>
          <w:tcPr>
            <w:tcW w:w="372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80" w:type="dxa"/>
            <w:vAlign w:val="bottom"/>
          </w:tcPr>
          <w:p>
            <w:pPr>
              <w:spacing w:after="0"/>
              <w:rPr>
                <w:sz w:val="16"/>
                <w:szCs w:val="16"/>
                <w:color w:val="auto"/>
              </w:rPr>
            </w:pP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9,566</w:t>
            </w:r>
          </w:p>
        </w:tc>
        <w:tc>
          <w:tcPr>
            <w:tcW w:w="240" w:type="dxa"/>
            <w:vAlign w:val="bottom"/>
          </w:tcPr>
          <w:p>
            <w:pPr>
              <w:spacing w:after="0"/>
              <w:rPr>
                <w:sz w:val="16"/>
                <w:szCs w:val="16"/>
                <w:color w:val="auto"/>
              </w:rPr>
            </w:pP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118,598</w:t>
            </w:r>
          </w:p>
        </w:tc>
        <w:tc>
          <w:tcPr>
            <w:tcW w:w="240" w:type="dxa"/>
            <w:vAlign w:val="bottom"/>
          </w:tcPr>
          <w:p>
            <w:pPr>
              <w:spacing w:after="0"/>
              <w:rPr>
                <w:sz w:val="16"/>
                <w:szCs w:val="16"/>
                <w:color w:val="auto"/>
              </w:rPr>
            </w:pPr>
          </w:p>
        </w:tc>
        <w:tc>
          <w:tcPr>
            <w:tcW w:w="1220" w:type="dxa"/>
            <w:vAlign w:val="bottom"/>
          </w:tcPr>
          <w:p>
            <w:pPr>
              <w:jc w:val="right"/>
              <w:ind w:right="166"/>
              <w:spacing w:after="0"/>
              <w:rPr>
                <w:sz w:val="20"/>
                <w:szCs w:val="20"/>
                <w:color w:val="auto"/>
              </w:rPr>
            </w:pPr>
            <w:r>
              <w:rPr>
                <w:rFonts w:ascii="Arial" w:cs="Arial" w:eastAsia="Arial" w:hAnsi="Arial"/>
                <w:sz w:val="15"/>
                <w:szCs w:val="15"/>
                <w:color w:val="auto"/>
              </w:rPr>
              <w:t>25,284</w:t>
            </w:r>
          </w:p>
        </w:tc>
        <w:tc>
          <w:tcPr>
            <w:tcW w:w="160" w:type="dxa"/>
            <w:vAlign w:val="bottom"/>
          </w:tcPr>
          <w:p>
            <w:pPr>
              <w:spacing w:after="0"/>
              <w:rPr>
                <w:sz w:val="16"/>
                <w:szCs w:val="16"/>
                <w:color w:val="auto"/>
              </w:rPr>
            </w:pP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153,448</w:t>
            </w:r>
          </w:p>
        </w:tc>
        <w:tc>
          <w:tcPr>
            <w:tcW w:w="0" w:type="dxa"/>
            <w:vAlign w:val="bottom"/>
          </w:tcPr>
          <w:p>
            <w:pPr>
              <w:spacing w:after="0"/>
              <w:rPr>
                <w:sz w:val="1"/>
                <w:szCs w:val="1"/>
                <w:color w:val="auto"/>
              </w:rPr>
            </w:pPr>
          </w:p>
        </w:tc>
      </w:tr>
      <w:tr>
        <w:trPr>
          <w:trHeight w:val="199"/>
        </w:trPr>
        <w:tc>
          <w:tcPr>
            <w:tcW w:w="3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64.1 %</w:t>
            </w: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78.0 %</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90.0 %</w:t>
            </w:r>
          </w:p>
        </w:tc>
        <w:tc>
          <w:tcPr>
            <w:tcW w:w="1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78.7 %</w:t>
            </w:r>
          </w:p>
        </w:tc>
        <w:tc>
          <w:tcPr>
            <w:tcW w:w="0" w:type="dxa"/>
            <w:vAlign w:val="bottom"/>
          </w:tcPr>
          <w:p>
            <w:pPr>
              <w:spacing w:after="0"/>
              <w:rPr>
                <w:sz w:val="1"/>
                <w:szCs w:val="1"/>
                <w:color w:val="auto"/>
              </w:rPr>
            </w:pPr>
          </w:p>
        </w:tc>
      </w:tr>
      <w:tr>
        <w:trPr>
          <w:trHeight w:val="194"/>
        </w:trPr>
        <w:tc>
          <w:tcPr>
            <w:tcW w:w="372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129</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152</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66"/>
              <w:spacing w:after="0"/>
              <w:rPr>
                <w:sz w:val="20"/>
                <w:szCs w:val="20"/>
                <w:color w:val="auto"/>
              </w:rPr>
            </w:pPr>
            <w:r>
              <w:rPr>
                <w:rFonts w:ascii="Arial" w:cs="Arial" w:eastAsia="Arial" w:hAnsi="Arial"/>
                <w:sz w:val="15"/>
                <w:szCs w:val="15"/>
                <w:color w:val="auto"/>
              </w:rPr>
              <w:t>86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64"/>
        </w:trPr>
        <w:tc>
          <w:tcPr>
            <w:tcW w:w="3720" w:type="dxa"/>
            <w:vAlign w:val="bottom"/>
            <w:shd w:val="clear" w:color="auto" w:fill="DBDBDB"/>
          </w:tcPr>
          <w:p>
            <w:pPr>
              <w:ind w:left="20"/>
              <w:spacing w:after="0" w:line="164" w:lineRule="exact"/>
              <w:rPr>
                <w:sz w:val="20"/>
                <w:szCs w:val="20"/>
                <w:color w:val="auto"/>
              </w:rPr>
            </w:pPr>
            <w:r>
              <w:rPr>
                <w:rFonts w:ascii="Arial" w:cs="Arial" w:eastAsia="Arial" w:hAnsi="Arial"/>
                <w:sz w:val="15"/>
                <w:szCs w:val="15"/>
                <w:color w:val="auto"/>
              </w:rPr>
              <w:t>Average tank and pump solutions rental fleet utilization</w:t>
            </w:r>
          </w:p>
        </w:tc>
        <w:tc>
          <w:tcPr>
            <w:tcW w:w="18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1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16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71.2 %</w:t>
            </w:r>
          </w:p>
        </w:tc>
        <w:tc>
          <w:tcPr>
            <w:tcW w:w="3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71.2 %</w:t>
            </w: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240" w:type="dxa"/>
            <w:vAlign w:val="bottom"/>
            <w:gridSpan w:val="5"/>
            <w:shd w:val="clear" w:color="auto" w:fill="1D2758"/>
          </w:tcPr>
          <w:p>
            <w:pPr>
              <w:jc w:val="right"/>
              <w:ind w:right="766"/>
              <w:spacing w:after="0"/>
              <w:rPr>
                <w:sz w:val="20"/>
                <w:szCs w:val="20"/>
                <w:color w:val="auto"/>
              </w:rPr>
            </w:pPr>
            <w:r>
              <w:rPr>
                <w:rFonts w:ascii="Arial" w:cs="Arial" w:eastAsia="Arial" w:hAnsi="Arial"/>
                <w:sz w:val="15"/>
                <w:szCs w:val="15"/>
                <w:b w:val="1"/>
                <w:bCs w:val="1"/>
                <w:color w:val="FFFFFF"/>
              </w:rPr>
              <w:t>Nine Months Ended September 30, 2020</w:t>
            </w:r>
          </w:p>
        </w:tc>
        <w:tc>
          <w:tcPr>
            <w:tcW w:w="36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197"/>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266"/>
              <w:spacing w:after="0"/>
              <w:rPr>
                <w:sz w:val="20"/>
                <w:szCs w:val="20"/>
                <w:color w:val="auto"/>
              </w:rPr>
            </w:pPr>
            <w:r>
              <w:rPr>
                <w:rFonts w:ascii="Arial" w:cs="Arial" w:eastAsia="Arial" w:hAnsi="Arial"/>
                <w:sz w:val="15"/>
                <w:szCs w:val="15"/>
                <w:b w:val="1"/>
                <w:bCs w:val="1"/>
                <w:color w:val="FFFFFF"/>
              </w:rPr>
              <w:t>UK Storage</w:t>
            </w: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w w:val="98"/>
              </w:rPr>
              <w:t>Tank and Pump</w:t>
            </w:r>
          </w:p>
        </w:tc>
        <w:tc>
          <w:tcPr>
            <w:tcW w:w="36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Total</w:t>
            </w:r>
          </w:p>
        </w:tc>
      </w:tr>
      <w:tr>
        <w:trPr>
          <w:trHeight w:val="197"/>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780,550</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104,493</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21,653</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23,302</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929,998</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328,233</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73,384</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12,671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11,430</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425,718</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287,345</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46,465</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8,306</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8,507</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350,623</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113,931</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7,234</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677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431</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122,273</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87,161</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5,461</w:t>
            </w: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2,815</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95,437</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68.7 %</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80.4 %</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79.1 %</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 %</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69.8 %</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672</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505</w:t>
            </w:r>
          </w:p>
        </w:tc>
        <w:tc>
          <w:tcPr>
            <w:tcW w:w="24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356</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653</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00" w:type="dxa"/>
            <w:vAlign w:val="bottom"/>
          </w:tcPr>
          <w:p>
            <w:pPr>
              <w:spacing w:after="0"/>
              <w:rPr>
                <w:sz w:val="16"/>
                <w:szCs w:val="16"/>
                <w:color w:val="auto"/>
              </w:rPr>
            </w:pP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15,896</w:t>
            </w:r>
          </w:p>
        </w:tc>
        <w:tc>
          <w:tcPr>
            <w:tcW w:w="240" w:type="dxa"/>
            <w:vAlign w:val="bottom"/>
          </w:tcPr>
          <w:p>
            <w:pPr>
              <w:spacing w:after="0"/>
              <w:rPr>
                <w:sz w:val="16"/>
                <w:szCs w:val="16"/>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35,074</w:t>
            </w:r>
          </w:p>
        </w:tc>
        <w:tc>
          <w:tcPr>
            <w:tcW w:w="240" w:type="dxa"/>
            <w:vAlign w:val="bottom"/>
          </w:tcPr>
          <w:p>
            <w:pPr>
              <w:spacing w:after="0"/>
              <w:rPr>
                <w:sz w:val="16"/>
                <w:szCs w:val="16"/>
                <w:color w:val="auto"/>
              </w:rPr>
            </w:pP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7,715</w:t>
            </w:r>
          </w:p>
        </w:tc>
        <w:tc>
          <w:tcPr>
            <w:tcW w:w="180" w:type="dxa"/>
            <w:vAlign w:val="bottom"/>
          </w:tcPr>
          <w:p>
            <w:pPr>
              <w:spacing w:after="0"/>
              <w:rPr>
                <w:sz w:val="16"/>
                <w:szCs w:val="16"/>
                <w:color w:val="auto"/>
              </w:rPr>
            </w:pP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58,685</w:t>
            </w:r>
          </w:p>
        </w:tc>
      </w:tr>
      <w:tr>
        <w:trPr>
          <w:trHeight w:val="199"/>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62.6 %</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73.4 %</w:t>
            </w:r>
          </w:p>
        </w:tc>
        <w:tc>
          <w:tcPr>
            <w:tcW w:w="24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83.2 %</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71.3 %</w:t>
            </w:r>
          </w:p>
        </w:tc>
      </w:tr>
      <w:tr>
        <w:trPr>
          <w:trHeight w:val="194"/>
        </w:trPr>
        <w:tc>
          <w:tcPr>
            <w:tcW w:w="38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121</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145</w:t>
            </w:r>
          </w:p>
        </w:tc>
        <w:tc>
          <w:tcPr>
            <w:tcW w:w="2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75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129</w:t>
            </w:r>
          </w:p>
        </w:tc>
      </w:tr>
      <w:tr>
        <w:trPr>
          <w:trHeight w:val="164"/>
        </w:trPr>
        <w:tc>
          <w:tcPr>
            <w:tcW w:w="3840" w:type="dxa"/>
            <w:vAlign w:val="bottom"/>
            <w:shd w:val="clear" w:color="auto" w:fill="DBDBDB"/>
          </w:tcPr>
          <w:p>
            <w:pPr>
              <w:ind w:left="20"/>
              <w:spacing w:after="0" w:line="164" w:lineRule="exact"/>
              <w:rPr>
                <w:sz w:val="20"/>
                <w:szCs w:val="20"/>
                <w:color w:val="auto"/>
              </w:rPr>
            </w:pPr>
            <w:r>
              <w:rPr>
                <w:rFonts w:ascii="Arial" w:cs="Arial" w:eastAsia="Arial" w:hAnsi="Arial"/>
                <w:sz w:val="15"/>
                <w:szCs w:val="15"/>
                <w:color w:val="auto"/>
              </w:rPr>
              <w:t>Average tank and pump solutions rental fleet utilization</w:t>
            </w:r>
          </w:p>
        </w:tc>
        <w:tc>
          <w:tcPr>
            <w:tcW w:w="20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183"/>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24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18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58.2 %</w:t>
            </w:r>
          </w:p>
        </w:tc>
        <w:tc>
          <w:tcPr>
            <w:tcW w:w="3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1D2758"/>
        </w:rPr>
        <w:t>NA Modular</w:t>
      </w:r>
    </w:p>
    <w:p>
      <w:pPr>
        <w:spacing w:after="0" w:line="98"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$74.1 million, or 9.5%, to $854.7 million for the nine months ended September 30, 2021 from $780.6 million for the nine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2020. The increase was primarily the result of a $66.3 million, or 11.6%, increase in leasing revenue, a $6.6 million, or 4.3% increase in delivery and installation revenues, and a $6.7 million, or 31.0%, increase in rental unit sales revenue. The increases to leasing revenue and delivery and installation revenues were partially offset by declines in revenues for portable storage units as the result of transitioning the majority of the portable storage product business within the NA Modular segment to the NA Storage segment during the third quarter of 2021. Approximately 12,000 units were transferred during the third quarter to the NA Storage segment, reallocating approximately $5.0 million of revenue from NA Modular segment to the NA Storage segment relative to the first nine months of 2020. Average modular space monthly rental rates increased 17.6% for the nine months ended September 30, 2021 to $790 driven by the continuation of the long-term price optimization and VAPS penetration opportunities across our portfolio. Improved pricing was partially offset by lower volumes as average modular space units on rent decreased by 2,572 units, or 3.0%, year over year. The decrease was driven primarily by lower deliveries, including reduced demand for new project deliveries as a result of the COVID-19 pandemic primarily in the second and third quarters of 2020.</w:t>
      </w:r>
    </w:p>
    <w:p>
      <w:pPr>
        <w:spacing w:after="0" w:line="73" w:lineRule="exact"/>
        <w:rPr>
          <w:sz w:val="20"/>
          <w:szCs w:val="20"/>
          <w:color w:val="auto"/>
        </w:rPr>
      </w:pPr>
    </w:p>
    <w:p>
      <w:pPr>
        <w:jc w:val="both"/>
        <w:ind w:firstLine="590"/>
        <w:spacing w:after="0" w:line="244"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$28.8 million, or 8.8%, to $357.0 million for the nine months ended September 30, 2021 from $328.2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2020. The increase in gross profit was driven by higher leasing gross profit, which increased $41.3 million, or 9.7%, driven from improved pricing including VAPS, and partly offset by the reallocation of $5.0 million of revenue and gross profit from NA Modular segment to NA Storage segment relative to the first nine months of 2020. The increase in gross profit from leasing for the nine months ended September 30, 2021 was further complemented by a $6.1 million increase in rental unit sales gross profit. These increases were partially offset by a $9.0 million decrease in delivery and installation gross profit driven by higher fleet relocation expenses, a $2.9 million decrease in new sales gross profit, and a $6.7 million increase in depreciation of rental equipment related to capital investments made in our existing rental equipment.</w:t>
      </w:r>
    </w:p>
    <w:p>
      <w:pPr>
        <w:spacing w:after="0" w:line="76"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$20.4 million, or 7.1%, to $307.7 million for the nine months ended September 30, 2021 from $287.3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2020. The increase was driven by higher leasing gross profit discussed above. SG&amp;A, excluding discrete items, increased $11.5 million, or 6.4%, for the nine months ended September 30, 2021, as compared to the September 30, 2020 primarily driven by employee and occupancy costs.</w:t>
      </w:r>
    </w:p>
    <w:p>
      <w:pPr>
        <w:spacing w:after="0" w:line="65"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$6.4 million, or 5.6%, to $120.3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2021 from $113.9 million for the nine months ended September 30, 2020.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1D2758"/>
        </w:rPr>
        <w:t>Other Non-GAAP Financial Data and Reconciliations</w:t>
      </w:r>
    </w:p>
    <w:p>
      <w:pPr>
        <w:spacing w:after="0" w:line="101"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42"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the intrinsic operating results of the Company.</w:t>
      </w:r>
    </w:p>
    <w:p>
      <w:pPr>
        <w:spacing w:after="0" w:line="4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13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We define EBITDA as net income (loss) plus interest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91" w:lineRule="exact"/>
        <w:rPr>
          <w:sz w:val="20"/>
          <w:szCs w:val="20"/>
          <w:color w:val="auto"/>
        </w:rPr>
      </w:pPr>
    </w:p>
    <w:p>
      <w:pPr>
        <w:ind w:left="880" w:hanging="291"/>
        <w:spacing w:after="0" w:line="246" w:lineRule="auto"/>
        <w:tabs>
          <w:tab w:leader="none" w:pos="87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89" w:lineRule="exact"/>
        <w:rPr>
          <w:rFonts w:ascii="Arial" w:cs="Arial" w:eastAsia="Arial" w:hAnsi="Arial"/>
          <w:sz w:val="15"/>
          <w:szCs w:val="15"/>
          <w:color w:val="auto"/>
        </w:rPr>
      </w:pPr>
    </w:p>
    <w:p>
      <w:pPr>
        <w:ind w:left="880" w:hanging="291"/>
        <w:spacing w:after="0" w:line="246" w:lineRule="auto"/>
        <w:tabs>
          <w:tab w:leader="none" w:pos="87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89" w:lineRule="exact"/>
        <w:rPr>
          <w:rFonts w:ascii="Arial" w:cs="Arial" w:eastAsia="Arial" w:hAnsi="Arial"/>
          <w:sz w:val="15"/>
          <w:szCs w:val="15"/>
          <w:color w:val="auto"/>
        </w:rPr>
      </w:pPr>
    </w:p>
    <w:p>
      <w:pPr>
        <w:ind w:left="880" w:hanging="291"/>
        <w:spacing w:after="0" w:line="246" w:lineRule="auto"/>
        <w:tabs>
          <w:tab w:leader="none" w:pos="87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89" w:lineRule="exact"/>
        <w:rPr>
          <w:rFonts w:ascii="Arial" w:cs="Arial" w:eastAsia="Arial" w:hAnsi="Arial"/>
          <w:sz w:val="15"/>
          <w:szCs w:val="15"/>
          <w:color w:val="auto"/>
        </w:rPr>
      </w:pPr>
    </w:p>
    <w:p>
      <w:pPr>
        <w:ind w:left="880" w:hanging="291"/>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9" w:name="page50"/>
    <w:bookmarkEnd w:id="49"/>
    <w:p>
      <w:pPr>
        <w:ind w:left="880" w:hanging="291"/>
        <w:spacing w:after="0" w:line="246" w:lineRule="auto"/>
        <w:tabs>
          <w:tab w:leader="none" w:pos="8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89" w:lineRule="exact"/>
        <w:rPr>
          <w:rFonts w:ascii="Arial" w:cs="Arial" w:eastAsia="Arial" w:hAnsi="Arial"/>
          <w:sz w:val="15"/>
          <w:szCs w:val="15"/>
          <w:color w:val="auto"/>
        </w:rPr>
      </w:pPr>
    </w:p>
    <w:p>
      <w:pPr>
        <w:ind w:left="880" w:hanging="291"/>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98" w:lineRule="exact"/>
        <w:rPr>
          <w:rFonts w:ascii="Arial" w:cs="Arial" w:eastAsia="Arial" w:hAnsi="Arial"/>
          <w:sz w:val="15"/>
          <w:szCs w:val="15"/>
          <w:color w:val="auto"/>
        </w:rPr>
      </w:pPr>
    </w:p>
    <w:p>
      <w:pPr>
        <w:ind w:left="880" w:hanging="291"/>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Gains and losses resulting from changes in fair value and extinguishment of common stock warrant liabilities.</w:t>
      </w:r>
    </w:p>
    <w:p>
      <w:pPr>
        <w:spacing w:after="0" w:line="98" w:lineRule="exact"/>
        <w:rPr>
          <w:rFonts w:ascii="Arial" w:cs="Arial" w:eastAsia="Arial" w:hAnsi="Arial"/>
          <w:sz w:val="15"/>
          <w:szCs w:val="15"/>
          <w:color w:val="auto"/>
        </w:rPr>
      </w:pPr>
    </w:p>
    <w:p>
      <w:pPr>
        <w:ind w:left="880" w:hanging="291"/>
        <w:spacing w:after="0" w:line="246" w:lineRule="auto"/>
        <w:tabs>
          <w:tab w:leader="none" w:pos="8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Other expense includes consulting expenses related to certain one-time projects, financing costs not classified as interest expense and gains and losses on disposals of property, plant and equipment.</w:t>
      </w:r>
    </w:p>
    <w:p>
      <w:pPr>
        <w:spacing w:after="0" w:line="89" w:lineRule="exact"/>
        <w:rPr>
          <w:sz w:val="20"/>
          <w:szCs w:val="20"/>
          <w:color w:val="auto"/>
        </w:rPr>
      </w:pPr>
    </w:p>
    <w:p>
      <w:pPr>
        <w:ind w:firstLine="590"/>
        <w:spacing w:after="0" w:line="246"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89" w:lineRule="exact"/>
        <w:rPr>
          <w:sz w:val="20"/>
          <w:szCs w:val="20"/>
          <w:color w:val="auto"/>
        </w:rPr>
      </w:pPr>
    </w:p>
    <w:p>
      <w:pPr>
        <w:ind w:left="880" w:hanging="291"/>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98" w:lineRule="exact"/>
        <w:rPr>
          <w:rFonts w:ascii="Arial" w:cs="Arial" w:eastAsia="Arial" w:hAnsi="Arial"/>
          <w:sz w:val="15"/>
          <w:szCs w:val="15"/>
          <w:color w:val="auto"/>
        </w:rPr>
      </w:pPr>
    </w:p>
    <w:p>
      <w:pPr>
        <w:ind w:left="880" w:hanging="291"/>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98" w:lineRule="exact"/>
        <w:rPr>
          <w:rFonts w:ascii="Arial" w:cs="Arial" w:eastAsia="Arial" w:hAnsi="Arial"/>
          <w:sz w:val="15"/>
          <w:szCs w:val="15"/>
          <w:color w:val="auto"/>
        </w:rPr>
      </w:pPr>
    </w:p>
    <w:p>
      <w:pPr>
        <w:ind w:left="880" w:hanging="291"/>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98" w:lineRule="exact"/>
        <w:rPr>
          <w:rFonts w:ascii="Arial" w:cs="Arial" w:eastAsia="Arial" w:hAnsi="Arial"/>
          <w:sz w:val="15"/>
          <w:szCs w:val="15"/>
          <w:color w:val="auto"/>
        </w:rPr>
      </w:pPr>
    </w:p>
    <w:p>
      <w:pPr>
        <w:ind w:left="880" w:hanging="291"/>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98" w:lineRule="exact"/>
        <w:rPr>
          <w:rFonts w:ascii="Arial" w:cs="Arial" w:eastAsia="Arial" w:hAnsi="Arial"/>
          <w:sz w:val="15"/>
          <w:szCs w:val="15"/>
          <w:color w:val="auto"/>
        </w:rPr>
      </w:pPr>
    </w:p>
    <w:p>
      <w:pPr>
        <w:ind w:left="880" w:hanging="291"/>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98" w:lineRule="exact"/>
        <w:rPr>
          <w:rFonts w:ascii="Arial" w:cs="Arial" w:eastAsia="Arial" w:hAnsi="Arial"/>
          <w:sz w:val="15"/>
          <w:szCs w:val="15"/>
          <w:color w:val="auto"/>
        </w:rPr>
      </w:pPr>
    </w:p>
    <w:p>
      <w:pPr>
        <w:ind w:left="880" w:hanging="291"/>
        <w:spacing w:after="0" w:line="246" w:lineRule="auto"/>
        <w:tabs>
          <w:tab w:leader="none" w:pos="87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89" w:lineRule="exact"/>
        <w:rPr>
          <w:rFonts w:ascii="Arial" w:cs="Arial" w:eastAsia="Arial" w:hAnsi="Arial"/>
          <w:sz w:val="15"/>
          <w:szCs w:val="15"/>
          <w:color w:val="auto"/>
        </w:rPr>
      </w:pPr>
    </w:p>
    <w:p>
      <w:pPr>
        <w:ind w:left="880" w:hanging="291"/>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98" w:lineRule="exact"/>
        <w:rPr>
          <w:sz w:val="20"/>
          <w:szCs w:val="20"/>
          <w:color w:val="auto"/>
        </w:rPr>
      </w:pPr>
    </w:p>
    <w:p>
      <w:pPr>
        <w:ind w:firstLine="590"/>
        <w:spacing w:after="0" w:line="246"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measures of cash that will be available to meet our obligations.</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provides an unaudited reconciliation of Net income (loss) to Adjusted EBITDA: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140" w:type="dxa"/>
            <w:vAlign w:val="bottom"/>
            <w:gridSpan w:val="5"/>
            <w:shd w:val="clear" w:color="auto" w:fill="1D2758"/>
          </w:tcPr>
          <w:p>
            <w:pPr>
              <w:ind w:left="600"/>
              <w:spacing w:after="0"/>
              <w:rPr>
                <w:sz w:val="20"/>
                <w:szCs w:val="20"/>
                <w:color w:val="auto"/>
              </w:rPr>
            </w:pPr>
            <w:r>
              <w:rPr>
                <w:rFonts w:ascii="Arial" w:cs="Arial" w:eastAsia="Arial" w:hAnsi="Arial"/>
                <w:sz w:val="15"/>
                <w:szCs w:val="15"/>
                <w:b w:val="1"/>
                <w:bCs w:val="1"/>
                <w:color w:val="FFFFFF"/>
              </w:rPr>
              <w:t>Three Months Ended</w:t>
            </w:r>
          </w:p>
        </w:tc>
        <w:tc>
          <w:tcPr>
            <w:tcW w:w="380" w:type="dxa"/>
            <w:vAlign w:val="bottom"/>
            <w:shd w:val="clear" w:color="auto" w:fill="1D2758"/>
          </w:tcPr>
          <w:p>
            <w:pPr>
              <w:spacing w:after="0"/>
              <w:rPr>
                <w:sz w:val="17"/>
                <w:szCs w:val="17"/>
                <w:color w:val="auto"/>
              </w:rPr>
            </w:pPr>
          </w:p>
        </w:tc>
        <w:tc>
          <w:tcPr>
            <w:tcW w:w="20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000" w:type="dxa"/>
            <w:vAlign w:val="bottom"/>
            <w:shd w:val="clear" w:color="auto" w:fill="1D2758"/>
          </w:tcPr>
          <w:p>
            <w:pPr>
              <w:spacing w:after="0"/>
              <w:rPr>
                <w:sz w:val="17"/>
                <w:szCs w:val="17"/>
                <w:color w:val="auto"/>
              </w:rPr>
            </w:pPr>
          </w:p>
        </w:tc>
      </w:tr>
      <w:tr>
        <w:trPr>
          <w:trHeight w:val="193"/>
        </w:trPr>
        <w:tc>
          <w:tcPr>
            <w:tcW w:w="4300" w:type="dxa"/>
            <w:vAlign w:val="bottom"/>
            <w:shd w:val="clear" w:color="auto" w:fill="1D2758"/>
          </w:tcPr>
          <w:p>
            <w:pPr>
              <w:spacing w:after="0"/>
              <w:rPr>
                <w:sz w:val="16"/>
                <w:szCs w:val="16"/>
                <w:color w:val="auto"/>
              </w:rPr>
            </w:pPr>
          </w:p>
        </w:tc>
        <w:tc>
          <w:tcPr>
            <w:tcW w:w="380" w:type="dxa"/>
            <w:vAlign w:val="bottom"/>
            <w:shd w:val="clear" w:color="auto" w:fill="1D2758"/>
          </w:tcPr>
          <w:p>
            <w:pPr>
              <w:spacing w:after="0"/>
              <w:rPr>
                <w:sz w:val="16"/>
                <w:szCs w:val="16"/>
                <w:color w:val="auto"/>
              </w:rPr>
            </w:pPr>
          </w:p>
        </w:tc>
        <w:tc>
          <w:tcPr>
            <w:tcW w:w="1940" w:type="dxa"/>
            <w:vAlign w:val="bottom"/>
            <w:gridSpan w:val="3"/>
            <w:shd w:val="clear" w:color="auto" w:fill="1D2758"/>
          </w:tcPr>
          <w:p>
            <w:pPr>
              <w:jc w:val="right"/>
              <w:ind w:right="26"/>
              <w:spacing w:after="0"/>
              <w:rPr>
                <w:sz w:val="20"/>
                <w:szCs w:val="20"/>
                <w:color w:val="auto"/>
              </w:rPr>
            </w:pPr>
            <w:r>
              <w:rPr>
                <w:rFonts w:ascii="Arial" w:cs="Arial" w:eastAsia="Arial" w:hAnsi="Arial"/>
                <w:sz w:val="15"/>
                <w:szCs w:val="15"/>
                <w:b w:val="1"/>
                <w:bCs w:val="1"/>
                <w:color w:val="FFFFFF"/>
              </w:rPr>
              <w:t>September 30,</w:t>
            </w:r>
          </w:p>
        </w:tc>
        <w:tc>
          <w:tcPr>
            <w:tcW w:w="112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380" w:type="dxa"/>
            <w:vAlign w:val="bottom"/>
            <w:shd w:val="clear" w:color="auto" w:fill="1D2758"/>
          </w:tcPr>
          <w:p>
            <w:pPr>
              <w:spacing w:after="0"/>
              <w:rPr>
                <w:sz w:val="16"/>
                <w:szCs w:val="16"/>
                <w:color w:val="auto"/>
              </w:rPr>
            </w:pPr>
          </w:p>
        </w:tc>
        <w:tc>
          <w:tcPr>
            <w:tcW w:w="2040" w:type="dxa"/>
            <w:vAlign w:val="bottom"/>
            <w:gridSpan w:val="3"/>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6"/>
                <w:szCs w:val="16"/>
                <w:color w:val="auto"/>
              </w:rPr>
            </w:pPr>
          </w:p>
        </w:tc>
      </w:tr>
      <w:tr>
        <w:trPr>
          <w:trHeight w:val="201"/>
        </w:trPr>
        <w:tc>
          <w:tcPr>
            <w:tcW w:w="43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60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6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w w:val="95"/>
              </w:rPr>
              <w:t>2020</w:t>
            </w:r>
          </w:p>
        </w:tc>
      </w:tr>
      <w:tr>
        <w:trPr>
          <w:trHeight w:val="197"/>
        </w:trPr>
        <w:tc>
          <w:tcPr>
            <w:tcW w:w="43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380" w:type="dxa"/>
            <w:vAlign w:val="bottom"/>
            <w:shd w:val="clear" w:color="auto" w:fill="DBDBDB"/>
          </w:tcPr>
          <w:p>
            <w:pPr>
              <w:jc w:val="right"/>
              <w:ind w:right="20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61,103</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(6,051)</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85,921</w:t>
            </w:r>
          </w:p>
        </w:tc>
        <w:tc>
          <w:tcPr>
            <w:tcW w:w="80" w:type="dxa"/>
            <w:vAlign w:val="bottom"/>
            <w:shd w:val="clear" w:color="auto" w:fill="DBDBDB"/>
          </w:tcPr>
          <w:p>
            <w:pPr>
              <w:spacing w:after="0"/>
              <w:rPr>
                <w:sz w:val="17"/>
                <w:szCs w:val="17"/>
                <w:color w:val="auto"/>
              </w:rPr>
            </w:pPr>
          </w:p>
        </w:tc>
        <w:tc>
          <w:tcPr>
            <w:tcW w:w="660" w:type="dxa"/>
            <w:vAlign w:val="bottom"/>
            <w:shd w:val="clear" w:color="auto" w:fill="DBDBDB"/>
          </w:tcPr>
          <w:p>
            <w:pPr>
              <w:jc w:val="right"/>
              <w:ind w:right="48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71,474</w:t>
            </w:r>
          </w:p>
        </w:tc>
      </w:tr>
      <w:tr>
        <w:trPr>
          <w:trHeight w:val="194"/>
        </w:trPr>
        <w:tc>
          <w:tcPr>
            <w:tcW w:w="4300" w:type="dxa"/>
            <w:vAlign w:val="bottom"/>
          </w:tcPr>
          <w:p>
            <w:pPr>
              <w:ind w:left="220"/>
              <w:spacing w:after="0"/>
              <w:rPr>
                <w:sz w:val="20"/>
                <w:szCs w:val="20"/>
                <w:color w:val="auto"/>
              </w:rPr>
            </w:pPr>
            <w:r>
              <w:rPr>
                <w:rFonts w:ascii="Arial" w:cs="Arial" w:eastAsia="Arial" w:hAnsi="Arial"/>
                <w:sz w:val="15"/>
                <w:szCs w:val="15"/>
                <w:color w:val="auto"/>
              </w:rPr>
              <w:t>Income tax expense (benefit)</w:t>
            </w: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6,644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(66,675)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35,953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(66,170)</w:t>
            </w:r>
          </w:p>
        </w:tc>
      </w:tr>
      <w:tr>
        <w:trPr>
          <w:trHeight w:val="199"/>
        </w:trPr>
        <w:tc>
          <w:tcPr>
            <w:tcW w:w="43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380" w:type="dxa"/>
            <w:vAlign w:val="bottom"/>
            <w:shd w:val="clear" w:color="auto" w:fill="DBDBDB"/>
          </w:tcPr>
          <w:p>
            <w:pPr>
              <w:spacing w:after="0"/>
              <w:rPr>
                <w:sz w:val="17"/>
                <w:szCs w:val="17"/>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42,401</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5,999</w:t>
            </w:r>
          </w:p>
        </w:tc>
        <w:tc>
          <w:tcPr>
            <w:tcW w:w="8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42,401</w:t>
            </w:r>
          </w:p>
        </w:tc>
      </w:tr>
      <w:tr>
        <w:trPr>
          <w:trHeight w:val="194"/>
        </w:trPr>
        <w:tc>
          <w:tcPr>
            <w:tcW w:w="4300" w:type="dxa"/>
            <w:vAlign w:val="bottom"/>
          </w:tcPr>
          <w:p>
            <w:pPr>
              <w:ind w:left="220"/>
              <w:spacing w:after="0"/>
              <w:rPr>
                <w:sz w:val="20"/>
                <w:szCs w:val="20"/>
                <w:color w:val="auto"/>
              </w:rPr>
            </w:pPr>
            <w:r>
              <w:rPr>
                <w:rFonts w:ascii="Arial" w:cs="Arial" w:eastAsia="Arial" w:hAnsi="Arial"/>
                <w:sz w:val="15"/>
                <w:szCs w:val="15"/>
                <w:color w:val="auto"/>
              </w:rPr>
              <w:t>Fair value loss (gain) on common stock warrant liabilities</w:t>
            </w:r>
          </w:p>
        </w:tc>
        <w:tc>
          <w:tcPr>
            <w:tcW w:w="3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22,303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26,597</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(46,063)</w:t>
            </w:r>
          </w:p>
        </w:tc>
      </w:tr>
      <w:tr>
        <w:trPr>
          <w:trHeight w:val="199"/>
        </w:trPr>
        <w:tc>
          <w:tcPr>
            <w:tcW w:w="43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29,201</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33,034</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88,377</w:t>
            </w:r>
          </w:p>
        </w:tc>
        <w:tc>
          <w:tcPr>
            <w:tcW w:w="8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89,810</w:t>
            </w:r>
          </w:p>
        </w:tc>
      </w:tr>
      <w:tr>
        <w:trPr>
          <w:trHeight w:val="194"/>
        </w:trPr>
        <w:tc>
          <w:tcPr>
            <w:tcW w:w="43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75,276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71,704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233,813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169,103</w:t>
            </w:r>
          </w:p>
        </w:tc>
      </w:tr>
      <w:tr>
        <w:trPr>
          <w:trHeight w:val="199"/>
        </w:trPr>
        <w:tc>
          <w:tcPr>
            <w:tcW w:w="43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127</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196</w:t>
            </w:r>
          </w:p>
        </w:tc>
        <w:tc>
          <w:tcPr>
            <w:tcW w:w="8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w:t>
            </w:r>
          </w:p>
        </w:tc>
      </w:tr>
      <w:tr>
        <w:trPr>
          <w:trHeight w:val="162"/>
        </w:trPr>
        <w:tc>
          <w:tcPr>
            <w:tcW w:w="4300" w:type="dxa"/>
            <w:vAlign w:val="bottom"/>
          </w:tcPr>
          <w:p>
            <w:pPr>
              <w:ind w:left="220"/>
              <w:spacing w:after="0" w:line="161" w:lineRule="exact"/>
              <w:rPr>
                <w:sz w:val="20"/>
                <w:szCs w:val="20"/>
                <w:color w:val="auto"/>
              </w:rPr>
            </w:pPr>
            <w:r>
              <w:rPr>
                <w:rFonts w:ascii="Arial" w:cs="Arial" w:eastAsia="Arial" w:hAnsi="Arial"/>
                <w:sz w:val="15"/>
                <w:szCs w:val="15"/>
                <w:color w:val="auto"/>
              </w:rPr>
              <w:t>Restructuring costs, lease impairment expense and other</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4300" w:type="dxa"/>
            <w:vAlign w:val="bottom"/>
          </w:tcPr>
          <w:p>
            <w:pPr>
              <w:ind w:left="220"/>
              <w:spacing w:after="0"/>
              <w:rPr>
                <w:sz w:val="20"/>
                <w:szCs w:val="20"/>
                <w:color w:val="auto"/>
              </w:rPr>
            </w:pPr>
            <w:r>
              <w:rPr>
                <w:rFonts w:ascii="Arial" w:cs="Arial" w:eastAsia="Arial" w:hAnsi="Arial"/>
                <w:sz w:val="15"/>
                <w:szCs w:val="15"/>
                <w:color w:val="auto"/>
              </w:rPr>
              <w:t>related charges</w:t>
            </w:r>
          </w:p>
        </w:tc>
        <w:tc>
          <w:tcPr>
            <w:tcW w:w="380" w:type="dxa"/>
            <w:vAlign w:val="bottom"/>
          </w:tcPr>
          <w:p>
            <w:pPr>
              <w:spacing w:after="0"/>
              <w:rPr>
                <w:sz w:val="15"/>
                <w:szCs w:val="15"/>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2,457</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4,798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14,286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8,542</w:t>
            </w:r>
          </w:p>
        </w:tc>
      </w:tr>
      <w:tr>
        <w:trPr>
          <w:trHeight w:val="199"/>
        </w:trPr>
        <w:tc>
          <w:tcPr>
            <w:tcW w:w="43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303</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52,191</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1,147</w:t>
            </w:r>
          </w:p>
        </w:tc>
        <w:tc>
          <w:tcPr>
            <w:tcW w:w="8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63,241</w:t>
            </w:r>
          </w:p>
        </w:tc>
      </w:tr>
      <w:tr>
        <w:trPr>
          <w:trHeight w:val="194"/>
        </w:trPr>
        <w:tc>
          <w:tcPr>
            <w:tcW w:w="430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8,247</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7,083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23,211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10,921</w:t>
            </w:r>
          </w:p>
        </w:tc>
      </w:tr>
      <w:tr>
        <w:trPr>
          <w:trHeight w:val="199"/>
        </w:trPr>
        <w:tc>
          <w:tcPr>
            <w:tcW w:w="43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6,259</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2,944</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14,480</w:t>
            </w:r>
          </w:p>
        </w:tc>
        <w:tc>
          <w:tcPr>
            <w:tcW w:w="8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6,958</w:t>
            </w:r>
          </w:p>
        </w:tc>
      </w:tr>
      <w:tr>
        <w:trPr>
          <w:trHeight w:val="194"/>
        </w:trPr>
        <w:tc>
          <w:tcPr>
            <w:tcW w:w="43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532</w:t>
            </w:r>
          </w:p>
        </w:tc>
        <w:tc>
          <w:tcPr>
            <w:tcW w:w="80" w:type="dxa"/>
            <w:vAlign w:val="bottom"/>
            <w:tcBorders>
              <w:bottom w:val="single" w:sz="8" w:color="DBDBDB"/>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198</w:t>
            </w:r>
          </w:p>
        </w:tc>
        <w:tc>
          <w:tcPr>
            <w:tcW w:w="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(751)</w:t>
            </w: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w:t>
            </w:r>
          </w:p>
        </w:tc>
      </w:tr>
      <w:tr>
        <w:trPr>
          <w:trHeight w:val="237"/>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8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190,149</w:t>
            </w:r>
          </w:p>
        </w:tc>
        <w:tc>
          <w:tcPr>
            <w:tcW w:w="80" w:type="dxa"/>
            <w:vAlign w:val="bottom"/>
            <w:tcBorders>
              <w:bottom w:val="single" w:sz="8" w:color="DBDBDB"/>
            </w:tcBorders>
            <w:shd w:val="clear" w:color="auto" w:fill="DBDBDB"/>
          </w:tcPr>
          <w:p>
            <w:pPr>
              <w:spacing w:after="0"/>
              <w:rPr>
                <w:sz w:val="20"/>
                <w:szCs w:val="20"/>
                <w:color w:val="auto"/>
              </w:rPr>
            </w:pPr>
          </w:p>
        </w:tc>
        <w:tc>
          <w:tcPr>
            <w:tcW w:w="560" w:type="dxa"/>
            <w:vAlign w:val="bottom"/>
            <w:tcBorders>
              <w:bottom w:val="single" w:sz="8" w:color="auto"/>
            </w:tcBorders>
            <w:shd w:val="clear" w:color="auto" w:fill="DBDBDB"/>
          </w:tcPr>
          <w:p>
            <w:pPr>
              <w:jc w:val="right"/>
              <w:ind w:right="38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163,559</w:t>
            </w: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529,229</w:t>
            </w:r>
          </w:p>
        </w:tc>
        <w:tc>
          <w:tcPr>
            <w:tcW w:w="80" w:type="dxa"/>
            <w:vAlign w:val="bottom"/>
            <w:tcBorders>
              <w:bottom w:val="single" w:sz="8" w:color="DBDBDB"/>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jc w:val="right"/>
              <w:ind w:right="48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350,623</w:t>
            </w:r>
          </w:p>
        </w:tc>
      </w:tr>
      <w:tr>
        <w:trPr>
          <w:trHeight w:val="20"/>
        </w:trPr>
        <w:tc>
          <w:tcPr>
            <w:tcW w:w="43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shd w:val="clear" w:color="auto" w:fill="000000"/>
          </w:tcPr>
          <w:p>
            <w:pPr>
              <w:spacing w:after="0" w:line="20" w:lineRule="exact"/>
              <w:rPr>
                <w:sz w:val="1"/>
                <w:szCs w:val="1"/>
                <w:color w:val="auto"/>
              </w:rPr>
            </w:pPr>
          </w:p>
        </w:tc>
        <w:tc>
          <w:tcPr>
            <w:tcW w:w="130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shd w:val="clear" w:color="auto" w:fill="000000"/>
          </w:tcPr>
          <w:p>
            <w:pPr>
              <w:spacing w:after="0" w:line="20" w:lineRule="exact"/>
              <w:rPr>
                <w:sz w:val="1"/>
                <w:szCs w:val="1"/>
                <w:color w:val="auto"/>
              </w:rPr>
            </w:pPr>
          </w:p>
        </w:tc>
        <w:tc>
          <w:tcPr>
            <w:tcW w:w="112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shd w:val="clear" w:color="auto" w:fill="000000"/>
          </w:tcPr>
          <w:p>
            <w:pPr>
              <w:spacing w:after="0" w:line="20" w:lineRule="exact"/>
              <w:rPr>
                <w:sz w:val="1"/>
                <w:szCs w:val="1"/>
                <w:color w:val="auto"/>
              </w:rPr>
            </w:pPr>
          </w:p>
        </w:tc>
        <w:tc>
          <w:tcPr>
            <w:tcW w:w="130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DBDBDB"/>
            </w:tcBorders>
            <w:shd w:val="clear" w:color="auto" w:fill="000000"/>
          </w:tcPr>
          <w:p>
            <w:pPr>
              <w:spacing w:after="0" w:line="20" w:lineRule="exact"/>
              <w:rPr>
                <w:sz w:val="1"/>
                <w:szCs w:val="1"/>
                <w:color w:val="auto"/>
              </w:rPr>
            </w:pPr>
          </w:p>
        </w:tc>
        <w:tc>
          <w:tcPr>
            <w:tcW w:w="1000" w:type="dxa"/>
            <w:vAlign w:val="bottom"/>
            <w:tcBorders>
              <w:top w:val="single" w:sz="8" w:color="DBDBDB"/>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Net Income Excluding Gain/Loss from Warrants</w:t>
      </w:r>
    </w:p>
    <w:p>
      <w:pPr>
        <w:spacing w:after="0" w:line="109" w:lineRule="exact"/>
        <w:rPr>
          <w:sz w:val="20"/>
          <w:szCs w:val="20"/>
          <w:color w:val="auto"/>
        </w:rPr>
      </w:pPr>
    </w:p>
    <w:p>
      <w:pPr>
        <w:jc w:val="both"/>
        <w:ind w:firstLine="590"/>
        <w:spacing w:after="0" w:line="230" w:lineRule="auto"/>
        <w:rPr>
          <w:sz w:val="20"/>
          <w:szCs w:val="20"/>
          <w:color w:val="auto"/>
        </w:rPr>
      </w:pPr>
      <w:r>
        <w:rPr>
          <w:rFonts w:ascii="Arial" w:cs="Arial" w:eastAsia="Arial" w:hAnsi="Arial"/>
          <w:sz w:val="15"/>
          <w:szCs w:val="15"/>
          <w:color w:val="auto"/>
        </w:rPr>
        <w:t>We define Net Income Excluding Gain/Loss from Warrants as net income plus or minus the impact of the change in the fair value of the common stock warrant liability. Management believes that our financial statements that include the impact of this mark-to-market expense or income may not be necessarily reflective of the actual operating performance of our business.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provides an unaudited reconciliation of Net income (loss) to Net Income (Loss) Excluding Gain/Loss from Warrants: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shd w:val="clear" w:color="auto" w:fill="1D2758"/>
          </w:tcPr>
          <w:p>
            <w:pPr>
              <w:spacing w:after="0"/>
              <w:rPr>
                <w:sz w:val="17"/>
                <w:szCs w:val="17"/>
                <w:color w:val="auto"/>
              </w:rPr>
            </w:pPr>
          </w:p>
        </w:tc>
        <w:tc>
          <w:tcPr>
            <w:tcW w:w="30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 September 30,</w:t>
            </w:r>
          </w:p>
        </w:tc>
        <w:tc>
          <w:tcPr>
            <w:tcW w:w="52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3180" w:type="dxa"/>
            <w:vAlign w:val="bottom"/>
            <w:gridSpan w:val="3"/>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Nine Months Ended September 30,</w:t>
            </w:r>
          </w:p>
        </w:tc>
      </w:tr>
      <w:tr>
        <w:trPr>
          <w:trHeight w:val="197"/>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80" w:type="dxa"/>
            <w:vAlign w:val="bottom"/>
            <w:shd w:val="clear" w:color="auto" w:fill="1D2758"/>
          </w:tcPr>
          <w:p>
            <w:pPr>
              <w:jc w:val="right"/>
              <w:ind w:right="46"/>
              <w:spacing w:after="0"/>
              <w:rPr>
                <w:sz w:val="20"/>
                <w:szCs w:val="20"/>
                <w:color w:val="auto"/>
              </w:rPr>
            </w:pPr>
            <w:r>
              <w:rPr>
                <w:rFonts w:ascii="Arial" w:cs="Arial" w:eastAsia="Arial" w:hAnsi="Arial"/>
                <w:sz w:val="15"/>
                <w:szCs w:val="15"/>
                <w:b w:val="1"/>
                <w:bCs w:val="1"/>
                <w:color w:val="FFFFFF"/>
              </w:rPr>
              <w:t>2021</w:t>
            </w:r>
          </w:p>
        </w:tc>
        <w:tc>
          <w:tcPr>
            <w:tcW w:w="6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66"/>
              <w:spacing w:after="0"/>
              <w:rPr>
                <w:sz w:val="20"/>
                <w:szCs w:val="20"/>
                <w:color w:val="auto"/>
              </w:rPr>
            </w:pPr>
            <w:r>
              <w:rPr>
                <w:rFonts w:ascii="Arial" w:cs="Arial" w:eastAsia="Arial" w:hAnsi="Arial"/>
                <w:sz w:val="15"/>
                <w:szCs w:val="15"/>
                <w:b w:val="1"/>
                <w:bCs w:val="1"/>
                <w:color w:val="FFFFFF"/>
              </w:rPr>
              <w:t>2020</w:t>
            </w:r>
          </w:p>
        </w:tc>
        <w:tc>
          <w:tcPr>
            <w:tcW w:w="52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26"/>
              <w:spacing w:after="0"/>
              <w:rPr>
                <w:sz w:val="20"/>
                <w:szCs w:val="20"/>
                <w:color w:val="auto"/>
              </w:rPr>
            </w:pPr>
            <w:r>
              <w:rPr>
                <w:rFonts w:ascii="Arial" w:cs="Arial" w:eastAsia="Arial" w:hAnsi="Arial"/>
                <w:sz w:val="15"/>
                <w:szCs w:val="15"/>
                <w:b w:val="1"/>
                <w:bCs w:val="1"/>
                <w:color w:val="FFFFFF"/>
              </w:rPr>
              <w:t>2021</w:t>
            </w:r>
          </w:p>
        </w:tc>
        <w:tc>
          <w:tcPr>
            <w:tcW w:w="46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6"/>
              <w:spacing w:after="0"/>
              <w:rPr>
                <w:sz w:val="20"/>
                <w:szCs w:val="20"/>
                <w:color w:val="auto"/>
              </w:rPr>
            </w:pPr>
            <w:r>
              <w:rPr>
                <w:rFonts w:ascii="Arial" w:cs="Arial" w:eastAsia="Arial" w:hAnsi="Arial"/>
                <w:sz w:val="15"/>
                <w:szCs w:val="15"/>
                <w:b w:val="1"/>
                <w:bCs w:val="1"/>
                <w:color w:val="FFFFFF"/>
              </w:rPr>
              <w:t>2020</w:t>
            </w:r>
          </w:p>
        </w:tc>
      </w:tr>
      <w:tr>
        <w:trPr>
          <w:trHeight w:val="197"/>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1180" w:type="dxa"/>
            <w:vAlign w:val="bottom"/>
            <w:shd w:val="clear" w:color="auto" w:fill="DBDBDB"/>
          </w:tcPr>
          <w:p>
            <w:pPr>
              <w:jc w:val="right"/>
              <w:ind w:right="1006"/>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rPr>
              <w:t>61,103</w:t>
            </w:r>
          </w:p>
        </w:tc>
        <w:tc>
          <w:tcPr>
            <w:tcW w:w="1200" w:type="dxa"/>
            <w:vAlign w:val="bottom"/>
            <w:shd w:val="clear" w:color="auto" w:fill="DBDBDB"/>
          </w:tcPr>
          <w:p>
            <w:pPr>
              <w:jc w:val="right"/>
              <w:ind w:right="966"/>
              <w:spacing w:after="0"/>
              <w:rPr>
                <w:sz w:val="20"/>
                <w:szCs w:val="20"/>
                <w:color w:val="auto"/>
              </w:rPr>
            </w:pPr>
            <w:r>
              <w:rPr>
                <w:rFonts w:ascii="Arial" w:cs="Arial" w:eastAsia="Arial" w:hAnsi="Arial"/>
                <w:sz w:val="15"/>
                <w:szCs w:val="15"/>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(6,051)</w:t>
            </w:r>
          </w:p>
        </w:tc>
        <w:tc>
          <w:tcPr>
            <w:tcW w:w="34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85,921</w:t>
            </w:r>
          </w:p>
        </w:tc>
        <w:tc>
          <w:tcPr>
            <w:tcW w:w="460" w:type="dxa"/>
            <w:vAlign w:val="bottom"/>
            <w:shd w:val="clear" w:color="auto" w:fill="DBDBDB"/>
          </w:tcPr>
          <w:p>
            <w:pPr>
              <w:jc w:val="right"/>
              <w:ind w:right="226"/>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center"/>
              <w:ind w:left="706"/>
              <w:spacing w:after="0"/>
              <w:rPr>
                <w:sz w:val="20"/>
                <w:szCs w:val="20"/>
                <w:color w:val="auto"/>
              </w:rPr>
            </w:pPr>
            <w:r>
              <w:rPr>
                <w:rFonts w:ascii="Arial" w:cs="Arial" w:eastAsia="Arial" w:hAnsi="Arial"/>
                <w:sz w:val="15"/>
                <w:szCs w:val="15"/>
                <w:color w:val="auto"/>
                <w:w w:val="95"/>
              </w:rPr>
              <w:t>71,474</w:t>
            </w:r>
          </w:p>
        </w:tc>
      </w:tr>
      <w:tr>
        <w:trPr>
          <w:trHeight w:val="194"/>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Fair value loss (gain) on common stock warrant liabilities</w:t>
            </w: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22,303</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26,597</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686"/>
              <w:spacing w:after="0"/>
              <w:rPr>
                <w:sz w:val="20"/>
                <w:szCs w:val="20"/>
                <w:color w:val="auto"/>
              </w:rPr>
            </w:pPr>
            <w:r>
              <w:rPr>
                <w:rFonts w:ascii="Arial" w:cs="Arial" w:eastAsia="Arial" w:hAnsi="Arial"/>
                <w:sz w:val="15"/>
                <w:szCs w:val="15"/>
                <w:color w:val="auto"/>
                <w:w w:val="96"/>
              </w:rPr>
              <w:t>(46,063)</w:t>
            </w:r>
          </w:p>
        </w:tc>
      </w:tr>
      <w:tr>
        <w:trPr>
          <w:trHeight w:val="217"/>
        </w:trPr>
        <w:tc>
          <w:tcPr>
            <w:tcW w:w="4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 (Loss) Excluding Gain/Loss from Warrants</w:t>
            </w:r>
          </w:p>
        </w:tc>
        <w:tc>
          <w:tcPr>
            <w:tcW w:w="1180" w:type="dxa"/>
            <w:vAlign w:val="bottom"/>
            <w:tcBorders>
              <w:bottom w:val="single" w:sz="8" w:color="auto"/>
            </w:tcBorders>
            <w:shd w:val="clear" w:color="auto" w:fill="DBDBDB"/>
          </w:tcPr>
          <w:p>
            <w:pPr>
              <w:jc w:val="right"/>
              <w:ind w:right="100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5"/>
                <w:szCs w:val="15"/>
                <w:color w:val="auto"/>
              </w:rPr>
              <w:t>61,103</w:t>
            </w:r>
          </w:p>
        </w:tc>
        <w:tc>
          <w:tcPr>
            <w:tcW w:w="1200" w:type="dxa"/>
            <w:vAlign w:val="bottom"/>
            <w:tcBorders>
              <w:bottom w:val="single" w:sz="8" w:color="auto"/>
            </w:tcBorders>
            <w:shd w:val="clear" w:color="auto" w:fill="DBDBDB"/>
          </w:tcPr>
          <w:p>
            <w:pPr>
              <w:jc w:val="right"/>
              <w:ind w:right="96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16,252</w:t>
            </w:r>
          </w:p>
        </w:tc>
        <w:tc>
          <w:tcPr>
            <w:tcW w:w="34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112,518</w:t>
            </w:r>
          </w:p>
        </w:tc>
        <w:tc>
          <w:tcPr>
            <w:tcW w:w="46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DBDBDB"/>
          </w:tcPr>
          <w:p>
            <w:pPr>
              <w:jc w:val="center"/>
              <w:ind w:left="706"/>
              <w:spacing w:after="0"/>
              <w:rPr>
                <w:sz w:val="20"/>
                <w:szCs w:val="20"/>
                <w:color w:val="auto"/>
              </w:rPr>
            </w:pPr>
            <w:r>
              <w:rPr>
                <w:rFonts w:ascii="Arial" w:cs="Arial" w:eastAsia="Arial" w:hAnsi="Arial"/>
                <w:sz w:val="15"/>
                <w:szCs w:val="15"/>
                <w:color w:val="auto"/>
                <w:w w:val="95"/>
              </w:rPr>
              <w:t>25,411</w:t>
            </w: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Gross Profit and Adjusted Gross Profit Percentage</w:t>
      </w:r>
    </w:p>
    <w:p>
      <w:pPr>
        <w:spacing w:after="0" w:line="72"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provides an unaudited reconciliation of gross profit to Adjusted Gross Profit and Adjusted Gross Profit Percentage: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3000" w:type="dxa"/>
            <w:vAlign w:val="bottom"/>
            <w:gridSpan w:val="4"/>
            <w:shd w:val="clear" w:color="auto" w:fill="1D2758"/>
          </w:tcPr>
          <w:p>
            <w:pPr>
              <w:jc w:val="right"/>
              <w:ind w:right="906"/>
              <w:spacing w:after="0"/>
              <w:rPr>
                <w:sz w:val="20"/>
                <w:szCs w:val="20"/>
                <w:color w:val="auto"/>
              </w:rPr>
            </w:pPr>
            <w:r>
              <w:rPr>
                <w:rFonts w:ascii="Arial" w:cs="Arial" w:eastAsia="Arial" w:hAnsi="Arial"/>
                <w:sz w:val="15"/>
                <w:szCs w:val="15"/>
                <w:b w:val="1"/>
                <w:bCs w:val="1"/>
                <w:color w:val="FFFFFF"/>
              </w:rPr>
              <w:t>Three Months Ended</w:t>
            </w:r>
          </w:p>
        </w:tc>
        <w:tc>
          <w:tcPr>
            <w:tcW w:w="420" w:type="dxa"/>
            <w:vAlign w:val="bottom"/>
            <w:shd w:val="clear" w:color="auto" w:fill="1D2758"/>
          </w:tcPr>
          <w:p>
            <w:pPr>
              <w:spacing w:after="0"/>
              <w:rPr>
                <w:sz w:val="17"/>
                <w:szCs w:val="17"/>
                <w:color w:val="auto"/>
              </w:rPr>
            </w:pPr>
          </w:p>
        </w:tc>
        <w:tc>
          <w:tcPr>
            <w:tcW w:w="20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960" w:type="dxa"/>
            <w:vAlign w:val="bottom"/>
            <w:shd w:val="clear" w:color="auto" w:fill="1D2758"/>
          </w:tcPr>
          <w:p>
            <w:pPr>
              <w:spacing w:after="0"/>
              <w:rPr>
                <w:sz w:val="17"/>
                <w:szCs w:val="17"/>
                <w:color w:val="auto"/>
              </w:rPr>
            </w:pPr>
          </w:p>
        </w:tc>
      </w:tr>
      <w:tr>
        <w:trPr>
          <w:trHeight w:val="193"/>
        </w:trPr>
        <w:tc>
          <w:tcPr>
            <w:tcW w:w="45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1900" w:type="dxa"/>
            <w:vAlign w:val="bottom"/>
            <w:gridSpan w:val="3"/>
            <w:shd w:val="clear" w:color="auto" w:fill="1D2758"/>
          </w:tcPr>
          <w:p>
            <w:pPr>
              <w:jc w:val="right"/>
              <w:ind w:right="26"/>
              <w:spacing w:after="0"/>
              <w:rPr>
                <w:sz w:val="20"/>
                <w:szCs w:val="20"/>
                <w:color w:val="auto"/>
              </w:rPr>
            </w:pPr>
            <w:r>
              <w:rPr>
                <w:rFonts w:ascii="Arial" w:cs="Arial" w:eastAsia="Arial" w:hAnsi="Arial"/>
                <w:sz w:val="15"/>
                <w:szCs w:val="15"/>
                <w:b w:val="1"/>
                <w:bCs w:val="1"/>
                <w:color w:val="FFFFFF"/>
              </w:rPr>
              <w:t>September 30,</w:t>
            </w:r>
          </w:p>
        </w:tc>
        <w:tc>
          <w:tcPr>
            <w:tcW w:w="1100" w:type="dxa"/>
            <w:vAlign w:val="bottom"/>
            <w:shd w:val="clear" w:color="auto" w:fill="1D2758"/>
          </w:tcPr>
          <w:p>
            <w:pPr>
              <w:spacing w:after="0"/>
              <w:rPr>
                <w:sz w:val="16"/>
                <w:szCs w:val="16"/>
                <w:color w:val="auto"/>
              </w:rPr>
            </w:pPr>
          </w:p>
        </w:tc>
        <w:tc>
          <w:tcPr>
            <w:tcW w:w="420" w:type="dxa"/>
            <w:vAlign w:val="bottom"/>
            <w:shd w:val="clear" w:color="auto" w:fill="1D2758"/>
          </w:tcPr>
          <w:p>
            <w:pPr>
              <w:spacing w:after="0"/>
              <w:rPr>
                <w:sz w:val="16"/>
                <w:szCs w:val="16"/>
                <w:color w:val="auto"/>
              </w:rPr>
            </w:pPr>
          </w:p>
        </w:tc>
        <w:tc>
          <w:tcPr>
            <w:tcW w:w="2000" w:type="dxa"/>
            <w:vAlign w:val="bottom"/>
            <w:gridSpan w:val="2"/>
            <w:shd w:val="clear" w:color="auto" w:fill="1D2758"/>
          </w:tcPr>
          <w:p>
            <w:pPr>
              <w:jc w:val="right"/>
              <w:ind w:right="126"/>
              <w:spacing w:after="0"/>
              <w:rPr>
                <w:sz w:val="20"/>
                <w:szCs w:val="20"/>
                <w:color w:val="auto"/>
              </w:rPr>
            </w:pPr>
            <w:r>
              <w:rPr>
                <w:rFonts w:ascii="Arial" w:cs="Arial" w:eastAsia="Arial" w:hAnsi="Arial"/>
                <w:sz w:val="15"/>
                <w:szCs w:val="15"/>
                <w:b w:val="1"/>
                <w:bCs w:val="1"/>
                <w:color w:val="FFFFFF"/>
              </w:rPr>
              <w:t>September 30,</w:t>
            </w:r>
          </w:p>
        </w:tc>
        <w:tc>
          <w:tcPr>
            <w:tcW w:w="960" w:type="dxa"/>
            <w:vAlign w:val="bottom"/>
            <w:shd w:val="clear" w:color="auto" w:fill="1D2758"/>
          </w:tcPr>
          <w:p>
            <w:pPr>
              <w:spacing w:after="0"/>
              <w:rPr>
                <w:sz w:val="16"/>
                <w:szCs w:val="16"/>
                <w:color w:val="auto"/>
              </w:rPr>
            </w:pPr>
          </w:p>
        </w:tc>
      </w:tr>
      <w:tr>
        <w:trPr>
          <w:trHeight w:val="201"/>
        </w:trPr>
        <w:tc>
          <w:tcPr>
            <w:tcW w:w="4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606"/>
              <w:spacing w:after="0"/>
              <w:rPr>
                <w:sz w:val="20"/>
                <w:szCs w:val="20"/>
                <w:color w:val="auto"/>
              </w:rPr>
            </w:pPr>
            <w:r>
              <w:rPr>
                <w:rFonts w:ascii="Arial" w:cs="Arial" w:eastAsia="Arial" w:hAnsi="Arial"/>
                <w:sz w:val="15"/>
                <w:szCs w:val="15"/>
                <w:b w:val="1"/>
                <w:bCs w:val="1"/>
                <w:color w:val="FFFFFF"/>
              </w:rPr>
              <w:t>2020</w:t>
            </w:r>
          </w:p>
        </w:tc>
        <w:tc>
          <w:tcPr>
            <w:tcW w:w="42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26"/>
              <w:spacing w:after="0"/>
              <w:rPr>
                <w:sz w:val="20"/>
                <w:szCs w:val="20"/>
                <w:color w:val="auto"/>
              </w:rPr>
            </w:pPr>
            <w:r>
              <w:rPr>
                <w:rFonts w:ascii="Arial" w:cs="Arial" w:eastAsia="Arial" w:hAnsi="Arial"/>
                <w:sz w:val="15"/>
                <w:szCs w:val="15"/>
                <w:b w:val="1"/>
                <w:bCs w:val="1"/>
                <w:color w:val="FFFFFF"/>
              </w:rPr>
              <w:t>2021</w:t>
            </w:r>
          </w:p>
        </w:tc>
        <w:tc>
          <w:tcPr>
            <w:tcW w:w="70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w w:val="89"/>
              </w:rPr>
              <w:t>2020</w:t>
            </w:r>
          </w:p>
        </w:tc>
      </w:tr>
      <w:tr>
        <w:trPr>
          <w:trHeight w:val="197"/>
        </w:trPr>
        <w:tc>
          <w:tcPr>
            <w:tcW w:w="4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 (A)</w:t>
            </w:r>
          </w:p>
        </w:tc>
        <w:tc>
          <w:tcPr>
            <w:tcW w:w="36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490,552</w:t>
            </w:r>
          </w:p>
        </w:tc>
        <w:tc>
          <w:tcPr>
            <w:tcW w:w="10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417,315</w:t>
            </w:r>
          </w:p>
        </w:tc>
        <w:tc>
          <w:tcPr>
            <w:tcW w:w="420" w:type="dxa"/>
            <w:vAlign w:val="bottom"/>
            <w:shd w:val="clear" w:color="auto" w:fill="DBDBDB"/>
          </w:tcPr>
          <w:p>
            <w:pPr>
              <w:jc w:val="right"/>
              <w:ind w:right="20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1,376,977</w:t>
            </w:r>
          </w:p>
        </w:tc>
        <w:tc>
          <w:tcPr>
            <w:tcW w:w="700" w:type="dxa"/>
            <w:vAlign w:val="bottom"/>
            <w:shd w:val="clear" w:color="auto" w:fill="DBDBDB"/>
          </w:tcPr>
          <w:p>
            <w:pPr>
              <w:jc w:val="right"/>
              <w:ind w:right="486"/>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929,998</w:t>
            </w:r>
          </w:p>
        </w:tc>
      </w:t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(B)</w:t>
            </w:r>
          </w:p>
        </w:tc>
        <w:tc>
          <w:tcPr>
            <w:tcW w:w="36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253,549</w:t>
            </w:r>
          </w:p>
        </w:tc>
        <w:tc>
          <w:tcPr>
            <w:tcW w:w="10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209,564</w:t>
            </w:r>
          </w:p>
        </w:tc>
        <w:tc>
          <w:tcPr>
            <w:tcW w:w="420" w:type="dxa"/>
            <w:vAlign w:val="bottom"/>
            <w:shd w:val="clear" w:color="auto" w:fill="DBDBDB"/>
          </w:tcPr>
          <w:p>
            <w:pPr>
              <w:jc w:val="right"/>
              <w:ind w:right="20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689,739</w:t>
            </w:r>
          </w:p>
        </w:tc>
        <w:tc>
          <w:tcPr>
            <w:tcW w:w="700" w:type="dxa"/>
            <w:vAlign w:val="bottom"/>
            <w:shd w:val="clear" w:color="auto" w:fill="DBDBDB"/>
          </w:tcPr>
          <w:p>
            <w:pPr>
              <w:jc w:val="right"/>
              <w:ind w:right="486"/>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425,718</w:t>
            </w:r>
          </w:p>
        </w:tc>
      </w:tr>
      <w:tr>
        <w:trPr>
          <w:trHeight w:val="194"/>
        </w:trPr>
        <w:tc>
          <w:tcPr>
            <w:tcW w:w="45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56,462</w:t>
            </w:r>
          </w:p>
        </w:tc>
        <w:tc>
          <w:tcPr>
            <w:tcW w:w="100" w:type="dxa"/>
            <w:vAlign w:val="bottom"/>
            <w:tcBorders>
              <w:bottom w:val="single" w:sz="8" w:color="DBDBDB"/>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54,837</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175,053</w:t>
            </w: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146,279</w:t>
            </w:r>
          </w:p>
        </w:tc>
      </w:tr>
      <w:tr>
        <w:trPr>
          <w:trHeight w:val="214"/>
        </w:trPr>
        <w:tc>
          <w:tcPr>
            <w:tcW w:w="45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Gross Profit (C)</w:t>
            </w:r>
          </w:p>
        </w:tc>
        <w:tc>
          <w:tcPr>
            <w:tcW w:w="36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DBDBDB"/>
          </w:tcPr>
          <w:p>
            <w:pPr>
              <w:jc w:val="right"/>
              <w:ind w:right="106"/>
              <w:spacing w:after="0"/>
              <w:rPr>
                <w:sz w:val="20"/>
                <w:szCs w:val="20"/>
                <w:color w:val="auto"/>
              </w:rPr>
            </w:pPr>
            <w:r>
              <w:rPr>
                <w:rFonts w:ascii="Arial" w:cs="Arial" w:eastAsia="Arial" w:hAnsi="Arial"/>
                <w:sz w:val="15"/>
                <w:szCs w:val="15"/>
                <w:color w:val="auto"/>
              </w:rPr>
              <w:t>310,011</w:t>
            </w:r>
          </w:p>
        </w:tc>
        <w:tc>
          <w:tcPr>
            <w:tcW w:w="10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ind w:right="3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5"/>
                <w:szCs w:val="15"/>
                <w:color w:val="auto"/>
              </w:rPr>
              <w:t>264,401</w:t>
            </w:r>
          </w:p>
        </w:tc>
        <w:tc>
          <w:tcPr>
            <w:tcW w:w="42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5"/>
                <w:szCs w:val="15"/>
                <w:color w:val="auto"/>
              </w:rPr>
              <w:t>864,792</w:t>
            </w:r>
          </w:p>
        </w:tc>
        <w:tc>
          <w:tcPr>
            <w:tcW w:w="700" w:type="dxa"/>
            <w:vAlign w:val="bottom"/>
            <w:tcBorders>
              <w:bottom w:val="single" w:sz="8" w:color="auto"/>
            </w:tcBorders>
            <w:shd w:val="clear" w:color="auto" w:fill="DBDBDB"/>
          </w:tcPr>
          <w:p>
            <w:pPr>
              <w:jc w:val="right"/>
              <w:ind w:right="48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ind w:right="106"/>
              <w:spacing w:after="0"/>
              <w:rPr>
                <w:sz w:val="20"/>
                <w:szCs w:val="20"/>
                <w:color w:val="auto"/>
              </w:rPr>
            </w:pPr>
            <w:r>
              <w:rPr>
                <w:rFonts w:ascii="Arial" w:cs="Arial" w:eastAsia="Arial" w:hAnsi="Arial"/>
                <w:sz w:val="15"/>
                <w:szCs w:val="15"/>
                <w:color w:val="auto"/>
              </w:rPr>
              <w:t>571,997</w:t>
            </w:r>
          </w:p>
        </w:tc>
      </w:tr>
      <w:tr>
        <w:trPr>
          <w:trHeight w:val="20"/>
        </w:trPr>
        <w:tc>
          <w:tcPr>
            <w:tcW w:w="45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7"/>
        </w:trPr>
        <w:tc>
          <w:tcPr>
            <w:tcW w:w="4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Percentage (B/A)</w:t>
            </w: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51.7 %</w:t>
            </w:r>
          </w:p>
        </w:tc>
        <w:tc>
          <w:tcPr>
            <w:tcW w:w="10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50.2 %</w:t>
            </w:r>
          </w:p>
        </w:tc>
        <w:tc>
          <w:tcPr>
            <w:tcW w:w="4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50.1 %</w:t>
            </w:r>
          </w:p>
        </w:tc>
        <w:tc>
          <w:tcPr>
            <w:tcW w:w="7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45.8 %</w:t>
            </w:r>
          </w:p>
        </w:tc>
      </w:tr>
      <w:tr>
        <w:trPr>
          <w:trHeight w:val="192"/>
        </w:trPr>
        <w:tc>
          <w:tcPr>
            <w:tcW w:w="4500" w:type="dxa"/>
            <w:vAlign w:val="bottom"/>
          </w:tcPr>
          <w:p>
            <w:pPr>
              <w:ind w:left="20"/>
              <w:spacing w:after="0"/>
              <w:rPr>
                <w:sz w:val="20"/>
                <w:szCs w:val="20"/>
                <w:color w:val="auto"/>
              </w:rPr>
            </w:pPr>
            <w:r>
              <w:rPr>
                <w:rFonts w:ascii="Arial" w:cs="Arial" w:eastAsia="Arial" w:hAnsi="Arial"/>
                <w:sz w:val="15"/>
                <w:szCs w:val="15"/>
                <w:color w:val="auto"/>
              </w:rPr>
              <w:t>Adjusted Gross Profit Percentage (C/A)</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63.2 %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63.4 %</w:t>
            </w: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62.8 %</w:t>
            </w:r>
          </w:p>
        </w:tc>
        <w:tc>
          <w:tcPr>
            <w:tcW w:w="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61.5 %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CAPEX</w:t>
      </w:r>
    </w:p>
    <w:p>
      <w:pPr>
        <w:spacing w:after="0" w:line="13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1" w:name="page52"/>
    <w:bookmarkEnd w:id="51"/>
    <w:p>
      <w:pPr>
        <w:ind w:left="580"/>
        <w:spacing w:after="0"/>
        <w:rPr>
          <w:sz w:val="20"/>
          <w:szCs w:val="20"/>
          <w:color w:val="auto"/>
        </w:rPr>
      </w:pPr>
      <w:r>
        <w:rPr>
          <w:rFonts w:ascii="Arial" w:cs="Arial" w:eastAsia="Arial" w:hAnsi="Arial"/>
          <w:sz w:val="15"/>
          <w:szCs w:val="15"/>
          <w:color w:val="auto"/>
        </w:rPr>
        <w:t>The following table provides an unaudited reconciliation of Net CAPEX:</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shd w:val="clear" w:color="auto" w:fill="1D2758"/>
          </w:tcPr>
          <w:p>
            <w:pPr>
              <w:spacing w:after="0"/>
              <w:rPr>
                <w:sz w:val="17"/>
                <w:szCs w:val="17"/>
                <w:color w:val="auto"/>
              </w:rPr>
            </w:pPr>
          </w:p>
        </w:tc>
        <w:tc>
          <w:tcPr>
            <w:tcW w:w="2600" w:type="dxa"/>
            <w:vAlign w:val="bottom"/>
            <w:gridSpan w:val="4"/>
            <w:shd w:val="clear" w:color="auto" w:fill="1D2758"/>
          </w:tcPr>
          <w:p>
            <w:pPr>
              <w:jc w:val="right"/>
              <w:ind w:right="186"/>
              <w:spacing w:after="0"/>
              <w:rPr>
                <w:sz w:val="20"/>
                <w:szCs w:val="20"/>
                <w:color w:val="auto"/>
              </w:rPr>
            </w:pPr>
            <w:r>
              <w:rPr>
                <w:rFonts w:ascii="Arial" w:cs="Arial" w:eastAsia="Arial" w:hAnsi="Arial"/>
                <w:sz w:val="15"/>
                <w:szCs w:val="15"/>
                <w:b w:val="1"/>
                <w:bCs w:val="1"/>
                <w:color w:val="FFFFFF"/>
              </w:rPr>
              <w:t>Three Months Ended</w:t>
            </w:r>
          </w:p>
        </w:tc>
        <w:tc>
          <w:tcPr>
            <w:tcW w:w="6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40" w:type="dxa"/>
            <w:vAlign w:val="bottom"/>
            <w:gridSpan w:val="3"/>
            <w:shd w:val="clear" w:color="auto" w:fill="1D2758"/>
          </w:tcPr>
          <w:p>
            <w:pPr>
              <w:jc w:val="right"/>
              <w:ind w:right="826"/>
              <w:spacing w:after="0"/>
              <w:rPr>
                <w:sz w:val="20"/>
                <w:szCs w:val="20"/>
                <w:color w:val="auto"/>
              </w:rPr>
            </w:pPr>
            <w:r>
              <w:rPr>
                <w:rFonts w:ascii="Arial" w:cs="Arial" w:eastAsia="Arial" w:hAnsi="Arial"/>
                <w:sz w:val="15"/>
                <w:szCs w:val="15"/>
                <w:b w:val="1"/>
                <w:bCs w:val="1"/>
                <w:color w:val="FFFFFF"/>
              </w:rPr>
              <w:t>Nine Months Ended</w:t>
            </w:r>
          </w:p>
        </w:tc>
      </w:tr>
      <w:tr>
        <w:trPr>
          <w:trHeight w:val="193"/>
        </w:trPr>
        <w:tc>
          <w:tcPr>
            <w:tcW w:w="4760" w:type="dxa"/>
            <w:vAlign w:val="bottom"/>
            <w:shd w:val="clear" w:color="auto" w:fill="1D2758"/>
          </w:tcPr>
          <w:p>
            <w:pPr>
              <w:spacing w:after="0"/>
              <w:rPr>
                <w:sz w:val="16"/>
                <w:szCs w:val="16"/>
                <w:color w:val="auto"/>
              </w:rPr>
            </w:pPr>
          </w:p>
        </w:tc>
        <w:tc>
          <w:tcPr>
            <w:tcW w:w="960" w:type="dxa"/>
            <w:vAlign w:val="bottom"/>
            <w:shd w:val="clear" w:color="auto" w:fill="1D2758"/>
          </w:tcPr>
          <w:p>
            <w:pPr>
              <w:spacing w:after="0"/>
              <w:rPr>
                <w:sz w:val="16"/>
                <w:szCs w:val="16"/>
                <w:color w:val="auto"/>
              </w:rPr>
            </w:pPr>
          </w:p>
        </w:tc>
        <w:tc>
          <w:tcPr>
            <w:tcW w:w="1640" w:type="dxa"/>
            <w:vAlign w:val="bottom"/>
            <w:gridSpan w:val="3"/>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rPr>
              <w:t>September 30,</w:t>
            </w:r>
          </w:p>
        </w:tc>
        <w:tc>
          <w:tcPr>
            <w:tcW w:w="60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1820" w:type="dxa"/>
            <w:vAlign w:val="bottom"/>
            <w:gridSpan w:val="2"/>
            <w:shd w:val="clear" w:color="auto" w:fill="1D2758"/>
          </w:tcPr>
          <w:p>
            <w:pPr>
              <w:jc w:val="right"/>
              <w:ind w:right="6"/>
              <w:spacing w:after="0"/>
              <w:rPr>
                <w:sz w:val="20"/>
                <w:szCs w:val="20"/>
                <w:color w:val="auto"/>
              </w:rPr>
            </w:pPr>
            <w:r>
              <w:rPr>
                <w:rFonts w:ascii="Arial" w:cs="Arial" w:eastAsia="Arial" w:hAnsi="Arial"/>
                <w:sz w:val="15"/>
                <w:szCs w:val="15"/>
                <w:b w:val="1"/>
                <w:bCs w:val="1"/>
                <w:color w:val="FFFFFF"/>
              </w:rPr>
              <w:t>September 30,</w:t>
            </w:r>
          </w:p>
        </w:tc>
        <w:tc>
          <w:tcPr>
            <w:tcW w:w="1020" w:type="dxa"/>
            <w:vAlign w:val="bottom"/>
            <w:shd w:val="clear" w:color="auto" w:fill="1D2758"/>
          </w:tcPr>
          <w:p>
            <w:pPr>
              <w:spacing w:after="0"/>
              <w:rPr>
                <w:sz w:val="16"/>
                <w:szCs w:val="16"/>
                <w:color w:val="auto"/>
              </w:rPr>
            </w:pPr>
          </w:p>
        </w:tc>
      </w:tr>
      <w:tr>
        <w:trPr>
          <w:trHeight w:val="201"/>
        </w:trPr>
        <w:tc>
          <w:tcPr>
            <w:tcW w:w="4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6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9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2020</w:t>
            </w:r>
          </w:p>
        </w:tc>
        <w:tc>
          <w:tcPr>
            <w:tcW w:w="6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2021</w:t>
            </w:r>
          </w:p>
        </w:tc>
        <w:tc>
          <w:tcPr>
            <w:tcW w:w="58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526"/>
              <w:spacing w:after="0"/>
              <w:rPr>
                <w:sz w:val="20"/>
                <w:szCs w:val="20"/>
                <w:color w:val="auto"/>
              </w:rPr>
            </w:pPr>
            <w:r>
              <w:rPr>
                <w:rFonts w:ascii="Arial" w:cs="Arial" w:eastAsia="Arial" w:hAnsi="Arial"/>
                <w:sz w:val="15"/>
                <w:szCs w:val="15"/>
                <w:b w:val="1"/>
                <w:bCs w:val="1"/>
                <w:color w:val="FFFFFF"/>
              </w:rPr>
              <w:t>2020</w:t>
            </w:r>
          </w:p>
        </w:tc>
      </w:tr>
      <w:tr>
        <w:trPr>
          <w:trHeight w:val="197"/>
        </w:trPr>
        <w:tc>
          <w:tcPr>
            <w:tcW w:w="4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purchases of rental equipment and refurbishments</w:t>
            </w:r>
          </w:p>
        </w:tc>
        <w:tc>
          <w:tcPr>
            <w:tcW w:w="960" w:type="dxa"/>
            <w:vAlign w:val="bottom"/>
            <w:shd w:val="clear" w:color="auto" w:fill="DBDBDB"/>
          </w:tcPr>
          <w:p>
            <w:pPr>
              <w:jc w:val="right"/>
              <w:ind w:right="786"/>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(60,374)</w:t>
            </w:r>
          </w:p>
        </w:tc>
        <w:tc>
          <w:tcPr>
            <w:tcW w:w="8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786"/>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6"/>
              </w:rPr>
              <w:t>(42,591)</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(178,191)</w:t>
            </w:r>
          </w:p>
        </w:tc>
        <w:tc>
          <w:tcPr>
            <w:tcW w:w="580" w:type="dxa"/>
            <w:vAlign w:val="bottom"/>
            <w:shd w:val="clear" w:color="auto" w:fill="DBDBDB"/>
          </w:tcPr>
          <w:p>
            <w:pPr>
              <w:jc w:val="right"/>
              <w:ind w:right="3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(122,273)</w:t>
            </w:r>
          </w:p>
        </w:tc>
      </w:tr>
      <w:tr>
        <w:trPr>
          <w:trHeight w:val="194"/>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proceeds from sale of rental equipment</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11,597</w:t>
            </w:r>
          </w:p>
        </w:tc>
        <w:tc>
          <w:tcPr>
            <w:tcW w:w="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13,179</w:t>
            </w:r>
          </w:p>
        </w:tc>
        <w:tc>
          <w:tcPr>
            <w:tcW w:w="8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42,034</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25,281</w:t>
            </w:r>
          </w:p>
        </w:tc>
      </w:tr>
      <w:tr>
        <w:trPr>
          <w:trHeight w:val="192"/>
        </w:trPr>
        <w:tc>
          <w:tcPr>
            <w:tcW w:w="4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960" w:type="dxa"/>
            <w:vAlign w:val="bottom"/>
            <w:shd w:val="clear" w:color="auto" w:fill="DBDBDB"/>
          </w:tcPr>
          <w:p>
            <w:pPr>
              <w:spacing w:after="0"/>
              <w:rPr>
                <w:sz w:val="16"/>
                <w:szCs w:val="16"/>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(48,777)</w:t>
            </w:r>
          </w:p>
        </w:tc>
        <w:tc>
          <w:tcPr>
            <w:tcW w:w="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6"/>
              </w:rPr>
              <w:t>(29,412)</w:t>
            </w:r>
          </w:p>
        </w:tc>
        <w:tc>
          <w:tcPr>
            <w:tcW w:w="8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(136,157)</w:t>
            </w:r>
          </w:p>
        </w:tc>
        <w:tc>
          <w:tcPr>
            <w:tcW w:w="58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(96,992)</w:t>
            </w:r>
          </w:p>
        </w:tc>
      </w:tr>
      <w:tr>
        <w:trPr>
          <w:trHeight w:val="194"/>
        </w:trPr>
        <w:tc>
          <w:tcPr>
            <w:tcW w:w="476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(3,386)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(5,893)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(20,836)</w:t>
            </w: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(9,079)</w:t>
            </w:r>
          </w:p>
        </w:tc>
      </w:tr>
      <w:tr>
        <w:trPr>
          <w:trHeight w:val="199"/>
        </w:trPr>
        <w:tc>
          <w:tcPr>
            <w:tcW w:w="4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96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209</w:t>
            </w:r>
          </w:p>
        </w:tc>
        <w:tc>
          <w:tcPr>
            <w:tcW w:w="80" w:type="dxa"/>
            <w:vAlign w:val="bottom"/>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1,982</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5"/>
                <w:szCs w:val="15"/>
                <w:color w:val="auto"/>
              </w:rPr>
              <w:t>16,647</w:t>
            </w:r>
          </w:p>
        </w:tc>
        <w:tc>
          <w:tcPr>
            <w:tcW w:w="5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5,825</w:t>
            </w:r>
          </w:p>
        </w:tc>
      </w:tr>
      <w:tr>
        <w:trPr>
          <w:trHeight w:val="186"/>
        </w:trPr>
        <w:tc>
          <w:tcPr>
            <w:tcW w:w="476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96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(51,954)</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(33,323)</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(140,346)</w:t>
            </w:r>
          </w:p>
        </w:tc>
        <w:tc>
          <w:tcPr>
            <w:tcW w:w="58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(100,246)</w:t>
            </w:r>
          </w:p>
        </w:tc>
      </w:tr>
      <w:tr>
        <w:trPr>
          <w:trHeight w:val="20"/>
        </w:trPr>
        <w:tc>
          <w:tcPr>
            <w:tcW w:w="4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1"/>
          <w:szCs w:val="21"/>
          <w:color w:val="1D2758"/>
        </w:rPr>
        <w:t>Summary Business Segment Supplemental Pro Forma Financial Information</w:t>
      </w:r>
    </w:p>
    <w:p>
      <w:pPr>
        <w:spacing w:after="0" w:line="101"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As a result of the Merger and the significant financing transactions, we believe presenting supplemental pro forma financial information is beneficial to the readers of the financial statements. For the three months ended September 30, 2021 and 2020 there are no differences between pro forma results and actual results on a reported basis. Please see comparison of results for the three months ended September 30, 2021 and 2020 within "Business Segment Results" above. The following tables set forth key metrics for the nine months ended September 30, 2021 and 2020 used by management to run the business on a pro forma basis as if the Merger and financing transactions had occurred on January 1, 2019. Refer to the Supplemental Pro Forma Financial Information section below for the full reconciliation of the statements of operations.</w:t>
      </w:r>
    </w:p>
    <w:p>
      <w:pPr>
        <w:spacing w:after="0" w:line="47"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 operates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 These reporting segments are aligned with how we operate and analyze our business results.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1D2758"/>
        </w:rPr>
        <w:t>Comparison of Nine Months Ended September 30, 2021 and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3480" w:type="dxa"/>
            <w:vAlign w:val="bottom"/>
            <w:gridSpan w:val="5"/>
            <w:shd w:val="clear" w:color="auto" w:fill="1D2758"/>
          </w:tcPr>
          <w:p>
            <w:pPr>
              <w:ind w:left="120"/>
              <w:spacing w:after="0"/>
              <w:rPr>
                <w:sz w:val="20"/>
                <w:szCs w:val="20"/>
                <w:color w:val="auto"/>
              </w:rPr>
            </w:pPr>
            <w:r>
              <w:rPr>
                <w:rFonts w:ascii="Arial" w:cs="Arial" w:eastAsia="Arial" w:hAnsi="Arial"/>
                <w:sz w:val="15"/>
                <w:szCs w:val="15"/>
                <w:b w:val="1"/>
                <w:bCs w:val="1"/>
                <w:color w:val="FFFFFF"/>
              </w:rPr>
              <w:t>Pro Forma Combined Nine Months Ended</w:t>
            </w:r>
          </w:p>
        </w:tc>
        <w:tc>
          <w:tcPr>
            <w:tcW w:w="300" w:type="dxa"/>
            <w:vAlign w:val="bottom"/>
            <w:shd w:val="clear" w:color="auto" w:fill="1D2758"/>
          </w:tcPr>
          <w:p>
            <w:pPr>
              <w:spacing w:after="0"/>
              <w:rPr>
                <w:sz w:val="14"/>
                <w:szCs w:val="14"/>
                <w:color w:val="auto"/>
              </w:rPr>
            </w:pPr>
          </w:p>
        </w:tc>
        <w:tc>
          <w:tcPr>
            <w:tcW w:w="1960" w:type="dxa"/>
            <w:vAlign w:val="bottom"/>
            <w:gridSpan w:val="3"/>
            <w:vMerge w:val="restart"/>
            <w:shd w:val="clear" w:color="auto" w:fill="1D2758"/>
          </w:tcPr>
          <w:p>
            <w:pPr>
              <w:ind w:left="1000"/>
              <w:spacing w:after="0"/>
              <w:rPr>
                <w:sz w:val="20"/>
                <w:szCs w:val="20"/>
                <w:color w:val="auto"/>
              </w:rPr>
            </w:pPr>
            <w:r>
              <w:rPr>
                <w:rFonts w:ascii="Arial" w:cs="Arial" w:eastAsia="Arial" w:hAnsi="Arial"/>
                <w:sz w:val="15"/>
                <w:szCs w:val="15"/>
                <w:b w:val="1"/>
                <w:bCs w:val="1"/>
                <w:color w:val="FFFFFF"/>
                <w:w w:val="97"/>
              </w:rPr>
              <w:t>2021 vs. 2020</w:t>
            </w:r>
          </w:p>
        </w:tc>
        <w:tc>
          <w:tcPr>
            <w:tcW w:w="12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220" w:type="dxa"/>
            <w:vAlign w:val="bottom"/>
            <w:gridSpan w:val="3"/>
            <w:shd w:val="clear" w:color="auto" w:fill="1D2758"/>
          </w:tcPr>
          <w:p>
            <w:pPr>
              <w:jc w:val="right"/>
              <w:ind w:right="66"/>
              <w:spacing w:after="0"/>
              <w:rPr>
                <w:sz w:val="20"/>
                <w:szCs w:val="20"/>
                <w:color w:val="auto"/>
              </w:rPr>
            </w:pPr>
            <w:r>
              <w:rPr>
                <w:rFonts w:ascii="Arial" w:cs="Arial" w:eastAsia="Arial" w:hAnsi="Arial"/>
                <w:sz w:val="15"/>
                <w:szCs w:val="15"/>
                <w:b w:val="1"/>
                <w:bCs w:val="1"/>
                <w:color w:val="FFFFFF"/>
              </w:rPr>
              <w:t>September 30,</w:t>
            </w:r>
          </w:p>
        </w:tc>
        <w:tc>
          <w:tcPr>
            <w:tcW w:w="11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960" w:type="dxa"/>
            <w:vAlign w:val="bottom"/>
            <w:gridSpan w:val="3"/>
            <w:vMerge w:val="continue"/>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600" w:type="dxa"/>
            <w:vAlign w:val="bottom"/>
            <w:shd w:val="clear" w:color="auto" w:fill="1D2758"/>
          </w:tcPr>
          <w:p>
            <w:pPr>
              <w:spacing w:after="0"/>
              <w:rPr>
                <w:sz w:val="17"/>
                <w:szCs w:val="17"/>
                <w:color w:val="auto"/>
              </w:rPr>
            </w:pPr>
          </w:p>
        </w:tc>
        <w:tc>
          <w:tcPr>
            <w:tcW w:w="1180" w:type="dxa"/>
            <w:vAlign w:val="bottom"/>
            <w:shd w:val="clear" w:color="auto" w:fill="1D2758"/>
          </w:tcPr>
          <w:p>
            <w:pPr>
              <w:jc w:val="right"/>
              <w:ind w:right="64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960" w:type="dxa"/>
            <w:vAlign w:val="bottom"/>
            <w:gridSpan w:val="3"/>
            <w:shd w:val="clear" w:color="auto" w:fill="1D2758"/>
          </w:tcPr>
          <w:p>
            <w:pPr>
              <w:ind w:left="200"/>
              <w:spacing w:after="0"/>
              <w:rPr>
                <w:sz w:val="20"/>
                <w:szCs w:val="20"/>
                <w:color w:val="auto"/>
              </w:rPr>
            </w:pPr>
            <w:r>
              <w:rPr>
                <w:rFonts w:ascii="Arial" w:cs="Arial" w:eastAsia="Arial" w:hAnsi="Arial"/>
                <w:sz w:val="15"/>
                <w:szCs w:val="15"/>
                <w:b w:val="1"/>
                <w:bCs w:val="1"/>
                <w:color w:val="FFFFFF"/>
              </w:rPr>
              <w:t>$ Change</w:t>
            </w:r>
          </w:p>
        </w:tc>
        <w:tc>
          <w:tcPr>
            <w:tcW w:w="126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w w:val="99"/>
              </w:rPr>
              <w:t>% Change</w:t>
            </w:r>
          </w:p>
        </w:tc>
        <w:tc>
          <w:tcPr>
            <w:tcW w:w="0" w:type="dxa"/>
            <w:vAlign w:val="bottom"/>
          </w:tcPr>
          <w:p>
            <w:pPr>
              <w:spacing w:after="0"/>
              <w:rPr>
                <w:sz w:val="1"/>
                <w:szCs w:val="1"/>
                <w:color w:val="auto"/>
              </w:rPr>
            </w:pPr>
          </w:p>
        </w:tc>
      </w:tr>
      <w:tr>
        <w:trPr>
          <w:trHeight w:val="197"/>
        </w:trPr>
        <w:tc>
          <w:tcPr>
            <w:tcW w:w="4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1,376,977</w:t>
            </w: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1,214,238</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162,739</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13.4 %</w:t>
            </w: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372,296</w:t>
            </w:r>
          </w:p>
        </w:tc>
        <w:tc>
          <w:tcPr>
            <w:tcW w:w="80" w:type="dxa"/>
            <w:vAlign w:val="bottom"/>
          </w:tcPr>
          <w:p>
            <w:pPr>
              <w:spacing w:after="0"/>
              <w:rPr>
                <w:sz w:val="16"/>
                <w:szCs w:val="16"/>
                <w:color w:val="auto"/>
              </w:rPr>
            </w:pPr>
          </w:p>
        </w:tc>
        <w:tc>
          <w:tcPr>
            <w:tcW w:w="600" w:type="dxa"/>
            <w:vAlign w:val="bottom"/>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337,439</w:t>
            </w:r>
          </w:p>
        </w:tc>
        <w:tc>
          <w:tcPr>
            <w:tcW w:w="80" w:type="dxa"/>
            <w:vAlign w:val="bottom"/>
          </w:tcPr>
          <w:p>
            <w:pPr>
              <w:spacing w:after="0"/>
              <w:rPr>
                <w:sz w:val="16"/>
                <w:szCs w:val="16"/>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34,857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10.3 %</w:t>
            </w:r>
          </w:p>
        </w:tc>
        <w:tc>
          <w:tcPr>
            <w:tcW w:w="0" w:type="dxa"/>
            <w:vAlign w:val="bottom"/>
          </w:tcPr>
          <w:p>
            <w:pPr>
              <w:spacing w:after="0"/>
              <w:rPr>
                <w:sz w:val="1"/>
                <w:szCs w:val="1"/>
                <w:color w:val="auto"/>
              </w:rPr>
            </w:pPr>
          </w:p>
        </w:tc>
      </w:tr>
      <w:tr>
        <w:trPr>
          <w:trHeight w:val="199"/>
        </w:trPr>
        <w:tc>
          <w:tcPr>
            <w:tcW w:w="4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85,921</w:t>
            </w: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116,678</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(30,757)</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Arial" w:cs="Arial" w:eastAsia="Arial" w:hAnsi="Arial"/>
                <w:sz w:val="15"/>
                <w:szCs w:val="15"/>
                <w:color w:val="auto"/>
              </w:rPr>
              <w:t>Net income excluding gain/loss from warrants</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112,518</w:t>
            </w:r>
          </w:p>
        </w:tc>
        <w:tc>
          <w:tcPr>
            <w:tcW w:w="80" w:type="dxa"/>
            <w:vAlign w:val="bottom"/>
          </w:tcPr>
          <w:p>
            <w:pPr>
              <w:spacing w:after="0"/>
              <w:rPr>
                <w:sz w:val="16"/>
                <w:szCs w:val="16"/>
                <w:color w:val="auto"/>
              </w:rPr>
            </w:pPr>
          </w:p>
        </w:tc>
        <w:tc>
          <w:tcPr>
            <w:tcW w:w="600" w:type="dxa"/>
            <w:vAlign w:val="bottom"/>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70,615</w:t>
            </w:r>
          </w:p>
        </w:tc>
        <w:tc>
          <w:tcPr>
            <w:tcW w:w="80" w:type="dxa"/>
            <w:vAlign w:val="bottom"/>
          </w:tcPr>
          <w:p>
            <w:pPr>
              <w:spacing w:after="0"/>
              <w:rPr>
                <w:sz w:val="16"/>
                <w:szCs w:val="16"/>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27,025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199"/>
        </w:trPr>
        <w:tc>
          <w:tcPr>
            <w:tcW w:w="4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529,229</w:t>
            </w: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466,781</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62,448</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13.4 %</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Financial Data:</w:t>
            </w:r>
          </w:p>
        </w:tc>
        <w:tc>
          <w:tcPr>
            <w:tcW w:w="24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0" w:type="dxa"/>
            <w:vAlign w:val="bottom"/>
          </w:tcPr>
          <w:p>
            <w:pPr>
              <w:ind w:left="220"/>
              <w:spacing w:after="0"/>
              <w:rPr>
                <w:sz w:val="20"/>
                <w:szCs w:val="20"/>
                <w:color w:val="auto"/>
              </w:rPr>
            </w:pPr>
            <w:r>
              <w:rPr>
                <w:rFonts w:ascii="Arial" w:cs="Arial" w:eastAsia="Arial" w:hAnsi="Arial"/>
                <w:sz w:val="15"/>
                <w:szCs w:val="15"/>
                <w:color w:val="auto"/>
              </w:rPr>
              <w:t>Adjusted EBITDA - NA Modular</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307,741</w:t>
            </w:r>
          </w:p>
        </w:tc>
        <w:tc>
          <w:tcPr>
            <w:tcW w:w="80" w:type="dxa"/>
            <w:vAlign w:val="bottom"/>
          </w:tcPr>
          <w:p>
            <w:pPr>
              <w:spacing w:after="0"/>
              <w:rPr>
                <w:sz w:val="16"/>
                <w:szCs w:val="16"/>
                <w:color w:val="auto"/>
              </w:rPr>
            </w:pPr>
          </w:p>
        </w:tc>
        <w:tc>
          <w:tcPr>
            <w:tcW w:w="600" w:type="dxa"/>
            <w:vAlign w:val="bottom"/>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287,345</w:t>
            </w:r>
          </w:p>
        </w:tc>
        <w:tc>
          <w:tcPr>
            <w:tcW w:w="80" w:type="dxa"/>
            <w:vAlign w:val="bottom"/>
          </w:tcPr>
          <w:p>
            <w:pPr>
              <w:spacing w:after="0"/>
              <w:rPr>
                <w:sz w:val="16"/>
                <w:szCs w:val="16"/>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20,396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7.1 %</w:t>
            </w:r>
          </w:p>
        </w:tc>
        <w:tc>
          <w:tcPr>
            <w:tcW w:w="0" w:type="dxa"/>
            <w:vAlign w:val="bottom"/>
          </w:tcPr>
          <w:p>
            <w:pPr>
              <w:spacing w:after="0"/>
              <w:rPr>
                <w:sz w:val="1"/>
                <w:szCs w:val="1"/>
                <w:color w:val="auto"/>
              </w:rPr>
            </w:pPr>
          </w:p>
        </w:tc>
      </w:tr>
      <w:tr>
        <w:trPr>
          <w:trHeight w:val="199"/>
        </w:trPr>
        <w:tc>
          <w:tcPr>
            <w:tcW w:w="4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 NA Storage</w:t>
            </w:r>
          </w:p>
        </w:tc>
        <w:tc>
          <w:tcPr>
            <w:tcW w:w="24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154,971</w:t>
            </w: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131,229</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23,742</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18.1 %</w:t>
            </w:r>
          </w:p>
        </w:tc>
        <w:tc>
          <w:tcPr>
            <w:tcW w:w="0" w:type="dxa"/>
            <w:vAlign w:val="bottom"/>
          </w:tcPr>
          <w:p>
            <w:pPr>
              <w:spacing w:after="0"/>
              <w:rPr>
                <w:sz w:val="1"/>
                <w:szCs w:val="1"/>
                <w:color w:val="auto"/>
              </w:rPr>
            </w:pPr>
          </w:p>
        </w:tc>
      </w:tr>
      <w:tr>
        <w:trPr>
          <w:trHeight w:val="194"/>
        </w:trPr>
        <w:tc>
          <w:tcPr>
            <w:tcW w:w="4000" w:type="dxa"/>
            <w:vAlign w:val="bottom"/>
          </w:tcPr>
          <w:p>
            <w:pPr>
              <w:ind w:left="220"/>
              <w:spacing w:after="0"/>
              <w:rPr>
                <w:sz w:val="20"/>
                <w:szCs w:val="20"/>
                <w:color w:val="auto"/>
              </w:rPr>
            </w:pPr>
            <w:r>
              <w:rPr>
                <w:rFonts w:ascii="Arial" w:cs="Arial" w:eastAsia="Arial" w:hAnsi="Arial"/>
                <w:sz w:val="15"/>
                <w:szCs w:val="15"/>
                <w:color w:val="auto"/>
              </w:rPr>
              <w:t>Adjusted EBITDA - UK Storage</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36,647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21,564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15,083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69.9 %</w:t>
            </w:r>
          </w:p>
        </w:tc>
        <w:tc>
          <w:tcPr>
            <w:tcW w:w="0" w:type="dxa"/>
            <w:vAlign w:val="bottom"/>
          </w:tcPr>
          <w:p>
            <w:pPr>
              <w:spacing w:after="0"/>
              <w:rPr>
                <w:sz w:val="1"/>
                <w:szCs w:val="1"/>
                <w:color w:val="auto"/>
              </w:rPr>
            </w:pPr>
          </w:p>
        </w:tc>
      </w:tr>
      <w:tr>
        <w:trPr>
          <w:trHeight w:val="199"/>
        </w:trPr>
        <w:tc>
          <w:tcPr>
            <w:tcW w:w="4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 Tank and Pump</w:t>
            </w:r>
          </w:p>
        </w:tc>
        <w:tc>
          <w:tcPr>
            <w:tcW w:w="240" w:type="dxa"/>
            <w:vAlign w:val="bottom"/>
            <w:tcBorders>
              <w:bottom w:val="single" w:sz="8" w:color="auto"/>
            </w:tcBorders>
            <w:shd w:val="clear" w:color="auto" w:fill="DBDBDB"/>
          </w:tcPr>
          <w:p>
            <w:pPr>
              <w:spacing w:after="0"/>
              <w:rPr>
                <w:sz w:val="17"/>
                <w:szCs w:val="17"/>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29,870</w:t>
            </w:r>
          </w:p>
        </w:tc>
        <w:tc>
          <w:tcPr>
            <w:tcW w:w="80" w:type="dxa"/>
            <w:vAlign w:val="bottom"/>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26,643</w:t>
            </w:r>
          </w:p>
        </w:tc>
        <w:tc>
          <w:tcPr>
            <w:tcW w:w="8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3,227</w:t>
            </w:r>
          </w:p>
        </w:tc>
        <w:tc>
          <w:tcPr>
            <w:tcW w:w="8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12.1 %</w:t>
            </w:r>
          </w:p>
        </w:tc>
        <w:tc>
          <w:tcPr>
            <w:tcW w:w="0" w:type="dxa"/>
            <w:vAlign w:val="bottom"/>
          </w:tcPr>
          <w:p>
            <w:pPr>
              <w:spacing w:after="0"/>
              <w:rPr>
                <w:sz w:val="1"/>
                <w:szCs w:val="1"/>
                <w:color w:val="auto"/>
              </w:rPr>
            </w:pPr>
          </w:p>
        </w:tc>
      </w:tr>
      <w:tr>
        <w:trPr>
          <w:trHeight w:val="189"/>
        </w:trPr>
        <w:tc>
          <w:tcPr>
            <w:tcW w:w="4000" w:type="dxa"/>
            <w:vAlign w:val="bottom"/>
          </w:tcPr>
          <w:p>
            <w:pPr>
              <w:ind w:left="220"/>
              <w:spacing w:after="0" w:line="189" w:lineRule="exact"/>
              <w:rPr>
                <w:sz w:val="20"/>
                <w:szCs w:val="20"/>
                <w:color w:val="auto"/>
              </w:rPr>
            </w:pPr>
            <w:r>
              <w:rPr>
                <w:rFonts w:ascii="Arial" w:cs="Arial" w:eastAsia="Arial" w:hAnsi="Arial"/>
                <w:sz w:val="15"/>
                <w:szCs w:val="15"/>
                <w:color w:val="auto"/>
              </w:rPr>
              <w:t>Consolidated Adjusted EBITDA</w:t>
            </w:r>
            <w:r>
              <w:rPr>
                <w:rFonts w:ascii="Arial" w:cs="Arial" w:eastAsia="Arial" w:hAnsi="Arial"/>
                <w:sz w:val="19"/>
                <w:szCs w:val="19"/>
                <w:color w:val="auto"/>
                <w:vertAlign w:val="superscript"/>
              </w:rPr>
              <w:t>(a)</w:t>
            </w: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529,229</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466,781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62,448</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60" w:hanging="445"/>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present Adjusted EBITDA, a measurement not calculated in accordance with GAAP, because it is a key metric used by management to assess financial performance.</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55"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NA Modular - Quarterly Results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Quarterly Results for the Nine Months Ended September 30,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w:t>
            </w:r>
          </w:p>
        </w:tc>
        <w:tc>
          <w:tcPr>
            <w:tcW w:w="15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Q1</w:t>
            </w:r>
          </w:p>
        </w:tc>
        <w:tc>
          <w:tcPr>
            <w:tcW w:w="4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Q2</w:t>
            </w:r>
          </w:p>
        </w:tc>
        <w:tc>
          <w:tcPr>
            <w:tcW w:w="40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Q3</w:t>
            </w:r>
          </w:p>
        </w:tc>
        <w:tc>
          <w:tcPr>
            <w:tcW w:w="36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monthly rental rate)</w:t>
            </w:r>
          </w:p>
        </w:tc>
        <w:tc>
          <w:tcPr>
            <w:tcW w:w="15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Revenue</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266,224</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289,382</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299,051</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854,657</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113,002</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115,136</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127,854</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356,992</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97,371</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103,545</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106,825</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307,741</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39,135</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49,364</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31,789</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120,288</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1500" w:type="dxa"/>
            <w:vAlign w:val="bottom"/>
          </w:tcPr>
          <w:p>
            <w:pPr>
              <w:spacing w:after="0"/>
              <w:rPr>
                <w:sz w:val="16"/>
                <w:szCs w:val="16"/>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84,795</w:t>
            </w:r>
          </w:p>
        </w:tc>
        <w:tc>
          <w:tcPr>
            <w:tcW w:w="400" w:type="dxa"/>
            <w:vAlign w:val="bottom"/>
          </w:tcPr>
          <w:p>
            <w:pPr>
              <w:spacing w:after="0"/>
              <w:rPr>
                <w:sz w:val="16"/>
                <w:szCs w:val="16"/>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84,754</w:t>
            </w:r>
          </w:p>
        </w:tc>
        <w:tc>
          <w:tcPr>
            <w:tcW w:w="40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84,218</w:t>
            </w:r>
          </w:p>
        </w:tc>
        <w:tc>
          <w:tcPr>
            <w:tcW w:w="36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84,589</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5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67.6 %</w:t>
            </w:r>
          </w:p>
        </w:tc>
        <w:tc>
          <w:tcPr>
            <w:tcW w:w="4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67.7 %</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67.6 %</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67.6 %</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737</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801</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834</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5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14,903</w:t>
            </w:r>
          </w:p>
        </w:tc>
        <w:tc>
          <w:tcPr>
            <w:tcW w:w="4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13,301</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493</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9,566</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60.3 %</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69.8 %</w:t>
            </w: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48.0 %</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64.1 %</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124</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133</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179</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Quarterly Results for the Nine Months Ended September 30,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w:t>
            </w:r>
          </w:p>
        </w:tc>
        <w:tc>
          <w:tcPr>
            <w:tcW w:w="15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Q1</w:t>
            </w:r>
          </w:p>
        </w:tc>
        <w:tc>
          <w:tcPr>
            <w:tcW w:w="4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Q2</w:t>
            </w:r>
          </w:p>
        </w:tc>
        <w:tc>
          <w:tcPr>
            <w:tcW w:w="40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Q3</w:t>
            </w:r>
          </w:p>
        </w:tc>
        <w:tc>
          <w:tcPr>
            <w:tcW w:w="36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monthly rental rate)</w:t>
            </w:r>
          </w:p>
        </w:tc>
        <w:tc>
          <w:tcPr>
            <w:tcW w:w="15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Revenue</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255,821</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256,862</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267,867</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780,550</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106,190</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109,964</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112,079</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328,233</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89,544</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97,520</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100,281</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287,345</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39,648</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40,034</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34,249</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113,931</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1500" w:type="dxa"/>
            <w:vAlign w:val="bottom"/>
          </w:tcPr>
          <w:p>
            <w:pPr>
              <w:spacing w:after="0"/>
              <w:rPr>
                <w:sz w:val="16"/>
                <w:szCs w:val="16"/>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87,988</w:t>
            </w:r>
          </w:p>
        </w:tc>
        <w:tc>
          <w:tcPr>
            <w:tcW w:w="400" w:type="dxa"/>
            <w:vAlign w:val="bottom"/>
          </w:tcPr>
          <w:p>
            <w:pPr>
              <w:spacing w:after="0"/>
              <w:rPr>
                <w:sz w:val="16"/>
                <w:szCs w:val="16"/>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87,096</w:t>
            </w:r>
          </w:p>
        </w:tc>
        <w:tc>
          <w:tcPr>
            <w:tcW w:w="40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86,400</w:t>
            </w:r>
          </w:p>
        </w:tc>
        <w:tc>
          <w:tcPr>
            <w:tcW w:w="36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87,161</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5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69.2 %</w:t>
            </w:r>
          </w:p>
        </w:tc>
        <w:tc>
          <w:tcPr>
            <w:tcW w:w="4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68.5 %</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68.3 %</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68.7 %</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653</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669</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693</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672</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5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16,346</w:t>
            </w:r>
          </w:p>
        </w:tc>
        <w:tc>
          <w:tcPr>
            <w:tcW w:w="4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15,869</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15,473</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15,896</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64.1 %</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62.5 %</w:t>
            </w: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61.3 %</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62.6 %</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119</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120</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124</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NA Modular segment represents the activities of WillScot prior to the Merger. As a result, there are no differences between pro forma results and actual results on a reported basis. Please see comparison of results for the three months ended September 30, 2021 and 2020 and the nine months ended September 30, 2021 and 2020 within "Business Segment Results"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NA Storage - Quarterly Results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Quarterly Results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w:t>
            </w:r>
          </w:p>
        </w:tc>
        <w:tc>
          <w:tcPr>
            <w:tcW w:w="15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Q1</w:t>
            </w:r>
          </w:p>
        </w:tc>
        <w:tc>
          <w:tcPr>
            <w:tcW w:w="4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Q2</w:t>
            </w:r>
          </w:p>
        </w:tc>
        <w:tc>
          <w:tcPr>
            <w:tcW w:w="40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Q3</w:t>
            </w:r>
          </w:p>
        </w:tc>
        <w:tc>
          <w:tcPr>
            <w:tcW w:w="36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monthly rental rate)</w:t>
            </w:r>
          </w:p>
        </w:tc>
        <w:tc>
          <w:tcPr>
            <w:tcW w:w="15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107,748</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115,794</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133,897</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357,439</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72,619</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75,721</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92,496</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240,836</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46,322</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49,526</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59,123</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154,971</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3,472</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8,773</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11,920</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24,165</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5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16,439</w:t>
            </w:r>
          </w:p>
        </w:tc>
        <w:tc>
          <w:tcPr>
            <w:tcW w:w="4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16,360</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16,316</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16,371</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79.4 %</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78.4 %</w:t>
            </w: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77.6 %</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78.5 %</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535</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573</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602</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570</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500" w:type="dxa"/>
            <w:vAlign w:val="bottom"/>
          </w:tcPr>
          <w:p>
            <w:pPr>
              <w:spacing w:after="0"/>
              <w:rPr>
                <w:sz w:val="16"/>
                <w:szCs w:val="16"/>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105,810</w:t>
            </w:r>
          </w:p>
        </w:tc>
        <w:tc>
          <w:tcPr>
            <w:tcW w:w="400" w:type="dxa"/>
            <w:vAlign w:val="bottom"/>
          </w:tcPr>
          <w:p>
            <w:pPr>
              <w:spacing w:after="0"/>
              <w:rPr>
                <w:sz w:val="16"/>
                <w:szCs w:val="16"/>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112,862</w:t>
            </w:r>
          </w:p>
        </w:tc>
        <w:tc>
          <w:tcPr>
            <w:tcW w:w="40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137,123</w:t>
            </w:r>
          </w:p>
        </w:tc>
        <w:tc>
          <w:tcPr>
            <w:tcW w:w="36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118,598</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5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73.9 %</w:t>
            </w:r>
          </w:p>
        </w:tc>
        <w:tc>
          <w:tcPr>
            <w:tcW w:w="4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76.1 %</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83.2 %</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78.0 %</w:t>
            </w:r>
          </w:p>
        </w:tc>
        <w:tc>
          <w:tcPr>
            <w:tcW w:w="0" w:type="dxa"/>
            <w:vAlign w:val="bottom"/>
          </w:tcPr>
          <w:p>
            <w:pPr>
              <w:spacing w:after="0"/>
              <w:rPr>
                <w:sz w:val="1"/>
                <w:szCs w:val="1"/>
                <w:color w:val="auto"/>
              </w:rPr>
            </w:pPr>
          </w:p>
        </w:tc>
      </w:tr>
      <w:tr>
        <w:trPr>
          <w:trHeight w:val="192"/>
        </w:trPr>
        <w:tc>
          <w:tcPr>
            <w:tcW w:w="416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148</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151</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155</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Quarterly Results for the Nine Months Ended September 30,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w:t>
            </w:r>
          </w:p>
        </w:tc>
        <w:tc>
          <w:tcPr>
            <w:tcW w:w="15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Q1</w:t>
            </w:r>
          </w:p>
        </w:tc>
        <w:tc>
          <w:tcPr>
            <w:tcW w:w="4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6"/>
              <w:spacing w:after="0"/>
              <w:rPr>
                <w:sz w:val="20"/>
                <w:szCs w:val="20"/>
                <w:color w:val="auto"/>
              </w:rPr>
            </w:pPr>
            <w:r>
              <w:rPr>
                <w:rFonts w:ascii="Arial" w:cs="Arial" w:eastAsia="Arial" w:hAnsi="Arial"/>
                <w:sz w:val="15"/>
                <w:szCs w:val="15"/>
                <w:b w:val="1"/>
                <w:bCs w:val="1"/>
                <w:color w:val="FFFFFF"/>
              </w:rPr>
              <w:t>Q2</w:t>
            </w:r>
          </w:p>
        </w:tc>
        <w:tc>
          <w:tcPr>
            <w:tcW w:w="40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Q3</w:t>
            </w:r>
          </w:p>
        </w:tc>
        <w:tc>
          <w:tcPr>
            <w:tcW w:w="36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46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monthly rental rate)</w:t>
            </w:r>
          </w:p>
        </w:tc>
        <w:tc>
          <w:tcPr>
            <w:tcW w:w="15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103,495</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92,826</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104,493</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300,814</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71,400</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66,639</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73,384</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211,423</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43,994</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40,770</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46,465</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131,229</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5,200</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7,272</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7,234</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19,706</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5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15,509</w:t>
            </w:r>
          </w:p>
        </w:tc>
        <w:tc>
          <w:tcPr>
            <w:tcW w:w="4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15,757</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16,383</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15,883</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77.8 %</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78.6 %</w:t>
            </w: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80.4 %</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78.9 %</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5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497</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463</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505</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488</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500" w:type="dxa"/>
            <w:vAlign w:val="bottom"/>
          </w:tcPr>
          <w:p>
            <w:pPr>
              <w:spacing w:after="0"/>
              <w:rPr>
                <w:sz w:val="16"/>
                <w:szCs w:val="16"/>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105,441</w:t>
            </w:r>
          </w:p>
        </w:tc>
        <w:tc>
          <w:tcPr>
            <w:tcW w:w="400" w:type="dxa"/>
            <w:vAlign w:val="bottom"/>
          </w:tcPr>
          <w:p>
            <w:pPr>
              <w:spacing w:after="0"/>
              <w:rPr>
                <w:sz w:val="16"/>
                <w:szCs w:val="16"/>
                <w:color w:val="auto"/>
              </w:rPr>
            </w:pP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101,463</w:t>
            </w:r>
          </w:p>
        </w:tc>
        <w:tc>
          <w:tcPr>
            <w:tcW w:w="40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105,221</w:t>
            </w:r>
          </w:p>
        </w:tc>
        <w:tc>
          <w:tcPr>
            <w:tcW w:w="360" w:type="dxa"/>
            <w:vAlign w:val="bottom"/>
          </w:tcPr>
          <w:p>
            <w:pPr>
              <w:spacing w:after="0"/>
              <w:rPr>
                <w:sz w:val="16"/>
                <w:szCs w:val="16"/>
                <w:color w:val="auto"/>
              </w:rPr>
            </w:pP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104,042</w:t>
            </w:r>
          </w:p>
        </w:tc>
        <w:tc>
          <w:tcPr>
            <w:tcW w:w="0" w:type="dxa"/>
            <w:vAlign w:val="bottom"/>
          </w:tcPr>
          <w:p>
            <w:pPr>
              <w:spacing w:after="0"/>
              <w:rPr>
                <w:sz w:val="1"/>
                <w:szCs w:val="1"/>
                <w:color w:val="auto"/>
              </w:rPr>
            </w:pPr>
          </w:p>
        </w:tc>
      </w:tr>
      <w:tr>
        <w:trPr>
          <w:trHeight w:val="199"/>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5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73.1 %</w:t>
            </w:r>
          </w:p>
        </w:tc>
        <w:tc>
          <w:tcPr>
            <w:tcW w:w="4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70.6 %</w:t>
            </w:r>
          </w:p>
        </w:tc>
        <w:tc>
          <w:tcPr>
            <w:tcW w:w="4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73.4 %</w:t>
            </w:r>
          </w:p>
        </w:tc>
        <w:tc>
          <w:tcPr>
            <w:tcW w:w="3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72.4 %</w:t>
            </w:r>
          </w:p>
        </w:tc>
        <w:tc>
          <w:tcPr>
            <w:tcW w:w="0" w:type="dxa"/>
            <w:vAlign w:val="bottom"/>
          </w:tcPr>
          <w:p>
            <w:pPr>
              <w:spacing w:after="0"/>
              <w:rPr>
                <w:sz w:val="1"/>
                <w:szCs w:val="1"/>
                <w:color w:val="auto"/>
              </w:rPr>
            </w:pPr>
          </w:p>
        </w:tc>
      </w:tr>
      <w:tr>
        <w:trPr>
          <w:trHeight w:val="192"/>
        </w:trPr>
        <w:tc>
          <w:tcPr>
            <w:tcW w:w="416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5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146</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6"/>
              <w:spacing w:after="0"/>
              <w:rPr>
                <w:sz w:val="20"/>
                <w:szCs w:val="20"/>
                <w:color w:val="auto"/>
              </w:rPr>
            </w:pPr>
            <w:r>
              <w:rPr>
                <w:rFonts w:ascii="Arial" w:cs="Arial" w:eastAsia="Arial" w:hAnsi="Arial"/>
                <w:sz w:val="15"/>
                <w:szCs w:val="15"/>
                <w:color w:val="auto"/>
              </w:rPr>
              <w:t>143</w:t>
            </w: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$145</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Nine Months Ended September 30,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Storage</w:t>
      </w:r>
    </w:p>
    <w:p>
      <w:pPr>
        <w:spacing w:after="0" w:line="9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$56.6 million, or 18.8%, to $357.4 million for the nine months ended September 30, 2021 from $300.8 million for the nine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September 30, 2020. Leasing revenues increased $42.6 million compared to the prior year. Modular space average units on rent increased 3.1% and average modular space monthly rental rates increased 16.8% year-over-year driven primarily by increased pricing on new deliveries. Portable storage units on rent increased 14.0% and average portable storage monthly rental rates increased 4.8% year-over-year also driven primarily by increased pricing on new deliveries. Delivery and installation revenues increased $14.0 million year-over-year as delivery levels in the third quarter have increased as a result of increased demand. Sales revenues remained flat at $16.7 million, compared to prior-year.</w:t>
      </w:r>
    </w:p>
    <w:p>
      <w:pPr>
        <w:spacing w:after="0" w:line="75"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$29.4 million, or 13.9%, to $240.8 million for the nine months ended September 30, 2021 compared to $211.4 million</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the nine months ended September 30, 2020. Gross profit on leasing activity increased by $31.2 million year-over-year driven both by increased volume and pricing as described above. For delivery and installation, gross profit increased $1.3 million. Sales gross profit increased by $0.8 million to $6.9 million.</w:t>
      </w:r>
    </w:p>
    <w:p>
      <w:pPr>
        <w:spacing w:after="0" w:line="65" w:lineRule="exact"/>
        <w:rPr>
          <w:sz w:val="20"/>
          <w:szCs w:val="20"/>
          <w:color w:val="auto"/>
        </w:rPr>
      </w:pPr>
    </w:p>
    <w:p>
      <w:pPr>
        <w:jc w:val="both"/>
        <w:ind w:firstLine="590"/>
        <w:spacing w:after="0" w:line="247"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$23.7 million, or 18.1%, to $155.0 million for the nine months ended September 30, 2021 from $131.2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nine months ended September 30, 2020 and the margin contracted to 43.4% from 43.6%. The increase in Adjusted EBITDA was driven primarily by increased leasing gross profit as described above, partially offset by increased SG&amp;A. Excluding acquisition costs and stock-based compensation, SG&amp;A increased $9.5 million in this segment. The increase was comprised of increased costs for personnel, including commissions and other variable compensation, insurance, computer costs, and bad debt expenses.</w:t>
      </w:r>
    </w:p>
    <w:p>
      <w:pPr>
        <w:spacing w:after="0" w:line="72"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$24.2 million for the nine months ended September 30, 2021</w:t>
      </w:r>
      <w:r>
        <w:rPr>
          <w:rFonts w:ascii="Arial" w:cs="Arial" w:eastAsia="Arial" w:hAnsi="Arial"/>
          <w:sz w:val="15"/>
          <w:szCs w:val="15"/>
          <w:b w:val="1"/>
          <w:bCs w:val="1"/>
          <w:color w:val="auto"/>
        </w:rPr>
        <w:t xml:space="preserve"> </w:t>
      </w:r>
      <w:r>
        <w:rPr>
          <w:rFonts w:ascii="Arial" w:cs="Arial" w:eastAsia="Arial" w:hAnsi="Arial"/>
          <w:sz w:val="15"/>
          <w:szCs w:val="15"/>
          <w:color w:val="auto"/>
        </w:rPr>
        <w:t>were $4.5 million lower than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4" w:name="page55"/>
    <w:bookmarkEnd w:id="54"/>
    <w:p>
      <w:pPr>
        <w:jc w:val="both"/>
        <w:spacing w:after="0" w:line="246" w:lineRule="auto"/>
        <w:rPr>
          <w:sz w:val="20"/>
          <w:szCs w:val="20"/>
          <w:color w:val="auto"/>
        </w:rPr>
      </w:pPr>
      <w:r>
        <w:rPr>
          <w:rFonts w:ascii="Arial" w:cs="Arial" w:eastAsia="Arial" w:hAnsi="Arial"/>
          <w:sz w:val="15"/>
          <w:szCs w:val="15"/>
          <w:color w:val="auto"/>
        </w:rPr>
        <w:t>Rental fleet expenditures in the first quarter were significantly below 2020 levels in response to COVID-19-related demand reductions, but as economic activity has recovered, we have begun to invest to meet demand for specific products, largely portable storage units and ground level offices.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UK Storage - Quarterly Results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Quarterly Results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w:t>
            </w:r>
          </w:p>
        </w:tc>
        <w:tc>
          <w:tcPr>
            <w:tcW w:w="150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Q1</w:t>
            </w:r>
          </w:p>
        </w:tc>
        <w:tc>
          <w:tcPr>
            <w:tcW w:w="38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Q2</w:t>
            </w:r>
          </w:p>
        </w:tc>
        <w:tc>
          <w:tcPr>
            <w:tcW w:w="38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Q3</w:t>
            </w:r>
          </w:p>
        </w:tc>
        <w:tc>
          <w:tcPr>
            <w:tcW w:w="360" w:type="dxa"/>
            <w:vAlign w:val="bottom"/>
            <w:shd w:val="clear" w:color="auto" w:fill="1D2758"/>
          </w:tcPr>
          <w:p>
            <w:pPr>
              <w:spacing w:after="0"/>
              <w:rPr>
                <w:sz w:val="14"/>
                <w:szCs w:val="14"/>
                <w:color w:val="auto"/>
              </w:rPr>
            </w:pPr>
          </w:p>
        </w:tc>
        <w:tc>
          <w:tcPr>
            <w:tcW w:w="1080" w:type="dxa"/>
            <w:vAlign w:val="bottom"/>
            <w:vMerge w:val="restart"/>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4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monthly rental rate)</w:t>
            </w:r>
          </w:p>
        </w:tc>
        <w:tc>
          <w:tcPr>
            <w:tcW w:w="150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0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5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27,007</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28,432</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28,099</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83,538</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16,493</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17,937</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18,876</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53,306</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5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11,064</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12,328</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13,255</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36,647</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6,770</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4,226</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11,649</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22,645</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50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9,115</w:t>
            </w:r>
          </w:p>
        </w:tc>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9,354</w:t>
            </w:r>
          </w:p>
        </w:tc>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9,298</w:t>
            </w:r>
          </w:p>
        </w:tc>
        <w:tc>
          <w:tcPr>
            <w:tcW w:w="3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9,256</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83.8 %</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84.3 %</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83.4 %</w:t>
            </w: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83.8 %</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5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404</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438</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454</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50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24,647</w:t>
            </w:r>
          </w:p>
        </w:tc>
        <w:tc>
          <w:tcPr>
            <w:tcW w:w="38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25,573</w:t>
            </w:r>
          </w:p>
        </w:tc>
        <w:tc>
          <w:tcPr>
            <w:tcW w:w="38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25,632</w:t>
            </w:r>
          </w:p>
        </w:tc>
        <w:tc>
          <w:tcPr>
            <w:tcW w:w="360" w:type="dxa"/>
            <w:vAlign w:val="bottom"/>
          </w:tcPr>
          <w:p>
            <w:pPr>
              <w:spacing w:after="0"/>
              <w:rPr>
                <w:sz w:val="16"/>
                <w:szCs w:val="16"/>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25,284</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5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89.2 %</w:t>
            </w:r>
          </w:p>
        </w:tc>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91.8 %</w:t>
            </w:r>
          </w:p>
        </w:tc>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89.1 %</w:t>
            </w:r>
          </w:p>
        </w:tc>
        <w:tc>
          <w:tcPr>
            <w:tcW w:w="3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90.0 %</w:t>
            </w:r>
          </w:p>
        </w:tc>
        <w:tc>
          <w:tcPr>
            <w:tcW w:w="0" w:type="dxa"/>
            <w:vAlign w:val="bottom"/>
          </w:tcPr>
          <w:p>
            <w:pPr>
              <w:spacing w:after="0"/>
              <w:rPr>
                <w:sz w:val="1"/>
                <w:szCs w:val="1"/>
                <w:color w:val="auto"/>
              </w:rPr>
            </w:pPr>
          </w:p>
        </w:tc>
      </w:tr>
      <w:tr>
        <w:trPr>
          <w:trHeight w:val="192"/>
        </w:trPr>
        <w:tc>
          <w:tcPr>
            <w:tcW w:w="418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82</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88</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90</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Quarterly Results for the Nine Months Ended September 30,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w:t>
            </w:r>
          </w:p>
        </w:tc>
        <w:tc>
          <w:tcPr>
            <w:tcW w:w="150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Q1</w:t>
            </w:r>
          </w:p>
        </w:tc>
        <w:tc>
          <w:tcPr>
            <w:tcW w:w="38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Q2</w:t>
            </w:r>
          </w:p>
        </w:tc>
        <w:tc>
          <w:tcPr>
            <w:tcW w:w="38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Q3</w:t>
            </w:r>
          </w:p>
        </w:tc>
        <w:tc>
          <w:tcPr>
            <w:tcW w:w="360" w:type="dxa"/>
            <w:vAlign w:val="bottom"/>
            <w:shd w:val="clear" w:color="auto" w:fill="1D2758"/>
          </w:tcPr>
          <w:p>
            <w:pPr>
              <w:spacing w:after="0"/>
              <w:rPr>
                <w:sz w:val="14"/>
                <w:szCs w:val="14"/>
                <w:color w:val="auto"/>
              </w:rPr>
            </w:pPr>
          </w:p>
        </w:tc>
        <w:tc>
          <w:tcPr>
            <w:tcW w:w="1080" w:type="dxa"/>
            <w:vAlign w:val="bottom"/>
            <w:vMerge w:val="restart"/>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4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monthly rental rate)</w:t>
            </w:r>
          </w:p>
        </w:tc>
        <w:tc>
          <w:tcPr>
            <w:tcW w:w="150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0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5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20,197</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17,154</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21,653</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59,004</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11,372</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10,991</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12,671</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35,034</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5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6,405</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6,853</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8,306</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337</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522</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677</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1,536</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50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7,850</w:t>
            </w:r>
          </w:p>
        </w:tc>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7,912</w:t>
            </w:r>
          </w:p>
        </w:tc>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8,444</w:t>
            </w:r>
          </w:p>
        </w:tc>
        <w:tc>
          <w:tcPr>
            <w:tcW w:w="3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8,069</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74.2 %</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74.6 %</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79.1 %</w:t>
            </w: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76.0 %</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5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326</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313</w:t>
            </w:r>
          </w:p>
        </w:tc>
        <w:tc>
          <w:tcPr>
            <w:tcW w:w="3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356</w:t>
            </w:r>
          </w:p>
        </w:tc>
        <w:tc>
          <w:tcPr>
            <w:tcW w:w="3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50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23,328</w:t>
            </w:r>
          </w:p>
        </w:tc>
        <w:tc>
          <w:tcPr>
            <w:tcW w:w="38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22,870</w:t>
            </w:r>
          </w:p>
        </w:tc>
        <w:tc>
          <w:tcPr>
            <w:tcW w:w="380" w:type="dxa"/>
            <w:vAlign w:val="bottom"/>
          </w:tcPr>
          <w:p>
            <w:pPr>
              <w:spacing w:after="0"/>
              <w:rPr>
                <w:sz w:val="16"/>
                <w:szCs w:val="16"/>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23,146</w:t>
            </w:r>
          </w:p>
        </w:tc>
        <w:tc>
          <w:tcPr>
            <w:tcW w:w="360" w:type="dxa"/>
            <w:vAlign w:val="bottom"/>
          </w:tcPr>
          <w:p>
            <w:pPr>
              <w:spacing w:after="0"/>
              <w:rPr>
                <w:sz w:val="16"/>
                <w:szCs w:val="16"/>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23,115</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5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83.7 %</w:t>
            </w:r>
          </w:p>
        </w:tc>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82.2 %</w:t>
            </w:r>
          </w:p>
        </w:tc>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83.2 %</w:t>
            </w:r>
          </w:p>
        </w:tc>
        <w:tc>
          <w:tcPr>
            <w:tcW w:w="3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83.0 %</w:t>
            </w:r>
          </w:p>
        </w:tc>
        <w:tc>
          <w:tcPr>
            <w:tcW w:w="0" w:type="dxa"/>
            <w:vAlign w:val="bottom"/>
          </w:tcPr>
          <w:p>
            <w:pPr>
              <w:spacing w:after="0"/>
              <w:rPr>
                <w:sz w:val="1"/>
                <w:szCs w:val="1"/>
                <w:color w:val="auto"/>
              </w:rPr>
            </w:pPr>
          </w:p>
        </w:tc>
      </w:tr>
      <w:tr>
        <w:trPr>
          <w:trHeight w:val="192"/>
        </w:trPr>
        <w:tc>
          <w:tcPr>
            <w:tcW w:w="418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73</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70</w:t>
            </w:r>
          </w:p>
        </w:tc>
        <w:tc>
          <w:tcPr>
            <w:tcW w:w="3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75</w:t>
            </w: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Nine Months Ended September 30,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UK Storage</w:t>
      </w:r>
    </w:p>
    <w:p>
      <w:pPr>
        <w:spacing w:after="0" w:line="98"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$24.5 million, or 41.5%, to $83.5 million for the nine months ended September 30, 2021 from $59.0 million for the nine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September 30, 2020. In local currency total revenues increased 30.2%. Leasing revenues increased $18.9 million in the current quarter compared to the prior-year quarter. Modular space average units on rent increased 14.7%, while portable storage units on rent increased 9.4%. Monthly rental rates for modular space units and portable storage units increased 28.9% and 17.8% year-over-year, respectively, including the impacts of currency fluctuations.</w:t>
      </w:r>
    </w:p>
    <w:p>
      <w:pPr>
        <w:spacing w:after="0" w:line="68"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$18.3 million, or 52.3%, for the nine months ended September 30, 2021 to $53.3 million from $35.0 million for the nine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September 30, 2020. In local currency, gross profit increased 39.7%. This increase was driven by a significant increase in fleet utilization coupled with strong rental rate growth and strategic cost management.</w:t>
      </w:r>
    </w:p>
    <w:p>
      <w:pPr>
        <w:spacing w:after="0" w:line="65"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$15.0 million, or 69.2%, to $36.6 million for nine months ended September 30, 2021 from $21.6 million for the nine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September 30, 2020 and the margin expanded to 43.9% from 36.5%. The increase results primarily from the favorable gross profit discussed above, partially offset by increased SG&amp;A of $3.7 million driven by increased costs for personnel, including commissions and other variable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5" w:name="page56"/>
    <w:bookmarkEnd w:id="55"/>
    <w:p>
      <w:pPr>
        <w:jc w:val="both"/>
        <w:ind w:firstLine="590"/>
        <w:spacing w:after="0" w:line="271"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$22.6 million were driving the $21.1 million increase</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the prior year. These investments were made to fulfill increasing demand and to drive increased units on rent and utilization.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Tank and Pump - Quarterly Results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Quarterly Results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w:t>
            </w:r>
          </w:p>
        </w:tc>
        <w:tc>
          <w:tcPr>
            <w:tcW w:w="68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Q1</w:t>
            </w:r>
          </w:p>
        </w:tc>
        <w:tc>
          <w:tcPr>
            <w:tcW w:w="40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86"/>
              <w:spacing w:after="0"/>
              <w:rPr>
                <w:sz w:val="20"/>
                <w:szCs w:val="20"/>
                <w:color w:val="auto"/>
              </w:rPr>
            </w:pPr>
            <w:r>
              <w:rPr>
                <w:rFonts w:ascii="Arial" w:cs="Arial" w:eastAsia="Arial" w:hAnsi="Arial"/>
                <w:sz w:val="15"/>
                <w:szCs w:val="15"/>
                <w:b w:val="1"/>
                <w:bCs w:val="1"/>
                <w:color w:val="FFFFFF"/>
              </w:rPr>
              <w:t>Q2</w:t>
            </w:r>
          </w:p>
        </w:tc>
        <w:tc>
          <w:tcPr>
            <w:tcW w:w="400" w:type="dxa"/>
            <w:vAlign w:val="bottom"/>
            <w:shd w:val="clear" w:color="auto" w:fill="1D2758"/>
          </w:tcPr>
          <w:p>
            <w:pPr>
              <w:spacing w:after="0"/>
              <w:rPr>
                <w:sz w:val="14"/>
                <w:szCs w:val="14"/>
                <w:color w:val="auto"/>
              </w:rPr>
            </w:pPr>
          </w:p>
        </w:tc>
        <w:tc>
          <w:tcPr>
            <w:tcW w:w="1060" w:type="dxa"/>
            <w:vAlign w:val="bottom"/>
            <w:vMerge w:val="restart"/>
            <w:shd w:val="clear" w:color="auto" w:fill="1D2758"/>
          </w:tcPr>
          <w:p>
            <w:pPr>
              <w:jc w:val="right"/>
              <w:ind w:right="546"/>
              <w:spacing w:after="0"/>
              <w:rPr>
                <w:sz w:val="20"/>
                <w:szCs w:val="20"/>
                <w:color w:val="auto"/>
              </w:rPr>
            </w:pPr>
            <w:r>
              <w:rPr>
                <w:rFonts w:ascii="Arial" w:cs="Arial" w:eastAsia="Arial" w:hAnsi="Arial"/>
                <w:sz w:val="15"/>
                <w:szCs w:val="15"/>
                <w:b w:val="1"/>
                <w:bCs w:val="1"/>
                <w:color w:val="FFFFFF"/>
              </w:rPr>
              <w:t>Q3</w:t>
            </w:r>
          </w:p>
        </w:tc>
        <w:tc>
          <w:tcPr>
            <w:tcW w:w="320" w:type="dxa"/>
            <w:vAlign w:val="bottom"/>
            <w:shd w:val="clear" w:color="auto" w:fill="1D2758"/>
          </w:tcPr>
          <w:p>
            <w:pPr>
              <w:spacing w:after="0"/>
              <w:rPr>
                <w:sz w:val="14"/>
                <w:szCs w:val="14"/>
                <w:color w:val="auto"/>
              </w:rPr>
            </w:pPr>
          </w:p>
        </w:tc>
        <w:tc>
          <w:tcPr>
            <w:tcW w:w="1080" w:type="dxa"/>
            <w:vAlign w:val="bottom"/>
            <w:vMerge w:val="restart"/>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5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monthly rental rate)</w:t>
            </w:r>
          </w:p>
        </w:tc>
        <w:tc>
          <w:tcPr>
            <w:tcW w:w="68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060" w:type="dxa"/>
            <w:vAlign w:val="bottom"/>
            <w:vMerge w:val="continue"/>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0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68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24,344</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27,494</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rPr>
              <w:t>29,505</w:t>
            </w:r>
          </w:p>
        </w:tc>
        <w:tc>
          <w:tcPr>
            <w:tcW w:w="32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81,343</w:t>
            </w:r>
          </w:p>
        </w:tc>
        <w:tc>
          <w:tcPr>
            <w:tcW w:w="0" w:type="dxa"/>
            <w:vAlign w:val="bottom"/>
          </w:tcPr>
          <w:p>
            <w:pPr>
              <w:spacing w:after="0"/>
              <w:rPr>
                <w:sz w:val="1"/>
                <w:szCs w:val="1"/>
                <w:color w:val="auto"/>
              </w:rPr>
            </w:pPr>
          </w:p>
        </w:tc>
      </w:tr>
      <w:tr>
        <w:trPr>
          <w:trHeight w:val="194"/>
        </w:trPr>
        <w:tc>
          <w:tcPr>
            <w:tcW w:w="51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68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6"/>
              <w:spacing w:after="0"/>
              <w:rPr>
                <w:sz w:val="20"/>
                <w:szCs w:val="20"/>
                <w:color w:val="auto"/>
              </w:rPr>
            </w:pPr>
            <w:r>
              <w:rPr>
                <w:rFonts w:ascii="Arial" w:cs="Arial" w:eastAsia="Arial" w:hAnsi="Arial"/>
                <w:sz w:val="15"/>
                <w:szCs w:val="15"/>
                <w:color w:val="auto"/>
              </w:rPr>
              <w:t>11,266</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6"/>
              <w:spacing w:after="0"/>
              <w:rPr>
                <w:sz w:val="20"/>
                <w:szCs w:val="20"/>
                <w:color w:val="auto"/>
              </w:rPr>
            </w:pPr>
            <w:r>
              <w:rPr>
                <w:rFonts w:ascii="Arial" w:cs="Arial" w:eastAsia="Arial" w:hAnsi="Arial"/>
                <w:sz w:val="15"/>
                <w:szCs w:val="15"/>
                <w:color w:val="auto"/>
              </w:rPr>
              <w:t>13,016</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6"/>
              <w:spacing w:after="0"/>
              <w:rPr>
                <w:sz w:val="20"/>
                <w:szCs w:val="20"/>
                <w:color w:val="auto"/>
              </w:rPr>
            </w:pPr>
            <w:r>
              <w:rPr>
                <w:rFonts w:ascii="Arial" w:cs="Arial" w:eastAsia="Arial" w:hAnsi="Arial"/>
                <w:sz w:val="15"/>
                <w:szCs w:val="15"/>
                <w:color w:val="auto"/>
              </w:rPr>
              <w:t>14,323</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38,605</w:t>
            </w:r>
          </w:p>
        </w:tc>
        <w:tc>
          <w:tcPr>
            <w:tcW w:w="0" w:type="dxa"/>
            <w:vAlign w:val="bottom"/>
          </w:tcPr>
          <w:p>
            <w:pPr>
              <w:spacing w:after="0"/>
              <w:rPr>
                <w:sz w:val="1"/>
                <w:szCs w:val="1"/>
                <w:color w:val="auto"/>
              </w:rPr>
            </w:pPr>
          </w:p>
        </w:tc>
      </w:tr>
      <w:tr>
        <w:trPr>
          <w:trHeight w:val="199"/>
        </w:trPr>
        <w:tc>
          <w:tcPr>
            <w:tcW w:w="5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68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8,828</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10,096</w:t>
            </w:r>
          </w:p>
        </w:tc>
        <w:tc>
          <w:tcPr>
            <w:tcW w:w="400" w:type="dxa"/>
            <w:vAlign w:val="bottom"/>
            <w:shd w:val="clear" w:color="auto" w:fill="DBDBDB"/>
          </w:tcPr>
          <w:p>
            <w:pPr>
              <w:jc w:val="right"/>
              <w:ind w:right="186"/>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rPr>
              <w:t>10,946</w:t>
            </w:r>
          </w:p>
        </w:tc>
        <w:tc>
          <w:tcPr>
            <w:tcW w:w="32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29,870</w:t>
            </w:r>
          </w:p>
        </w:tc>
        <w:tc>
          <w:tcPr>
            <w:tcW w:w="0" w:type="dxa"/>
            <w:vAlign w:val="bottom"/>
          </w:tcPr>
          <w:p>
            <w:pPr>
              <w:spacing w:after="0"/>
              <w:rPr>
                <w:sz w:val="1"/>
                <w:szCs w:val="1"/>
                <w:color w:val="auto"/>
              </w:rPr>
            </w:pPr>
          </w:p>
        </w:tc>
      </w:tr>
      <w:tr>
        <w:trPr>
          <w:trHeight w:val="194"/>
        </w:trPr>
        <w:tc>
          <w:tcPr>
            <w:tcW w:w="51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68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6"/>
              <w:spacing w:after="0"/>
              <w:rPr>
                <w:sz w:val="20"/>
                <w:szCs w:val="20"/>
                <w:color w:val="auto"/>
              </w:rPr>
            </w:pPr>
            <w:r>
              <w:rPr>
                <w:rFonts w:ascii="Arial" w:cs="Arial" w:eastAsia="Arial" w:hAnsi="Arial"/>
                <w:sz w:val="15"/>
                <w:szCs w:val="15"/>
                <w:color w:val="auto"/>
              </w:rPr>
              <w:t>3,158</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6"/>
              <w:spacing w:after="0"/>
              <w:rPr>
                <w:sz w:val="20"/>
                <w:szCs w:val="20"/>
                <w:color w:val="auto"/>
              </w:rPr>
            </w:pPr>
            <w:r>
              <w:rPr>
                <w:rFonts w:ascii="Arial" w:cs="Arial" w:eastAsia="Arial" w:hAnsi="Arial"/>
                <w:sz w:val="15"/>
                <w:szCs w:val="15"/>
                <w:color w:val="auto"/>
              </w:rPr>
              <w:t>2,919</w:t>
            </w:r>
          </w:p>
        </w:tc>
        <w:tc>
          <w:tcPr>
            <w:tcW w:w="4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6"/>
              <w:spacing w:after="0"/>
              <w:rPr>
                <w:sz w:val="20"/>
                <w:szCs w:val="20"/>
                <w:color w:val="auto"/>
              </w:rPr>
            </w:pPr>
            <w:r>
              <w:rPr>
                <w:rFonts w:ascii="Arial" w:cs="Arial" w:eastAsia="Arial" w:hAnsi="Arial"/>
                <w:sz w:val="15"/>
                <w:szCs w:val="15"/>
                <w:color w:val="auto"/>
              </w:rPr>
              <w:t>5,016</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11,093</w:t>
            </w:r>
          </w:p>
        </w:tc>
        <w:tc>
          <w:tcPr>
            <w:tcW w:w="0" w:type="dxa"/>
            <w:vAlign w:val="bottom"/>
          </w:tcPr>
          <w:p>
            <w:pPr>
              <w:spacing w:after="0"/>
              <w:rPr>
                <w:sz w:val="1"/>
                <w:szCs w:val="1"/>
                <w:color w:val="auto"/>
              </w:rPr>
            </w:pPr>
          </w:p>
        </w:tc>
      </w:tr>
      <w:tr>
        <w:trPr>
          <w:trHeight w:val="164"/>
        </w:trPr>
        <w:tc>
          <w:tcPr>
            <w:tcW w:w="5100" w:type="dxa"/>
            <w:vAlign w:val="bottom"/>
            <w:shd w:val="clear" w:color="auto" w:fill="DBDBDB"/>
          </w:tcPr>
          <w:p>
            <w:pPr>
              <w:ind w:left="20"/>
              <w:spacing w:after="0" w:line="164" w:lineRule="exact"/>
              <w:rPr>
                <w:sz w:val="20"/>
                <w:szCs w:val="20"/>
                <w:color w:val="auto"/>
              </w:rPr>
            </w:pPr>
            <w:r>
              <w:rPr>
                <w:rFonts w:ascii="Arial" w:cs="Arial" w:eastAsia="Arial" w:hAnsi="Arial"/>
                <w:sz w:val="15"/>
                <w:szCs w:val="15"/>
                <w:color w:val="auto"/>
              </w:rPr>
              <w:t>Average tank and pump solutions rental fleet utilization based on original</w:t>
            </w:r>
          </w:p>
        </w:tc>
        <w:tc>
          <w:tcPr>
            <w:tcW w:w="68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equipment cost</w:t>
            </w:r>
          </w:p>
        </w:tc>
        <w:tc>
          <w:tcPr>
            <w:tcW w:w="6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67.4 %</w:t>
            </w:r>
          </w:p>
        </w:tc>
        <w:tc>
          <w:tcPr>
            <w:tcW w:w="4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71.2 %</w:t>
            </w:r>
          </w:p>
        </w:tc>
        <w:tc>
          <w:tcPr>
            <w:tcW w:w="4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74.8 %</w:t>
            </w:r>
          </w:p>
        </w:tc>
        <w:tc>
          <w:tcPr>
            <w:tcW w:w="32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71.2 %</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Quarterly Results for the Nine Months Ended September 30,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w:t>
            </w:r>
          </w:p>
        </w:tc>
        <w:tc>
          <w:tcPr>
            <w:tcW w:w="1500" w:type="dxa"/>
            <w:vAlign w:val="bottom"/>
            <w:shd w:val="clear" w:color="auto" w:fill="1D2758"/>
          </w:tcPr>
          <w:p>
            <w:pPr>
              <w:spacing w:after="0"/>
              <w:rPr>
                <w:sz w:val="14"/>
                <w:szCs w:val="14"/>
                <w:color w:val="auto"/>
              </w:rPr>
            </w:pPr>
          </w:p>
        </w:tc>
        <w:tc>
          <w:tcPr>
            <w:tcW w:w="1020" w:type="dxa"/>
            <w:vAlign w:val="bottom"/>
            <w:vMerge w:val="restart"/>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Q1</w:t>
            </w:r>
          </w:p>
        </w:tc>
        <w:tc>
          <w:tcPr>
            <w:tcW w:w="480" w:type="dxa"/>
            <w:vAlign w:val="bottom"/>
            <w:shd w:val="clear" w:color="auto" w:fill="1D2758"/>
          </w:tcPr>
          <w:p>
            <w:pPr>
              <w:spacing w:after="0"/>
              <w:rPr>
                <w:sz w:val="14"/>
                <w:szCs w:val="14"/>
                <w:color w:val="auto"/>
              </w:rPr>
            </w:pPr>
          </w:p>
        </w:tc>
        <w:tc>
          <w:tcPr>
            <w:tcW w:w="1020" w:type="dxa"/>
            <w:vAlign w:val="bottom"/>
            <w:vMerge w:val="restart"/>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Q2</w:t>
            </w:r>
          </w:p>
        </w:tc>
        <w:tc>
          <w:tcPr>
            <w:tcW w:w="480" w:type="dxa"/>
            <w:vAlign w:val="bottom"/>
            <w:shd w:val="clear" w:color="auto" w:fill="1D2758"/>
          </w:tcPr>
          <w:p>
            <w:pPr>
              <w:spacing w:after="0"/>
              <w:rPr>
                <w:sz w:val="14"/>
                <w:szCs w:val="14"/>
                <w:color w:val="auto"/>
              </w:rPr>
            </w:pPr>
          </w:p>
        </w:tc>
        <w:tc>
          <w:tcPr>
            <w:tcW w:w="1020" w:type="dxa"/>
            <w:vAlign w:val="bottom"/>
            <w:vMerge w:val="restart"/>
            <w:shd w:val="clear" w:color="auto" w:fill="1D2758"/>
          </w:tcPr>
          <w:p>
            <w:pPr>
              <w:jc w:val="right"/>
              <w:ind w:right="486"/>
              <w:spacing w:after="0"/>
              <w:rPr>
                <w:sz w:val="20"/>
                <w:szCs w:val="20"/>
                <w:color w:val="auto"/>
              </w:rPr>
            </w:pPr>
            <w:r>
              <w:rPr>
                <w:rFonts w:ascii="Arial" w:cs="Arial" w:eastAsia="Arial" w:hAnsi="Arial"/>
                <w:sz w:val="15"/>
                <w:szCs w:val="15"/>
                <w:b w:val="1"/>
                <w:bCs w:val="1"/>
                <w:color w:val="FFFFFF"/>
              </w:rPr>
              <w:t>Q3</w:t>
            </w:r>
          </w:p>
        </w:tc>
        <w:tc>
          <w:tcPr>
            <w:tcW w:w="460" w:type="dxa"/>
            <w:vAlign w:val="bottom"/>
            <w:shd w:val="clear" w:color="auto" w:fill="1D2758"/>
          </w:tcPr>
          <w:p>
            <w:pPr>
              <w:spacing w:after="0"/>
              <w:rPr>
                <w:sz w:val="14"/>
                <w:szCs w:val="14"/>
                <w:color w:val="auto"/>
              </w:rPr>
            </w:pPr>
          </w:p>
        </w:tc>
        <w:tc>
          <w:tcPr>
            <w:tcW w:w="1080" w:type="dxa"/>
            <w:vAlign w:val="bottom"/>
            <w:vMerge w:val="restart"/>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7"/>
        </w:trPr>
        <w:tc>
          <w:tcPr>
            <w:tcW w:w="4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monthly rental rate)</w:t>
            </w:r>
          </w:p>
        </w:tc>
        <w:tc>
          <w:tcPr>
            <w:tcW w:w="1500" w:type="dxa"/>
            <w:vAlign w:val="bottom"/>
            <w:shd w:val="clear" w:color="auto" w:fill="1D2758"/>
          </w:tcPr>
          <w:p>
            <w:pPr>
              <w:spacing w:after="0"/>
              <w:rPr>
                <w:sz w:val="17"/>
                <w:szCs w:val="17"/>
                <w:color w:val="auto"/>
              </w:rPr>
            </w:pPr>
          </w:p>
        </w:tc>
        <w:tc>
          <w:tcPr>
            <w:tcW w:w="1020" w:type="dxa"/>
            <w:vAlign w:val="bottom"/>
            <w:vMerge w:val="continue"/>
            <w:shd w:val="clear" w:color="auto" w:fill="1D2758"/>
          </w:tcPr>
          <w:p>
            <w:pPr>
              <w:spacing w:after="0"/>
              <w:rPr>
                <w:sz w:val="17"/>
                <w:szCs w:val="17"/>
                <w:color w:val="auto"/>
              </w:rPr>
            </w:pPr>
          </w:p>
        </w:tc>
        <w:tc>
          <w:tcPr>
            <w:tcW w:w="480" w:type="dxa"/>
            <w:vAlign w:val="bottom"/>
            <w:shd w:val="clear" w:color="auto" w:fill="1D2758"/>
          </w:tcPr>
          <w:p>
            <w:pPr>
              <w:spacing w:after="0"/>
              <w:rPr>
                <w:sz w:val="17"/>
                <w:szCs w:val="17"/>
                <w:color w:val="auto"/>
              </w:rPr>
            </w:pPr>
          </w:p>
        </w:tc>
        <w:tc>
          <w:tcPr>
            <w:tcW w:w="1020" w:type="dxa"/>
            <w:vAlign w:val="bottom"/>
            <w:vMerge w:val="continue"/>
            <w:shd w:val="clear" w:color="auto" w:fill="1D2758"/>
          </w:tcPr>
          <w:p>
            <w:pPr>
              <w:spacing w:after="0"/>
              <w:rPr>
                <w:sz w:val="17"/>
                <w:szCs w:val="17"/>
                <w:color w:val="auto"/>
              </w:rPr>
            </w:pPr>
          </w:p>
        </w:tc>
        <w:tc>
          <w:tcPr>
            <w:tcW w:w="480" w:type="dxa"/>
            <w:vAlign w:val="bottom"/>
            <w:shd w:val="clear" w:color="auto" w:fill="1D2758"/>
          </w:tcPr>
          <w:p>
            <w:pPr>
              <w:spacing w:after="0"/>
              <w:rPr>
                <w:sz w:val="17"/>
                <w:szCs w:val="17"/>
                <w:color w:val="auto"/>
              </w:rPr>
            </w:pPr>
          </w:p>
        </w:tc>
        <w:tc>
          <w:tcPr>
            <w:tcW w:w="1020" w:type="dxa"/>
            <w:vAlign w:val="bottom"/>
            <w:vMerge w:val="continue"/>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10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5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26,884</w:t>
            </w:r>
          </w:p>
        </w:tc>
        <w:tc>
          <w:tcPr>
            <w:tcW w:w="4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23,684</w:t>
            </w:r>
          </w:p>
        </w:tc>
        <w:tc>
          <w:tcPr>
            <w:tcW w:w="4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23,302</w:t>
            </w:r>
          </w:p>
        </w:tc>
        <w:tc>
          <w:tcPr>
            <w:tcW w:w="4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73,870</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13,279</w:t>
            </w:r>
          </w:p>
        </w:tc>
        <w:tc>
          <w:tcPr>
            <w:tcW w:w="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11,723</w:t>
            </w:r>
          </w:p>
        </w:tc>
        <w:tc>
          <w:tcPr>
            <w:tcW w:w="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11,430</w:t>
            </w:r>
          </w:p>
        </w:tc>
        <w:tc>
          <w:tcPr>
            <w:tcW w:w="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36,432</w:t>
            </w:r>
          </w:p>
        </w:tc>
        <w:tc>
          <w:tcPr>
            <w:tcW w:w="0" w:type="dxa"/>
            <w:vAlign w:val="bottom"/>
          </w:tcPr>
          <w:p>
            <w:pPr>
              <w:spacing w:after="0"/>
              <w:rPr>
                <w:sz w:val="1"/>
                <w:szCs w:val="1"/>
                <w:color w:val="auto"/>
              </w:rPr>
            </w:pPr>
          </w:p>
        </w:tc>
      </w:tr>
      <w:tr>
        <w:trPr>
          <w:trHeight w:val="199"/>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50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9,477</w:t>
            </w:r>
          </w:p>
        </w:tc>
        <w:tc>
          <w:tcPr>
            <w:tcW w:w="4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8,659</w:t>
            </w:r>
          </w:p>
        </w:tc>
        <w:tc>
          <w:tcPr>
            <w:tcW w:w="480" w:type="dxa"/>
            <w:vAlign w:val="bottom"/>
            <w:shd w:val="clear" w:color="auto" w:fill="DBDBDB"/>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8,507</w:t>
            </w:r>
          </w:p>
        </w:tc>
        <w:tc>
          <w:tcPr>
            <w:tcW w:w="46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106"/>
              <w:spacing w:after="0"/>
              <w:rPr>
                <w:sz w:val="20"/>
                <w:szCs w:val="20"/>
                <w:color w:val="auto"/>
              </w:rPr>
            </w:pPr>
            <w:r>
              <w:rPr>
                <w:rFonts w:ascii="Arial" w:cs="Arial" w:eastAsia="Arial" w:hAnsi="Arial"/>
                <w:sz w:val="15"/>
                <w:szCs w:val="15"/>
                <w:color w:val="auto"/>
              </w:rPr>
              <w:t>26,643</w:t>
            </w:r>
          </w:p>
        </w:tc>
        <w:tc>
          <w:tcPr>
            <w:tcW w:w="0" w:type="dxa"/>
            <w:vAlign w:val="bottom"/>
          </w:tcPr>
          <w:p>
            <w:pPr>
              <w:spacing w:after="0"/>
              <w:rPr>
                <w:sz w:val="1"/>
                <w:szCs w:val="1"/>
                <w:color w:val="auto"/>
              </w:rPr>
            </w:pPr>
          </w:p>
        </w:tc>
      </w:tr>
      <w:tr>
        <w:trPr>
          <w:trHeight w:val="192"/>
        </w:trPr>
        <w:tc>
          <w:tcPr>
            <w:tcW w:w="41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4,514</w:t>
            </w:r>
          </w:p>
        </w:tc>
        <w:tc>
          <w:tcPr>
            <w:tcW w:w="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941</w:t>
            </w:r>
          </w:p>
        </w:tc>
        <w:tc>
          <w:tcPr>
            <w:tcW w:w="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431</w:t>
            </w:r>
          </w:p>
        </w:tc>
        <w:tc>
          <w:tcPr>
            <w:tcW w:w="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5,886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44385" cy="218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2184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7"/>
        </w:trPr>
        <w:tc>
          <w:tcPr>
            <w:tcW w:w="5500" w:type="dxa"/>
            <w:vAlign w:val="bottom"/>
          </w:tcPr>
          <w:p>
            <w:pPr>
              <w:spacing w:after="0" w:line="167" w:lineRule="exact"/>
              <w:rPr>
                <w:sz w:val="20"/>
                <w:szCs w:val="20"/>
                <w:color w:val="auto"/>
              </w:rPr>
            </w:pPr>
            <w:r>
              <w:rPr>
                <w:rFonts w:ascii="Arial" w:cs="Arial" w:eastAsia="Arial" w:hAnsi="Arial"/>
                <w:sz w:val="15"/>
                <w:szCs w:val="15"/>
                <w:color w:val="auto"/>
              </w:rPr>
              <w:t>Average tank and pump solutions rental fleet utilization based on original</w:t>
            </w: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5500" w:type="dxa"/>
            <w:vAlign w:val="bottom"/>
          </w:tcPr>
          <w:p>
            <w:pPr>
              <w:spacing w:after="0"/>
              <w:rPr>
                <w:sz w:val="20"/>
                <w:szCs w:val="20"/>
                <w:color w:val="auto"/>
              </w:rPr>
            </w:pPr>
            <w:r>
              <w:rPr>
                <w:rFonts w:ascii="Arial" w:cs="Arial" w:eastAsia="Arial" w:hAnsi="Arial"/>
                <w:sz w:val="15"/>
                <w:szCs w:val="15"/>
                <w:color w:val="auto"/>
              </w:rPr>
              <w:t>equipment cost</w:t>
            </w:r>
          </w:p>
        </w:tc>
        <w:tc>
          <w:tcPr>
            <w:tcW w:w="1740" w:type="dxa"/>
            <w:vAlign w:val="bottom"/>
          </w:tcPr>
          <w:p>
            <w:pPr>
              <w:jc w:val="right"/>
              <w:ind w:right="446"/>
              <w:spacing w:after="0"/>
              <w:rPr>
                <w:sz w:val="20"/>
                <w:szCs w:val="20"/>
                <w:color w:val="auto"/>
              </w:rPr>
            </w:pPr>
            <w:r>
              <w:rPr>
                <w:rFonts w:ascii="Arial" w:cs="Arial" w:eastAsia="Arial" w:hAnsi="Arial"/>
                <w:sz w:val="15"/>
                <w:szCs w:val="15"/>
                <w:color w:val="auto"/>
              </w:rPr>
              <w:t>66.4 %</w:t>
            </w: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60.5 %</w:t>
            </w: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58.2 %</w:t>
            </w:r>
          </w:p>
        </w:tc>
        <w:tc>
          <w:tcPr>
            <w:tcW w:w="980" w:type="dxa"/>
            <w:vAlign w:val="bottom"/>
          </w:tcPr>
          <w:p>
            <w:pPr>
              <w:jc w:val="right"/>
              <w:spacing w:after="0"/>
              <w:rPr>
                <w:sz w:val="20"/>
                <w:szCs w:val="20"/>
                <w:color w:val="auto"/>
              </w:rPr>
            </w:pPr>
            <w:r>
              <w:rPr>
                <w:rFonts w:ascii="Arial" w:cs="Arial" w:eastAsia="Arial" w:hAnsi="Arial"/>
                <w:sz w:val="15"/>
                <w:szCs w:val="15"/>
                <w:color w:val="auto"/>
              </w:rPr>
              <w:t>61.7 %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Nine Months Ended September 30,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Tank &amp; Pump</w:t>
      </w:r>
    </w:p>
    <w:p>
      <w:pPr>
        <w:spacing w:after="0" w:line="98"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$7.4 million, or 10.0%, to $81.3 million for the nine months ended September 30, 2021 from $73.9 million for the nine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September 30, 2020. These increases were driven by increased average OEC rental fleet utilization, which increased 950 bps to 71.2% for the nine months ended September 30, 2021 from 61.7% for the nine months ended September 30, 2020. 2020 results beginning in the second quarter especially were significantly impacted by lower mid- and down-stream oil and gas activity, petrochemical refining activity and specifically the lower demand for jet fuel resulting from COVID-19.</w:t>
      </w:r>
    </w:p>
    <w:p>
      <w:pPr>
        <w:spacing w:after="0" w:line="68"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$2.2 million, or 6.0%, for the nine months ended September 30, 2021 to $38.6 million from $36.4 million for the nine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September 30, 2020. Gross profit for leasing activity increased by $3.5 million compared to the prior year, however gross profit for delivery and installation activity decreased $0.9 million and gross profit for sales activity decreased $0.4 million.</w:t>
      </w:r>
    </w:p>
    <w:p>
      <w:pPr>
        <w:spacing w:after="0" w:line="65"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$3.3 million, or 12.4%, to $29.9 million for the nine months ended September 30, 2021 from $26.6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nine months ended September 30, 2020 and the margin improved to 36.7% from 36.1%. The increase in Adjusted EBITDA was primarily driven from favorable gross profit discussed above and by a $1.0 million reduction in SG&amp;A expense.</w:t>
      </w:r>
    </w:p>
    <w:p>
      <w:pPr>
        <w:spacing w:after="0" w:line="65" w:lineRule="exact"/>
        <w:rPr>
          <w:sz w:val="20"/>
          <w:szCs w:val="20"/>
          <w:color w:val="auto"/>
        </w:rPr>
      </w:pPr>
    </w:p>
    <w:p>
      <w:pPr>
        <w:jc w:val="both"/>
        <w:ind w:firstLine="590"/>
        <w:spacing w:after="0" w:line="271"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Year to date expenditures of $11.1 million were $5.2 million higher than the prior year as we began to increase</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 in additional rental equipment to fund increasing fleet utilization.</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1D2758"/>
        </w:rPr>
        <w:t>Liquidity and Capital Resources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WillScot Mobile Mini is a holding company that derives its operating cash flow from its operating subsidiaries. Our principal sources of liquidity include cash generated by operating activities from our subsidiaries, borrowings under the 2020 ABL Facility, and sales of equity and debt securities. We believe that our liquidity sources and operating cash flows are sufficient to address our operating, debt service and capital requirements over the next twelve months.</w:t>
      </w:r>
    </w:p>
    <w:p>
      <w:pPr>
        <w:spacing w:after="0" w:line="4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We have been consistently engaged in both the debt and equity capital markets both opportunistically and as necessary to support the growth of our business, desired leverage levels, and other capital allocation priorities. Subsequent to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56" w:name="page57"/>
    <w:bookmarkEnd w:id="56"/>
    <w:p>
      <w:pPr>
        <w:jc w:val="both"/>
        <w:spacing w:after="0" w:line="246" w:lineRule="auto"/>
        <w:rPr>
          <w:sz w:val="20"/>
          <w:szCs w:val="20"/>
          <w:color w:val="auto"/>
        </w:rPr>
      </w:pPr>
      <w:r>
        <w:rPr>
          <w:rFonts w:ascii="Arial" w:cs="Arial" w:eastAsia="Arial" w:hAnsi="Arial"/>
          <w:sz w:val="15"/>
          <w:szCs w:val="15"/>
          <w:color w:val="auto"/>
        </w:rPr>
        <w:t>the Merger, we believe we have ample liquidity in the 2020 ABL Facility and are generating substantial free cash flow, which together support both organic operations and other capital allocation priorities as they arise.</w:t>
      </w:r>
    </w:p>
    <w:p>
      <w:pPr>
        <w:spacing w:after="0" w:line="40"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47"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$400.0 million senior secured asset-based multicurrency revolving credit facility (the "Multicurrency Facility") together with the US Facility (collectively, the “2020 ABL Facility”), available to be drawn in US Dollars, Canadian Dollars, British Pounds Sterling or Euros by the US Borrowers, and certain of WSII’s wholly-owned subsidiaries organized in Canada and in the United Kingdom. Borrowing availability under the 2020 ABL Facility is equal to the lesser of $2.4 billion and the applicable borrowing bases. The borrowing bases are a function of, among other things, the value of the assets in the relevant collateral pool. At September 30, 2021, we had $831.6 million of available borrowing capacity under the 2020 ABL Facility.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Impact on Liquidity</w:t>
      </w:r>
    </w:p>
    <w:p>
      <w:pPr>
        <w:spacing w:after="0" w:line="13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We continue to monitor the impact that the global pandemic is having on our financial operations and liquidity; however, to date this impact has been immaterial, and we see the adverse impacts of COVID-19 diminishing as the global economy recovers. We regularly manage all aspects of our business including, but not limited to, monitoring the financial health of our customers, suppliers and other third-party relationships, actively managing our cost structure, reducing or delaying capital spending, and developing new opportunities for growth. We believe that the actions we have taken in recent years to increase our scale and competitive position and strengthen our balance sheet positioned us well to manage through economic cycles and have positioned us well for the current recovery.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Comparison of the Nine Months Ended September 30, 2021 and 2020</w:t>
      </w:r>
    </w:p>
    <w:p>
      <w:pPr>
        <w:spacing w:after="0" w:line="13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4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2820" w:type="dxa"/>
            <w:vAlign w:val="bottom"/>
            <w:gridSpan w:val="3"/>
            <w:shd w:val="clear" w:color="auto" w:fill="1D2758"/>
          </w:tcPr>
          <w:p>
            <w:pPr>
              <w:jc w:val="right"/>
              <w:ind w:right="146"/>
              <w:spacing w:after="0"/>
              <w:rPr>
                <w:sz w:val="20"/>
                <w:szCs w:val="20"/>
                <w:color w:val="auto"/>
              </w:rPr>
            </w:pPr>
            <w:r>
              <w:rPr>
                <w:rFonts w:ascii="Arial" w:cs="Arial" w:eastAsia="Arial" w:hAnsi="Arial"/>
                <w:sz w:val="15"/>
                <w:szCs w:val="15"/>
                <w:b w:val="1"/>
                <w:bCs w:val="1"/>
                <w:color w:val="FFFFFF"/>
              </w:rPr>
              <w:t>Nine Months Ended</w:t>
            </w:r>
          </w:p>
        </w:tc>
        <w:tc>
          <w:tcPr>
            <w:tcW w:w="160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1D2758"/>
          </w:tcPr>
          <w:p>
            <w:pPr>
              <w:spacing w:after="0"/>
              <w:rPr>
                <w:sz w:val="17"/>
                <w:szCs w:val="17"/>
                <w:color w:val="auto"/>
              </w:rPr>
            </w:pPr>
          </w:p>
        </w:tc>
        <w:tc>
          <w:tcPr>
            <w:tcW w:w="580" w:type="dxa"/>
            <w:vAlign w:val="bottom"/>
            <w:shd w:val="clear" w:color="auto" w:fill="1D2758"/>
          </w:tcPr>
          <w:p>
            <w:pPr>
              <w:spacing w:after="0"/>
              <w:rPr>
                <w:sz w:val="17"/>
                <w:szCs w:val="17"/>
                <w:color w:val="auto"/>
              </w:rPr>
            </w:pPr>
          </w:p>
        </w:tc>
        <w:tc>
          <w:tcPr>
            <w:tcW w:w="2820" w:type="dxa"/>
            <w:vAlign w:val="bottom"/>
            <w:gridSpan w:val="3"/>
            <w:shd w:val="clear" w:color="auto" w:fill="1D2758"/>
          </w:tcPr>
          <w:p>
            <w:pPr>
              <w:jc w:val="right"/>
              <w:ind w:right="326"/>
              <w:spacing w:after="0"/>
              <w:rPr>
                <w:sz w:val="20"/>
                <w:szCs w:val="20"/>
                <w:color w:val="auto"/>
              </w:rPr>
            </w:pPr>
            <w:r>
              <w:rPr>
                <w:rFonts w:ascii="Arial" w:cs="Arial" w:eastAsia="Arial" w:hAnsi="Arial"/>
                <w:sz w:val="15"/>
                <w:szCs w:val="15"/>
                <w:b w:val="1"/>
                <w:bCs w:val="1"/>
                <w:color w:val="FFFFFF"/>
              </w:rPr>
              <w:t>September 30,</w:t>
            </w:r>
          </w:p>
        </w:tc>
        <w:tc>
          <w:tcPr>
            <w:tcW w:w="16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80" w:type="dxa"/>
            <w:vAlign w:val="bottom"/>
            <w:shd w:val="clear" w:color="auto" w:fill="1D2758"/>
          </w:tcPr>
          <w:p>
            <w:pPr>
              <w:spacing w:after="0"/>
              <w:rPr>
                <w:sz w:val="17"/>
                <w:szCs w:val="17"/>
                <w:color w:val="auto"/>
              </w:rPr>
            </w:pPr>
          </w:p>
        </w:tc>
        <w:tc>
          <w:tcPr>
            <w:tcW w:w="1880" w:type="dxa"/>
            <w:vAlign w:val="bottom"/>
            <w:vMerge w:val="restart"/>
            <w:shd w:val="clear" w:color="auto" w:fill="1D2758"/>
          </w:tcPr>
          <w:p>
            <w:pPr>
              <w:jc w:val="right"/>
              <w:ind w:right="100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860" w:type="dxa"/>
            <w:vAlign w:val="bottom"/>
            <w:shd w:val="clear" w:color="auto" w:fill="1D2758"/>
          </w:tcPr>
          <w:p>
            <w:pPr>
              <w:spacing w:after="0"/>
              <w:rPr>
                <w:sz w:val="17"/>
                <w:szCs w:val="17"/>
                <w:color w:val="auto"/>
              </w:rPr>
            </w:pPr>
          </w:p>
        </w:tc>
        <w:tc>
          <w:tcPr>
            <w:tcW w:w="1600" w:type="dxa"/>
            <w:vAlign w:val="bottom"/>
            <w:vMerge w:val="restart"/>
            <w:shd w:val="clear" w:color="auto" w:fill="1D2758"/>
          </w:tcPr>
          <w:p>
            <w:pPr>
              <w:jc w:val="right"/>
              <w:ind w:right="986"/>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88"/>
        </w:trPr>
        <w:tc>
          <w:tcPr>
            <w:tcW w:w="6240" w:type="dxa"/>
            <w:vAlign w:val="bottom"/>
            <w:shd w:val="clear" w:color="auto" w:fill="1D2758"/>
          </w:tcPr>
          <w:p>
            <w:pPr>
              <w:spacing w:after="0"/>
              <w:rPr>
                <w:sz w:val="7"/>
                <w:szCs w:val="7"/>
                <w:color w:val="auto"/>
              </w:rPr>
            </w:pPr>
          </w:p>
        </w:tc>
        <w:tc>
          <w:tcPr>
            <w:tcW w:w="580" w:type="dxa"/>
            <w:vAlign w:val="bottom"/>
            <w:shd w:val="clear" w:color="auto" w:fill="1D2758"/>
          </w:tcPr>
          <w:p>
            <w:pPr>
              <w:spacing w:after="0"/>
              <w:rPr>
                <w:sz w:val="7"/>
                <w:szCs w:val="7"/>
                <w:color w:val="auto"/>
              </w:rPr>
            </w:pPr>
          </w:p>
        </w:tc>
        <w:tc>
          <w:tcPr>
            <w:tcW w:w="188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860" w:type="dxa"/>
            <w:vAlign w:val="bottom"/>
            <w:shd w:val="clear" w:color="auto" w:fill="1D2758"/>
          </w:tcPr>
          <w:p>
            <w:pPr>
              <w:spacing w:after="0"/>
              <w:rPr>
                <w:sz w:val="7"/>
                <w:szCs w:val="7"/>
                <w:color w:val="auto"/>
              </w:rPr>
            </w:pPr>
          </w:p>
        </w:tc>
        <w:tc>
          <w:tcPr>
            <w:tcW w:w="16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operating activities</w:t>
            </w:r>
          </w:p>
        </w:tc>
        <w:tc>
          <w:tcPr>
            <w:tcW w:w="580" w:type="dxa"/>
            <w:vAlign w:val="bottom"/>
            <w:vMerge w:val="restart"/>
            <w:shd w:val="clear" w:color="auto" w:fill="DBDBDB"/>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vMerge w:val="restart"/>
            <w:shd w:val="clear" w:color="auto" w:fill="DBDBDB"/>
          </w:tcPr>
          <w:p>
            <w:pPr>
              <w:jc w:val="right"/>
              <w:ind w:right="6"/>
              <w:spacing w:after="0"/>
              <w:rPr>
                <w:sz w:val="20"/>
                <w:szCs w:val="20"/>
                <w:color w:val="auto"/>
              </w:rPr>
            </w:pPr>
            <w:r>
              <w:rPr>
                <w:rFonts w:ascii="Arial" w:cs="Arial" w:eastAsia="Arial" w:hAnsi="Arial"/>
                <w:sz w:val="15"/>
                <w:szCs w:val="15"/>
                <w:color w:val="auto"/>
              </w:rPr>
              <w:t>392,055</w:t>
            </w:r>
          </w:p>
        </w:tc>
        <w:tc>
          <w:tcPr>
            <w:tcW w:w="80" w:type="dxa"/>
            <w:vAlign w:val="bottom"/>
            <w:shd w:val="clear" w:color="auto" w:fill="DBDBDB"/>
          </w:tcPr>
          <w:p>
            <w:pPr>
              <w:spacing w:after="0"/>
              <w:rPr>
                <w:sz w:val="16"/>
                <w:szCs w:val="16"/>
                <w:color w:val="auto"/>
              </w:rPr>
            </w:pPr>
          </w:p>
        </w:tc>
        <w:tc>
          <w:tcPr>
            <w:tcW w:w="860" w:type="dxa"/>
            <w:vAlign w:val="bottom"/>
            <w:vMerge w:val="restart"/>
            <w:shd w:val="clear" w:color="auto" w:fill="DBDBDB"/>
          </w:tcPr>
          <w:p>
            <w:pPr>
              <w:jc w:val="right"/>
              <w:ind w:right="686"/>
              <w:spacing w:after="0"/>
              <w:rPr>
                <w:sz w:val="20"/>
                <w:szCs w:val="20"/>
                <w:color w:val="auto"/>
              </w:rPr>
            </w:pPr>
            <w:r>
              <w:rPr>
                <w:rFonts w:ascii="Arial" w:cs="Arial" w:eastAsia="Arial" w:hAnsi="Arial"/>
                <w:sz w:val="15"/>
                <w:szCs w:val="15"/>
                <w:color w:val="auto"/>
                <w:w w:val="95"/>
              </w:rPr>
              <w:t>$</w:t>
            </w:r>
          </w:p>
        </w:tc>
        <w:tc>
          <w:tcPr>
            <w:tcW w:w="16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175,095</w:t>
            </w:r>
          </w:p>
        </w:tc>
        <w:tc>
          <w:tcPr>
            <w:tcW w:w="0" w:type="dxa"/>
            <w:vAlign w:val="bottom"/>
          </w:tcPr>
          <w:p>
            <w:pPr>
              <w:spacing w:after="0"/>
              <w:rPr>
                <w:sz w:val="1"/>
                <w:szCs w:val="1"/>
                <w:color w:val="auto"/>
              </w:rPr>
            </w:pPr>
          </w:p>
        </w:tc>
      </w:tr>
      <w:tr>
        <w:trPr>
          <w:trHeight w:val="91"/>
        </w:trPr>
        <w:tc>
          <w:tcPr>
            <w:tcW w:w="6240" w:type="dxa"/>
            <w:vAlign w:val="bottom"/>
            <w:shd w:val="clear" w:color="auto" w:fill="DBDBDB"/>
          </w:tcPr>
          <w:p>
            <w:pPr>
              <w:spacing w:after="0"/>
              <w:rPr>
                <w:sz w:val="7"/>
                <w:szCs w:val="7"/>
                <w:color w:val="auto"/>
              </w:rPr>
            </w:pPr>
          </w:p>
        </w:tc>
        <w:tc>
          <w:tcPr>
            <w:tcW w:w="580" w:type="dxa"/>
            <w:vAlign w:val="bottom"/>
            <w:vMerge w:val="continue"/>
            <w:shd w:val="clear" w:color="auto" w:fill="DBDBDB"/>
          </w:tcPr>
          <w:p>
            <w:pPr>
              <w:spacing w:after="0"/>
              <w:rPr>
                <w:sz w:val="7"/>
                <w:szCs w:val="7"/>
                <w:color w:val="auto"/>
              </w:rPr>
            </w:pPr>
          </w:p>
        </w:tc>
        <w:tc>
          <w:tcPr>
            <w:tcW w:w="1880" w:type="dxa"/>
            <w:vAlign w:val="bottom"/>
            <w:vMerge w:val="continue"/>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860" w:type="dxa"/>
            <w:vAlign w:val="bottom"/>
            <w:vMerge w:val="continue"/>
            <w:shd w:val="clear" w:color="auto" w:fill="DBDBDB"/>
          </w:tcPr>
          <w:p>
            <w:pPr>
              <w:spacing w:after="0"/>
              <w:rPr>
                <w:sz w:val="7"/>
                <w:szCs w:val="7"/>
                <w:color w:val="auto"/>
              </w:rPr>
            </w:pPr>
          </w:p>
        </w:tc>
        <w:tc>
          <w:tcPr>
            <w:tcW w:w="16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20"/>
              <w:spacing w:after="0"/>
              <w:rPr>
                <w:sz w:val="20"/>
                <w:szCs w:val="20"/>
                <w:color w:val="auto"/>
              </w:rPr>
            </w:pPr>
            <w:r>
              <w:rPr>
                <w:rFonts w:ascii="Arial" w:cs="Arial" w:eastAsia="Arial" w:hAnsi="Arial"/>
                <w:sz w:val="15"/>
                <w:szCs w:val="15"/>
                <w:color w:val="auto"/>
              </w:rPr>
              <w:t>Net cash from investing activities</w:t>
            </w:r>
          </w:p>
        </w:tc>
        <w:tc>
          <w:tcPr>
            <w:tcW w:w="58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Arial" w:cs="Arial" w:eastAsia="Arial" w:hAnsi="Arial"/>
                <w:sz w:val="15"/>
                <w:szCs w:val="15"/>
                <w:color w:val="auto"/>
              </w:rPr>
              <w:t>(196,590)</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5"/>
                <w:szCs w:val="15"/>
                <w:color w:val="auto"/>
              </w:rPr>
              <w:t>(83,073)</w:t>
            </w:r>
          </w:p>
        </w:tc>
        <w:tc>
          <w:tcPr>
            <w:tcW w:w="0" w:type="dxa"/>
            <w:vAlign w:val="bottom"/>
          </w:tcPr>
          <w:p>
            <w:pPr>
              <w:spacing w:after="0"/>
              <w:rPr>
                <w:sz w:val="1"/>
                <w:szCs w:val="1"/>
                <w:color w:val="auto"/>
              </w:rPr>
            </w:pPr>
          </w:p>
        </w:tc>
      </w:tr>
      <w:tr>
        <w:trPr>
          <w:trHeight w:val="89"/>
        </w:trPr>
        <w:tc>
          <w:tcPr>
            <w:tcW w:w="6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financing activities</w:t>
            </w:r>
          </w:p>
        </w:tc>
        <w:tc>
          <w:tcPr>
            <w:tcW w:w="580" w:type="dxa"/>
            <w:vAlign w:val="bottom"/>
            <w:shd w:val="clear" w:color="auto" w:fill="DBDBDB"/>
          </w:tcPr>
          <w:p>
            <w:pPr>
              <w:spacing w:after="0"/>
              <w:rPr>
                <w:sz w:val="16"/>
                <w:szCs w:val="16"/>
                <w:color w:val="auto"/>
              </w:rPr>
            </w:pPr>
          </w:p>
        </w:tc>
        <w:tc>
          <w:tcPr>
            <w:tcW w:w="1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(208,935)</w:t>
            </w: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6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(75,612)</w:t>
            </w:r>
          </w:p>
        </w:tc>
        <w:tc>
          <w:tcPr>
            <w:tcW w:w="0" w:type="dxa"/>
            <w:vAlign w:val="bottom"/>
          </w:tcPr>
          <w:p>
            <w:pPr>
              <w:spacing w:after="0"/>
              <w:rPr>
                <w:sz w:val="1"/>
                <w:szCs w:val="1"/>
                <w:color w:val="auto"/>
              </w:rPr>
            </w:pPr>
          </w:p>
        </w:tc>
      </w:tr>
      <w:tr>
        <w:trPr>
          <w:trHeight w:val="91"/>
        </w:trPr>
        <w:tc>
          <w:tcPr>
            <w:tcW w:w="6240" w:type="dxa"/>
            <w:vAlign w:val="bottom"/>
            <w:shd w:val="clear" w:color="auto" w:fill="DBDBDB"/>
          </w:tcPr>
          <w:p>
            <w:pPr>
              <w:spacing w:after="0"/>
              <w:rPr>
                <w:sz w:val="7"/>
                <w:szCs w:val="7"/>
                <w:color w:val="auto"/>
              </w:rPr>
            </w:pPr>
          </w:p>
        </w:tc>
        <w:tc>
          <w:tcPr>
            <w:tcW w:w="580" w:type="dxa"/>
            <w:vAlign w:val="bottom"/>
            <w:shd w:val="clear" w:color="auto" w:fill="DBDBDB"/>
          </w:tcPr>
          <w:p>
            <w:pPr>
              <w:spacing w:after="0"/>
              <w:rPr>
                <w:sz w:val="7"/>
                <w:szCs w:val="7"/>
                <w:color w:val="auto"/>
              </w:rPr>
            </w:pPr>
          </w:p>
        </w:tc>
        <w:tc>
          <w:tcPr>
            <w:tcW w:w="1880" w:type="dxa"/>
            <w:vAlign w:val="bottom"/>
            <w:vMerge w:val="continue"/>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860" w:type="dxa"/>
            <w:vAlign w:val="bottom"/>
            <w:shd w:val="clear" w:color="auto" w:fill="DBDBDB"/>
          </w:tcPr>
          <w:p>
            <w:pPr>
              <w:spacing w:after="0"/>
              <w:rPr>
                <w:sz w:val="7"/>
                <w:szCs w:val="7"/>
                <w:color w:val="auto"/>
              </w:rPr>
            </w:pPr>
          </w:p>
        </w:tc>
        <w:tc>
          <w:tcPr>
            <w:tcW w:w="16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58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5"/>
                <w:szCs w:val="15"/>
                <w:color w:val="auto"/>
              </w:rPr>
              <w:t>542</w:t>
            </w:r>
          </w:p>
        </w:tc>
        <w:tc>
          <w:tcPr>
            <w:tcW w:w="0" w:type="dxa"/>
            <w:vAlign w:val="bottom"/>
          </w:tcPr>
          <w:p>
            <w:pPr>
              <w:spacing w:after="0"/>
              <w:rPr>
                <w:sz w:val="1"/>
                <w:szCs w:val="1"/>
                <w:color w:val="auto"/>
              </w:rPr>
            </w:pPr>
          </w:p>
        </w:tc>
      </w:tr>
      <w:tr>
        <w:trPr>
          <w:trHeight w:val="89"/>
        </w:trPr>
        <w:tc>
          <w:tcPr>
            <w:tcW w:w="6240" w:type="dxa"/>
            <w:vAlign w:val="bottom"/>
            <w:tcBorders>
              <w:bottom w:val="single" w:sz="8" w:color="DBDBDB"/>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DBDBDB"/>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2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580" w:type="dxa"/>
            <w:vAlign w:val="bottom"/>
            <w:vMerge w:val="restart"/>
            <w:shd w:val="clear" w:color="auto" w:fill="DBDBDB"/>
          </w:tcPr>
          <w:p>
            <w:pPr>
              <w:jc w:val="right"/>
              <w:ind w:right="406"/>
              <w:spacing w:after="0"/>
              <w:rPr>
                <w:sz w:val="20"/>
                <w:szCs w:val="20"/>
                <w:color w:val="auto"/>
              </w:rPr>
            </w:pPr>
            <w:r>
              <w:rPr>
                <w:rFonts w:ascii="Arial" w:cs="Arial" w:eastAsia="Arial" w:hAnsi="Arial"/>
                <w:sz w:val="15"/>
                <w:szCs w:val="15"/>
                <w:color w:val="auto"/>
                <w:w w:val="95"/>
              </w:rPr>
              <w:t>$</w:t>
            </w:r>
          </w:p>
        </w:tc>
        <w:tc>
          <w:tcPr>
            <w:tcW w:w="1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(13,620)</w:t>
            </w:r>
          </w:p>
        </w:tc>
        <w:tc>
          <w:tcPr>
            <w:tcW w:w="8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ind w:right="686"/>
              <w:spacing w:after="0"/>
              <w:rPr>
                <w:sz w:val="20"/>
                <w:szCs w:val="20"/>
                <w:color w:val="auto"/>
              </w:rPr>
            </w:pPr>
            <w:r>
              <w:rPr>
                <w:rFonts w:ascii="Arial" w:cs="Arial" w:eastAsia="Arial" w:hAnsi="Arial"/>
                <w:sz w:val="15"/>
                <w:szCs w:val="15"/>
                <w:color w:val="auto"/>
                <w:w w:val="95"/>
              </w:rPr>
              <w:t>$</w:t>
            </w:r>
          </w:p>
        </w:tc>
        <w:tc>
          <w:tcPr>
            <w:tcW w:w="16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16,952</w:t>
            </w:r>
          </w:p>
        </w:tc>
        <w:tc>
          <w:tcPr>
            <w:tcW w:w="0" w:type="dxa"/>
            <w:vAlign w:val="bottom"/>
          </w:tcPr>
          <w:p>
            <w:pPr>
              <w:spacing w:after="0"/>
              <w:rPr>
                <w:sz w:val="1"/>
                <w:szCs w:val="1"/>
                <w:color w:val="auto"/>
              </w:rPr>
            </w:pPr>
          </w:p>
        </w:tc>
      </w:tr>
      <w:tr>
        <w:trPr>
          <w:trHeight w:val="84"/>
        </w:trPr>
        <w:tc>
          <w:tcPr>
            <w:tcW w:w="6240" w:type="dxa"/>
            <w:vAlign w:val="bottom"/>
            <w:tcBorders>
              <w:bottom w:val="single" w:sz="8" w:color="DBDBDB"/>
            </w:tcBorders>
            <w:shd w:val="clear" w:color="auto" w:fill="DBDBDB"/>
          </w:tcPr>
          <w:p>
            <w:pPr>
              <w:spacing w:after="0"/>
              <w:rPr>
                <w:sz w:val="7"/>
                <w:szCs w:val="7"/>
                <w:color w:val="auto"/>
              </w:rPr>
            </w:pPr>
          </w:p>
        </w:tc>
        <w:tc>
          <w:tcPr>
            <w:tcW w:w="580" w:type="dxa"/>
            <w:vAlign w:val="bottom"/>
            <w:tcBorders>
              <w:bottom w:val="single" w:sz="8" w:color="auto"/>
            </w:tcBorders>
            <w:vMerge w:val="continue"/>
            <w:shd w:val="clear" w:color="auto" w:fill="DBDBDB"/>
          </w:tcPr>
          <w:p>
            <w:pPr>
              <w:spacing w:after="0"/>
              <w:rPr>
                <w:sz w:val="7"/>
                <w:szCs w:val="7"/>
                <w:color w:val="auto"/>
              </w:rPr>
            </w:pPr>
          </w:p>
        </w:tc>
        <w:tc>
          <w:tcPr>
            <w:tcW w:w="1880" w:type="dxa"/>
            <w:vAlign w:val="bottom"/>
            <w:tcBorders>
              <w:bottom w:val="single" w:sz="8" w:color="auto"/>
            </w:tcBorders>
            <w:vMerge w:val="continue"/>
            <w:shd w:val="clear" w:color="auto" w:fill="DBDBDB"/>
          </w:tcPr>
          <w:p>
            <w:pPr>
              <w:spacing w:after="0"/>
              <w:rPr>
                <w:sz w:val="7"/>
                <w:szCs w:val="7"/>
                <w:color w:val="auto"/>
              </w:rPr>
            </w:pPr>
          </w:p>
        </w:tc>
        <w:tc>
          <w:tcPr>
            <w:tcW w:w="80" w:type="dxa"/>
            <w:vAlign w:val="bottom"/>
            <w:tcBorders>
              <w:bottom w:val="single" w:sz="8" w:color="DBDBDB"/>
            </w:tcBorders>
            <w:shd w:val="clear" w:color="auto" w:fill="DBDBDB"/>
          </w:tcPr>
          <w:p>
            <w:pPr>
              <w:spacing w:after="0"/>
              <w:rPr>
                <w:sz w:val="7"/>
                <w:szCs w:val="7"/>
                <w:color w:val="auto"/>
              </w:rPr>
            </w:pPr>
          </w:p>
        </w:tc>
        <w:tc>
          <w:tcPr>
            <w:tcW w:w="860" w:type="dxa"/>
            <w:vAlign w:val="bottom"/>
            <w:tcBorders>
              <w:bottom w:val="single" w:sz="8" w:color="auto"/>
            </w:tcBorders>
            <w:vMerge w:val="continue"/>
            <w:shd w:val="clear" w:color="auto" w:fill="DBDBDB"/>
          </w:tcPr>
          <w:p>
            <w:pPr>
              <w:spacing w:after="0"/>
              <w:rPr>
                <w:sz w:val="7"/>
                <w:szCs w:val="7"/>
                <w:color w:val="auto"/>
              </w:rPr>
            </w:pPr>
          </w:p>
        </w:tc>
        <w:tc>
          <w:tcPr>
            <w:tcW w:w="160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116"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Cash provided by operating activities for the nine months ended September 30, 2021 was $392.1 million as compared to $175.1 million for the nine months ended September 30, 2020, an increase of $217.0 million. The increase was due to an increase of $213.0 million of net income, adjusted for non-cash items, and an increase of $4.0 million in the net movements of the operating assets and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11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Cash used in investing activities for the nine months ended September 30, 2021 was $196.6 million as compared to $83.1 million for the nine months ended September 30, 2020, an increase of $113.5 million. The increase in cash used in investing activities was driven by a $73.4 million increase in cash used in the acquisition of businesses, net of cash acquired, a $55.9 million increase in cash used for the purchase of rental equipment and refurbishments, and a $11.7 million increase in cash used for the purchase of property, plant and equipment. These increases were partially offset by a $16.7 million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7" w:name="page58"/>
    <w:bookmarkEnd w:id="57"/>
    <w:p>
      <w:pPr>
        <w:spacing w:after="0"/>
        <w:rPr>
          <w:sz w:val="20"/>
          <w:szCs w:val="20"/>
          <w:color w:val="auto"/>
        </w:rPr>
      </w:pPr>
      <w:r>
        <w:rPr>
          <w:rFonts w:ascii="Arial" w:cs="Arial" w:eastAsia="Arial" w:hAnsi="Arial"/>
          <w:sz w:val="15"/>
          <w:szCs w:val="15"/>
          <w:color w:val="auto"/>
        </w:rPr>
        <w:t>in proceeds from the sale of rental equipment and a $10.8 million increase in proceeds from sale of property, plant and equipment.</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11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Cash used in financing activities for the nine months ended September 30, 2021 was $208.9 million as compared to $75.6 million for the nine months ended September 30, 2020, an increase of $133.3 million. The increase is primarily due to $320.6 million paid in 2021 to repurchase common stock and warrants as well as a decrease of $2,184.7 million in receipts from borrowing, partially offset by a decrease of $2,291.5 million in repayment of borrowings and a decrease of $64.6 million in payment of financing costs.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13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 The following table provides a reconciliation of net cash provided by operating activities to Free Cash Flow.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2540" w:type="dxa"/>
            <w:vAlign w:val="bottom"/>
            <w:gridSpan w:val="5"/>
            <w:shd w:val="clear" w:color="auto" w:fill="1D2758"/>
          </w:tcPr>
          <w:p>
            <w:pPr>
              <w:ind w:left="320"/>
              <w:spacing w:after="0"/>
              <w:rPr>
                <w:sz w:val="20"/>
                <w:szCs w:val="20"/>
                <w:color w:val="auto"/>
              </w:rPr>
            </w:pPr>
            <w:r>
              <w:rPr>
                <w:rFonts w:ascii="Arial" w:cs="Arial" w:eastAsia="Arial" w:hAnsi="Arial"/>
                <w:sz w:val="15"/>
                <w:szCs w:val="15"/>
                <w:b w:val="1"/>
                <w:bCs w:val="1"/>
                <w:color w:val="FFFFFF"/>
              </w:rPr>
              <w:t>Three Months Ended</w:t>
            </w:r>
          </w:p>
        </w:tc>
        <w:tc>
          <w:tcPr>
            <w:tcW w:w="300" w:type="dxa"/>
            <w:vAlign w:val="bottom"/>
            <w:shd w:val="clear" w:color="auto" w:fill="1D2758"/>
          </w:tcPr>
          <w:p>
            <w:pPr>
              <w:spacing w:after="0"/>
              <w:rPr>
                <w:sz w:val="14"/>
                <w:szCs w:val="14"/>
                <w:color w:val="auto"/>
              </w:rPr>
            </w:pPr>
          </w:p>
        </w:tc>
        <w:tc>
          <w:tcPr>
            <w:tcW w:w="2460" w:type="dxa"/>
            <w:vAlign w:val="bottom"/>
            <w:gridSpan w:val="4"/>
            <w:shd w:val="clear" w:color="auto" w:fill="1D2758"/>
          </w:tcPr>
          <w:p>
            <w:pPr>
              <w:jc w:val="right"/>
              <w:ind w:right="626"/>
              <w:spacing w:after="0"/>
              <w:rPr>
                <w:sz w:val="20"/>
                <w:szCs w:val="20"/>
                <w:color w:val="auto"/>
              </w:rPr>
            </w:pPr>
            <w:r>
              <w:rPr>
                <w:rFonts w:ascii="Arial" w:cs="Arial" w:eastAsia="Arial" w:hAnsi="Arial"/>
                <w:sz w:val="15"/>
                <w:szCs w:val="15"/>
                <w:b w:val="1"/>
                <w:bCs w:val="1"/>
                <w:color w:val="FFFFFF"/>
              </w:rPr>
              <w:t>Nine Months Ended</w:t>
            </w:r>
          </w:p>
        </w:tc>
      </w:tr>
      <w:tr>
        <w:trPr>
          <w:trHeight w:val="196"/>
        </w:trPr>
        <w:tc>
          <w:tcPr>
            <w:tcW w:w="564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6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8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6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840" w:type="dxa"/>
            <w:vAlign w:val="bottom"/>
            <w:shd w:val="clear" w:color="auto" w:fill="1D2758"/>
          </w:tcPr>
          <w:p>
            <w:pPr>
              <w:spacing w:after="0"/>
              <w:rPr>
                <w:sz w:val="17"/>
                <w:szCs w:val="17"/>
                <w:color w:val="auto"/>
              </w:rPr>
            </w:pPr>
          </w:p>
        </w:tc>
      </w:tr>
      <w:tr>
        <w:trPr>
          <w:trHeight w:val="198"/>
        </w:trPr>
        <w:tc>
          <w:tcPr>
            <w:tcW w:w="56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jc w:val="right"/>
              <w:ind w:right="44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80" w:type="dxa"/>
            <w:vAlign w:val="bottom"/>
            <w:shd w:val="clear" w:color="auto" w:fill="1D2758"/>
          </w:tcPr>
          <w:p>
            <w:pPr>
              <w:spacing w:after="0"/>
              <w:rPr>
                <w:sz w:val="17"/>
                <w:szCs w:val="17"/>
                <w:color w:val="auto"/>
              </w:rPr>
            </w:pPr>
          </w:p>
        </w:tc>
        <w:tc>
          <w:tcPr>
            <w:tcW w:w="860" w:type="dxa"/>
            <w:vAlign w:val="bottom"/>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500" w:type="dxa"/>
            <w:vAlign w:val="bottom"/>
            <w:shd w:val="clear" w:color="auto" w:fill="1D2758"/>
          </w:tcPr>
          <w:p>
            <w:pPr>
              <w:spacing w:after="0"/>
              <w:rPr>
                <w:sz w:val="17"/>
                <w:szCs w:val="17"/>
                <w:color w:val="auto"/>
              </w:rPr>
            </w:pPr>
          </w:p>
        </w:tc>
        <w:tc>
          <w:tcPr>
            <w:tcW w:w="840" w:type="dxa"/>
            <w:vAlign w:val="bottom"/>
            <w:shd w:val="clear" w:color="auto" w:fill="1D2758"/>
          </w:tcPr>
          <w:p>
            <w:pPr>
              <w:jc w:val="right"/>
              <w:ind w:right="426"/>
              <w:spacing w:after="0"/>
              <w:rPr>
                <w:sz w:val="20"/>
                <w:szCs w:val="20"/>
                <w:color w:val="auto"/>
              </w:rPr>
            </w:pPr>
            <w:r>
              <w:rPr>
                <w:rFonts w:ascii="Arial" w:cs="Arial" w:eastAsia="Arial" w:hAnsi="Arial"/>
                <w:sz w:val="15"/>
                <w:szCs w:val="15"/>
                <w:b w:val="1"/>
                <w:bCs w:val="1"/>
                <w:color w:val="FFFFFF"/>
                <w:w w:val="95"/>
              </w:rPr>
              <w:t>2020</w:t>
            </w:r>
          </w:p>
        </w:tc>
      </w:tr>
      <w:tr>
        <w:trPr>
          <w:trHeight w:val="197"/>
        </w:trPr>
        <w:tc>
          <w:tcPr>
            <w:tcW w:w="5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130,447</w:t>
            </w:r>
          </w:p>
        </w:tc>
        <w:tc>
          <w:tcPr>
            <w:tcW w:w="80" w:type="dxa"/>
            <w:vAlign w:val="bottom"/>
            <w:shd w:val="clear" w:color="auto" w:fill="DBDBDB"/>
          </w:tcPr>
          <w:p>
            <w:pPr>
              <w:spacing w:after="0"/>
              <w:rPr>
                <w:sz w:val="17"/>
                <w:szCs w:val="17"/>
                <w:color w:val="auto"/>
              </w:rPr>
            </w:pPr>
          </w:p>
        </w:tc>
        <w:tc>
          <w:tcPr>
            <w:tcW w:w="480" w:type="dxa"/>
            <w:vAlign w:val="bottom"/>
            <w:shd w:val="clear" w:color="auto" w:fill="DBDBDB"/>
          </w:tcPr>
          <w:p>
            <w:pPr>
              <w:jc w:val="right"/>
              <w:ind w:right="30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61,368</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392,055</w:t>
            </w: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jc w:val="right"/>
              <w:ind w:right="32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175,095</w:t>
            </w:r>
          </w:p>
        </w:tc>
      </w:tr>
      <w:tr>
        <w:trPr>
          <w:trHeight w:val="194"/>
        </w:trPr>
        <w:tc>
          <w:tcPr>
            <w:tcW w:w="564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(60,374)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(42,591)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(178,191)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(122,273)</w:t>
            </w:r>
          </w:p>
        </w:tc>
      </w:tr>
      <w:tr>
        <w:trPr>
          <w:trHeight w:val="199"/>
        </w:trPr>
        <w:tc>
          <w:tcPr>
            <w:tcW w:w="5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11,597</w:t>
            </w:r>
          </w:p>
        </w:tc>
        <w:tc>
          <w:tcPr>
            <w:tcW w:w="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13,179</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42,034</w:t>
            </w: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25,281</w:t>
            </w:r>
          </w:p>
        </w:tc>
      </w:tr>
      <w:tr>
        <w:trPr>
          <w:trHeight w:val="194"/>
        </w:trPr>
        <w:tc>
          <w:tcPr>
            <w:tcW w:w="56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(5,893)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(20,836)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(9,079)</w:t>
            </w:r>
          </w:p>
        </w:tc>
      </w:tr>
      <w:tr>
        <w:trPr>
          <w:trHeight w:val="197"/>
        </w:trPr>
        <w:tc>
          <w:tcPr>
            <w:tcW w:w="5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the sale of property, plant and equipment</w:t>
            </w: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209</w:t>
            </w:r>
          </w:p>
        </w:tc>
        <w:tc>
          <w:tcPr>
            <w:tcW w:w="80" w:type="dxa"/>
            <w:vAlign w:val="bottom"/>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1,982</w:t>
            </w:r>
          </w:p>
        </w:tc>
        <w:tc>
          <w:tcPr>
            <w:tcW w:w="8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16,647</w:t>
            </w:r>
          </w:p>
        </w:tc>
        <w:tc>
          <w:tcPr>
            <w:tcW w:w="8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5,825</w:t>
            </w:r>
          </w:p>
        </w:tc>
      </w:tr>
      <w:tr>
        <w:trPr>
          <w:trHeight w:val="192"/>
        </w:trPr>
        <w:tc>
          <w:tcPr>
            <w:tcW w:w="564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78,493</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28,045</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251,709</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74,849</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Free Cash Flow for the nine months ended September 30, 2021 was an inflow of $251.7 million as compared to an inflow of $74.8 million for the nine months ended September 30, 2020, an increase in Free Cash Flow of $176.9 million. Free Cash Flow increased year over year principally as a result of the $217.0 million increase in cash provided by operating activities and partially offset by the $55.9 million increase in cash used in the purchase of rental equipment and refurbishments. The $130.4 million in cash provided by operating activities for the three months ended September 30, 2021 was returned to shareholders through stock and warrant repurchases and cancellations and reinvested into the business to support the purchase of rental equipment, including VAPS, and refurbishments.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1D2758"/>
        </w:rPr>
        <w:t>Contractual Obligations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presents information relating to our contractual obligations and commercial commitments as of September 30,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5"/>
                <w:szCs w:val="15"/>
                <w:color w:val="auto"/>
              </w:rPr>
            </w:pPr>
          </w:p>
        </w:tc>
        <w:tc>
          <w:tcPr>
            <w:tcW w:w="1140" w:type="dxa"/>
            <w:vAlign w:val="bottom"/>
            <w:gridSpan w:val="2"/>
            <w:vMerge w:val="restart"/>
            <w:shd w:val="clear" w:color="auto" w:fill="1D2758"/>
          </w:tcPr>
          <w:p>
            <w:pPr>
              <w:ind w:left="200"/>
              <w:spacing w:after="0"/>
              <w:rPr>
                <w:sz w:val="20"/>
                <w:szCs w:val="20"/>
                <w:color w:val="auto"/>
              </w:rPr>
            </w:pPr>
            <w:r>
              <w:rPr>
                <w:rFonts w:ascii="Arial" w:cs="Arial" w:eastAsia="Arial" w:hAnsi="Arial"/>
                <w:sz w:val="15"/>
                <w:szCs w:val="15"/>
                <w:b w:val="1"/>
                <w:bCs w:val="1"/>
                <w:color w:val="FFFFFF"/>
              </w:rPr>
              <w:t>Total</w:t>
            </w:r>
          </w:p>
        </w:tc>
        <w:tc>
          <w:tcPr>
            <w:tcW w:w="1420" w:type="dxa"/>
            <w:vAlign w:val="bottom"/>
            <w:gridSpan w:val="3"/>
            <w:vMerge w:val="restart"/>
            <w:shd w:val="clear" w:color="auto" w:fill="1D2758"/>
          </w:tcPr>
          <w:p>
            <w:pPr>
              <w:ind w:left="80"/>
              <w:spacing w:after="0"/>
              <w:rPr>
                <w:sz w:val="20"/>
                <w:szCs w:val="20"/>
                <w:color w:val="auto"/>
              </w:rPr>
            </w:pPr>
            <w:r>
              <w:rPr>
                <w:rFonts w:ascii="Arial" w:cs="Arial" w:eastAsia="Arial" w:hAnsi="Arial"/>
                <w:sz w:val="15"/>
                <w:szCs w:val="15"/>
                <w:b w:val="1"/>
                <w:bCs w:val="1"/>
                <w:color w:val="FFFFFF"/>
              </w:rPr>
              <w:t>Less than 1 year</w:t>
            </w:r>
          </w:p>
        </w:tc>
        <w:tc>
          <w:tcPr>
            <w:tcW w:w="120" w:type="dxa"/>
            <w:vAlign w:val="bottom"/>
            <w:shd w:val="clear" w:color="auto" w:fill="1D2758"/>
          </w:tcPr>
          <w:p>
            <w:pPr>
              <w:spacing w:after="0"/>
              <w:rPr>
                <w:sz w:val="15"/>
                <w:szCs w:val="15"/>
                <w:color w:val="auto"/>
              </w:rPr>
            </w:pPr>
          </w:p>
        </w:tc>
        <w:tc>
          <w:tcPr>
            <w:tcW w:w="130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w w:val="97"/>
              </w:rPr>
              <w:t>Between 1 to 3</w:t>
            </w:r>
          </w:p>
        </w:tc>
        <w:tc>
          <w:tcPr>
            <w:tcW w:w="120" w:type="dxa"/>
            <w:vAlign w:val="bottom"/>
            <w:shd w:val="clear" w:color="auto" w:fill="1D2758"/>
          </w:tcPr>
          <w:p>
            <w:pPr>
              <w:spacing w:after="0"/>
              <w:rPr>
                <w:sz w:val="15"/>
                <w:szCs w:val="15"/>
                <w:color w:val="auto"/>
              </w:rPr>
            </w:pPr>
          </w:p>
        </w:tc>
        <w:tc>
          <w:tcPr>
            <w:tcW w:w="130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w w:val="97"/>
              </w:rPr>
              <w:t>Between 3 to 5</w:t>
            </w:r>
          </w:p>
        </w:tc>
        <w:tc>
          <w:tcPr>
            <w:tcW w:w="1340" w:type="dxa"/>
            <w:vAlign w:val="bottom"/>
            <w:gridSpan w:val="2"/>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More than 5 years</w:t>
            </w:r>
          </w:p>
        </w:tc>
        <w:tc>
          <w:tcPr>
            <w:tcW w:w="0" w:type="dxa"/>
            <w:vAlign w:val="bottom"/>
          </w:tcPr>
          <w:p>
            <w:pPr>
              <w:spacing w:after="0"/>
              <w:rPr>
                <w:sz w:val="1"/>
                <w:szCs w:val="1"/>
                <w:color w:val="auto"/>
              </w:rPr>
            </w:pPr>
          </w:p>
        </w:tc>
      </w:tr>
      <w:tr>
        <w:trPr>
          <w:trHeight w:val="197"/>
        </w:trPr>
        <w:tc>
          <w:tcPr>
            <w:tcW w:w="4200" w:type="dxa"/>
            <w:vAlign w:val="bottom"/>
            <w:vMerge w:val="continue"/>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140" w:type="dxa"/>
            <w:vAlign w:val="bottom"/>
            <w:gridSpan w:val="2"/>
            <w:vMerge w:val="continue"/>
            <w:shd w:val="clear" w:color="auto" w:fill="1D2758"/>
          </w:tcPr>
          <w:p>
            <w:pPr>
              <w:spacing w:after="0"/>
              <w:rPr>
                <w:sz w:val="17"/>
                <w:szCs w:val="17"/>
                <w:color w:val="auto"/>
              </w:rPr>
            </w:pPr>
          </w:p>
        </w:tc>
        <w:tc>
          <w:tcPr>
            <w:tcW w:w="1420" w:type="dxa"/>
            <w:vAlign w:val="bottom"/>
            <w:gridSpan w:val="3"/>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30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w w:val="96"/>
              </w:rPr>
              <w:t>years</w:t>
            </w:r>
          </w:p>
        </w:tc>
        <w:tc>
          <w:tcPr>
            <w:tcW w:w="120" w:type="dxa"/>
            <w:vAlign w:val="bottom"/>
            <w:shd w:val="clear" w:color="auto" w:fill="1D2758"/>
          </w:tcPr>
          <w:p>
            <w:pPr>
              <w:spacing w:after="0"/>
              <w:rPr>
                <w:sz w:val="17"/>
                <w:szCs w:val="17"/>
                <w:color w:val="auto"/>
              </w:rPr>
            </w:pPr>
          </w:p>
        </w:tc>
        <w:tc>
          <w:tcPr>
            <w:tcW w:w="130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w w:val="96"/>
              </w:rPr>
              <w:t>years</w:t>
            </w:r>
          </w:p>
        </w:tc>
        <w:tc>
          <w:tcPr>
            <w:tcW w:w="1340" w:type="dxa"/>
            <w:vAlign w:val="bottom"/>
            <w:gridSpan w:val="2"/>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DBDBDB"/>
          </w:tcPr>
          <w:p>
            <w:pPr>
              <w:ind w:left="20"/>
              <w:spacing w:after="0" w:line="161" w:lineRule="exact"/>
              <w:rPr>
                <w:sz w:val="20"/>
                <w:szCs w:val="20"/>
                <w:color w:val="auto"/>
              </w:rPr>
            </w:pPr>
            <w:r>
              <w:rPr>
                <w:rFonts w:ascii="Arial" w:cs="Arial" w:eastAsia="Arial" w:hAnsi="Arial"/>
                <w:sz w:val="15"/>
                <w:szCs w:val="15"/>
                <w:color w:val="auto"/>
              </w:rPr>
              <w:t>Long-term indebtedness, including current portion and interest</w:t>
            </w:r>
          </w:p>
        </w:tc>
        <w:tc>
          <w:tcPr>
            <w:tcW w:w="30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w:t>
            </w:r>
          </w:p>
        </w:tc>
        <w:tc>
          <w:tcPr>
            <w:tcW w:w="300" w:type="dxa"/>
            <w:vAlign w:val="bottom"/>
            <w:shd w:val="clear" w:color="auto" w:fill="DBDBDB"/>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3,068,439</w:t>
            </w:r>
          </w:p>
        </w:tc>
        <w:tc>
          <w:tcPr>
            <w:tcW w:w="100" w:type="dxa"/>
            <w:vAlign w:val="bottom"/>
            <w:shd w:val="clear" w:color="auto" w:fill="DBDBDB"/>
          </w:tcPr>
          <w:p>
            <w:pPr>
              <w:spacing w:after="0"/>
              <w:rPr>
                <w:sz w:val="15"/>
                <w:szCs w:val="15"/>
                <w:color w:val="auto"/>
              </w:rPr>
            </w:pPr>
          </w:p>
        </w:tc>
        <w:tc>
          <w:tcPr>
            <w:tcW w:w="420" w:type="dxa"/>
            <w:vAlign w:val="bottom"/>
            <w:shd w:val="clear" w:color="auto" w:fill="DBDBDB"/>
          </w:tcPr>
          <w:p>
            <w:pPr>
              <w:jc w:val="right"/>
              <w:ind w:right="2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106,545</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203,826</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2,199,390</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jc w:val="right"/>
              <w:ind w:right="24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558,678</w:t>
            </w:r>
          </w:p>
        </w:tc>
        <w:tc>
          <w:tcPr>
            <w:tcW w:w="0" w:type="dxa"/>
            <w:vAlign w:val="bottom"/>
          </w:tcPr>
          <w:p>
            <w:pPr>
              <w:spacing w:after="0"/>
              <w:rPr>
                <w:sz w:val="1"/>
                <w:szCs w:val="1"/>
                <w:color w:val="auto"/>
              </w:rPr>
            </w:pPr>
          </w:p>
        </w:tc>
      </w:tr>
      <w:tr>
        <w:trPr>
          <w:trHeight w:val="194"/>
        </w:trPr>
        <w:tc>
          <w:tcPr>
            <w:tcW w:w="4200" w:type="dxa"/>
            <w:vAlign w:val="bottom"/>
          </w:tcPr>
          <w:p>
            <w:pPr>
              <w:ind w:left="20"/>
              <w:spacing w:after="0"/>
              <w:rPr>
                <w:sz w:val="20"/>
                <w:szCs w:val="20"/>
                <w:color w:val="auto"/>
              </w:rPr>
            </w:pPr>
            <w:r>
              <w:rPr>
                <w:rFonts w:ascii="Arial" w:cs="Arial" w:eastAsia="Arial" w:hAnsi="Arial"/>
                <w:sz w:val="15"/>
                <w:szCs w:val="15"/>
                <w:color w:val="auto"/>
              </w:rPr>
              <w:t>Payroll tax withholding (c)</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10,350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5,175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4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lease liabilities</w:t>
            </w: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276,332</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61,275</w:t>
            </w:r>
          </w:p>
        </w:tc>
        <w:tc>
          <w:tcPr>
            <w:tcW w:w="8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94,591</w:t>
            </w:r>
          </w:p>
        </w:tc>
        <w:tc>
          <w:tcPr>
            <w:tcW w:w="8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61,382</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59,084</w:t>
            </w:r>
          </w:p>
        </w:tc>
        <w:tc>
          <w:tcPr>
            <w:tcW w:w="0" w:type="dxa"/>
            <w:vAlign w:val="bottom"/>
          </w:tcPr>
          <w:p>
            <w:pPr>
              <w:spacing w:after="0"/>
              <w:rPr>
                <w:sz w:val="1"/>
                <w:szCs w:val="1"/>
                <w:color w:val="auto"/>
              </w:rPr>
            </w:pPr>
          </w:p>
        </w:tc>
      </w:tr>
      <w:tr>
        <w:trPr>
          <w:trHeight w:val="192"/>
        </w:trPr>
        <w:tc>
          <w:tcPr>
            <w:tcW w:w="4200" w:type="dxa"/>
            <w:vAlign w:val="bottom"/>
          </w:tcPr>
          <w:p>
            <w:pPr>
              <w:ind w:left="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3,355,121</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172,995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303,592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2,260,772</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617,762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60" w:hanging="445"/>
        <w:spacing w:after="0"/>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Long-term indebtedness includes borrowings and interest under the 2020 ABL Facility, the 2025 Senior Secured Notes, the 2028 Senior Secured Notes, and finance leases.</w:t>
      </w:r>
    </w:p>
    <w:p>
      <w:pPr>
        <w:spacing w:after="0" w:line="22" w:lineRule="exact"/>
        <w:rPr>
          <w:rFonts w:ascii="Arial" w:cs="Arial" w:eastAsia="Arial" w:hAnsi="Arial"/>
          <w:sz w:val="13"/>
          <w:szCs w:val="13"/>
          <w:color w:val="auto"/>
        </w:rPr>
      </w:pPr>
    </w:p>
    <w:p>
      <w:pPr>
        <w:ind w:left="460" w:right="20" w:hanging="445"/>
        <w:spacing w:after="0" w:line="224"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the obligations under our interest rate swap agreement that effectively convert $400 million in aggregate notional amount of variable-rate debt under the Company’s ABL Facility into fixed-rate debt. The future obligations under the interest rate swaps was calculated using the 1-month LIBOR rate as of September 30, 2021.</w:t>
      </w:r>
    </w:p>
    <w:p>
      <w:pPr>
        <w:spacing w:after="0" w:line="16" w:lineRule="exact"/>
        <w:rPr>
          <w:rFonts w:ascii="Arial" w:cs="Arial" w:eastAsia="Arial" w:hAnsi="Arial"/>
          <w:sz w:val="13"/>
          <w:szCs w:val="13"/>
          <w:color w:val="auto"/>
        </w:rPr>
      </w:pPr>
    </w:p>
    <w:p>
      <w:pPr>
        <w:ind w:left="460" w:right="20" w:hanging="445"/>
        <w:spacing w:after="0" w:line="224"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Amounts relate to the opportunistic election to delay payment of employer payroll taxes on an interest-free basis in accordance with the Coronavirus Aid, Relief, and Economic Security Act of 2020 (the ‘‘CARES Act’’).</w:t>
      </w:r>
    </w:p>
    <w:p>
      <w:pPr>
        <w:spacing w:after="0" w:line="87"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At September 30, 2021, in addition to the above contractual obligations, the Company has an estimated $2.7 million of potential long-term tax liabilities, including interest and penalties related to uncertain tax positions. Because of the high degree of uncertainty regarding the future cash flows associated with these potential long-term tax liabilities, the Company is unable to estimate the years in which settlement will occur with the respective taxing authorities.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8" w:name="page59"/>
    <w:bookmarkEnd w:id="58"/>
    <w:p>
      <w:pPr>
        <w:spacing w:after="0"/>
        <w:rPr>
          <w:sz w:val="20"/>
          <w:szCs w:val="20"/>
          <w:color w:val="auto"/>
        </w:rPr>
      </w:pPr>
      <w:r>
        <w:rPr>
          <w:rFonts w:ascii="Arial" w:cs="Arial" w:eastAsia="Arial" w:hAnsi="Arial"/>
          <w:sz w:val="21"/>
          <w:szCs w:val="21"/>
          <w:color w:val="1D2758"/>
        </w:rPr>
        <w:t>Off-Balance Sheet Arrangements</w:t>
      </w:r>
    </w:p>
    <w:p>
      <w:pPr>
        <w:spacing w:after="0" w:line="101"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1D2758"/>
        </w:rPr>
        <w:t>Supplemental Pro Forma Information</w:t>
      </w:r>
    </w:p>
    <w:p>
      <w:pPr>
        <w:spacing w:after="0" w:line="101"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following pro forma financial information has been prepared for WillScot Mobile Mini for the nine months ended September 30, 2020. These pro forma condensed combined statements of operations present the historical consolidated statements of operations of WillScot Mobile Mini, giving effect to the following items as if they had occurred on January 1, 2019:</w:t>
      </w:r>
    </w:p>
    <w:p>
      <w:pPr>
        <w:spacing w:after="0" w:line="91" w:lineRule="exact"/>
        <w:rPr>
          <w:sz w:val="20"/>
          <w:szCs w:val="20"/>
          <w:color w:val="auto"/>
        </w:rPr>
      </w:pPr>
    </w:p>
    <w:p>
      <w:pPr>
        <w:ind w:left="740" w:hanging="447"/>
        <w:spacing w:after="0"/>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Merger with Mobile Mini;</w:t>
      </w:r>
    </w:p>
    <w:p>
      <w:pPr>
        <w:spacing w:after="0" w:line="98" w:lineRule="exact"/>
        <w:rPr>
          <w:rFonts w:ascii="Arial" w:cs="Arial" w:eastAsia="Arial" w:hAnsi="Arial"/>
          <w:sz w:val="15"/>
          <w:szCs w:val="15"/>
          <w:color w:val="auto"/>
        </w:rPr>
      </w:pPr>
    </w:p>
    <w:p>
      <w:pPr>
        <w:ind w:left="720" w:hanging="427"/>
        <w:spacing w:after="0"/>
        <w:tabs>
          <w:tab w:leader="none" w:pos="7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borrowings under the Company’s 2025 Secured Notes and the 2020 ABL Facility;</w:t>
      </w:r>
    </w:p>
    <w:p>
      <w:pPr>
        <w:spacing w:after="0" w:line="98" w:lineRule="exact"/>
        <w:rPr>
          <w:rFonts w:ascii="Arial" w:cs="Arial" w:eastAsia="Arial" w:hAnsi="Arial"/>
          <w:sz w:val="15"/>
          <w:szCs w:val="15"/>
          <w:color w:val="auto"/>
        </w:rPr>
      </w:pPr>
    </w:p>
    <w:p>
      <w:pPr>
        <w:ind w:left="740" w:hanging="447"/>
        <w:spacing w:after="0"/>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extinguishment of the Mobile Mini line of credit and senior notes assumed in the Merger and subsequently repaid;</w:t>
      </w:r>
    </w:p>
    <w:p>
      <w:pPr>
        <w:spacing w:after="0" w:line="98" w:lineRule="exact"/>
        <w:rPr>
          <w:rFonts w:ascii="Arial" w:cs="Arial" w:eastAsia="Arial" w:hAnsi="Arial"/>
          <w:sz w:val="15"/>
          <w:szCs w:val="15"/>
          <w:color w:val="auto"/>
        </w:rPr>
      </w:pPr>
    </w:p>
    <w:p>
      <w:pPr>
        <w:ind w:left="740" w:hanging="447"/>
        <w:spacing w:after="0"/>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repayment of the 2017 ABL Facility and the 2022 Senior Notes repaid contemporaneously with the Merger;</w:t>
      </w:r>
    </w:p>
    <w:p>
      <w:pPr>
        <w:spacing w:after="0" w:line="98" w:lineRule="exact"/>
        <w:rPr>
          <w:rFonts w:ascii="Arial" w:cs="Arial" w:eastAsia="Arial" w:hAnsi="Arial"/>
          <w:sz w:val="15"/>
          <w:szCs w:val="15"/>
          <w:color w:val="auto"/>
        </w:rPr>
      </w:pPr>
    </w:p>
    <w:p>
      <w:pPr>
        <w:ind w:left="740" w:hanging="447"/>
        <w:spacing w:after="0"/>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transaction costs incurred in connection with the Merger; and</w:t>
      </w:r>
    </w:p>
    <w:p>
      <w:pPr>
        <w:spacing w:after="0" w:line="98" w:lineRule="exact"/>
        <w:rPr>
          <w:rFonts w:ascii="Arial" w:cs="Arial" w:eastAsia="Arial" w:hAnsi="Arial"/>
          <w:sz w:val="15"/>
          <w:szCs w:val="15"/>
          <w:color w:val="auto"/>
        </w:rPr>
      </w:pPr>
    </w:p>
    <w:p>
      <w:pPr>
        <w:ind w:left="740" w:hanging="447"/>
        <w:spacing w:after="0"/>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elimination of non-controlling interest in connection with the Sapphire Exchange as contemplated by the Merger.</w:t>
      </w:r>
    </w:p>
    <w:p>
      <w:pPr>
        <w:spacing w:after="0" w:line="98"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The adjustments presented on the pro forma financial statements have been identified and presented to provide relevant information necessary for an accurate understanding of the combined company following the transactions and events described above. The pro forma financial information set forth below is based upon available information and assumptions that we believe are reasonable and is for illustrative purposes only. The financial results may have been different if the transactions described above had actually been completed sooner. You should not rely on the pro forma financial information as being indicative of the historical results that would have been achieved if these transactions and events had been completed as of January 1, 2019. The pro forma combined financial information below should be read in conjunction with the condensed consolidated financial statements and related notes of the Company included elsewhere in this Form 10-Q. All pro forma adjustments and their underlying assumptions are described more fully in the notes below.</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Accounting Policies</w:t>
      </w:r>
    </w:p>
    <w:p>
      <w:pPr>
        <w:spacing w:after="0" w:line="116"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During the preparation of these pro forma condensed combined financial statements, we assessed whether there were any material differences between the Company’s accounting policies and Mobile Mini’s accounting policies. The assessment performed did not identify any material differences and, as such, these pro forma condensed combined financial statements do not adjust for or assume any differences in accounting policies between WillScot and Mobile Mini.</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Presentation</w:t>
      </w:r>
    </w:p>
    <w:p>
      <w:pPr>
        <w:spacing w:after="0" w:line="116"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following pro forma condensed combined financial information and associated notes are based on the historical financial statements of WillScot and Mobile Mini as described below. In preparing the pro forma condensed combined statements of operations for the nine months ended September 30, 2020, certain historical financial information for Mobile Mini was reclassified to align to the reporting classifications of WillScot.</w:t>
      </w:r>
    </w:p>
    <w:p>
      <w:pPr>
        <w:spacing w:after="0" w:line="42"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pro forma condensed combined statement of operations for the nine months ended September 30, 2020 are based on, derived from, and should be read in conjunction with, WillScot’s historical financial statements. The aforementioned pro forma financial statements are also based on, derived from, and should be read in conjunction with Mobile Mini’s historical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7"/>
        </w:trPr>
        <w:tc>
          <w:tcPr>
            <w:tcW w:w="480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98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spacing w:after="0"/>
              <w:rPr>
                <w:sz w:val="20"/>
                <w:szCs w:val="20"/>
                <w:color w:val="auto"/>
              </w:rPr>
            </w:pPr>
            <w:r>
              <w:rPr>
                <w:rFonts w:ascii="Arial" w:cs="Arial" w:eastAsia="Arial" w:hAnsi="Arial"/>
                <w:sz w:val="15"/>
                <w:szCs w:val="15"/>
                <w:b w:val="1"/>
                <w:bCs w:val="1"/>
                <w:color w:val="FFFFFF"/>
              </w:rPr>
              <w:t>Nine Months Ended September 30, 2020</w:t>
            </w:r>
          </w:p>
        </w:tc>
        <w:tc>
          <w:tcPr>
            <w:tcW w:w="22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800" w:type="dxa"/>
            <w:vAlign w:val="bottom"/>
            <w:shd w:val="clear" w:color="auto" w:fill="1D2758"/>
          </w:tcPr>
          <w:p>
            <w:pPr>
              <w:spacing w:after="0"/>
              <w:rPr>
                <w:sz w:val="12"/>
                <w:szCs w:val="12"/>
                <w:color w:val="auto"/>
              </w:rPr>
            </w:pPr>
          </w:p>
        </w:tc>
        <w:tc>
          <w:tcPr>
            <w:tcW w:w="460" w:type="dxa"/>
            <w:vAlign w:val="bottom"/>
            <w:shd w:val="clear" w:color="auto" w:fill="1D2758"/>
          </w:tcPr>
          <w:p>
            <w:pPr>
              <w:spacing w:after="0"/>
              <w:rPr>
                <w:sz w:val="12"/>
                <w:szCs w:val="12"/>
                <w:color w:val="auto"/>
              </w:rPr>
            </w:pPr>
          </w:p>
        </w:tc>
        <w:tc>
          <w:tcPr>
            <w:tcW w:w="980" w:type="dxa"/>
            <w:vAlign w:val="bottom"/>
            <w:shd w:val="clear" w:color="auto" w:fill="1D2758"/>
          </w:tcPr>
          <w:p>
            <w:pPr>
              <w:spacing w:after="0"/>
              <w:rPr>
                <w:sz w:val="12"/>
                <w:szCs w:val="12"/>
                <w:color w:val="auto"/>
              </w:rPr>
            </w:pPr>
          </w:p>
        </w:tc>
        <w:tc>
          <w:tcPr>
            <w:tcW w:w="100" w:type="dxa"/>
            <w:vAlign w:val="bottom"/>
            <w:shd w:val="clear" w:color="auto" w:fill="1D2758"/>
          </w:tcPr>
          <w:p>
            <w:pPr>
              <w:spacing w:after="0"/>
              <w:rPr>
                <w:sz w:val="12"/>
                <w:szCs w:val="12"/>
                <w:color w:val="auto"/>
              </w:rPr>
            </w:pPr>
          </w:p>
        </w:tc>
        <w:tc>
          <w:tcPr>
            <w:tcW w:w="100" w:type="dxa"/>
            <w:vAlign w:val="bottom"/>
            <w:shd w:val="clear" w:color="auto" w:fill="1D2758"/>
          </w:tcPr>
          <w:p>
            <w:pPr>
              <w:spacing w:after="0"/>
              <w:rPr>
                <w:sz w:val="12"/>
                <w:szCs w:val="12"/>
                <w:color w:val="auto"/>
              </w:rPr>
            </w:pPr>
          </w:p>
        </w:tc>
        <w:tc>
          <w:tcPr>
            <w:tcW w:w="1440" w:type="dxa"/>
            <w:vAlign w:val="bottom"/>
            <w:gridSpan w:val="2"/>
            <w:shd w:val="clear" w:color="auto" w:fill="1D2758"/>
          </w:tcPr>
          <w:p>
            <w:pPr>
              <w:jc w:val="center"/>
              <w:ind w:right="180"/>
              <w:spacing w:after="0" w:line="148" w:lineRule="exact"/>
              <w:rPr>
                <w:sz w:val="20"/>
                <w:szCs w:val="20"/>
                <w:color w:val="auto"/>
              </w:rPr>
            </w:pPr>
            <w:r>
              <w:rPr>
                <w:rFonts w:ascii="Arial" w:cs="Arial" w:eastAsia="Arial" w:hAnsi="Arial"/>
                <w:sz w:val="15"/>
                <w:szCs w:val="15"/>
                <w:b w:val="1"/>
                <w:bCs w:val="1"/>
                <w:color w:val="FFFFFF"/>
                <w:w w:val="98"/>
              </w:rPr>
              <w:t>Historical Mobile</w:t>
            </w:r>
          </w:p>
        </w:tc>
        <w:tc>
          <w:tcPr>
            <w:tcW w:w="200" w:type="dxa"/>
            <w:vAlign w:val="bottom"/>
            <w:shd w:val="clear" w:color="auto" w:fill="1D2758"/>
          </w:tcPr>
          <w:p>
            <w:pPr>
              <w:spacing w:after="0"/>
              <w:rPr>
                <w:sz w:val="12"/>
                <w:szCs w:val="12"/>
                <w:color w:val="auto"/>
              </w:rPr>
            </w:pPr>
          </w:p>
        </w:tc>
        <w:tc>
          <w:tcPr>
            <w:tcW w:w="134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w w:val="98"/>
              </w:rPr>
              <w:t>Pro Forma</w:t>
            </w:r>
          </w:p>
        </w:tc>
        <w:tc>
          <w:tcPr>
            <w:tcW w:w="220" w:type="dxa"/>
            <w:vAlign w:val="bottom"/>
            <w:shd w:val="clear" w:color="auto" w:fill="1D2758"/>
          </w:tcPr>
          <w:p>
            <w:pPr>
              <w:spacing w:after="0"/>
              <w:rPr>
                <w:sz w:val="12"/>
                <w:szCs w:val="12"/>
                <w:color w:val="auto"/>
              </w:rPr>
            </w:pPr>
          </w:p>
        </w:tc>
        <w:tc>
          <w:tcPr>
            <w:tcW w:w="1260" w:type="dxa"/>
            <w:vAlign w:val="bottom"/>
            <w:shd w:val="clear" w:color="auto" w:fill="1D2758"/>
          </w:tcPr>
          <w:p>
            <w:pPr>
              <w:jc w:val="center"/>
              <w:ind w:right="126"/>
              <w:spacing w:after="0" w:line="148" w:lineRule="exact"/>
              <w:rPr>
                <w:sz w:val="20"/>
                <w:szCs w:val="20"/>
                <w:color w:val="auto"/>
              </w:rPr>
            </w:pPr>
            <w:r>
              <w:rPr>
                <w:rFonts w:ascii="Arial" w:cs="Arial" w:eastAsia="Arial" w:hAnsi="Arial"/>
                <w:sz w:val="15"/>
                <w:szCs w:val="15"/>
                <w:b w:val="1"/>
                <w:bCs w:val="1"/>
                <w:color w:val="FFFFFF"/>
                <w:w w:val="98"/>
              </w:rPr>
              <w:t>Pro Forma</w:t>
            </w:r>
          </w:p>
        </w:tc>
        <w:tc>
          <w:tcPr>
            <w:tcW w:w="34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12"/>
                <w:szCs w:val="12"/>
                <w:color w:val="auto"/>
              </w:rPr>
            </w:pPr>
          </w:p>
        </w:tc>
        <w:tc>
          <w:tcPr>
            <w:tcW w:w="980" w:type="dxa"/>
            <w:vAlign w:val="bottom"/>
            <w:shd w:val="clear" w:color="auto" w:fill="1D2758"/>
          </w:tcPr>
          <w:p>
            <w:pPr>
              <w:spacing w:after="0"/>
              <w:rPr>
                <w:sz w:val="12"/>
                <w:szCs w:val="12"/>
                <w:color w:val="auto"/>
              </w:rPr>
            </w:pPr>
          </w:p>
        </w:tc>
        <w:tc>
          <w:tcPr>
            <w:tcW w:w="100" w:type="dxa"/>
            <w:vAlign w:val="bottom"/>
            <w:shd w:val="clear" w:color="auto" w:fill="1D2758"/>
          </w:tcPr>
          <w:p>
            <w:pPr>
              <w:spacing w:after="0"/>
              <w:rPr>
                <w:sz w:val="12"/>
                <w:szCs w:val="12"/>
                <w:color w:val="auto"/>
              </w:rPr>
            </w:pPr>
          </w:p>
        </w:tc>
        <w:tc>
          <w:tcPr>
            <w:tcW w:w="100" w:type="dxa"/>
            <w:vAlign w:val="bottom"/>
            <w:shd w:val="clear" w:color="auto" w:fill="1D2758"/>
          </w:tcPr>
          <w:p>
            <w:pPr>
              <w:spacing w:after="0"/>
              <w:rPr>
                <w:sz w:val="12"/>
                <w:szCs w:val="12"/>
                <w:color w:val="auto"/>
              </w:rPr>
            </w:pPr>
          </w:p>
        </w:tc>
        <w:tc>
          <w:tcPr>
            <w:tcW w:w="1440" w:type="dxa"/>
            <w:vAlign w:val="bottom"/>
            <w:gridSpan w:val="2"/>
            <w:shd w:val="clear" w:color="auto" w:fill="1D2758"/>
          </w:tcPr>
          <w:p>
            <w:pPr>
              <w:jc w:val="center"/>
              <w:ind w:right="200"/>
              <w:spacing w:after="0" w:line="148" w:lineRule="exact"/>
              <w:rPr>
                <w:sz w:val="20"/>
                <w:szCs w:val="20"/>
                <w:color w:val="auto"/>
              </w:rPr>
            </w:pPr>
            <w:r>
              <w:rPr>
                <w:rFonts w:ascii="Arial" w:cs="Arial" w:eastAsia="Arial" w:hAnsi="Arial"/>
                <w:sz w:val="15"/>
                <w:szCs w:val="15"/>
                <w:b w:val="1"/>
                <w:bCs w:val="1"/>
                <w:color w:val="FFFFFF"/>
              </w:rPr>
              <w:t>Mini (as</w:t>
            </w:r>
          </w:p>
        </w:tc>
        <w:tc>
          <w:tcPr>
            <w:tcW w:w="200" w:type="dxa"/>
            <w:vAlign w:val="bottom"/>
            <w:shd w:val="clear" w:color="auto" w:fill="1D2758"/>
          </w:tcPr>
          <w:p>
            <w:pPr>
              <w:spacing w:after="0"/>
              <w:rPr>
                <w:sz w:val="12"/>
                <w:szCs w:val="12"/>
                <w:color w:val="auto"/>
              </w:rPr>
            </w:pPr>
          </w:p>
        </w:tc>
        <w:tc>
          <w:tcPr>
            <w:tcW w:w="1340" w:type="dxa"/>
            <w:vAlign w:val="bottom"/>
            <w:gridSpan w:val="2"/>
            <w:vMerge w:val="continue"/>
            <w:shd w:val="clear" w:color="auto" w:fill="1D2758"/>
          </w:tcPr>
          <w:p>
            <w:pPr>
              <w:spacing w:after="0"/>
              <w:rPr>
                <w:sz w:val="12"/>
                <w:szCs w:val="12"/>
                <w:color w:val="auto"/>
              </w:rPr>
            </w:pPr>
          </w:p>
        </w:tc>
        <w:tc>
          <w:tcPr>
            <w:tcW w:w="220" w:type="dxa"/>
            <w:vAlign w:val="bottom"/>
            <w:shd w:val="clear" w:color="auto" w:fill="1D2758"/>
          </w:tcPr>
          <w:p>
            <w:pPr>
              <w:spacing w:after="0"/>
              <w:rPr>
                <w:sz w:val="12"/>
                <w:szCs w:val="12"/>
                <w:color w:val="auto"/>
              </w:rPr>
            </w:pPr>
          </w:p>
        </w:tc>
        <w:tc>
          <w:tcPr>
            <w:tcW w:w="1260" w:type="dxa"/>
            <w:vAlign w:val="bottom"/>
            <w:shd w:val="clear" w:color="auto" w:fill="1D2758"/>
          </w:tcPr>
          <w:p>
            <w:pPr>
              <w:jc w:val="center"/>
              <w:ind w:right="146"/>
              <w:spacing w:after="0" w:line="148" w:lineRule="exact"/>
              <w:rPr>
                <w:sz w:val="20"/>
                <w:szCs w:val="20"/>
                <w:color w:val="auto"/>
              </w:rPr>
            </w:pPr>
            <w:r>
              <w:rPr>
                <w:rFonts w:ascii="Arial" w:cs="Arial" w:eastAsia="Arial" w:hAnsi="Arial"/>
                <w:sz w:val="15"/>
                <w:szCs w:val="15"/>
                <w:b w:val="1"/>
                <w:bCs w:val="1"/>
                <w:color w:val="FFFFFF"/>
                <w:w w:val="97"/>
              </w:rPr>
              <w:t>Condensed</w:t>
            </w:r>
          </w:p>
        </w:tc>
        <w:tc>
          <w:tcPr>
            <w:tcW w:w="34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800" w:type="dxa"/>
            <w:vAlign w:val="bottom"/>
            <w:vMerge w:val="continue"/>
            <w:shd w:val="clear" w:color="auto" w:fill="1D2758"/>
          </w:tcPr>
          <w:p>
            <w:pPr>
              <w:spacing w:after="0"/>
              <w:rPr>
                <w:sz w:val="9"/>
                <w:szCs w:val="9"/>
                <w:color w:val="auto"/>
              </w:rPr>
            </w:pPr>
          </w:p>
        </w:tc>
        <w:tc>
          <w:tcPr>
            <w:tcW w:w="1540" w:type="dxa"/>
            <w:vAlign w:val="bottom"/>
            <w:gridSpan w:val="3"/>
            <w:vMerge w:val="restart"/>
            <w:shd w:val="clear" w:color="auto" w:fill="1D2758"/>
          </w:tcPr>
          <w:p>
            <w:pPr>
              <w:ind w:left="80"/>
              <w:spacing w:after="0"/>
              <w:rPr>
                <w:sz w:val="20"/>
                <w:szCs w:val="20"/>
                <w:color w:val="auto"/>
              </w:rPr>
            </w:pPr>
            <w:r>
              <w:rPr>
                <w:rFonts w:ascii="Arial" w:cs="Arial" w:eastAsia="Arial" w:hAnsi="Arial"/>
                <w:sz w:val="15"/>
                <w:szCs w:val="15"/>
                <w:b w:val="1"/>
                <w:bCs w:val="1"/>
                <w:color w:val="FFFFFF"/>
              </w:rPr>
              <w:t>Historical WillScot</w:t>
            </w:r>
          </w:p>
        </w:tc>
        <w:tc>
          <w:tcPr>
            <w:tcW w:w="100" w:type="dxa"/>
            <w:vAlign w:val="bottom"/>
            <w:shd w:val="clear" w:color="auto" w:fill="1D2758"/>
          </w:tcPr>
          <w:p>
            <w:pPr>
              <w:spacing w:after="0"/>
              <w:rPr>
                <w:sz w:val="9"/>
                <w:szCs w:val="9"/>
                <w:color w:val="auto"/>
              </w:rPr>
            </w:pPr>
          </w:p>
        </w:tc>
        <w:tc>
          <w:tcPr>
            <w:tcW w:w="1440" w:type="dxa"/>
            <w:vAlign w:val="bottom"/>
            <w:gridSpan w:val="2"/>
            <w:vMerge w:val="restart"/>
            <w:shd w:val="clear" w:color="auto" w:fill="1D2758"/>
          </w:tcPr>
          <w:p>
            <w:pPr>
              <w:jc w:val="center"/>
              <w:ind w:right="180"/>
              <w:spacing w:after="0"/>
              <w:rPr>
                <w:sz w:val="20"/>
                <w:szCs w:val="20"/>
                <w:color w:val="auto"/>
              </w:rPr>
            </w:pPr>
            <w:r>
              <w:rPr>
                <w:rFonts w:ascii="Arial" w:cs="Arial" w:eastAsia="Arial" w:hAnsi="Arial"/>
                <w:sz w:val="15"/>
                <w:szCs w:val="15"/>
                <w:b w:val="1"/>
                <w:bCs w:val="1"/>
                <w:color w:val="FFFFFF"/>
                <w:w w:val="98"/>
              </w:rPr>
              <w:t>reclassified)</w:t>
            </w:r>
          </w:p>
        </w:tc>
        <w:tc>
          <w:tcPr>
            <w:tcW w:w="200" w:type="dxa"/>
            <w:vAlign w:val="bottom"/>
            <w:shd w:val="clear" w:color="auto" w:fill="1D2758"/>
          </w:tcPr>
          <w:p>
            <w:pPr>
              <w:spacing w:after="0"/>
              <w:rPr>
                <w:sz w:val="9"/>
                <w:szCs w:val="9"/>
                <w:color w:val="auto"/>
              </w:rPr>
            </w:pPr>
          </w:p>
        </w:tc>
        <w:tc>
          <w:tcPr>
            <w:tcW w:w="134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w w:val="99"/>
              </w:rPr>
              <w:t>Adjustments</w:t>
            </w:r>
          </w:p>
        </w:tc>
        <w:tc>
          <w:tcPr>
            <w:tcW w:w="220" w:type="dxa"/>
            <w:vAlign w:val="bottom"/>
            <w:shd w:val="clear" w:color="auto" w:fill="1D2758"/>
          </w:tcPr>
          <w:p>
            <w:pPr>
              <w:spacing w:after="0"/>
              <w:rPr>
                <w:sz w:val="9"/>
                <w:szCs w:val="9"/>
                <w:color w:val="auto"/>
              </w:rPr>
            </w:pPr>
          </w:p>
        </w:tc>
        <w:tc>
          <w:tcPr>
            <w:tcW w:w="1260" w:type="dxa"/>
            <w:vAlign w:val="bottom"/>
            <w:vMerge w:val="restart"/>
            <w:shd w:val="clear" w:color="auto" w:fill="1D2758"/>
          </w:tcPr>
          <w:p>
            <w:pPr>
              <w:jc w:val="center"/>
              <w:ind w:right="146"/>
              <w:spacing w:after="0"/>
              <w:rPr>
                <w:sz w:val="20"/>
                <w:szCs w:val="20"/>
                <w:color w:val="auto"/>
              </w:rPr>
            </w:pPr>
            <w:r>
              <w:rPr>
                <w:rFonts w:ascii="Arial" w:cs="Arial" w:eastAsia="Arial" w:hAnsi="Arial"/>
                <w:sz w:val="15"/>
                <w:szCs w:val="15"/>
                <w:b w:val="1"/>
                <w:bCs w:val="1"/>
                <w:color w:val="FFFFFF"/>
                <w:w w:val="98"/>
              </w:rPr>
              <w:t>Combined</w:t>
            </w:r>
          </w:p>
        </w:tc>
        <w:tc>
          <w:tcPr>
            <w:tcW w:w="34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800" w:type="dxa"/>
            <w:vAlign w:val="bottom"/>
            <w:shd w:val="clear" w:color="auto" w:fill="1D2758"/>
          </w:tcPr>
          <w:p>
            <w:pPr>
              <w:spacing w:after="0"/>
              <w:rPr>
                <w:sz w:val="7"/>
                <w:szCs w:val="7"/>
                <w:color w:val="auto"/>
              </w:rPr>
            </w:pPr>
          </w:p>
        </w:tc>
        <w:tc>
          <w:tcPr>
            <w:tcW w:w="1540" w:type="dxa"/>
            <w:vAlign w:val="bottom"/>
            <w:gridSpan w:val="3"/>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440" w:type="dxa"/>
            <w:vAlign w:val="bottom"/>
            <w:gridSpan w:val="2"/>
            <w:vMerge w:val="continue"/>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34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Leasing</w:t>
            </w:r>
          </w:p>
        </w:tc>
        <w:tc>
          <w:tcPr>
            <w:tcW w:w="460" w:type="dxa"/>
            <w:vAlign w:val="bottom"/>
            <w:shd w:val="clear" w:color="auto" w:fill="DBDBDB"/>
          </w:tcPr>
          <w:p>
            <w:pPr>
              <w:jc w:val="right"/>
              <w:ind w:right="28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678,577</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208,374</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jc w:val="right"/>
              <w:ind w:right="4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886,951</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400"/>
              <w:spacing w:after="0"/>
              <w:rPr>
                <w:sz w:val="20"/>
                <w:szCs w:val="20"/>
                <w:color w:val="auto"/>
              </w:rPr>
            </w:pPr>
            <w:r>
              <w:rPr>
                <w:rFonts w:ascii="Arial" w:cs="Arial" w:eastAsia="Arial" w:hAnsi="Arial"/>
                <w:sz w:val="15"/>
                <w:szCs w:val="15"/>
                <w:color w:val="auto"/>
              </w:rPr>
              <w:t>Delivery and installation</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187,404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59,999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247,403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400"/>
              <w:spacing w:after="0"/>
              <w:rPr>
                <w:sz w:val="20"/>
                <w:szCs w:val="20"/>
                <w:color w:val="auto"/>
              </w:rPr>
            </w:pPr>
            <w:r>
              <w:rPr>
                <w:rFonts w:ascii="Arial" w:cs="Arial" w:eastAsia="Arial" w:hAnsi="Arial"/>
                <w:sz w:val="15"/>
                <w:szCs w:val="15"/>
                <w:color w:val="auto"/>
              </w:rPr>
              <w:t>New units</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38,736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8,402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47,138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Rental units</w:t>
            </w:r>
          </w:p>
        </w:tc>
        <w:tc>
          <w:tcPr>
            <w:tcW w:w="4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25,281</w:t>
            </w:r>
          </w:p>
        </w:tc>
        <w:tc>
          <w:tcPr>
            <w:tcW w:w="10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7,465</w:t>
            </w:r>
          </w:p>
        </w:tc>
        <w:tc>
          <w:tcPr>
            <w:tcW w:w="8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32,746</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600"/>
              <w:spacing w:after="0"/>
              <w:rPr>
                <w:sz w:val="20"/>
                <w:szCs w:val="20"/>
                <w:color w:val="auto"/>
              </w:rPr>
            </w:pPr>
            <w:r>
              <w:rPr>
                <w:rFonts w:ascii="Arial" w:cs="Arial" w:eastAsia="Arial" w:hAnsi="Arial"/>
                <w:sz w:val="15"/>
                <w:szCs w:val="15"/>
                <w:color w:val="auto"/>
              </w:rPr>
              <w:t>Total revenues</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929,998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284,240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1,214,238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Leasing</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162,344</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28,584</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190,928</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400"/>
              <w:spacing w:after="0"/>
              <w:rPr>
                <w:sz w:val="20"/>
                <w:szCs w:val="20"/>
                <w:color w:val="auto"/>
              </w:rPr>
            </w:pPr>
            <w:r>
              <w:rPr>
                <w:rFonts w:ascii="Arial" w:cs="Arial" w:eastAsia="Arial" w:hAnsi="Arial"/>
                <w:sz w:val="15"/>
                <w:szCs w:val="15"/>
                <w:color w:val="auto"/>
              </w:rPr>
              <w:t>Delivery and installation</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153,742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42,476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196,218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400"/>
              <w:spacing w:after="0"/>
              <w:rPr>
                <w:sz w:val="20"/>
                <w:szCs w:val="20"/>
                <w:color w:val="auto"/>
              </w:rPr>
            </w:pPr>
            <w:r>
              <w:rPr>
                <w:rFonts w:ascii="Arial" w:cs="Arial" w:eastAsia="Arial" w:hAnsi="Arial"/>
                <w:sz w:val="15"/>
                <w:szCs w:val="15"/>
                <w:color w:val="auto"/>
              </w:rPr>
              <w:t>New units</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25,469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5,457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30,926</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Rental units</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16,446</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4,625</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21,071</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146,279</w:t>
            </w: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15,360</w:t>
            </w:r>
          </w:p>
        </w:tc>
        <w:tc>
          <w:tcPr>
            <w:tcW w:w="8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2,334</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163,973</w:t>
            </w:r>
          </w:p>
        </w:tc>
        <w:tc>
          <w:tcPr>
            <w:tcW w:w="34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(b)</w:t>
            </w:r>
          </w:p>
        </w:tc>
        <w:tc>
          <w:tcPr>
            <w:tcW w:w="0" w:type="dxa"/>
            <w:vAlign w:val="bottom"/>
          </w:tcPr>
          <w:p>
            <w:pPr>
              <w:spacing w:after="0"/>
              <w:rPr>
                <w:sz w:val="1"/>
                <w:szCs w:val="1"/>
                <w:color w:val="auto"/>
              </w:rPr>
            </w:pPr>
          </w:p>
        </w:tc>
      </w:tr>
      <w:tr>
        <w:trPr>
          <w:trHeight w:val="192"/>
        </w:trPr>
        <w:tc>
          <w:tcPr>
            <w:tcW w:w="48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Gross profit</w:t>
            </w:r>
          </w:p>
        </w:tc>
        <w:tc>
          <w:tcPr>
            <w:tcW w:w="4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425,718</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187,738</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(2,334)</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611,122</w:t>
            </w:r>
          </w:p>
        </w:tc>
        <w:tc>
          <w:tcPr>
            <w:tcW w:w="3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0"/>
              <w:spacing w:after="0"/>
              <w:rPr>
                <w:sz w:val="20"/>
                <w:szCs w:val="20"/>
                <w:color w:val="auto"/>
              </w:rPr>
            </w:pPr>
            <w:r>
              <w:rPr>
                <w:rFonts w:ascii="Arial" w:cs="Arial" w:eastAsia="Arial" w:hAnsi="Arial"/>
                <w:sz w:val="15"/>
                <w:szCs w:val="15"/>
                <w:color w:val="auto"/>
              </w:rPr>
              <w:t>Expenses: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304,510</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112,969</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(80,040)</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337,439</w:t>
            </w:r>
          </w:p>
        </w:tc>
        <w:tc>
          <w:tcPr>
            <w:tcW w:w="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(a)</w:t>
            </w:r>
          </w:p>
        </w:tc>
        <w:tc>
          <w:tcPr>
            <w:tcW w:w="0" w:type="dxa"/>
            <w:vAlign w:val="bottom"/>
          </w:tcPr>
          <w:p>
            <w:pPr>
              <w:spacing w:after="0"/>
              <w:rPr>
                <w:sz w:val="1"/>
                <w:szCs w:val="1"/>
                <w:color w:val="auto"/>
              </w:rPr>
            </w:pPr>
          </w:p>
        </w:tc>
      </w:tr>
      <w:tr>
        <w:trPr>
          <w:trHeight w:val="194"/>
        </w:trPr>
        <w:tc>
          <w:tcPr>
            <w:tcW w:w="480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22,824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19,695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11,397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53,916</w:t>
            </w:r>
          </w:p>
        </w:tc>
        <w:tc>
          <w:tcPr>
            <w:tcW w:w="340" w:type="dxa"/>
            <w:vAlign w:val="bottom"/>
          </w:tcPr>
          <w:p>
            <w:pPr>
              <w:jc w:val="right"/>
              <w:spacing w:after="0"/>
              <w:rPr>
                <w:sz w:val="20"/>
                <w:szCs w:val="20"/>
                <w:color w:val="auto"/>
              </w:rPr>
            </w:pPr>
            <w:r>
              <w:rPr>
                <w:rFonts w:ascii="Arial" w:cs="Arial" w:eastAsia="Arial" w:hAnsi="Arial"/>
                <w:sz w:val="15"/>
                <w:szCs w:val="15"/>
                <w:color w:val="auto"/>
              </w:rPr>
              <w:t>(c)</w:t>
            </w: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3,999</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7"/>
                <w:szCs w:val="17"/>
                <w:color w:val="auto"/>
              </w:rPr>
            </w:pPr>
          </w:p>
        </w:tc>
        <w:tc>
          <w:tcPr>
            <w:tcW w:w="1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3,999</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4,543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39</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186</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20"/>
              <w:spacing w:after="0"/>
              <w:rPr>
                <w:sz w:val="20"/>
                <w:szCs w:val="20"/>
                <w:color w:val="auto"/>
              </w:rPr>
            </w:pPr>
            <w:r>
              <w:rPr>
                <w:rFonts w:ascii="Arial" w:cs="Arial" w:eastAsia="Arial" w:hAnsi="Arial"/>
                <w:sz w:val="15"/>
                <w:szCs w:val="15"/>
                <w:color w:val="auto"/>
              </w:rPr>
              <w:t>Other (income) expense, net</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186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(1,571)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tcBorders>
              <w:top w:val="single" w:sz="8" w:color="DBDBDB"/>
            </w:tcBorders>
            <w:shd w:val="clear" w:color="auto" w:fill="DBDBDB"/>
          </w:tcPr>
          <w:p>
            <w:pPr>
              <w:ind w:left="400"/>
              <w:spacing w:after="0"/>
              <w:rPr>
                <w:sz w:val="20"/>
                <w:szCs w:val="20"/>
                <w:color w:val="auto"/>
              </w:rPr>
            </w:pPr>
            <w:r>
              <w:rPr>
                <w:rFonts w:ascii="Arial" w:cs="Arial" w:eastAsia="Arial" w:hAnsi="Arial"/>
                <w:sz w:val="15"/>
                <w:szCs w:val="15"/>
                <w:color w:val="auto"/>
              </w:rPr>
              <w:t>Operating income</w:t>
            </w:r>
          </w:p>
        </w:tc>
        <w:tc>
          <w:tcPr>
            <w:tcW w:w="460" w:type="dxa"/>
            <w:vAlign w:val="bottom"/>
            <w:tcBorders>
              <w:top w:val="single" w:sz="8" w:color="auto"/>
            </w:tcBorders>
            <w:shd w:val="clear" w:color="auto" w:fill="DBDBDB"/>
          </w:tcPr>
          <w:p>
            <w:pPr>
              <w:spacing w:after="0"/>
              <w:rPr>
                <w:sz w:val="16"/>
                <w:szCs w:val="16"/>
                <w:color w:val="auto"/>
              </w:rPr>
            </w:pP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91,452</w:t>
            </w:r>
          </w:p>
        </w:tc>
        <w:tc>
          <w:tcPr>
            <w:tcW w:w="100" w:type="dxa"/>
            <w:vAlign w:val="bottom"/>
            <w:tcBorders>
              <w:top w:val="single" w:sz="8" w:color="DBDBDB"/>
            </w:tcBorders>
            <w:shd w:val="clear" w:color="auto" w:fill="DBDBDB"/>
          </w:tcPr>
          <w:p>
            <w:pPr>
              <w:spacing w:after="0"/>
              <w:rPr>
                <w:sz w:val="16"/>
                <w:szCs w:val="16"/>
                <w:color w:val="auto"/>
              </w:rPr>
            </w:pPr>
          </w:p>
        </w:tc>
        <w:tc>
          <w:tcPr>
            <w:tcW w:w="100" w:type="dxa"/>
            <w:vAlign w:val="bottom"/>
            <w:tcBorders>
              <w:top w:val="single" w:sz="8" w:color="auto"/>
            </w:tcBorders>
            <w:shd w:val="clear" w:color="auto" w:fill="DBDBDB"/>
          </w:tcPr>
          <w:p>
            <w:pPr>
              <w:spacing w:after="0"/>
              <w:rPr>
                <w:sz w:val="16"/>
                <w:szCs w:val="16"/>
                <w:color w:val="auto"/>
              </w:rPr>
            </w:pPr>
          </w:p>
        </w:tc>
        <w:tc>
          <w:tcPr>
            <w:tcW w:w="136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54,849</w:t>
            </w:r>
          </w:p>
        </w:tc>
        <w:tc>
          <w:tcPr>
            <w:tcW w:w="80" w:type="dxa"/>
            <w:vAlign w:val="bottom"/>
            <w:tcBorders>
              <w:top w:val="single" w:sz="8" w:color="DBDBDB"/>
            </w:tcBorders>
            <w:shd w:val="clear" w:color="auto" w:fill="DBDBDB"/>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66,309</w:t>
            </w:r>
          </w:p>
        </w:tc>
        <w:tc>
          <w:tcPr>
            <w:tcW w:w="8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126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212,610</w:t>
            </w:r>
          </w:p>
        </w:tc>
        <w:tc>
          <w:tcPr>
            <w:tcW w:w="340" w:type="dxa"/>
            <w:vAlign w:val="bottom"/>
            <w:tcBorders>
              <w:top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89,810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16,974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(9,808)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96,976</w:t>
            </w:r>
          </w:p>
        </w:tc>
        <w:tc>
          <w:tcPr>
            <w:tcW w:w="340" w:type="dxa"/>
            <w:vAlign w:val="bottom"/>
          </w:tcPr>
          <w:p>
            <w:pPr>
              <w:jc w:val="right"/>
              <w:spacing w:after="0"/>
              <w:rPr>
                <w:sz w:val="20"/>
                <w:szCs w:val="20"/>
                <w:color w:val="auto"/>
              </w:rPr>
            </w:pPr>
            <w:r>
              <w:rPr>
                <w:rFonts w:ascii="Arial" w:cs="Arial" w:eastAsia="Arial" w:hAnsi="Arial"/>
                <w:sz w:val="15"/>
                <w:szCs w:val="15"/>
                <w:color w:val="auto"/>
              </w:rPr>
              <w:t>(d)</w:t>
            </w: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gain on common stock warrant liabilities</w:t>
            </w:r>
          </w:p>
        </w:tc>
        <w:tc>
          <w:tcPr>
            <w:tcW w:w="4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(46,063)</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7"/>
                <w:szCs w:val="17"/>
                <w:color w:val="auto"/>
              </w:rPr>
            </w:pPr>
          </w:p>
        </w:tc>
        <w:tc>
          <w:tcPr>
            <w:tcW w:w="1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(46,063)</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20"/>
              <w:spacing w:after="0"/>
              <w:rPr>
                <w:sz w:val="20"/>
                <w:szCs w:val="20"/>
                <w:color w:val="auto"/>
              </w:rPr>
            </w:pPr>
            <w:r>
              <w:rPr>
                <w:rFonts w:ascii="Arial" w:cs="Arial" w:eastAsia="Arial" w:hAnsi="Arial"/>
                <w:sz w:val="15"/>
                <w:szCs w:val="15"/>
                <w:color w:val="auto"/>
              </w:rPr>
              <w:t>Loss on extinguishment of debt</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42,401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(19,682)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22,719</w:t>
            </w:r>
          </w:p>
        </w:tc>
        <w:tc>
          <w:tcPr>
            <w:tcW w:w="340" w:type="dxa"/>
            <w:vAlign w:val="bottom"/>
          </w:tcPr>
          <w:p>
            <w:pPr>
              <w:jc w:val="right"/>
              <w:spacing w:after="0"/>
              <w:rPr>
                <w:sz w:val="20"/>
                <w:szCs w:val="20"/>
                <w:color w:val="auto"/>
              </w:rPr>
            </w:pPr>
            <w:r>
              <w:rPr>
                <w:rFonts w:ascii="Arial" w:cs="Arial" w:eastAsia="Arial" w:hAnsi="Arial"/>
                <w:sz w:val="15"/>
                <w:szCs w:val="15"/>
                <w:color w:val="auto"/>
              </w:rPr>
              <w:t>(e)</w:t>
            </w:r>
          </w:p>
        </w:tc>
        <w:tc>
          <w:tcPr>
            <w:tcW w:w="0" w:type="dxa"/>
            <w:vAlign w:val="bottom"/>
          </w:tcPr>
          <w:p>
            <w:pPr>
              <w:spacing w:after="0"/>
              <w:rPr>
                <w:sz w:val="1"/>
                <w:szCs w:val="1"/>
                <w:color w:val="auto"/>
              </w:rPr>
            </w:pPr>
          </w:p>
        </w:tc>
      </w:tr>
      <w:tr>
        <w:trPr>
          <w:trHeight w:val="192"/>
        </w:trPr>
        <w:tc>
          <w:tcPr>
            <w:tcW w:w="4800" w:type="dxa"/>
            <w:vAlign w:val="bottom"/>
            <w:tcBorders>
              <w:top w:val="single" w:sz="8" w:color="DBDBDB"/>
            </w:tcBorders>
            <w:shd w:val="clear" w:color="auto" w:fill="DBDBDB"/>
          </w:tcPr>
          <w:p>
            <w:pPr>
              <w:ind w:left="400"/>
              <w:spacing w:after="0"/>
              <w:rPr>
                <w:sz w:val="20"/>
                <w:szCs w:val="20"/>
                <w:color w:val="auto"/>
              </w:rPr>
            </w:pPr>
            <w:r>
              <w:rPr>
                <w:rFonts w:ascii="Arial" w:cs="Arial" w:eastAsia="Arial" w:hAnsi="Arial"/>
                <w:sz w:val="15"/>
                <w:szCs w:val="15"/>
                <w:color w:val="auto"/>
              </w:rPr>
              <w:t>Income before income tax</w:t>
            </w:r>
          </w:p>
        </w:tc>
        <w:tc>
          <w:tcPr>
            <w:tcW w:w="460" w:type="dxa"/>
            <w:vAlign w:val="bottom"/>
            <w:tcBorders>
              <w:top w:val="single" w:sz="8" w:color="auto"/>
            </w:tcBorders>
            <w:shd w:val="clear" w:color="auto" w:fill="DBDBDB"/>
          </w:tcPr>
          <w:p>
            <w:pPr>
              <w:spacing w:after="0"/>
              <w:rPr>
                <w:sz w:val="16"/>
                <w:szCs w:val="16"/>
                <w:color w:val="auto"/>
              </w:rPr>
            </w:pP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5,304</w:t>
            </w:r>
          </w:p>
        </w:tc>
        <w:tc>
          <w:tcPr>
            <w:tcW w:w="100" w:type="dxa"/>
            <w:vAlign w:val="bottom"/>
            <w:tcBorders>
              <w:top w:val="single" w:sz="8" w:color="DBDBDB"/>
            </w:tcBorders>
            <w:shd w:val="clear" w:color="auto" w:fill="DBDBDB"/>
          </w:tcPr>
          <w:p>
            <w:pPr>
              <w:spacing w:after="0"/>
              <w:rPr>
                <w:sz w:val="16"/>
                <w:szCs w:val="16"/>
                <w:color w:val="auto"/>
              </w:rPr>
            </w:pPr>
          </w:p>
        </w:tc>
        <w:tc>
          <w:tcPr>
            <w:tcW w:w="100" w:type="dxa"/>
            <w:vAlign w:val="bottom"/>
            <w:tcBorders>
              <w:top w:val="single" w:sz="8" w:color="auto"/>
            </w:tcBorders>
            <w:shd w:val="clear" w:color="auto" w:fill="DBDBDB"/>
          </w:tcPr>
          <w:p>
            <w:pPr>
              <w:spacing w:after="0"/>
              <w:rPr>
                <w:sz w:val="16"/>
                <w:szCs w:val="16"/>
                <w:color w:val="auto"/>
              </w:rPr>
            </w:pPr>
          </w:p>
        </w:tc>
        <w:tc>
          <w:tcPr>
            <w:tcW w:w="136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37,875</w:t>
            </w:r>
          </w:p>
        </w:tc>
        <w:tc>
          <w:tcPr>
            <w:tcW w:w="80" w:type="dxa"/>
            <w:vAlign w:val="bottom"/>
            <w:tcBorders>
              <w:top w:val="single" w:sz="8" w:color="DBDBDB"/>
            </w:tcBorders>
            <w:shd w:val="clear" w:color="auto" w:fill="DBDBDB"/>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95,799</w:t>
            </w:r>
          </w:p>
        </w:tc>
        <w:tc>
          <w:tcPr>
            <w:tcW w:w="8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126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138,978</w:t>
            </w:r>
          </w:p>
        </w:tc>
        <w:tc>
          <w:tcPr>
            <w:tcW w:w="340" w:type="dxa"/>
            <w:vAlign w:val="bottom"/>
            <w:tcBorders>
              <w:top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(benefit) expense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(66,170)</w:t>
            </w: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12,330</w:t>
            </w:r>
          </w:p>
        </w:tc>
        <w:tc>
          <w:tcPr>
            <w:tcW w:w="8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76,140</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22,300</w:t>
            </w:r>
          </w:p>
        </w:tc>
        <w:tc>
          <w:tcPr>
            <w:tcW w:w="34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(f)</w:t>
            </w:r>
          </w:p>
        </w:tc>
        <w:tc>
          <w:tcPr>
            <w:tcW w:w="0" w:type="dxa"/>
            <w:vAlign w:val="bottom"/>
          </w:tcPr>
          <w:p>
            <w:pPr>
              <w:spacing w:after="0"/>
              <w:rPr>
                <w:sz w:val="1"/>
                <w:szCs w:val="1"/>
                <w:color w:val="auto"/>
              </w:rPr>
            </w:pPr>
          </w:p>
        </w:tc>
      </w:tr>
      <w:tr>
        <w:trPr>
          <w:trHeight w:val="192"/>
        </w:trPr>
        <w:tc>
          <w:tcPr>
            <w:tcW w:w="48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Net income</w:t>
            </w:r>
          </w:p>
        </w:tc>
        <w:tc>
          <w:tcPr>
            <w:tcW w:w="4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71,474</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25,545</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19,659</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6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116,678</w:t>
            </w:r>
          </w:p>
        </w:tc>
        <w:tc>
          <w:tcPr>
            <w:tcW w:w="3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00" w:type="dxa"/>
            <w:vAlign w:val="bottom"/>
          </w:tcPr>
          <w:p>
            <w:pPr>
              <w:ind w:left="20"/>
              <w:spacing w:after="0"/>
              <w:rPr>
                <w:sz w:val="20"/>
                <w:szCs w:val="20"/>
                <w:color w:val="auto"/>
              </w:rPr>
            </w:pPr>
            <w:r>
              <w:rPr>
                <w:rFonts w:ascii="Arial" w:cs="Arial" w:eastAsia="Arial" w:hAnsi="Arial"/>
                <w:sz w:val="15"/>
                <w:szCs w:val="15"/>
                <w:color w:val="auto"/>
              </w:rPr>
              <w:t>Net income attributable to non-controlling interest, net of tax</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(g)</w:t>
            </w:r>
          </w:p>
        </w:tc>
        <w:tc>
          <w:tcPr>
            <w:tcW w:w="0" w:type="dxa"/>
            <w:vAlign w:val="bottom"/>
          </w:tcPr>
          <w:p>
            <w:pPr>
              <w:spacing w:after="0"/>
              <w:rPr>
                <w:sz w:val="1"/>
                <w:szCs w:val="1"/>
                <w:color w:val="auto"/>
              </w:rPr>
            </w:pPr>
          </w:p>
        </w:tc>
      </w:tr>
      <w:tr>
        <w:trPr>
          <w:trHeight w:val="217"/>
        </w:trPr>
        <w:tc>
          <w:tcPr>
            <w:tcW w:w="48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 attributable to WillScot Mobile Mini</w:t>
            </w:r>
          </w:p>
        </w:tc>
        <w:tc>
          <w:tcPr>
            <w:tcW w:w="460" w:type="dxa"/>
            <w:vAlign w:val="bottom"/>
            <w:tcBorders>
              <w:top w:val="single" w:sz="8" w:color="auto"/>
              <w:bottom w:val="single" w:sz="8" w:color="auto"/>
            </w:tcBorders>
            <w:shd w:val="clear" w:color="auto" w:fill="DBDBDB"/>
          </w:tcPr>
          <w:p>
            <w:pPr>
              <w:jc w:val="right"/>
              <w:ind w:right="286"/>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70,261</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25,545</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200" w:type="dxa"/>
            <w:vAlign w:val="bottom"/>
            <w:tcBorders>
              <w:top w:val="single" w:sz="8" w:color="auto"/>
              <w:bottom w:val="single" w:sz="8" w:color="auto"/>
            </w:tcBorders>
            <w:shd w:val="clear" w:color="auto" w:fill="DBDBDB"/>
          </w:tcPr>
          <w:p>
            <w:pPr>
              <w:jc w:val="right"/>
              <w:ind w:right="2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20,872</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220" w:type="dxa"/>
            <w:vAlign w:val="bottom"/>
            <w:tcBorders>
              <w:top w:val="single" w:sz="8" w:color="auto"/>
              <w:bottom w:val="single" w:sz="8" w:color="auto"/>
            </w:tcBorders>
            <w:shd w:val="clear" w:color="auto" w:fill="DBDBDB"/>
          </w:tcPr>
          <w:p>
            <w:pPr>
              <w:jc w:val="right"/>
              <w:ind w:right="4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5"/>
                <w:szCs w:val="15"/>
                <w:color w:val="auto"/>
              </w:rPr>
              <w:t>116,678</w:t>
            </w:r>
          </w:p>
        </w:tc>
        <w:tc>
          <w:tcPr>
            <w:tcW w:w="340" w:type="dxa"/>
            <w:vAlign w:val="bottom"/>
            <w:tcBorders>
              <w:top w:val="single" w:sz="8" w:color="DBDBDB"/>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Notes to Pro Forma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44385" cy="1092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4385" cy="109220"/>
                    </a:xfrm>
                    <a:prstGeom prst="rect">
                      <a:avLst/>
                    </a:prstGeom>
                    <a:noFill/>
                  </pic:spPr>
                </pic:pic>
              </a:graphicData>
            </a:graphic>
          </wp:anchor>
        </w:drawing>
      </w:r>
    </w:p>
    <w:p>
      <w:pPr>
        <w:spacing w:after="0" w:line="153" w:lineRule="exact"/>
        <w:rPr>
          <w:sz w:val="20"/>
          <w:szCs w:val="20"/>
          <w:color w:val="auto"/>
        </w:rPr>
      </w:pPr>
    </w:p>
    <w:p>
      <w:pPr>
        <w:ind w:left="460" w:hanging="445"/>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elimination of non-recurring transaction costs incurred as a result of the Mobile Mini Merger.</w:t>
      </w:r>
    </w:p>
    <w:p>
      <w:pPr>
        <w:spacing w:after="0" w:line="22" w:lineRule="exact"/>
        <w:rPr>
          <w:rFonts w:ascii="Arial" w:cs="Arial" w:eastAsia="Arial" w:hAnsi="Arial"/>
          <w:sz w:val="13"/>
          <w:szCs w:val="13"/>
          <w:color w:val="auto"/>
        </w:rPr>
      </w:pPr>
    </w:p>
    <w:p>
      <w:pPr>
        <w:ind w:left="460" w:hanging="445"/>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adjustment for depreciation of rental fleet relating to the estimated increase in fair value purchase accounting adjustments as a result of the Merger.</w:t>
      </w:r>
    </w:p>
    <w:p>
      <w:pPr>
        <w:spacing w:after="0" w:line="22" w:lineRule="exact"/>
        <w:rPr>
          <w:rFonts w:ascii="Arial" w:cs="Arial" w:eastAsia="Arial" w:hAnsi="Arial"/>
          <w:sz w:val="13"/>
          <w:szCs w:val="13"/>
          <w:color w:val="auto"/>
        </w:rPr>
      </w:pPr>
    </w:p>
    <w:p>
      <w:pPr>
        <w:ind w:left="460" w:hanging="445"/>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differential in other depreciation and amortization expense related to the fair value purchase accounting adjustments as a result of the Merger.</w:t>
      </w:r>
    </w:p>
    <w:p>
      <w:pPr>
        <w:spacing w:after="0" w:line="22" w:lineRule="exact"/>
        <w:rPr>
          <w:rFonts w:ascii="Arial" w:cs="Arial" w:eastAsia="Arial" w:hAnsi="Arial"/>
          <w:sz w:val="13"/>
          <w:szCs w:val="13"/>
          <w:color w:val="auto"/>
        </w:rPr>
      </w:pPr>
    </w:p>
    <w:p>
      <w:pPr>
        <w:jc w:val="both"/>
        <w:ind w:left="460" w:hanging="445"/>
        <w:spacing w:after="0" w:line="215" w:lineRule="auto"/>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the adjustment for interest expense related to our debt structure after the Merger as though the following had occurred on January 1, 2019 (i) borrowings under the 2020 ABL Facility, (ii) borrowings under the 2025 Secured Notes, (iii) repayment of the 2017 ABL Facility, (iv) repayment of the 2022 Secured Notes and repayment of the Mobile Mini debt assumed at the Merger.</w:t>
      </w:r>
    </w:p>
    <w:p>
      <w:pPr>
        <w:spacing w:after="0" w:line="16" w:lineRule="exact"/>
        <w:rPr>
          <w:rFonts w:ascii="Arial" w:cs="Arial" w:eastAsia="Arial" w:hAnsi="Arial"/>
          <w:sz w:val="13"/>
          <w:szCs w:val="13"/>
          <w:color w:val="auto"/>
        </w:rPr>
      </w:pPr>
    </w:p>
    <w:p>
      <w:pPr>
        <w:ind w:left="460" w:hanging="445"/>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elimination of the one-time loss on extinguishment of debt in connection with the repayment of the 2022 Secured Notes and the 2017 ABL Facility.</w:t>
      </w:r>
    </w:p>
    <w:p>
      <w:pPr>
        <w:spacing w:after="0" w:line="22" w:lineRule="exact"/>
        <w:rPr>
          <w:rFonts w:ascii="Arial" w:cs="Arial" w:eastAsia="Arial" w:hAnsi="Arial"/>
          <w:sz w:val="13"/>
          <w:szCs w:val="13"/>
          <w:color w:val="auto"/>
        </w:rPr>
      </w:pPr>
    </w:p>
    <w:p>
      <w:pPr>
        <w:jc w:val="both"/>
        <w:ind w:left="460" w:right="20" w:hanging="445"/>
        <w:spacing w:after="0" w:line="210" w:lineRule="auto"/>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the three and nine months ended September 30, 2020 included adjustments of $54.1 million and $56.8 million, respectively, to eliminate the reversal of valuation allowance as a result of reassessment of the realizability of deferred tax assets as a result of the Merger.</w:t>
      </w:r>
    </w:p>
    <w:p>
      <w:pPr>
        <w:spacing w:after="0" w:line="17" w:lineRule="exact"/>
        <w:rPr>
          <w:rFonts w:ascii="Arial" w:cs="Arial" w:eastAsia="Arial" w:hAnsi="Arial"/>
          <w:sz w:val="13"/>
          <w:szCs w:val="13"/>
          <w:color w:val="auto"/>
        </w:rPr>
      </w:pPr>
    </w:p>
    <w:p>
      <w:pPr>
        <w:ind w:left="460" w:hanging="445"/>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the adjustment for the extinguishment of non-controlling interest as a result of the Sapphire Exchange on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-932815</wp:posOffset>
            </wp:positionV>
            <wp:extent cx="7144385" cy="1092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4385" cy="1092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-557530</wp:posOffset>
            </wp:positionV>
            <wp:extent cx="7144385" cy="1092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1092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-104775</wp:posOffset>
            </wp:positionV>
            <wp:extent cx="7144385" cy="1092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4385" cy="10922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Pr>
          <w:p>
            <w:pPr>
              <w:ind w:left="580"/>
              <w:spacing w:after="0"/>
              <w:rPr>
                <w:sz w:val="20"/>
                <w:szCs w:val="20"/>
                <w:color w:val="auto"/>
              </w:rPr>
            </w:pPr>
            <w:r>
              <w:rPr>
                <w:rFonts w:ascii="Arial" w:cs="Arial" w:eastAsia="Arial" w:hAnsi="Arial"/>
                <w:sz w:val="15"/>
                <w:szCs w:val="15"/>
                <w:color w:val="auto"/>
              </w:rPr>
              <w:t>The pro forma adjustment to interest expense consists of the following: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116"/>
        </w:trPr>
        <w:tc>
          <w:tcPr>
            <w:tcW w:w="6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40" w:type="dxa"/>
            <w:vAlign w:val="bottom"/>
          </w:tcPr>
          <w:p>
            <w:pPr>
              <w:spacing w:after="0"/>
              <w:rPr>
                <w:sz w:val="10"/>
                <w:szCs w:val="10"/>
                <w:color w:val="auto"/>
              </w:rPr>
            </w:pPr>
          </w:p>
        </w:tc>
      </w:tr>
      <w:tr>
        <w:trPr>
          <w:trHeight w:val="196"/>
        </w:trPr>
        <w:tc>
          <w:tcPr>
            <w:tcW w:w="66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80" w:type="dxa"/>
            <w:vAlign w:val="bottom"/>
            <w:shd w:val="clear" w:color="auto" w:fill="1D2758"/>
          </w:tcPr>
          <w:p>
            <w:pPr>
              <w:spacing w:after="0"/>
              <w:rPr>
                <w:sz w:val="17"/>
                <w:szCs w:val="17"/>
                <w:color w:val="auto"/>
              </w:rPr>
            </w:pPr>
          </w:p>
        </w:tc>
        <w:tc>
          <w:tcPr>
            <w:tcW w:w="4040" w:type="dxa"/>
            <w:vAlign w:val="bottom"/>
            <w:shd w:val="clear" w:color="auto" w:fill="1D2758"/>
          </w:tcPr>
          <w:p>
            <w:pPr>
              <w:jc w:val="right"/>
              <w:ind w:right="786"/>
              <w:spacing w:after="0"/>
              <w:rPr>
                <w:sz w:val="20"/>
                <w:szCs w:val="20"/>
                <w:color w:val="auto"/>
              </w:rPr>
            </w:pPr>
            <w:r>
              <w:rPr>
                <w:rFonts w:ascii="Arial" w:cs="Arial" w:eastAsia="Arial" w:hAnsi="Arial"/>
                <w:sz w:val="15"/>
                <w:szCs w:val="15"/>
                <w:b w:val="1"/>
                <w:bCs w:val="1"/>
                <w:color w:val="FFFFFF"/>
              </w:rPr>
              <w:t>Nine Months Ended September 30, 2020</w:t>
            </w:r>
          </w:p>
        </w:tc>
      </w:tr>
      <w:tr>
        <w:trPr>
          <w:trHeight w:val="198"/>
        </w:trPr>
        <w:tc>
          <w:tcPr>
            <w:tcW w:w="6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shd w:val="clear" w:color="auto" w:fill="1D2758"/>
          </w:tcPr>
          <w:p>
            <w:pPr>
              <w:spacing w:after="0"/>
              <w:rPr>
                <w:sz w:val="17"/>
                <w:szCs w:val="17"/>
                <w:color w:val="auto"/>
              </w:rPr>
            </w:pPr>
          </w:p>
        </w:tc>
        <w:tc>
          <w:tcPr>
            <w:tcW w:w="480" w:type="dxa"/>
            <w:vAlign w:val="bottom"/>
            <w:shd w:val="clear" w:color="auto" w:fill="1D2758"/>
          </w:tcPr>
          <w:p>
            <w:pPr>
              <w:spacing w:after="0"/>
              <w:rPr>
                <w:sz w:val="17"/>
                <w:szCs w:val="17"/>
                <w:color w:val="auto"/>
              </w:rPr>
            </w:pPr>
          </w:p>
        </w:tc>
        <w:tc>
          <w:tcPr>
            <w:tcW w:w="4040" w:type="dxa"/>
            <w:vAlign w:val="bottom"/>
            <w:shd w:val="clear" w:color="auto" w:fill="1D2758"/>
          </w:tcPr>
          <w:p>
            <w:pPr>
              <w:spacing w:after="0"/>
              <w:rPr>
                <w:sz w:val="17"/>
                <w:szCs w:val="17"/>
                <w:color w:val="auto"/>
              </w:rPr>
            </w:pPr>
          </w:p>
        </w:tc>
      </w:tr>
      <w:tr>
        <w:trPr>
          <w:trHeight w:val="197"/>
        </w:trPr>
        <w:tc>
          <w:tcPr>
            <w:tcW w:w="6620" w:type="dxa"/>
            <w:vAlign w:val="bottom"/>
            <w:shd w:val="clear" w:color="auto" w:fill="E7E7E8"/>
          </w:tcPr>
          <w:p>
            <w:pPr>
              <w:ind w:left="20"/>
              <w:spacing w:after="0"/>
              <w:rPr>
                <w:sz w:val="20"/>
                <w:szCs w:val="20"/>
                <w:color w:val="auto"/>
              </w:rPr>
            </w:pPr>
            <w:r>
              <w:rPr>
                <w:rFonts w:ascii="Arial" w:cs="Arial" w:eastAsia="Arial" w:hAnsi="Arial"/>
                <w:sz w:val="15"/>
                <w:szCs w:val="15"/>
                <w:color w:val="auto"/>
              </w:rPr>
              <w:t>ABL Facility interest</w:t>
            </w:r>
          </w:p>
        </w:tc>
        <w:tc>
          <w:tcPr>
            <w:tcW w:w="580" w:type="dxa"/>
            <w:vAlign w:val="bottom"/>
            <w:gridSpan w:val="2"/>
            <w:shd w:val="clear" w:color="auto" w:fill="DBDBDB"/>
          </w:tcPr>
          <w:p>
            <w:pPr>
              <w:jc w:val="right"/>
              <w:ind w:right="380"/>
              <w:spacing w:after="0"/>
              <w:rPr>
                <w:sz w:val="20"/>
                <w:szCs w:val="20"/>
                <w:color w:val="auto"/>
              </w:rPr>
            </w:pPr>
            <w:r>
              <w:rPr>
                <w:rFonts w:ascii="Arial" w:cs="Arial" w:eastAsia="Arial" w:hAnsi="Arial"/>
                <w:sz w:val="15"/>
                <w:szCs w:val="15"/>
                <w:color w:val="auto"/>
              </w:rPr>
              <w:t>$</w:t>
            </w:r>
          </w:p>
        </w:tc>
        <w:tc>
          <w:tcPr>
            <w:tcW w:w="4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(2,561)</w:t>
            </w:r>
          </w:p>
        </w:tc>
      </w:tr>
      <w:tr>
        <w:trPr>
          <w:trHeight w:val="194"/>
        </w:trPr>
        <w:tc>
          <w:tcPr>
            <w:tcW w:w="6620" w:type="dxa"/>
            <w:vAlign w:val="bottom"/>
          </w:tcPr>
          <w:p>
            <w:pPr>
              <w:ind w:left="20"/>
              <w:spacing w:after="0"/>
              <w:rPr>
                <w:sz w:val="20"/>
                <w:szCs w:val="20"/>
                <w:color w:val="auto"/>
              </w:rPr>
            </w:pPr>
            <w:r>
              <w:rPr>
                <w:rFonts w:ascii="Arial" w:cs="Arial" w:eastAsia="Arial" w:hAnsi="Arial"/>
                <w:sz w:val="15"/>
                <w:szCs w:val="15"/>
                <w:color w:val="auto"/>
              </w:rPr>
              <w:t>2022 Secured Notes interest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jc w:val="right"/>
              <w:spacing w:after="0"/>
              <w:rPr>
                <w:sz w:val="20"/>
                <w:szCs w:val="20"/>
                <w:color w:val="auto"/>
              </w:rPr>
            </w:pPr>
            <w:r>
              <w:rPr>
                <w:rFonts w:ascii="Arial" w:cs="Arial" w:eastAsia="Arial" w:hAnsi="Arial"/>
                <w:sz w:val="15"/>
                <w:szCs w:val="15"/>
                <w:color w:val="auto"/>
              </w:rPr>
              <w:t>(10,631)</w:t>
            </w:r>
          </w:p>
        </w:tc>
      </w:tr>
      <w:tr>
        <w:trPr>
          <w:trHeight w:val="199"/>
        </w:trPr>
        <w:tc>
          <w:tcPr>
            <w:tcW w:w="6620" w:type="dxa"/>
            <w:vAlign w:val="bottom"/>
            <w:shd w:val="clear" w:color="auto" w:fill="E7E7E8"/>
          </w:tcPr>
          <w:p>
            <w:pPr>
              <w:ind w:left="20"/>
              <w:spacing w:after="0"/>
              <w:rPr>
                <w:sz w:val="20"/>
                <w:szCs w:val="20"/>
                <w:color w:val="auto"/>
              </w:rPr>
            </w:pPr>
            <w:r>
              <w:rPr>
                <w:rFonts w:ascii="Arial" w:cs="Arial" w:eastAsia="Arial" w:hAnsi="Arial"/>
                <w:sz w:val="15"/>
                <w:szCs w:val="15"/>
                <w:color w:val="auto"/>
              </w:rPr>
              <w:t>2025 Secured Notes interest</w:t>
            </w: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4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18,247</w:t>
            </w:r>
          </w:p>
        </w:tc>
      </w:tr>
      <w:tr>
        <w:trPr>
          <w:trHeight w:val="194"/>
        </w:trPr>
        <w:tc>
          <w:tcPr>
            <w:tcW w:w="6620" w:type="dxa"/>
            <w:vAlign w:val="bottom"/>
          </w:tcPr>
          <w:p>
            <w:pPr>
              <w:ind w:left="20"/>
              <w:spacing w:after="0"/>
              <w:rPr>
                <w:sz w:val="20"/>
                <w:szCs w:val="20"/>
                <w:color w:val="auto"/>
              </w:rPr>
            </w:pPr>
            <w:r>
              <w:rPr>
                <w:rFonts w:ascii="Arial" w:cs="Arial" w:eastAsia="Arial" w:hAnsi="Arial"/>
                <w:sz w:val="15"/>
                <w:szCs w:val="15"/>
                <w:color w:val="auto"/>
              </w:rPr>
              <w:t>Mobile Mini debt interest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jc w:val="right"/>
              <w:spacing w:after="0"/>
              <w:rPr>
                <w:sz w:val="20"/>
                <w:szCs w:val="20"/>
                <w:color w:val="auto"/>
              </w:rPr>
            </w:pPr>
            <w:r>
              <w:rPr>
                <w:rFonts w:ascii="Arial" w:cs="Arial" w:eastAsia="Arial" w:hAnsi="Arial"/>
                <w:sz w:val="15"/>
                <w:szCs w:val="15"/>
                <w:color w:val="auto"/>
              </w:rPr>
              <w:t>(15,921)</w:t>
            </w:r>
          </w:p>
        </w:tc>
      </w:tr>
      <w:tr>
        <w:trPr>
          <w:trHeight w:val="197"/>
        </w:trPr>
        <w:tc>
          <w:tcPr>
            <w:tcW w:w="6620" w:type="dxa"/>
            <w:vAlign w:val="bottom"/>
            <w:shd w:val="clear" w:color="auto" w:fill="E7E7E8"/>
          </w:tcPr>
          <w:p>
            <w:pPr>
              <w:ind w:left="20"/>
              <w:spacing w:after="0"/>
              <w:rPr>
                <w:sz w:val="20"/>
                <w:szCs w:val="20"/>
                <w:color w:val="auto"/>
              </w:rPr>
            </w:pPr>
            <w:r>
              <w:rPr>
                <w:rFonts w:ascii="Arial" w:cs="Arial" w:eastAsia="Arial" w:hAnsi="Arial"/>
                <w:sz w:val="15"/>
                <w:szCs w:val="15"/>
                <w:color w:val="auto"/>
              </w:rPr>
              <w:t>Deferred financing fee amortization</w:t>
            </w:r>
          </w:p>
        </w:tc>
        <w:tc>
          <w:tcPr>
            <w:tcW w:w="100" w:type="dxa"/>
            <w:vAlign w:val="bottom"/>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4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1,058</w:t>
            </w:r>
          </w:p>
        </w:tc>
      </w:tr>
      <w:tr>
        <w:trPr>
          <w:trHeight w:val="192"/>
        </w:trPr>
        <w:tc>
          <w:tcPr>
            <w:tcW w:w="6620" w:type="dxa"/>
            <w:vAlign w:val="bottom"/>
          </w:tcPr>
          <w:p>
            <w:pPr>
              <w:ind w:left="20"/>
              <w:spacing w:after="0"/>
              <w:rPr>
                <w:sz w:val="20"/>
                <w:szCs w:val="20"/>
                <w:color w:val="auto"/>
              </w:rPr>
            </w:pPr>
            <w:r>
              <w:rPr>
                <w:rFonts w:ascii="Arial" w:cs="Arial" w:eastAsia="Arial" w:hAnsi="Arial"/>
                <w:sz w:val="15"/>
                <w:szCs w:val="15"/>
                <w:color w:val="auto"/>
              </w:rPr>
              <w:t>Net pro forma adjustment</w:t>
            </w:r>
          </w:p>
        </w:tc>
        <w:tc>
          <w:tcPr>
            <w:tcW w:w="5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4040" w:type="dxa"/>
            <w:vAlign w:val="bottom"/>
          </w:tcPr>
          <w:p>
            <w:pPr>
              <w:jc w:val="right"/>
              <w:spacing w:after="0"/>
              <w:rPr>
                <w:sz w:val="20"/>
                <w:szCs w:val="20"/>
                <w:color w:val="auto"/>
              </w:rPr>
            </w:pPr>
            <w:r>
              <w:rPr>
                <w:rFonts w:ascii="Arial" w:cs="Arial" w:eastAsia="Arial" w:hAnsi="Arial"/>
                <w:sz w:val="15"/>
                <w:szCs w:val="15"/>
                <w:color w:val="auto"/>
              </w:rPr>
              <w:t>(9,808)</w:t>
            </w: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21"/>
          <w:szCs w:val="21"/>
          <w:color w:val="1D2758"/>
        </w:rPr>
        <w:t>Reconciliation of Pro Forma Adjusted EBITDA</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unaudited table provides a reconciliation of Net income to pro forma unaudited adjusted EBITDA: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80" w:type="dxa"/>
            <w:vAlign w:val="bottom"/>
            <w:shd w:val="clear" w:color="auto" w:fill="1D2758"/>
          </w:tcPr>
          <w:p>
            <w:pPr>
              <w:spacing w:after="0"/>
              <w:rPr>
                <w:sz w:val="17"/>
                <w:szCs w:val="17"/>
                <w:color w:val="auto"/>
              </w:rPr>
            </w:pPr>
          </w:p>
        </w:tc>
        <w:tc>
          <w:tcPr>
            <w:tcW w:w="4040" w:type="dxa"/>
            <w:vAlign w:val="bottom"/>
            <w:shd w:val="clear" w:color="auto" w:fill="1D2758"/>
          </w:tcPr>
          <w:p>
            <w:pPr>
              <w:jc w:val="right"/>
              <w:ind w:right="786"/>
              <w:spacing w:after="0"/>
              <w:rPr>
                <w:sz w:val="20"/>
                <w:szCs w:val="20"/>
                <w:color w:val="auto"/>
              </w:rPr>
            </w:pPr>
            <w:r>
              <w:rPr>
                <w:rFonts w:ascii="Arial" w:cs="Arial" w:eastAsia="Arial" w:hAnsi="Arial"/>
                <w:sz w:val="15"/>
                <w:szCs w:val="15"/>
                <w:b w:val="1"/>
                <w:bCs w:val="1"/>
                <w:color w:val="FFFFFF"/>
              </w:rPr>
              <w:t>Nine Months Ended September 30, 2020</w:t>
            </w:r>
          </w:p>
        </w:tc>
      </w:tr>
      <w:tr>
        <w:trPr>
          <w:trHeight w:val="197"/>
        </w:trPr>
        <w:tc>
          <w:tcPr>
            <w:tcW w:w="6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shd w:val="clear" w:color="auto" w:fill="1D2758"/>
          </w:tcPr>
          <w:p>
            <w:pPr>
              <w:spacing w:after="0"/>
              <w:rPr>
                <w:sz w:val="17"/>
                <w:szCs w:val="17"/>
                <w:color w:val="auto"/>
              </w:rPr>
            </w:pPr>
          </w:p>
        </w:tc>
        <w:tc>
          <w:tcPr>
            <w:tcW w:w="480" w:type="dxa"/>
            <w:vAlign w:val="bottom"/>
            <w:shd w:val="clear" w:color="auto" w:fill="1D2758"/>
          </w:tcPr>
          <w:p>
            <w:pPr>
              <w:spacing w:after="0"/>
              <w:rPr>
                <w:sz w:val="17"/>
                <w:szCs w:val="17"/>
                <w:color w:val="auto"/>
              </w:rPr>
            </w:pPr>
          </w:p>
        </w:tc>
        <w:tc>
          <w:tcPr>
            <w:tcW w:w="4040" w:type="dxa"/>
            <w:vAlign w:val="bottom"/>
            <w:shd w:val="clear" w:color="auto" w:fill="1D2758"/>
          </w:tcPr>
          <w:p>
            <w:pPr>
              <w:spacing w:after="0"/>
              <w:rPr>
                <w:sz w:val="17"/>
                <w:szCs w:val="17"/>
                <w:color w:val="auto"/>
              </w:rPr>
            </w:pPr>
          </w:p>
        </w:tc>
      </w:tr>
      <w:tr>
        <w:trPr>
          <w:trHeight w:val="197"/>
        </w:trPr>
        <w:tc>
          <w:tcPr>
            <w:tcW w:w="6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580" w:type="dxa"/>
            <w:vAlign w:val="bottom"/>
            <w:gridSpan w:val="2"/>
            <w:shd w:val="clear" w:color="auto" w:fill="DBDBDB"/>
          </w:tcPr>
          <w:p>
            <w:pPr>
              <w:jc w:val="right"/>
              <w:ind w:right="380"/>
              <w:spacing w:after="0"/>
              <w:rPr>
                <w:sz w:val="20"/>
                <w:szCs w:val="20"/>
                <w:color w:val="auto"/>
              </w:rPr>
            </w:pPr>
            <w:r>
              <w:rPr>
                <w:rFonts w:ascii="Arial" w:cs="Arial" w:eastAsia="Arial" w:hAnsi="Arial"/>
                <w:sz w:val="15"/>
                <w:szCs w:val="15"/>
                <w:color w:val="auto"/>
              </w:rPr>
              <w:t>$</w:t>
            </w:r>
          </w:p>
        </w:tc>
        <w:tc>
          <w:tcPr>
            <w:tcW w:w="4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116,678</w:t>
            </w:r>
          </w:p>
        </w:tc>
      </w:tr>
      <w:tr>
        <w:trPr>
          <w:trHeight w:val="194"/>
        </w:trPr>
        <w:tc>
          <w:tcPr>
            <w:tcW w:w="662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jc w:val="right"/>
              <w:spacing w:after="0"/>
              <w:rPr>
                <w:sz w:val="20"/>
                <w:szCs w:val="20"/>
                <w:color w:val="auto"/>
              </w:rPr>
            </w:pPr>
            <w:r>
              <w:rPr>
                <w:rFonts w:ascii="Arial" w:cs="Arial" w:eastAsia="Arial" w:hAnsi="Arial"/>
                <w:sz w:val="15"/>
                <w:szCs w:val="15"/>
                <w:color w:val="auto"/>
              </w:rPr>
              <w:t>22,300</w:t>
            </w:r>
          </w:p>
        </w:tc>
      </w:tr>
      <w:tr>
        <w:trPr>
          <w:trHeight w:val="199"/>
        </w:trPr>
        <w:tc>
          <w:tcPr>
            <w:tcW w:w="6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4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22,719</w:t>
            </w:r>
          </w:p>
        </w:tc>
      </w:tr>
      <w:tr>
        <w:trPr>
          <w:trHeight w:val="194"/>
        </w:trPr>
        <w:tc>
          <w:tcPr>
            <w:tcW w:w="6620" w:type="dxa"/>
            <w:vAlign w:val="bottom"/>
          </w:tcPr>
          <w:p>
            <w:pPr>
              <w:ind w:left="220"/>
              <w:spacing w:after="0"/>
              <w:rPr>
                <w:sz w:val="20"/>
                <w:szCs w:val="20"/>
                <w:color w:val="auto"/>
              </w:rPr>
            </w:pPr>
            <w:r>
              <w:rPr>
                <w:rFonts w:ascii="Arial" w:cs="Arial" w:eastAsia="Arial" w:hAnsi="Arial"/>
                <w:sz w:val="15"/>
                <w:szCs w:val="15"/>
                <w:color w:val="auto"/>
              </w:rPr>
              <w:t>Fair value gain on common stock warrant liabilities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jc w:val="right"/>
              <w:spacing w:after="0"/>
              <w:rPr>
                <w:sz w:val="20"/>
                <w:szCs w:val="20"/>
                <w:color w:val="auto"/>
              </w:rPr>
            </w:pPr>
            <w:r>
              <w:rPr>
                <w:rFonts w:ascii="Arial" w:cs="Arial" w:eastAsia="Arial" w:hAnsi="Arial"/>
                <w:sz w:val="15"/>
                <w:szCs w:val="15"/>
                <w:color w:val="auto"/>
              </w:rPr>
              <w:t>(46,063)</w:t>
            </w:r>
          </w:p>
        </w:tc>
      </w:tr>
      <w:tr>
        <w:trPr>
          <w:trHeight w:val="199"/>
        </w:trPr>
        <w:tc>
          <w:tcPr>
            <w:tcW w:w="6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4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96,976</w:t>
            </w:r>
          </w:p>
        </w:tc>
      </w:tr>
      <w:tr>
        <w:trPr>
          <w:trHeight w:val="194"/>
        </w:trPr>
        <w:tc>
          <w:tcPr>
            <w:tcW w:w="662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jc w:val="right"/>
              <w:spacing w:after="0"/>
              <w:rPr>
                <w:sz w:val="20"/>
                <w:szCs w:val="20"/>
                <w:color w:val="auto"/>
              </w:rPr>
            </w:pPr>
            <w:r>
              <w:rPr>
                <w:rFonts w:ascii="Arial" w:cs="Arial" w:eastAsia="Arial" w:hAnsi="Arial"/>
                <w:sz w:val="15"/>
                <w:szCs w:val="15"/>
                <w:color w:val="auto"/>
              </w:rPr>
              <w:t>217,889</w:t>
            </w:r>
          </w:p>
        </w:tc>
      </w:tr>
      <w:tr>
        <w:trPr>
          <w:trHeight w:val="199"/>
        </w:trPr>
        <w:tc>
          <w:tcPr>
            <w:tcW w:w="6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4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186</w:t>
            </w:r>
          </w:p>
        </w:tc>
      </w:tr>
      <w:tr>
        <w:trPr>
          <w:trHeight w:val="194"/>
        </w:trPr>
        <w:tc>
          <w:tcPr>
            <w:tcW w:w="662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other related charges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jc w:val="right"/>
              <w:spacing w:after="0"/>
              <w:rPr>
                <w:sz w:val="20"/>
                <w:szCs w:val="20"/>
                <w:color w:val="auto"/>
              </w:rPr>
            </w:pPr>
            <w:r>
              <w:rPr>
                <w:rFonts w:ascii="Arial" w:cs="Arial" w:eastAsia="Arial" w:hAnsi="Arial"/>
                <w:sz w:val="15"/>
                <w:szCs w:val="15"/>
                <w:color w:val="auto"/>
              </w:rPr>
              <w:t>8,542</w:t>
            </w:r>
          </w:p>
        </w:tc>
      </w:tr>
      <w:tr>
        <w:trPr>
          <w:trHeight w:val="199"/>
        </w:trPr>
        <w:tc>
          <w:tcPr>
            <w:tcW w:w="6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4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10,921</w:t>
            </w:r>
          </w:p>
        </w:tc>
      </w:tr>
      <w:tr>
        <w:trPr>
          <w:trHeight w:val="194"/>
        </w:trPr>
        <w:tc>
          <w:tcPr>
            <w:tcW w:w="662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jc w:val="right"/>
              <w:spacing w:after="0"/>
              <w:rPr>
                <w:sz w:val="20"/>
                <w:szCs w:val="20"/>
                <w:color w:val="auto"/>
              </w:rPr>
            </w:pPr>
            <w:r>
              <w:rPr>
                <w:rFonts w:ascii="Arial" w:cs="Arial" w:eastAsia="Arial" w:hAnsi="Arial"/>
                <w:sz w:val="15"/>
                <w:szCs w:val="15"/>
                <w:color w:val="auto"/>
              </w:rPr>
              <w:t>12,359</w:t>
            </w:r>
          </w:p>
        </w:tc>
      </w:tr>
      <w:tr>
        <w:trPr>
          <w:trHeight w:val="197"/>
        </w:trPr>
        <w:tc>
          <w:tcPr>
            <w:tcW w:w="6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4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4,274</w:t>
            </w:r>
          </w:p>
        </w:tc>
      </w:tr>
      <w:tr>
        <w:trPr>
          <w:trHeight w:val="192"/>
        </w:trPr>
        <w:tc>
          <w:tcPr>
            <w:tcW w:w="662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5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4040" w:type="dxa"/>
            <w:vAlign w:val="bottom"/>
          </w:tcPr>
          <w:p>
            <w:pPr>
              <w:jc w:val="right"/>
              <w:spacing w:after="0"/>
              <w:rPr>
                <w:sz w:val="20"/>
                <w:szCs w:val="20"/>
                <w:color w:val="auto"/>
              </w:rPr>
            </w:pPr>
            <w:r>
              <w:rPr>
                <w:rFonts w:ascii="Arial" w:cs="Arial" w:eastAsia="Arial" w:hAnsi="Arial"/>
                <w:sz w:val="15"/>
                <w:szCs w:val="15"/>
                <w:color w:val="auto"/>
              </w:rPr>
              <w:t>466,781</w:t>
            </w: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61" w:name="page62"/>
    <w:bookmarkEnd w:id="61"/>
    <w:p>
      <w:pPr>
        <w:spacing w:after="0"/>
        <w:rPr>
          <w:sz w:val="20"/>
          <w:szCs w:val="20"/>
          <w:color w:val="auto"/>
        </w:rPr>
      </w:pPr>
      <w:r>
        <w:rPr>
          <w:rFonts w:ascii="Arial" w:cs="Arial" w:eastAsia="Arial" w:hAnsi="Arial"/>
          <w:sz w:val="21"/>
          <w:szCs w:val="21"/>
          <w:color w:val="1D2758"/>
        </w:rPr>
        <w:t>Reconciliation of Pro Forma Net Income Excluding Gain/Loss from Warrants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360" w:type="dxa"/>
            <w:vAlign w:val="bottom"/>
            <w:gridSpan w:val="2"/>
          </w:tcPr>
          <w:p>
            <w:pPr>
              <w:jc w:val="right"/>
              <w:ind w:right="646"/>
              <w:spacing w:after="0"/>
              <w:rPr>
                <w:sz w:val="20"/>
                <w:szCs w:val="20"/>
                <w:color w:val="auto"/>
              </w:rPr>
            </w:pPr>
            <w:r>
              <w:rPr>
                <w:rFonts w:ascii="Arial" w:cs="Arial" w:eastAsia="Arial" w:hAnsi="Arial"/>
                <w:sz w:val="15"/>
                <w:szCs w:val="15"/>
                <w:color w:val="auto"/>
              </w:rPr>
              <w:t>The following unaudited table provides a reconciliation of Net income to pro forma unaudited net income excluding gain/loss from warrants:</w:t>
            </w:r>
          </w:p>
        </w:tc>
        <w:tc>
          <w:tcPr>
            <w:tcW w:w="880" w:type="dxa"/>
            <w:vAlign w:val="bottom"/>
          </w:tcPr>
          <w:p>
            <w:pPr>
              <w:spacing w:after="0"/>
              <w:rPr>
                <w:sz w:val="15"/>
                <w:szCs w:val="15"/>
                <w:color w:val="auto"/>
              </w:rPr>
            </w:pPr>
          </w:p>
        </w:tc>
      </w:tr>
      <w:tr>
        <w:trPr>
          <w:trHeight w:val="116"/>
        </w:trPr>
        <w:tc>
          <w:tcPr>
            <w:tcW w:w="65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96"/>
        </w:trPr>
        <w:tc>
          <w:tcPr>
            <w:tcW w:w="6500" w:type="dxa"/>
            <w:vAlign w:val="bottom"/>
            <w:shd w:val="clear" w:color="auto" w:fill="1D2758"/>
          </w:tcPr>
          <w:p>
            <w:pPr>
              <w:spacing w:after="0"/>
              <w:rPr>
                <w:sz w:val="17"/>
                <w:szCs w:val="17"/>
                <w:color w:val="auto"/>
              </w:rPr>
            </w:pPr>
          </w:p>
        </w:tc>
        <w:tc>
          <w:tcPr>
            <w:tcW w:w="3860" w:type="dxa"/>
            <w:vAlign w:val="bottom"/>
            <w:shd w:val="clear" w:color="auto" w:fill="1D2758"/>
          </w:tcPr>
          <w:p>
            <w:pPr>
              <w:jc w:val="right"/>
              <w:ind w:right="206"/>
              <w:spacing w:after="0"/>
              <w:rPr>
                <w:sz w:val="20"/>
                <w:szCs w:val="20"/>
                <w:color w:val="auto"/>
              </w:rPr>
            </w:pPr>
            <w:r>
              <w:rPr>
                <w:rFonts w:ascii="Arial" w:cs="Arial" w:eastAsia="Arial" w:hAnsi="Arial"/>
                <w:sz w:val="15"/>
                <w:szCs w:val="15"/>
                <w:b w:val="1"/>
                <w:bCs w:val="1"/>
                <w:color w:val="FFFFFF"/>
              </w:rPr>
              <w:t>Nine Months Ended September 30,</w:t>
            </w:r>
          </w:p>
        </w:tc>
        <w:tc>
          <w:tcPr>
            <w:tcW w:w="880" w:type="dxa"/>
            <w:vAlign w:val="bottom"/>
            <w:shd w:val="clear" w:color="auto" w:fill="1D2758"/>
          </w:tcPr>
          <w:p>
            <w:pPr>
              <w:spacing w:after="0"/>
              <w:rPr>
                <w:sz w:val="17"/>
                <w:szCs w:val="17"/>
                <w:color w:val="auto"/>
              </w:rPr>
            </w:pPr>
          </w:p>
        </w:tc>
      </w:tr>
      <w:tr>
        <w:trPr>
          <w:trHeight w:val="198"/>
        </w:trPr>
        <w:tc>
          <w:tcPr>
            <w:tcW w:w="6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60" w:type="dxa"/>
            <w:vAlign w:val="bottom"/>
            <w:shd w:val="clear" w:color="auto" w:fill="1D2758"/>
          </w:tcPr>
          <w:p>
            <w:pPr>
              <w:jc w:val="right"/>
              <w:ind w:right="1206"/>
              <w:spacing w:after="0"/>
              <w:rPr>
                <w:sz w:val="20"/>
                <w:szCs w:val="20"/>
                <w:color w:val="auto"/>
              </w:rPr>
            </w:pPr>
            <w:r>
              <w:rPr>
                <w:rFonts w:ascii="Arial" w:cs="Arial" w:eastAsia="Arial" w:hAnsi="Arial"/>
                <w:sz w:val="15"/>
                <w:szCs w:val="15"/>
                <w:b w:val="1"/>
                <w:bCs w:val="1"/>
                <w:color w:val="FFFFFF"/>
              </w:rPr>
              <w:t>2020</w:t>
            </w:r>
          </w:p>
        </w:tc>
        <w:tc>
          <w:tcPr>
            <w:tcW w:w="880" w:type="dxa"/>
            <w:vAlign w:val="bottom"/>
            <w:shd w:val="clear" w:color="auto" w:fill="1D2758"/>
          </w:tcPr>
          <w:p>
            <w:pPr>
              <w:spacing w:after="0"/>
              <w:rPr>
                <w:sz w:val="17"/>
                <w:szCs w:val="17"/>
                <w:color w:val="auto"/>
              </w:rPr>
            </w:pPr>
          </w:p>
        </w:tc>
      </w:tr>
      <w:tr>
        <w:trPr>
          <w:trHeight w:val="197"/>
        </w:trPr>
        <w:tc>
          <w:tcPr>
            <w:tcW w:w="6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860" w:type="dxa"/>
            <w:vAlign w:val="bottom"/>
            <w:shd w:val="clear" w:color="auto" w:fill="DBDBDB"/>
          </w:tcPr>
          <w:p>
            <w:pPr>
              <w:jc w:val="right"/>
              <w:ind w:right="3606"/>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116,678</w:t>
            </w:r>
          </w:p>
        </w:tc>
      </w:tr>
      <w:tr>
        <w:trPr>
          <w:trHeight w:val="194"/>
        </w:trPr>
        <w:tc>
          <w:tcPr>
            <w:tcW w:w="65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Fair value gain on common stock warrant liabilities</w:t>
            </w:r>
          </w:p>
        </w:tc>
        <w:tc>
          <w:tcPr>
            <w:tcW w:w="38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(46,063)</w:t>
            </w:r>
          </w:p>
        </w:tc>
      </w:tr>
      <w:tr>
        <w:trPr>
          <w:trHeight w:val="217"/>
        </w:trPr>
        <w:tc>
          <w:tcPr>
            <w:tcW w:w="6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 excluding gain/loss from warrants</w:t>
            </w:r>
          </w:p>
        </w:tc>
        <w:tc>
          <w:tcPr>
            <w:tcW w:w="3860" w:type="dxa"/>
            <w:vAlign w:val="bottom"/>
            <w:tcBorders>
              <w:bottom w:val="single" w:sz="8" w:color="auto"/>
            </w:tcBorders>
            <w:shd w:val="clear" w:color="auto" w:fill="DBDBDB"/>
          </w:tcPr>
          <w:p>
            <w:pPr>
              <w:jc w:val="right"/>
              <w:ind w:right="3606"/>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70,615</w:t>
            </w:r>
          </w:p>
        </w:tc>
      </w:tr>
      <w:tr>
        <w:trPr>
          <w:trHeight w:val="20"/>
        </w:trPr>
        <w:tc>
          <w:tcPr>
            <w:tcW w:w="6500" w:type="dxa"/>
            <w:vAlign w:val="bottom"/>
            <w:tcBorders>
              <w:top w:val="single" w:sz="8" w:color="DBDBDB"/>
            </w:tcBorders>
          </w:tcPr>
          <w:p>
            <w:pPr>
              <w:spacing w:after="0" w:line="20" w:lineRule="exact"/>
              <w:rPr>
                <w:sz w:val="1"/>
                <w:szCs w:val="1"/>
                <w:color w:val="auto"/>
              </w:rPr>
            </w:pPr>
          </w:p>
        </w:tc>
        <w:tc>
          <w:tcPr>
            <w:tcW w:w="38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1D2758"/>
        </w:rPr>
        <w:t>Critical Accounting Policies and Estimates</w:t>
      </w:r>
    </w:p>
    <w:p>
      <w:pPr>
        <w:spacing w:after="0" w:line="10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4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10-K/A for the year ended December 31, 2020 (the "2020 Annual Report on Form 10-K/A").</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There were no significant changes to our critical accounting policies during the nine months ended September 30, 2021.</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1D2758"/>
        </w:rPr>
        <w:t>Recently Issued Accounting Standards</w:t>
      </w:r>
    </w:p>
    <w:p>
      <w:pPr>
        <w:spacing w:after="0" w:line="51"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Refer to Part I, Item 1, Note 1 of the notes to our financial statements included in this Quarterly Report on Form 10-Q for our assessment of recently issued and adopted accounting standards.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1D2758"/>
        </w:rPr>
        <w:t>Cautionary Note Regarding Forward-Looking Statements</w:t>
      </w:r>
    </w:p>
    <w:p>
      <w:pPr>
        <w:spacing w:after="0" w:line="5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45"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Mobile Mini believes that these forward-looking statements are based on reasonable assumptions, it can give no assurance that any such forward-looking statement will materialize.</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Important factors that may affect actual results or outcomes include, among others:</w:t>
      </w:r>
    </w:p>
    <w:p>
      <w:pPr>
        <w:spacing w:after="0" w:line="49" w:lineRule="exact"/>
        <w:rPr>
          <w:sz w:val="20"/>
          <w:szCs w:val="20"/>
          <w:color w:val="auto"/>
        </w:rPr>
      </w:pPr>
    </w:p>
    <w:p>
      <w:pPr>
        <w:ind w:left="580" w:hanging="287"/>
        <w:spacing w:after="0" w:line="246" w:lineRule="auto"/>
        <w:tabs>
          <w:tab w:leader="none" w:pos="57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 including Mobile Mini and our conversion to its enterprise resource planning system, and to realize anticipated synergies from the Merger with Mobile Mini;</w:t>
      </w:r>
    </w:p>
    <w:p>
      <w:pPr>
        <w:spacing w:after="0" w:line="39"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48" w:lineRule="exact"/>
        <w:rPr>
          <w:rFonts w:ascii="Arial" w:cs="Arial" w:eastAsia="Arial" w:hAnsi="Arial"/>
          <w:sz w:val="15"/>
          <w:szCs w:val="15"/>
          <w:color w:val="auto"/>
        </w:rPr>
      </w:pPr>
    </w:p>
    <w:p>
      <w:pPr>
        <w:ind w:left="580" w:hanging="287"/>
        <w:spacing w:after="0" w:line="246" w:lineRule="auto"/>
        <w:tabs>
          <w:tab w:leader="none" w:pos="57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spacing w:after="0" w:line="39" w:lineRule="exact"/>
        <w:rPr>
          <w:rFonts w:ascii="Arial" w:cs="Arial" w:eastAsia="Arial" w:hAnsi="Arial"/>
          <w:sz w:val="15"/>
          <w:szCs w:val="15"/>
          <w:color w:val="auto"/>
        </w:rPr>
      </w:pPr>
    </w:p>
    <w:p>
      <w:pPr>
        <w:ind w:left="580" w:hanging="287"/>
        <w:spacing w:after="0" w:line="246" w:lineRule="auto"/>
        <w:tabs>
          <w:tab w:leader="none" w:pos="57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impact of the global pandemic related to COVID-19, including the financial condition of the Company’s customers and suppliers and employee health and safety;</w:t>
      </w:r>
    </w:p>
    <w:p>
      <w:pPr>
        <w:spacing w:after="0" w:line="39" w:lineRule="exact"/>
        <w:rPr>
          <w:rFonts w:ascii="Arial" w:cs="Arial" w:eastAsia="Arial" w:hAnsi="Arial"/>
          <w:sz w:val="15"/>
          <w:szCs w:val="15"/>
          <w:color w:val="auto"/>
        </w:rPr>
      </w:pPr>
    </w:p>
    <w:p>
      <w:pPr>
        <w:ind w:left="580" w:hanging="287"/>
        <w:spacing w:after="0" w:line="246" w:lineRule="auto"/>
        <w:tabs>
          <w:tab w:leader="none" w:pos="57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risks associated with cybersecurity and IT systems disruptions, including our ability to manage the business in the event a disaster shuts down our management information systems;</w:t>
      </w:r>
    </w:p>
    <w:p>
      <w:pPr>
        <w:spacing w:after="0" w:line="39"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portable storage and tank and pump industries;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2" w:name="page63"/>
    <w:bookmarkEnd w:id="62"/>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and recover our rental equipment;</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effectively launch operations into new geographic markets and/or add other business unit operations in existing markets;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significant increases in raw material and labor costs;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fluctuations in fuel costs or oil prices, a reduction in fuel supplies, or a sustained decline in oil prices;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failure to retain key personnel;</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unanticipated changes in our tax obligations, the adoption of a new tax legislation, or exposure to additional income tax liabilities;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various laws and regulations, including those governing government contracts, corruption and the environment;</w:t>
      </w:r>
    </w:p>
    <w:p>
      <w:pPr>
        <w:spacing w:after="0" w:line="48" w:lineRule="exact"/>
        <w:rPr>
          <w:rFonts w:ascii="Arial" w:cs="Arial" w:eastAsia="Arial" w:hAnsi="Arial"/>
          <w:sz w:val="15"/>
          <w:szCs w:val="15"/>
          <w:color w:val="auto"/>
        </w:rPr>
      </w:pPr>
    </w:p>
    <w:p>
      <w:pPr>
        <w:ind w:left="580" w:hanging="287"/>
        <w:spacing w:after="0" w:line="246" w:lineRule="auto"/>
        <w:tabs>
          <w:tab w:leader="none" w:pos="57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39"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risks associated with operational measures designed to increase revenue while continuing to control operating costs;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redeploy our units effectively should a significant number of our leased units be returned during a short period of time;</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fluctuations in the fair value of common stock warrant liabilities;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 and remediate material weaknesses;</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public company requirements that may strain our resources and divert management's attention;</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manage growth and execute our business plan;</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in the supply and price of new and used products we lease;</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unanticipated threats including market entry by a new competitor;</w:t>
      </w:r>
    </w:p>
    <w:p>
      <w:pPr>
        <w:spacing w:after="0" w:line="48" w:lineRule="exact"/>
        <w:rPr>
          <w:rFonts w:ascii="Arial" w:cs="Arial" w:eastAsia="Arial" w:hAnsi="Arial"/>
          <w:sz w:val="15"/>
          <w:szCs w:val="15"/>
          <w:color w:val="auto"/>
        </w:rPr>
      </w:pPr>
    </w:p>
    <w:p>
      <w:pPr>
        <w:ind w:left="580" w:hanging="287"/>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rising costs adversely affecting our profitability; and</w:t>
      </w:r>
    </w:p>
    <w:p>
      <w:pPr>
        <w:spacing w:after="0" w:line="48" w:lineRule="exact"/>
        <w:rPr>
          <w:rFonts w:ascii="Arial" w:cs="Arial" w:eastAsia="Arial" w:hAnsi="Arial"/>
          <w:sz w:val="15"/>
          <w:szCs w:val="15"/>
          <w:color w:val="auto"/>
        </w:rPr>
      </w:pPr>
    </w:p>
    <w:p>
      <w:pPr>
        <w:ind w:left="580" w:hanging="287"/>
        <w:spacing w:after="0" w:line="246" w:lineRule="auto"/>
        <w:tabs>
          <w:tab w:leader="none" w:pos="57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2020 Annual Report on Form 10-K/A), which are available through the SEC’s EDGAR system at www.sec.gov and on our website.</w:t>
      </w:r>
    </w:p>
    <w:p>
      <w:pPr>
        <w:spacing w:after="0" w:line="40" w:lineRule="exact"/>
        <w:rPr>
          <w:sz w:val="20"/>
          <w:szCs w:val="20"/>
          <w:color w:val="auto"/>
        </w:rPr>
      </w:pPr>
    </w:p>
    <w:p>
      <w:pPr>
        <w:ind w:firstLine="590"/>
        <w:spacing w:after="0" w:line="246" w:lineRule="auto"/>
        <w:rPr>
          <w:sz w:val="20"/>
          <w:szCs w:val="20"/>
          <w:color w:val="auto"/>
        </w:rPr>
      </w:pPr>
      <w:r>
        <w:rPr>
          <w:rFonts w:ascii="Arial" w:cs="Arial" w:eastAsia="Arial" w:hAnsi="Arial"/>
          <w:sz w:val="15"/>
          <w:szCs w:val="15"/>
          <w:color w:val="auto"/>
        </w:rPr>
        <w:t>Any forward-looking statement speaks only at the date which it is made, and WillScot Mobile Mini undertakes no obligation, and disclaims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63" w:name="page64"/>
    <w:bookmarkEnd w:id="63"/>
    <w:p>
      <w:pPr>
        <w:ind w:left="1660" w:right="320" w:hanging="1770"/>
        <w:spacing w:after="0" w:line="286" w:lineRule="auto"/>
        <w:tabs>
          <w:tab w:leader="none" w:pos="1640" w:val="left"/>
        </w:tabs>
        <w:rPr>
          <w:sz w:val="20"/>
          <w:szCs w:val="20"/>
          <w:color w:val="auto"/>
        </w:rPr>
      </w:pPr>
      <w:r>
        <w:rPr>
          <w:rFonts w:ascii="Arial" w:cs="Arial" w:eastAsia="Arial" w:hAnsi="Arial"/>
          <w:sz w:val="36"/>
          <w:szCs w:val="36"/>
          <w:b w:val="1"/>
          <w:bCs w:val="1"/>
          <w:color w:val="auto"/>
        </w:rPr>
        <w:t>ITEM 3.</w:t>
        <w:tab/>
        <w:t>Quantitative and Qualitative Disclosures about Market Risk</w:t>
      </w:r>
    </w:p>
    <w:p>
      <w:pPr>
        <w:spacing w:after="0" w:line="2"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based on LIBOR. We had $1.6 billion in outstanding principal under the ABL Facility at September 30, 2021.</w:t>
      </w:r>
    </w:p>
    <w:p>
      <w:pPr>
        <w:spacing w:after="0" w:line="40"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In order to manage this risk, on November 6, 2018, WSII entered into an interest rate swap agreement that effectively converts $400.0 million in aggregate notional amount of variable-rate debt under our ABL Facility into fixed-rate debt. The swap agreement provides for WillScot Mobile Mini to pay a fixed rate of 3.06% per annum on the outstanding debt in exchange for receiving a variable interest rate based on 1-month LIBOR. The effect is a synthetically fixed rate of 4.92% on the $400.0 million notional amount, when including the current applicable margin.</w:t>
      </w:r>
    </w:p>
    <w:p>
      <w:pPr>
        <w:spacing w:after="0" w:line="45"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An increase in interest rates by 100 basis points on our ABL Facility, inclusive of the impact of our interest rate swaps, would increase our quarter to date interest expense by approximately $2.7 million based on current outstanding borrowings.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3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4"/>
          <w:szCs w:val="14"/>
          <w:color w:val="auto"/>
        </w:rPr>
        <w:t>We currently generate the majority of our consolidated net revenues in the US, and the reporting currency for our consolidated financial statements is the US dollar. However, we are exposed to currency risk principally through our operations in Canada and the United Kingdom.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3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 To date, we have not entered into any hedging arrangements with respect to foreign currency risk.</w:t>
      </w:r>
    </w:p>
    <w:p>
      <w:pPr>
        <w:spacing w:after="0" w:line="286" w:lineRule="exact"/>
        <w:rPr>
          <w:sz w:val="20"/>
          <w:szCs w:val="20"/>
          <w:color w:val="auto"/>
        </w:rPr>
      </w:pPr>
    </w:p>
    <w:p>
      <w:pPr>
        <w:spacing w:after="0"/>
        <w:tabs>
          <w:tab w:leader="none" w:pos="1640" w:val="left"/>
        </w:tabs>
        <w:rPr>
          <w:sz w:val="20"/>
          <w:szCs w:val="20"/>
          <w:color w:val="auto"/>
        </w:rPr>
      </w:pPr>
      <w:r>
        <w:rPr>
          <w:rFonts w:ascii="Arial" w:cs="Arial" w:eastAsia="Arial" w:hAnsi="Arial"/>
          <w:sz w:val="36"/>
          <w:szCs w:val="36"/>
          <w:b w:val="1"/>
          <w:bCs w:val="1"/>
          <w:color w:val="auto"/>
        </w:rPr>
        <w:t>ITEM 4.</w:t>
      </w:r>
      <w:r>
        <w:rPr>
          <w:sz w:val="20"/>
          <w:szCs w:val="20"/>
          <w:color w:val="auto"/>
        </w:rPr>
        <w:tab/>
      </w:r>
      <w:r>
        <w:rPr>
          <w:rFonts w:ascii="Arial" w:cs="Arial" w:eastAsia="Arial" w:hAnsi="Arial"/>
          <w:sz w:val="35"/>
          <w:szCs w:val="35"/>
          <w:b w:val="1"/>
          <w:bCs w:val="1"/>
          <w:color w:val="auto"/>
        </w:rPr>
        <w:t>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3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September 30, 2021. Based upon that evaluation, our Chief Executive Officer and Chief Financial Officer concluded that our disclosure controls and procedures were effective as of September 30, 2021.</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Controls</w:t>
      </w:r>
    </w:p>
    <w:p>
      <w:pPr>
        <w:spacing w:after="0" w:line="134"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During the second quarter of 2021, our legacy WillScot business began using the enterprise resource planning system (“ERP”) utilized by the legacy Mobile Mini business. We believe that consolidation of our operations into a single ERP will improve the overall system of internal controls over financial reporting, enable us to standardize processes across our business and facilitate the realization of cost savings. We completed the system conversion in the second quarter of 2021, and as a result, modified certain internal controls over financial reporting. During the third quarter of 2021, certain internal control processes were updated to reflect the ERP implementation.</w:t>
      </w:r>
    </w:p>
    <w:p>
      <w:pPr>
        <w:spacing w:after="0" w:line="93"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Other than the item discussed above, there were no changes in our internal control over financial reporting that occurred during our quarter ended September 30,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36"/>
          <w:szCs w:val="36"/>
          <w:b w:val="1"/>
          <w:bCs w:val="1"/>
          <w:color w:val="1D2758"/>
        </w:rPr>
        <w:t>PART II</w:t>
      </w:r>
    </w:p>
    <w:p>
      <w:pPr>
        <w:spacing w:after="0" w:line="398" w:lineRule="exact"/>
        <w:rPr>
          <w:sz w:val="20"/>
          <w:szCs w:val="20"/>
          <w:color w:val="auto"/>
        </w:rPr>
      </w:pPr>
    </w:p>
    <w:p>
      <w:pPr>
        <w:spacing w:after="0"/>
        <w:tabs>
          <w:tab w:leader="none" w:pos="1640" w:val="left"/>
        </w:tabs>
        <w:rPr>
          <w:sz w:val="20"/>
          <w:szCs w:val="20"/>
          <w:color w:val="auto"/>
        </w:rPr>
      </w:pPr>
      <w:r>
        <w:rPr>
          <w:rFonts w:ascii="Arial" w:cs="Arial" w:eastAsia="Arial" w:hAnsi="Arial"/>
          <w:sz w:val="36"/>
          <w:szCs w:val="36"/>
          <w:b w:val="1"/>
          <w:bCs w:val="1"/>
          <w:color w:val="auto"/>
        </w:rPr>
        <w:t>ITEM 1.</w:t>
      </w:r>
      <w:r>
        <w:rPr>
          <w:sz w:val="20"/>
          <w:szCs w:val="20"/>
          <w:color w:val="auto"/>
        </w:rPr>
        <w:tab/>
      </w:r>
      <w:r>
        <w:rPr>
          <w:rFonts w:ascii="Arial" w:cs="Arial" w:eastAsia="Arial" w:hAnsi="Arial"/>
          <w:sz w:val="35"/>
          <w:szCs w:val="35"/>
          <w:b w:val="1"/>
          <w:bCs w:val="1"/>
          <w:color w:val="auto"/>
        </w:rPr>
        <w:t>Legal Proceedings</w:t>
      </w:r>
    </w:p>
    <w:p>
      <w:pPr>
        <w:spacing w:after="0" w:line="95"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2021,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187" w:lineRule="exact"/>
        <w:rPr>
          <w:sz w:val="20"/>
          <w:szCs w:val="20"/>
          <w:color w:val="auto"/>
        </w:rPr>
      </w:pPr>
    </w:p>
    <w:p>
      <w:pPr>
        <w:spacing w:after="0"/>
        <w:tabs>
          <w:tab w:leader="none" w:pos="1900" w:val="left"/>
        </w:tabs>
        <w:rPr>
          <w:sz w:val="20"/>
          <w:szCs w:val="20"/>
          <w:color w:val="auto"/>
        </w:rPr>
      </w:pPr>
      <w:r>
        <w:rPr>
          <w:rFonts w:ascii="Arial" w:cs="Arial" w:eastAsia="Arial" w:hAnsi="Arial"/>
          <w:sz w:val="36"/>
          <w:szCs w:val="36"/>
          <w:b w:val="1"/>
          <w:bCs w:val="1"/>
          <w:color w:val="auto"/>
        </w:rPr>
        <w:t>ITEM 1A.</w:t>
      </w:r>
      <w:r>
        <w:rPr>
          <w:sz w:val="20"/>
          <w:szCs w:val="20"/>
          <w:color w:val="auto"/>
        </w:rPr>
        <w:tab/>
      </w:r>
      <w:r>
        <w:rPr>
          <w:rFonts w:ascii="Arial" w:cs="Arial" w:eastAsia="Arial" w:hAnsi="Arial"/>
          <w:sz w:val="35"/>
          <w:szCs w:val="35"/>
          <w:b w:val="1"/>
          <w:bCs w:val="1"/>
          <w:color w:val="auto"/>
        </w:rPr>
        <w:t>Risk Factors</w:t>
      </w:r>
    </w:p>
    <w:p>
      <w:pPr>
        <w:spacing w:after="0" w:line="9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4"/>
          <w:szCs w:val="14"/>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2020 Annual Report on Form 10-K/A, which have not materially changed, except as noted below.</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color w:val="auto"/>
        </w:rPr>
        <w:t>Government imposed COVID-19 vaccine mandates could adversely affect our ability to retain and attract employees which could have a material adverse impact on our business and results of operations.</w:t>
      </w:r>
    </w:p>
    <w:p>
      <w:pPr>
        <w:spacing w:after="0" w:line="71"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On November 4, 2021, the Occupational Safety and Health Administration (“OSHA”) issued an Emergency Temporary Standard (“ETS”) requiring that all employers with at least 100 employees ensure that their U.S.-based employees are fully vaccinated for COVID-19 or obtain a negative COVID-19 test at least once a week. As a company with more than 100 employees, we would be required to mandate COVID-19 vaccination of our workforce or require our unvaccinated employees to be tested on a weekly basis. Although this ETS takes effect immediately, it also serves as a proposal under Section 6(b) of the Occupational Safety and Health Act for a final standard. It remains unclear, among other things, if the final OSHA standard will apply to all employees or only to employees who work in an office, and how compliance will be documented. President Biden also issued an Executive Order requiring certain COVID-19 precautions for U.S. Government contractors and their subcontractors, which would include us, including mandatory employee vaccination (subject to medical and religious exemptions). It is not currently possible to predict with any certainty the exact impact on the Company of the OSHA ETS or the requirements for U.S. Government contractors and their subcontractors.</w:t>
      </w:r>
    </w:p>
    <w:p>
      <w:pPr>
        <w:spacing w:after="0" w:line="96"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The requirement to mandate COVID-19 vaccination of our workforce or require our unvaccinated employees to be tested weekly could result in employee attrition and difficulty securing future labor needs,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480"/>
        </w:trPr>
        <w:tc>
          <w:tcPr>
            <w:tcW w:w="1460" w:type="dxa"/>
            <w:vAlign w:val="bottom"/>
          </w:tcPr>
          <w:p>
            <w:pPr>
              <w:spacing w:after="0"/>
              <w:rPr>
                <w:sz w:val="20"/>
                <w:szCs w:val="20"/>
                <w:color w:val="auto"/>
              </w:rPr>
            </w:pPr>
            <w:r>
              <w:rPr>
                <w:rFonts w:ascii="Arial" w:cs="Arial" w:eastAsia="Arial" w:hAnsi="Arial"/>
                <w:sz w:val="36"/>
                <w:szCs w:val="36"/>
                <w:b w:val="1"/>
                <w:bCs w:val="1"/>
                <w:color w:val="auto"/>
              </w:rPr>
              <w:t>ITEM 2.</w:t>
            </w:r>
          </w:p>
        </w:tc>
        <w:tc>
          <w:tcPr>
            <w:tcW w:w="7580" w:type="dxa"/>
            <w:vAlign w:val="bottom"/>
            <w:gridSpan w:val="5"/>
          </w:tcPr>
          <w:p>
            <w:pPr>
              <w:ind w:left="200"/>
              <w:spacing w:after="0"/>
              <w:rPr>
                <w:sz w:val="20"/>
                <w:szCs w:val="20"/>
                <w:color w:val="auto"/>
              </w:rPr>
            </w:pPr>
            <w:r>
              <w:rPr>
                <w:rFonts w:ascii="Arial" w:cs="Arial" w:eastAsia="Arial" w:hAnsi="Arial"/>
                <w:sz w:val="36"/>
                <w:szCs w:val="36"/>
                <w:b w:val="1"/>
                <w:bCs w:val="1"/>
                <w:color w:val="auto"/>
              </w:rPr>
              <w:t>Unregistered Sales of Equity Securities</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940" w:type="dxa"/>
            <w:vAlign w:val="bottom"/>
            <w:gridSpan w:val="5"/>
          </w:tcPr>
          <w:p>
            <w:pPr>
              <w:jc w:val="right"/>
              <w:spacing w:after="0"/>
              <w:rPr>
                <w:sz w:val="20"/>
                <w:szCs w:val="20"/>
                <w:color w:val="auto"/>
              </w:rPr>
            </w:pPr>
            <w:r>
              <w:rPr>
                <w:rFonts w:ascii="Arial" w:cs="Arial" w:eastAsia="Arial" w:hAnsi="Arial"/>
                <w:sz w:val="15"/>
                <w:szCs w:val="15"/>
                <w:color w:val="auto"/>
              </w:rPr>
              <w:t>The following table summarizes our purchase of Common Stock during the third quarter of 2021:</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146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1D2758"/>
          </w:tcPr>
          <w:p>
            <w:pPr>
              <w:spacing w:after="0"/>
              <w:rPr>
                <w:sz w:val="12"/>
                <w:szCs w:val="12"/>
                <w:color w:val="auto"/>
              </w:rPr>
            </w:pPr>
          </w:p>
        </w:tc>
        <w:tc>
          <w:tcPr>
            <w:tcW w:w="2340" w:type="dxa"/>
            <w:vAlign w:val="bottom"/>
            <w:shd w:val="clear" w:color="auto" w:fill="1D2758"/>
          </w:tcPr>
          <w:p>
            <w:pPr>
              <w:spacing w:after="0"/>
              <w:rPr>
                <w:sz w:val="12"/>
                <w:szCs w:val="12"/>
                <w:color w:val="auto"/>
              </w:rPr>
            </w:pPr>
          </w:p>
        </w:tc>
        <w:tc>
          <w:tcPr>
            <w:tcW w:w="1500" w:type="dxa"/>
            <w:vAlign w:val="bottom"/>
            <w:shd w:val="clear" w:color="auto" w:fill="1D2758"/>
          </w:tcPr>
          <w:p>
            <w:pPr>
              <w:jc w:val="center"/>
              <w:spacing w:after="0" w:line="148" w:lineRule="exact"/>
              <w:rPr>
                <w:sz w:val="20"/>
                <w:szCs w:val="20"/>
                <w:color w:val="auto"/>
              </w:rPr>
            </w:pPr>
            <w:r>
              <w:rPr>
                <w:rFonts w:ascii="Arial" w:cs="Arial" w:eastAsia="Arial" w:hAnsi="Arial"/>
                <w:sz w:val="15"/>
                <w:szCs w:val="15"/>
                <w:b w:val="1"/>
                <w:bCs w:val="1"/>
                <w:color w:val="FFFFFF"/>
                <w:w w:val="97"/>
              </w:rPr>
              <w:t>Total Number of</w:t>
            </w:r>
          </w:p>
        </w:tc>
        <w:tc>
          <w:tcPr>
            <w:tcW w:w="320" w:type="dxa"/>
            <w:vAlign w:val="bottom"/>
            <w:shd w:val="clear" w:color="auto" w:fill="1D2758"/>
          </w:tcPr>
          <w:p>
            <w:pPr>
              <w:spacing w:after="0"/>
              <w:rPr>
                <w:sz w:val="12"/>
                <w:szCs w:val="12"/>
                <w:color w:val="auto"/>
              </w:rPr>
            </w:pPr>
          </w:p>
        </w:tc>
        <w:tc>
          <w:tcPr>
            <w:tcW w:w="1320" w:type="dxa"/>
            <w:vAlign w:val="bottom"/>
            <w:shd w:val="clear" w:color="auto" w:fill="1D2758"/>
          </w:tcPr>
          <w:p>
            <w:pPr>
              <w:spacing w:after="0"/>
              <w:rPr>
                <w:sz w:val="12"/>
                <w:szCs w:val="12"/>
                <w:color w:val="auto"/>
              </w:rPr>
            </w:pP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w w:val="96"/>
              </w:rPr>
              <w:t>Total Number of Shares and</w:t>
            </w:r>
          </w:p>
        </w:tc>
        <w:tc>
          <w:tcPr>
            <w:tcW w:w="240" w:type="dxa"/>
            <w:vAlign w:val="bottom"/>
            <w:shd w:val="clear" w:color="auto" w:fill="1D2758"/>
          </w:tcPr>
          <w:p>
            <w:pPr>
              <w:spacing w:after="0"/>
              <w:rPr>
                <w:sz w:val="12"/>
                <w:szCs w:val="12"/>
                <w:color w:val="auto"/>
              </w:rPr>
            </w:pPr>
          </w:p>
        </w:tc>
        <w:tc>
          <w:tcPr>
            <w:tcW w:w="1960" w:type="dxa"/>
            <w:vAlign w:val="bottom"/>
            <w:vMerge w:val="restart"/>
            <w:shd w:val="clear" w:color="auto" w:fill="1D2758"/>
          </w:tcPr>
          <w:p>
            <w:pPr>
              <w:jc w:val="right"/>
              <w:ind w:right="106"/>
              <w:spacing w:after="0"/>
              <w:rPr>
                <w:sz w:val="20"/>
                <w:szCs w:val="20"/>
                <w:color w:val="auto"/>
              </w:rPr>
            </w:pPr>
            <w:r>
              <w:rPr>
                <w:rFonts w:ascii="Arial" w:cs="Arial" w:eastAsia="Arial" w:hAnsi="Arial"/>
                <w:sz w:val="15"/>
                <w:szCs w:val="15"/>
                <w:b w:val="1"/>
                <w:bCs w:val="1"/>
                <w:color w:val="FFFFFF"/>
                <w:w w:val="98"/>
              </w:rPr>
              <w:t>Maximum Dollar Value of</w:t>
            </w:r>
          </w:p>
        </w:tc>
        <w:tc>
          <w:tcPr>
            <w:tcW w:w="0" w:type="dxa"/>
            <w:vAlign w:val="bottom"/>
          </w:tcPr>
          <w:p>
            <w:pPr>
              <w:spacing w:after="0"/>
              <w:rPr>
                <w:sz w:val="1"/>
                <w:szCs w:val="1"/>
                <w:color w:val="auto"/>
              </w:rPr>
            </w:pPr>
          </w:p>
        </w:tc>
      </w:tr>
      <w:tr>
        <w:trPr>
          <w:trHeight w:val="148"/>
        </w:trPr>
        <w:tc>
          <w:tcPr>
            <w:tcW w:w="1460" w:type="dxa"/>
            <w:vAlign w:val="bottom"/>
            <w:shd w:val="clear" w:color="auto" w:fill="1D2758"/>
          </w:tcPr>
          <w:p>
            <w:pPr>
              <w:spacing w:after="0"/>
              <w:rPr>
                <w:sz w:val="12"/>
                <w:szCs w:val="12"/>
                <w:color w:val="auto"/>
              </w:rPr>
            </w:pPr>
          </w:p>
        </w:tc>
        <w:tc>
          <w:tcPr>
            <w:tcW w:w="2340" w:type="dxa"/>
            <w:vAlign w:val="bottom"/>
            <w:shd w:val="clear" w:color="auto" w:fill="1D2758"/>
          </w:tcPr>
          <w:p>
            <w:pPr>
              <w:spacing w:after="0"/>
              <w:rPr>
                <w:sz w:val="12"/>
                <w:szCs w:val="12"/>
                <w:color w:val="auto"/>
              </w:rPr>
            </w:pPr>
          </w:p>
        </w:tc>
        <w:tc>
          <w:tcPr>
            <w:tcW w:w="1500" w:type="dxa"/>
            <w:vAlign w:val="bottom"/>
            <w:shd w:val="clear" w:color="auto" w:fill="1D2758"/>
          </w:tcPr>
          <w:p>
            <w:pPr>
              <w:jc w:val="center"/>
              <w:spacing w:after="0" w:line="148" w:lineRule="exact"/>
              <w:rPr>
                <w:sz w:val="20"/>
                <w:szCs w:val="20"/>
                <w:color w:val="auto"/>
              </w:rPr>
            </w:pPr>
            <w:r>
              <w:rPr>
                <w:rFonts w:ascii="Arial" w:cs="Arial" w:eastAsia="Arial" w:hAnsi="Arial"/>
                <w:sz w:val="15"/>
                <w:szCs w:val="15"/>
                <w:b w:val="1"/>
                <w:bCs w:val="1"/>
                <w:color w:val="FFFFFF"/>
                <w:w w:val="96"/>
              </w:rPr>
              <w:t>Shares and</w:t>
            </w:r>
          </w:p>
        </w:tc>
        <w:tc>
          <w:tcPr>
            <w:tcW w:w="320" w:type="dxa"/>
            <w:vAlign w:val="bottom"/>
            <w:shd w:val="clear" w:color="auto" w:fill="1D2758"/>
          </w:tcPr>
          <w:p>
            <w:pPr>
              <w:spacing w:after="0"/>
              <w:rPr>
                <w:sz w:val="12"/>
                <w:szCs w:val="12"/>
                <w:color w:val="auto"/>
              </w:rPr>
            </w:pPr>
          </w:p>
        </w:tc>
        <w:tc>
          <w:tcPr>
            <w:tcW w:w="1320" w:type="dxa"/>
            <w:vAlign w:val="bottom"/>
            <w:shd w:val="clear" w:color="auto" w:fill="1D2758"/>
          </w:tcPr>
          <w:p>
            <w:pPr>
              <w:spacing w:after="0"/>
              <w:rPr>
                <w:sz w:val="12"/>
                <w:szCs w:val="12"/>
                <w:color w:val="auto"/>
              </w:rPr>
            </w:pPr>
          </w:p>
        </w:tc>
        <w:tc>
          <w:tcPr>
            <w:tcW w:w="2100" w:type="dxa"/>
            <w:vAlign w:val="bottom"/>
            <w:vMerge w:val="continue"/>
            <w:shd w:val="clear" w:color="auto" w:fill="1D2758"/>
          </w:tcPr>
          <w:p>
            <w:pPr>
              <w:spacing w:after="0"/>
              <w:rPr>
                <w:sz w:val="12"/>
                <w:szCs w:val="12"/>
                <w:color w:val="auto"/>
              </w:rPr>
            </w:pPr>
          </w:p>
        </w:tc>
        <w:tc>
          <w:tcPr>
            <w:tcW w:w="240" w:type="dxa"/>
            <w:vAlign w:val="bottom"/>
            <w:shd w:val="clear" w:color="auto" w:fill="1D2758"/>
          </w:tcPr>
          <w:p>
            <w:pPr>
              <w:spacing w:after="0"/>
              <w:rPr>
                <w:sz w:val="12"/>
                <w:szCs w:val="12"/>
                <w:color w:val="auto"/>
              </w:rPr>
            </w:pPr>
          </w:p>
        </w:tc>
        <w:tc>
          <w:tcPr>
            <w:tcW w:w="1960" w:type="dxa"/>
            <w:vAlign w:val="bottom"/>
            <w:vMerge w:val="continue"/>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1D2758"/>
          </w:tcPr>
          <w:p>
            <w:pPr>
              <w:spacing w:after="0"/>
              <w:rPr>
                <w:sz w:val="12"/>
                <w:szCs w:val="12"/>
                <w:color w:val="auto"/>
              </w:rPr>
            </w:pPr>
          </w:p>
        </w:tc>
        <w:tc>
          <w:tcPr>
            <w:tcW w:w="2340" w:type="dxa"/>
            <w:vAlign w:val="bottom"/>
            <w:shd w:val="clear" w:color="auto" w:fill="1D2758"/>
          </w:tcPr>
          <w:p>
            <w:pPr>
              <w:spacing w:after="0"/>
              <w:rPr>
                <w:sz w:val="12"/>
                <w:szCs w:val="12"/>
                <w:color w:val="auto"/>
              </w:rPr>
            </w:pPr>
          </w:p>
        </w:tc>
        <w:tc>
          <w:tcPr>
            <w:tcW w:w="1500" w:type="dxa"/>
            <w:vAlign w:val="bottom"/>
            <w:shd w:val="clear" w:color="auto" w:fill="1D2758"/>
          </w:tcPr>
          <w:p>
            <w:pPr>
              <w:jc w:val="center"/>
              <w:spacing w:after="0" w:line="148" w:lineRule="exact"/>
              <w:rPr>
                <w:sz w:val="20"/>
                <w:szCs w:val="20"/>
                <w:color w:val="auto"/>
              </w:rPr>
            </w:pPr>
            <w:r>
              <w:rPr>
                <w:rFonts w:ascii="Arial" w:cs="Arial" w:eastAsia="Arial" w:hAnsi="Arial"/>
                <w:sz w:val="15"/>
                <w:szCs w:val="15"/>
                <w:b w:val="1"/>
                <w:bCs w:val="1"/>
                <w:color w:val="FFFFFF"/>
                <w:w w:val="97"/>
              </w:rPr>
              <w:t>Equivalents</w:t>
            </w:r>
          </w:p>
        </w:tc>
        <w:tc>
          <w:tcPr>
            <w:tcW w:w="1640" w:type="dxa"/>
            <w:vAlign w:val="bottom"/>
            <w:gridSpan w:val="2"/>
            <w:vMerge w:val="restart"/>
            <w:shd w:val="clear" w:color="auto" w:fill="1D2758"/>
          </w:tcPr>
          <w:p>
            <w:pPr>
              <w:jc w:val="right"/>
              <w:ind w:right="106"/>
              <w:spacing w:after="0"/>
              <w:rPr>
                <w:sz w:val="20"/>
                <w:szCs w:val="20"/>
                <w:color w:val="auto"/>
              </w:rPr>
            </w:pPr>
            <w:r>
              <w:rPr>
                <w:rFonts w:ascii="Arial" w:cs="Arial" w:eastAsia="Arial" w:hAnsi="Arial"/>
                <w:sz w:val="15"/>
                <w:szCs w:val="15"/>
                <w:b w:val="1"/>
                <w:bCs w:val="1"/>
                <w:color w:val="FFFFFF"/>
              </w:rPr>
              <w:t>Average Price Paid</w:t>
            </w:r>
          </w:p>
        </w:tc>
        <w:tc>
          <w:tcPr>
            <w:tcW w:w="2100" w:type="dxa"/>
            <w:vAlign w:val="bottom"/>
            <w:shd w:val="clear" w:color="auto" w:fill="1D2758"/>
          </w:tcPr>
          <w:p>
            <w:pPr>
              <w:jc w:val="center"/>
              <w:spacing w:after="0" w:line="148" w:lineRule="exact"/>
              <w:rPr>
                <w:sz w:val="20"/>
                <w:szCs w:val="20"/>
                <w:color w:val="auto"/>
              </w:rPr>
            </w:pPr>
            <w:r>
              <w:rPr>
                <w:rFonts w:ascii="Arial" w:cs="Arial" w:eastAsia="Arial" w:hAnsi="Arial"/>
                <w:sz w:val="15"/>
                <w:szCs w:val="15"/>
                <w:b w:val="1"/>
                <w:bCs w:val="1"/>
                <w:color w:val="FFFFFF"/>
                <w:w w:val="97"/>
              </w:rPr>
              <w:t>Equivalents Purchased as</w:t>
            </w:r>
          </w:p>
        </w:tc>
        <w:tc>
          <w:tcPr>
            <w:tcW w:w="2200" w:type="dxa"/>
            <w:vAlign w:val="bottom"/>
            <w:gridSpan w:val="2"/>
            <w:shd w:val="clear" w:color="auto" w:fill="1D2758"/>
          </w:tcPr>
          <w:p>
            <w:pPr>
              <w:jc w:val="right"/>
              <w:spacing w:after="0" w:line="148" w:lineRule="exact"/>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48"/>
        </w:trPr>
        <w:tc>
          <w:tcPr>
            <w:tcW w:w="1460" w:type="dxa"/>
            <w:vAlign w:val="bottom"/>
            <w:shd w:val="clear" w:color="auto" w:fill="1D2758"/>
          </w:tcPr>
          <w:p>
            <w:pPr>
              <w:spacing w:after="0"/>
              <w:rPr>
                <w:sz w:val="12"/>
                <w:szCs w:val="12"/>
                <w:color w:val="auto"/>
              </w:rPr>
            </w:pPr>
          </w:p>
        </w:tc>
        <w:tc>
          <w:tcPr>
            <w:tcW w:w="2340" w:type="dxa"/>
            <w:vAlign w:val="bottom"/>
            <w:vMerge w:val="restart"/>
            <w:shd w:val="clear" w:color="auto" w:fill="1D2758"/>
          </w:tcPr>
          <w:p>
            <w:pPr>
              <w:ind w:left="200"/>
              <w:spacing w:after="0"/>
              <w:rPr>
                <w:sz w:val="20"/>
                <w:szCs w:val="20"/>
                <w:color w:val="auto"/>
              </w:rPr>
            </w:pPr>
            <w:r>
              <w:rPr>
                <w:rFonts w:ascii="Arial" w:cs="Arial" w:eastAsia="Arial" w:hAnsi="Arial"/>
                <w:sz w:val="15"/>
                <w:szCs w:val="15"/>
                <w:b w:val="1"/>
                <w:bCs w:val="1"/>
                <w:color w:val="FFFFFF"/>
              </w:rPr>
              <w:t>Period</w:t>
            </w:r>
          </w:p>
        </w:tc>
        <w:tc>
          <w:tcPr>
            <w:tcW w:w="1500" w:type="dxa"/>
            <w:vAlign w:val="bottom"/>
            <w:shd w:val="clear" w:color="auto" w:fill="1D2758"/>
          </w:tcPr>
          <w:p>
            <w:pPr>
              <w:jc w:val="center"/>
              <w:spacing w:after="0" w:line="148" w:lineRule="exact"/>
              <w:rPr>
                <w:sz w:val="20"/>
                <w:szCs w:val="20"/>
                <w:color w:val="auto"/>
              </w:rPr>
            </w:pPr>
            <w:r>
              <w:rPr>
                <w:rFonts w:ascii="Arial" w:cs="Arial" w:eastAsia="Arial" w:hAnsi="Arial"/>
                <w:sz w:val="15"/>
                <w:szCs w:val="15"/>
                <w:b w:val="1"/>
                <w:bCs w:val="1"/>
                <w:color w:val="FFFFFF"/>
                <w:w w:val="98"/>
              </w:rPr>
              <w:t>Purchased (in</w:t>
            </w:r>
          </w:p>
        </w:tc>
        <w:tc>
          <w:tcPr>
            <w:tcW w:w="1640" w:type="dxa"/>
            <w:vAlign w:val="bottom"/>
            <w:gridSpan w:val="2"/>
            <w:vMerge w:val="continue"/>
            <w:shd w:val="clear" w:color="auto" w:fill="1D2758"/>
          </w:tcPr>
          <w:p>
            <w:pPr>
              <w:spacing w:after="0"/>
              <w:rPr>
                <w:sz w:val="12"/>
                <w:szCs w:val="12"/>
                <w:color w:val="auto"/>
              </w:rPr>
            </w:pPr>
          </w:p>
        </w:tc>
        <w:tc>
          <w:tcPr>
            <w:tcW w:w="2100" w:type="dxa"/>
            <w:vAlign w:val="bottom"/>
            <w:shd w:val="clear" w:color="auto" w:fill="1D2758"/>
          </w:tcPr>
          <w:p>
            <w:pPr>
              <w:jc w:val="center"/>
              <w:spacing w:after="0" w:line="148" w:lineRule="exact"/>
              <w:rPr>
                <w:sz w:val="20"/>
                <w:szCs w:val="20"/>
                <w:color w:val="auto"/>
              </w:rPr>
            </w:pPr>
            <w:r>
              <w:rPr>
                <w:rFonts w:ascii="Arial" w:cs="Arial" w:eastAsia="Arial" w:hAnsi="Arial"/>
                <w:sz w:val="15"/>
                <w:szCs w:val="15"/>
                <w:b w:val="1"/>
                <w:bCs w:val="1"/>
                <w:color w:val="FFFFFF"/>
                <w:w w:val="98"/>
              </w:rPr>
              <w:t>part of Publicly Announced</w:t>
            </w:r>
          </w:p>
        </w:tc>
        <w:tc>
          <w:tcPr>
            <w:tcW w:w="2200" w:type="dxa"/>
            <w:vAlign w:val="bottom"/>
            <w:gridSpan w:val="2"/>
            <w:shd w:val="clear" w:color="auto" w:fill="1D2758"/>
          </w:tcPr>
          <w:p>
            <w:pPr>
              <w:ind w:left="140"/>
              <w:spacing w:after="0" w:line="148" w:lineRule="exact"/>
              <w:rPr>
                <w:sz w:val="20"/>
                <w:szCs w:val="20"/>
                <w:color w:val="auto"/>
              </w:rPr>
            </w:pPr>
            <w:r>
              <w:rPr>
                <w:rFonts w:ascii="Arial" w:cs="Arial" w:eastAsia="Arial" w:hAnsi="Arial"/>
                <w:sz w:val="15"/>
                <w:szCs w:val="15"/>
                <w:b w:val="1"/>
                <w:bCs w:val="1"/>
                <w:color w:val="FFFFFF"/>
                <w:w w:val="97"/>
              </w:rPr>
              <w:t>May Yet Be Purchased Under</w:t>
            </w:r>
          </w:p>
        </w:tc>
        <w:tc>
          <w:tcPr>
            <w:tcW w:w="0" w:type="dxa"/>
            <w:vAlign w:val="bottom"/>
          </w:tcPr>
          <w:p>
            <w:pPr>
              <w:spacing w:after="0"/>
              <w:rPr>
                <w:sz w:val="1"/>
                <w:szCs w:val="1"/>
                <w:color w:val="auto"/>
              </w:rPr>
            </w:pPr>
          </w:p>
        </w:tc>
      </w:tr>
      <w:tr>
        <w:trPr>
          <w:trHeight w:val="105"/>
        </w:trPr>
        <w:tc>
          <w:tcPr>
            <w:tcW w:w="1460" w:type="dxa"/>
            <w:vAlign w:val="bottom"/>
            <w:shd w:val="clear" w:color="auto" w:fill="1D2758"/>
          </w:tcPr>
          <w:p>
            <w:pPr>
              <w:spacing w:after="0"/>
              <w:rPr>
                <w:sz w:val="9"/>
                <w:szCs w:val="9"/>
                <w:color w:val="auto"/>
              </w:rPr>
            </w:pPr>
          </w:p>
        </w:tc>
        <w:tc>
          <w:tcPr>
            <w:tcW w:w="2340" w:type="dxa"/>
            <w:vAlign w:val="bottom"/>
            <w:vMerge w:val="continue"/>
            <w:shd w:val="clear" w:color="auto" w:fill="1D2758"/>
          </w:tcPr>
          <w:p>
            <w:pPr>
              <w:spacing w:after="0"/>
              <w:rPr>
                <w:sz w:val="9"/>
                <w:szCs w:val="9"/>
                <w:color w:val="auto"/>
              </w:rPr>
            </w:pPr>
          </w:p>
        </w:tc>
        <w:tc>
          <w:tcPr>
            <w:tcW w:w="15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millions)</w:t>
            </w:r>
          </w:p>
        </w:tc>
        <w:tc>
          <w:tcPr>
            <w:tcW w:w="320" w:type="dxa"/>
            <w:vAlign w:val="bottom"/>
            <w:shd w:val="clear" w:color="auto" w:fill="1D2758"/>
          </w:tcPr>
          <w:p>
            <w:pPr>
              <w:spacing w:after="0"/>
              <w:rPr>
                <w:sz w:val="9"/>
                <w:szCs w:val="9"/>
                <w:color w:val="auto"/>
              </w:rPr>
            </w:pPr>
          </w:p>
        </w:tc>
        <w:tc>
          <w:tcPr>
            <w:tcW w:w="1320" w:type="dxa"/>
            <w:vAlign w:val="bottom"/>
            <w:vMerge w:val="restart"/>
            <w:shd w:val="clear" w:color="auto" w:fill="1D2758"/>
          </w:tcPr>
          <w:p>
            <w:pPr>
              <w:jc w:val="right"/>
              <w:ind w:right="406"/>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w w:val="98"/>
              </w:rPr>
              <w:t>Plan (in millions)</w:t>
            </w:r>
          </w:p>
        </w:tc>
        <w:tc>
          <w:tcPr>
            <w:tcW w:w="240" w:type="dxa"/>
            <w:vAlign w:val="bottom"/>
            <w:shd w:val="clear" w:color="auto" w:fill="1D2758"/>
          </w:tcPr>
          <w:p>
            <w:pPr>
              <w:spacing w:after="0"/>
              <w:rPr>
                <w:sz w:val="9"/>
                <w:szCs w:val="9"/>
                <w:color w:val="auto"/>
              </w:rPr>
            </w:pPr>
          </w:p>
        </w:tc>
        <w:tc>
          <w:tcPr>
            <w:tcW w:w="1960" w:type="dxa"/>
            <w:vAlign w:val="bottom"/>
            <w:vMerge w:val="restart"/>
            <w:shd w:val="clear" w:color="auto" w:fill="1D2758"/>
          </w:tcPr>
          <w:p>
            <w:pPr>
              <w:jc w:val="right"/>
              <w:ind w:right="206"/>
              <w:spacing w:after="0"/>
              <w:rPr>
                <w:sz w:val="20"/>
                <w:szCs w:val="20"/>
                <w:color w:val="auto"/>
              </w:rPr>
            </w:pPr>
            <w:r>
              <w:rPr>
                <w:rFonts w:ascii="Arial" w:cs="Arial" w:eastAsia="Arial" w:hAnsi="Arial"/>
                <w:sz w:val="15"/>
                <w:szCs w:val="15"/>
                <w:b w:val="1"/>
                <w:bCs w:val="1"/>
                <w:color w:val="FFFFFF"/>
              </w:rPr>
              <w:t>the Plans (in millions)</w:t>
            </w:r>
          </w:p>
        </w:tc>
        <w:tc>
          <w:tcPr>
            <w:tcW w:w="0" w:type="dxa"/>
            <w:vAlign w:val="bottom"/>
          </w:tcPr>
          <w:p>
            <w:pPr>
              <w:spacing w:after="0"/>
              <w:rPr>
                <w:sz w:val="1"/>
                <w:szCs w:val="1"/>
                <w:color w:val="auto"/>
              </w:rPr>
            </w:pPr>
          </w:p>
        </w:tc>
      </w:tr>
      <w:tr>
        <w:trPr>
          <w:trHeight w:val="91"/>
        </w:trPr>
        <w:tc>
          <w:tcPr>
            <w:tcW w:w="1460" w:type="dxa"/>
            <w:vAlign w:val="bottom"/>
            <w:shd w:val="clear" w:color="auto" w:fill="1D2758"/>
          </w:tcPr>
          <w:p>
            <w:pPr>
              <w:spacing w:after="0"/>
              <w:rPr>
                <w:sz w:val="7"/>
                <w:szCs w:val="7"/>
                <w:color w:val="auto"/>
              </w:rPr>
            </w:pPr>
          </w:p>
        </w:tc>
        <w:tc>
          <w:tcPr>
            <w:tcW w:w="2340" w:type="dxa"/>
            <w:vAlign w:val="bottom"/>
            <w:shd w:val="clear" w:color="auto" w:fill="1D2758"/>
          </w:tcPr>
          <w:p>
            <w:pPr>
              <w:spacing w:after="0"/>
              <w:rPr>
                <w:sz w:val="7"/>
                <w:szCs w:val="7"/>
                <w:color w:val="auto"/>
              </w:rPr>
            </w:pPr>
          </w:p>
        </w:tc>
        <w:tc>
          <w:tcPr>
            <w:tcW w:w="1500" w:type="dxa"/>
            <w:vAlign w:val="bottom"/>
            <w:vMerge w:val="continue"/>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210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96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80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July 1, 2021 to July 31, 2021</w:t>
            </w: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w:t>
            </w:r>
          </w:p>
        </w:tc>
        <w:tc>
          <w:tcPr>
            <w:tcW w:w="3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rPr>
              <w:t>27.54</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w:t>
            </w:r>
          </w:p>
        </w:tc>
        <w:tc>
          <w:tcPr>
            <w:tcW w:w="2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220.2</w:t>
            </w:r>
          </w:p>
        </w:tc>
        <w:tc>
          <w:tcPr>
            <w:tcW w:w="0" w:type="dxa"/>
            <w:vAlign w:val="bottom"/>
          </w:tcPr>
          <w:p>
            <w:pPr>
              <w:spacing w:after="0"/>
              <w:rPr>
                <w:sz w:val="1"/>
                <w:szCs w:val="1"/>
                <w:color w:val="auto"/>
              </w:rPr>
            </w:pPr>
          </w:p>
        </w:tc>
      </w:tr>
      <w:tr>
        <w:trPr>
          <w:trHeight w:val="194"/>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August 1, 2021 to August 31, 2021</w:t>
            </w:r>
          </w:p>
        </w:tc>
        <w:tc>
          <w:tcPr>
            <w:tcW w:w="1500" w:type="dxa"/>
            <w:vAlign w:val="bottom"/>
          </w:tcPr>
          <w:p>
            <w:pPr>
              <w:jc w:val="right"/>
              <w:spacing w:after="0"/>
              <w:rPr>
                <w:sz w:val="20"/>
                <w:szCs w:val="20"/>
                <w:color w:val="auto"/>
              </w:rPr>
            </w:pPr>
            <w:r>
              <w:rPr>
                <w:rFonts w:ascii="Arial" w:cs="Arial" w:eastAsia="Arial" w:hAnsi="Arial"/>
                <w:sz w:val="15"/>
                <w:szCs w:val="15"/>
                <w:color w:val="auto"/>
              </w:rPr>
              <w:t>0.1</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6"/>
              <w:spacing w:after="0"/>
              <w:rPr>
                <w:sz w:val="20"/>
                <w:szCs w:val="20"/>
                <w:color w:val="auto"/>
              </w:rPr>
            </w:pPr>
            <w:r>
              <w:rPr>
                <w:rFonts w:ascii="Arial" w:cs="Arial" w:eastAsia="Arial" w:hAnsi="Arial"/>
                <w:sz w:val="15"/>
                <w:szCs w:val="15"/>
                <w:color w:val="auto"/>
              </w:rPr>
              <w:t>25.43</w:t>
            </w:r>
          </w:p>
        </w:tc>
        <w:tc>
          <w:tcPr>
            <w:tcW w:w="2100" w:type="dxa"/>
            <w:vAlign w:val="bottom"/>
          </w:tcPr>
          <w:p>
            <w:pPr>
              <w:jc w:val="right"/>
              <w:spacing w:after="0"/>
              <w:rPr>
                <w:sz w:val="20"/>
                <w:szCs w:val="20"/>
                <w:color w:val="auto"/>
              </w:rPr>
            </w:pPr>
            <w:r>
              <w:rPr>
                <w:rFonts w:ascii="Arial" w:cs="Arial" w:eastAsia="Arial" w:hAnsi="Arial"/>
                <w:sz w:val="15"/>
                <w:szCs w:val="15"/>
                <w:color w:val="auto"/>
              </w:rPr>
              <w:t>0.1</w:t>
            </w:r>
          </w:p>
        </w:tc>
        <w:tc>
          <w:tcPr>
            <w:tcW w:w="240" w:type="dxa"/>
            <w:vAlign w:val="bottom"/>
          </w:tcPr>
          <w:p>
            <w:pPr>
              <w:ind w:left="120"/>
              <w:spacing w:after="0"/>
              <w:rPr>
                <w:sz w:val="20"/>
                <w:szCs w:val="20"/>
                <w:color w:val="auto"/>
              </w:rPr>
            </w:pPr>
            <w:r>
              <w:rPr>
                <w:rFonts w:ascii="Arial" w:cs="Arial" w:eastAsia="Arial" w:hAnsi="Arial"/>
                <w:sz w:val="15"/>
                <w:szCs w:val="15"/>
                <w:color w:val="auto"/>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218.3</w:t>
            </w:r>
          </w:p>
        </w:tc>
        <w:tc>
          <w:tcPr>
            <w:tcW w:w="0" w:type="dxa"/>
            <w:vAlign w:val="bottom"/>
          </w:tcPr>
          <w:p>
            <w:pPr>
              <w:spacing w:after="0"/>
              <w:rPr>
                <w:sz w:val="1"/>
                <w:szCs w:val="1"/>
                <w:color w:val="auto"/>
              </w:rPr>
            </w:pPr>
          </w:p>
        </w:tc>
      </w:tr>
      <w:tr>
        <w:trPr>
          <w:trHeight w:val="197"/>
        </w:trPr>
        <w:tc>
          <w:tcPr>
            <w:tcW w:w="380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September 1, 2021 to September 30, 2021</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w:t>
            </w:r>
          </w:p>
        </w:tc>
        <w:tc>
          <w:tcPr>
            <w:tcW w:w="320" w:type="dxa"/>
            <w:vAlign w:val="bottom"/>
            <w:shd w:val="clear" w:color="auto" w:fill="DBDBDB"/>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86"/>
              <w:spacing w:after="0"/>
              <w:rPr>
                <w:sz w:val="20"/>
                <w:szCs w:val="20"/>
                <w:color w:val="auto"/>
              </w:rPr>
            </w:pPr>
            <w:r>
              <w:rPr>
                <w:rFonts w:ascii="Arial" w:cs="Arial" w:eastAsia="Arial" w:hAnsi="Arial"/>
                <w:sz w:val="15"/>
                <w:szCs w:val="15"/>
                <w:color w:val="auto"/>
              </w:rPr>
              <w:t>28.59</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w:t>
            </w:r>
          </w:p>
        </w:tc>
        <w:tc>
          <w:tcPr>
            <w:tcW w:w="2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142.2</w:t>
            </w:r>
          </w:p>
        </w:tc>
        <w:tc>
          <w:tcPr>
            <w:tcW w:w="0" w:type="dxa"/>
            <w:vAlign w:val="bottom"/>
          </w:tcPr>
          <w:p>
            <w:pPr>
              <w:spacing w:after="0"/>
              <w:rPr>
                <w:sz w:val="1"/>
                <w:szCs w:val="1"/>
                <w:color w:val="auto"/>
              </w:rPr>
            </w:pPr>
          </w:p>
        </w:tc>
      </w:tr>
      <w:tr>
        <w:trPr>
          <w:trHeight w:val="192"/>
        </w:trPr>
        <w:tc>
          <w:tcPr>
            <w:tcW w:w="1460" w:type="dxa"/>
            <w:vAlign w:val="bottom"/>
          </w:tcPr>
          <w:p>
            <w:pPr>
              <w:ind w:left="220"/>
              <w:spacing w:after="0"/>
              <w:rPr>
                <w:sz w:val="20"/>
                <w:szCs w:val="20"/>
                <w:color w:val="auto"/>
              </w:rPr>
            </w:pPr>
            <w:r>
              <w:rPr>
                <w:rFonts w:ascii="Arial" w:cs="Arial" w:eastAsia="Arial" w:hAnsi="Arial"/>
                <w:sz w:val="15"/>
                <w:szCs w:val="15"/>
                <w:color w:val="auto"/>
              </w:rPr>
              <w:t>Total</w:t>
            </w:r>
          </w:p>
        </w:tc>
        <w:tc>
          <w:tcPr>
            <w:tcW w:w="234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6"/>
              <w:spacing w:after="0"/>
              <w:rPr>
                <w:sz w:val="20"/>
                <w:szCs w:val="20"/>
                <w:color w:val="auto"/>
              </w:rPr>
            </w:pPr>
            <w:r>
              <w:rPr>
                <w:rFonts w:ascii="Arial" w:cs="Arial" w:eastAsia="Arial" w:hAnsi="Arial"/>
                <w:sz w:val="15"/>
                <w:szCs w:val="15"/>
                <w:color w:val="auto"/>
              </w:rPr>
              <w:t>28.24</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On August 7, 2020, the Company's Board of Directors approved a stock repurchase program that authorizes the Company to repurchase up to $250.0 million of its outstanding shares of Common Stock and equivalents. On April 29, 2021, the Company's Board of Directors approved an increase to the authorized amount under the stock repurchase program that authorizes the Company to repurchase up to $500.0 million of its outstanding shares of Common Stock and equivalents. The stock repurchase program does not obligate the Company to purchase any particular number of shares, and the timing and exact amount of any repurchases will depend on various factors, including market pricing and conditions, business, legal, accounting, and other considerations. As of September 30, 2021, $142.2 million remained of the $500.0 million share repurchase authorization. In October of 2021, the Company's Board of Directors replaced the existing share repurchase program with a new share repurchase program that authorizes the Company to repurchase up to $1.0 billion of its outstanding shares of Common Stock and equivalents.</w:t>
      </w:r>
    </w:p>
    <w:p>
      <w:pPr>
        <w:spacing w:after="0" w:line="238" w:lineRule="exact"/>
        <w:rPr>
          <w:sz w:val="20"/>
          <w:szCs w:val="20"/>
          <w:color w:val="auto"/>
        </w:rPr>
      </w:pPr>
    </w:p>
    <w:p>
      <w:pPr>
        <w:spacing w:after="0"/>
        <w:tabs>
          <w:tab w:leader="none" w:pos="1640" w:val="left"/>
        </w:tabs>
        <w:rPr>
          <w:sz w:val="20"/>
          <w:szCs w:val="20"/>
          <w:color w:val="auto"/>
        </w:rPr>
      </w:pPr>
      <w:r>
        <w:rPr>
          <w:rFonts w:ascii="Arial" w:cs="Arial" w:eastAsia="Arial" w:hAnsi="Arial"/>
          <w:sz w:val="36"/>
          <w:szCs w:val="36"/>
          <w:b w:val="1"/>
          <w:bCs w:val="1"/>
          <w:color w:val="auto"/>
        </w:rPr>
        <w:t>ITEM 3.</w:t>
        <w:tab/>
        <w:t>Defaults Upon Senior Securities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tabs>
          <w:tab w:leader="none" w:pos="1640" w:val="left"/>
        </w:tabs>
        <w:rPr>
          <w:sz w:val="20"/>
          <w:szCs w:val="20"/>
          <w:color w:val="auto"/>
        </w:rPr>
      </w:pPr>
      <w:r>
        <w:rPr>
          <w:rFonts w:ascii="Arial" w:cs="Arial" w:eastAsia="Arial" w:hAnsi="Arial"/>
          <w:sz w:val="36"/>
          <w:szCs w:val="36"/>
          <w:b w:val="1"/>
          <w:bCs w:val="1"/>
          <w:color w:val="auto"/>
        </w:rPr>
        <w:t>ITEM 4.</w:t>
        <w:tab/>
        <w:t>Mine Safety Disclosures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191" w:lineRule="exact"/>
        <w:rPr>
          <w:sz w:val="20"/>
          <w:szCs w:val="20"/>
          <w:color w:val="auto"/>
        </w:rPr>
      </w:pPr>
    </w:p>
    <w:p>
      <w:pPr>
        <w:spacing w:after="0"/>
        <w:tabs>
          <w:tab w:leader="none" w:pos="1640" w:val="left"/>
        </w:tabs>
        <w:rPr>
          <w:sz w:val="20"/>
          <w:szCs w:val="20"/>
          <w:color w:val="auto"/>
        </w:rPr>
      </w:pPr>
      <w:r>
        <w:rPr>
          <w:rFonts w:ascii="Arial" w:cs="Arial" w:eastAsia="Arial" w:hAnsi="Arial"/>
          <w:sz w:val="36"/>
          <w:szCs w:val="36"/>
          <w:b w:val="1"/>
          <w:bCs w:val="1"/>
          <w:color w:val="auto"/>
        </w:rPr>
        <w:t>ITEM 5.</w:t>
      </w:r>
      <w:r>
        <w:rPr>
          <w:sz w:val="20"/>
          <w:szCs w:val="20"/>
          <w:color w:val="auto"/>
        </w:rPr>
        <w:tab/>
      </w:r>
      <w:r>
        <w:rPr>
          <w:rFonts w:ascii="Arial" w:cs="Arial" w:eastAsia="Arial" w:hAnsi="Arial"/>
          <w:sz w:val="35"/>
          <w:szCs w:val="35"/>
          <w:b w:val="1"/>
          <w:bCs w:val="1"/>
          <w:color w:val="auto"/>
        </w:rPr>
        <w:t>Other Information</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471"/>
        </w:trPr>
        <w:tc>
          <w:tcPr>
            <w:tcW w:w="1280" w:type="dxa"/>
            <w:vAlign w:val="bottom"/>
            <w:gridSpan w:val="2"/>
          </w:tcPr>
          <w:p>
            <w:pPr>
              <w:spacing w:after="0"/>
              <w:rPr>
                <w:sz w:val="20"/>
                <w:szCs w:val="20"/>
                <w:color w:val="auto"/>
              </w:rPr>
            </w:pPr>
            <w:r>
              <w:rPr>
                <w:rFonts w:ascii="Arial" w:cs="Arial" w:eastAsia="Arial" w:hAnsi="Arial"/>
                <w:sz w:val="36"/>
                <w:szCs w:val="36"/>
                <w:b w:val="1"/>
                <w:bCs w:val="1"/>
                <w:color w:val="auto"/>
                <w:w w:val="99"/>
              </w:rPr>
              <w:t>ITEM 6.</w:t>
            </w:r>
          </w:p>
        </w:tc>
        <w:tc>
          <w:tcPr>
            <w:tcW w:w="9940" w:type="dxa"/>
            <w:vAlign w:val="bottom"/>
          </w:tcPr>
          <w:p>
            <w:pPr>
              <w:ind w:left="380"/>
              <w:spacing w:after="0"/>
              <w:rPr>
                <w:sz w:val="20"/>
                <w:szCs w:val="20"/>
                <w:color w:val="auto"/>
              </w:rPr>
            </w:pPr>
            <w:r>
              <w:rPr>
                <w:rFonts w:ascii="Arial" w:cs="Arial" w:eastAsia="Arial" w:hAnsi="Arial"/>
                <w:sz w:val="36"/>
                <w:szCs w:val="36"/>
                <w:b w:val="1"/>
                <w:bCs w:val="1"/>
                <w:color w:val="auto"/>
              </w:rPr>
              <w:t>Exhibits</w:t>
            </w:r>
          </w:p>
        </w:tc>
      </w:tr>
      <w:tr>
        <w:trPr>
          <w:trHeight w:val="197"/>
        </w:trPr>
        <w:tc>
          <w:tcPr>
            <w:tcW w:w="920" w:type="dxa"/>
            <w:vAlign w:val="bottom"/>
            <w:shd w:val="clear" w:color="auto" w:fill="1D2758"/>
          </w:tcPr>
          <w:p>
            <w:pPr>
              <w:ind w:left="100"/>
              <w:spacing w:after="0"/>
              <w:rPr>
                <w:sz w:val="20"/>
                <w:szCs w:val="20"/>
                <w:color w:val="auto"/>
              </w:rPr>
            </w:pPr>
            <w:r>
              <w:rPr>
                <w:rFonts w:ascii="Arial" w:cs="Arial" w:eastAsia="Arial" w:hAnsi="Arial"/>
                <w:sz w:val="15"/>
                <w:szCs w:val="15"/>
                <w:b w:val="1"/>
                <w:bCs w:val="1"/>
                <w:color w:val="FFFFFF"/>
              </w:rPr>
              <w:t>Exhibit No.</w:t>
            </w:r>
          </w:p>
        </w:tc>
        <w:tc>
          <w:tcPr>
            <w:tcW w:w="360" w:type="dxa"/>
            <w:vAlign w:val="bottom"/>
            <w:shd w:val="clear" w:color="auto" w:fill="1D2758"/>
          </w:tcPr>
          <w:p>
            <w:pPr>
              <w:spacing w:after="0"/>
              <w:rPr>
                <w:sz w:val="17"/>
                <w:szCs w:val="17"/>
                <w:color w:val="auto"/>
              </w:rPr>
            </w:pPr>
          </w:p>
        </w:tc>
        <w:tc>
          <w:tcPr>
            <w:tcW w:w="9940" w:type="dxa"/>
            <w:vAlign w:val="bottom"/>
            <w:shd w:val="clear" w:color="auto" w:fill="1D2758"/>
          </w:tcPr>
          <w:p>
            <w:pPr>
              <w:ind w:left="4300"/>
              <w:spacing w:after="0"/>
              <w:rPr>
                <w:sz w:val="20"/>
                <w:szCs w:val="20"/>
                <w:color w:val="auto"/>
              </w:rPr>
            </w:pPr>
            <w:r>
              <w:rPr>
                <w:rFonts w:ascii="Arial" w:cs="Arial" w:eastAsia="Arial" w:hAnsi="Arial"/>
                <w:sz w:val="15"/>
                <w:szCs w:val="15"/>
                <w:b w:val="1"/>
                <w:bCs w:val="1"/>
                <w:color w:val="FFFFFF"/>
              </w:rPr>
              <w:t>Exhibit Description</w:t>
            </w:r>
          </w:p>
        </w:tc>
      </w:tr>
      <w:tr>
        <w:trPr>
          <w:trHeight w:val="192"/>
        </w:trPr>
        <w:tc>
          <w:tcPr>
            <w:tcW w:w="920" w:type="dxa"/>
            <w:vAlign w:val="bottom"/>
          </w:tcPr>
          <w:p>
            <w:pPr>
              <w:ind w:left="20"/>
              <w:spacing w:after="0"/>
              <w:rPr>
                <w:rFonts w:ascii="Arial" w:cs="Arial" w:eastAsia="Arial" w:hAnsi="Arial"/>
                <w:sz w:val="15"/>
                <w:szCs w:val="15"/>
                <w:color w:val="auto"/>
              </w:rPr>
            </w:pPr>
            <w:hyperlink w:anchor="page69">
              <w:r>
                <w:rPr>
                  <w:rFonts w:ascii="Arial" w:cs="Arial" w:eastAsia="Arial" w:hAnsi="Arial"/>
                  <w:sz w:val="15"/>
                  <w:szCs w:val="15"/>
                  <w:color w:val="auto"/>
                </w:rPr>
                <w:t>31.1</w:t>
              </w:r>
            </w:hyperlink>
          </w:p>
        </w:tc>
        <w:tc>
          <w:tcPr>
            <w:tcW w:w="360" w:type="dxa"/>
            <w:vAlign w:val="bottom"/>
          </w:tcPr>
          <w:p>
            <w:pPr>
              <w:ind w:left="60"/>
              <w:spacing w:after="0"/>
              <w:rPr>
                <w:sz w:val="20"/>
                <w:szCs w:val="20"/>
                <w:color w:val="auto"/>
              </w:rPr>
            </w:pPr>
            <w:r>
              <w:rPr>
                <w:rFonts w:ascii="Arial" w:cs="Arial" w:eastAsia="Arial" w:hAnsi="Arial"/>
                <w:sz w:val="15"/>
                <w:szCs w:val="15"/>
                <w:color w:val="auto"/>
              </w:rPr>
              <w:t>*</w:t>
            </w:r>
          </w:p>
        </w:tc>
        <w:tc>
          <w:tcPr>
            <w:tcW w:w="9940" w:type="dxa"/>
            <w:vAlign w:val="bottom"/>
          </w:tcPr>
          <w:p>
            <w:pPr>
              <w:ind w:left="20"/>
              <w:spacing w:after="0"/>
              <w:rPr>
                <w:rFonts w:ascii="Arial" w:cs="Arial" w:eastAsia="Arial" w:hAnsi="Arial"/>
                <w:sz w:val="15"/>
                <w:szCs w:val="15"/>
                <w:color w:val="auto"/>
              </w:rPr>
            </w:pPr>
            <w:hyperlink w:anchor="page69">
              <w:r>
                <w:rPr>
                  <w:rFonts w:ascii="Arial" w:cs="Arial" w:eastAsia="Arial" w:hAnsi="Arial"/>
                  <w:sz w:val="15"/>
                  <w:szCs w:val="15"/>
                  <w:color w:val="auto"/>
                </w:rPr>
                <w:t>Certification of Chief Executive Officer pursuant to Section 302 of the Sarbanes-Oxley Act of 2002</w:t>
              </w:r>
            </w:hyperlink>
          </w:p>
        </w:tc>
      </w:tr>
      <w:tr>
        <w:trPr>
          <w:trHeight w:val="197"/>
        </w:trPr>
        <w:tc>
          <w:tcPr>
            <w:tcW w:w="920" w:type="dxa"/>
            <w:vAlign w:val="bottom"/>
          </w:tcPr>
          <w:p>
            <w:pPr>
              <w:ind w:left="20"/>
              <w:spacing w:after="0"/>
              <w:rPr>
                <w:rFonts w:ascii="Arial" w:cs="Arial" w:eastAsia="Arial" w:hAnsi="Arial"/>
                <w:sz w:val="15"/>
                <w:szCs w:val="15"/>
                <w:color w:val="auto"/>
              </w:rPr>
            </w:pPr>
            <w:hyperlink w:anchor="page70">
              <w:r>
                <w:rPr>
                  <w:rFonts w:ascii="Arial" w:cs="Arial" w:eastAsia="Arial" w:hAnsi="Arial"/>
                  <w:sz w:val="15"/>
                  <w:szCs w:val="15"/>
                  <w:color w:val="auto"/>
                </w:rPr>
                <w:t>31.2</w:t>
              </w:r>
            </w:hyperlink>
          </w:p>
        </w:tc>
        <w:tc>
          <w:tcPr>
            <w:tcW w:w="360" w:type="dxa"/>
            <w:vAlign w:val="bottom"/>
          </w:tcPr>
          <w:p>
            <w:pPr>
              <w:ind w:left="60"/>
              <w:spacing w:after="0"/>
              <w:rPr>
                <w:sz w:val="20"/>
                <w:szCs w:val="20"/>
                <w:color w:val="auto"/>
              </w:rPr>
            </w:pPr>
            <w:r>
              <w:rPr>
                <w:rFonts w:ascii="Arial" w:cs="Arial" w:eastAsia="Arial" w:hAnsi="Arial"/>
                <w:sz w:val="15"/>
                <w:szCs w:val="15"/>
                <w:color w:val="auto"/>
              </w:rPr>
              <w:t>*</w:t>
            </w:r>
          </w:p>
        </w:tc>
        <w:tc>
          <w:tcPr>
            <w:tcW w:w="9940" w:type="dxa"/>
            <w:vAlign w:val="bottom"/>
          </w:tcPr>
          <w:p>
            <w:pPr>
              <w:ind w:left="20"/>
              <w:spacing w:after="0"/>
              <w:rPr>
                <w:rFonts w:ascii="Arial" w:cs="Arial" w:eastAsia="Arial" w:hAnsi="Arial"/>
                <w:sz w:val="15"/>
                <w:szCs w:val="15"/>
                <w:color w:val="auto"/>
              </w:rPr>
            </w:pPr>
            <w:hyperlink w:anchor="page70">
              <w:r>
                <w:rPr>
                  <w:rFonts w:ascii="Arial" w:cs="Arial" w:eastAsia="Arial" w:hAnsi="Arial"/>
                  <w:sz w:val="15"/>
                  <w:szCs w:val="15"/>
                  <w:color w:val="auto"/>
                </w:rPr>
                <w:t>Certification of Chief Financial Officer pursuant to Section 302 of the Sarbanes-Oxley Act of 2002</w:t>
              </w:r>
            </w:hyperlink>
          </w:p>
        </w:tc>
      </w:tr>
      <w:tr>
        <w:trPr>
          <w:trHeight w:val="197"/>
        </w:trPr>
        <w:tc>
          <w:tcPr>
            <w:tcW w:w="920" w:type="dxa"/>
            <w:vAlign w:val="bottom"/>
          </w:tcPr>
          <w:p>
            <w:pPr>
              <w:ind w:left="20"/>
              <w:spacing w:after="0"/>
              <w:rPr>
                <w:rFonts w:ascii="Arial" w:cs="Arial" w:eastAsia="Arial" w:hAnsi="Arial"/>
                <w:sz w:val="15"/>
                <w:szCs w:val="15"/>
                <w:color w:val="auto"/>
              </w:rPr>
            </w:pPr>
            <w:hyperlink w:anchor="page71">
              <w:r>
                <w:rPr>
                  <w:rFonts w:ascii="Arial" w:cs="Arial" w:eastAsia="Arial" w:hAnsi="Arial"/>
                  <w:sz w:val="15"/>
                  <w:szCs w:val="15"/>
                  <w:color w:val="auto"/>
                </w:rPr>
                <w:t>32.1</w:t>
              </w:r>
            </w:hyperlink>
          </w:p>
        </w:tc>
        <w:tc>
          <w:tcPr>
            <w:tcW w:w="360" w:type="dxa"/>
            <w:vAlign w:val="bottom"/>
          </w:tcPr>
          <w:p>
            <w:pPr>
              <w:ind w:left="60"/>
              <w:spacing w:after="0"/>
              <w:rPr>
                <w:sz w:val="20"/>
                <w:szCs w:val="20"/>
                <w:color w:val="auto"/>
              </w:rPr>
            </w:pPr>
            <w:r>
              <w:rPr>
                <w:rFonts w:ascii="Arial" w:cs="Arial" w:eastAsia="Arial" w:hAnsi="Arial"/>
                <w:sz w:val="15"/>
                <w:szCs w:val="15"/>
                <w:color w:val="auto"/>
              </w:rPr>
              <w:t>**</w:t>
            </w:r>
          </w:p>
        </w:tc>
        <w:tc>
          <w:tcPr>
            <w:tcW w:w="9940" w:type="dxa"/>
            <w:vAlign w:val="bottom"/>
          </w:tcPr>
          <w:p>
            <w:pPr>
              <w:ind w:left="20"/>
              <w:spacing w:after="0"/>
              <w:rPr>
                <w:rFonts w:ascii="Arial" w:cs="Arial" w:eastAsia="Arial" w:hAnsi="Arial"/>
                <w:sz w:val="15"/>
                <w:szCs w:val="15"/>
                <w:color w:val="auto"/>
              </w:rPr>
            </w:pPr>
            <w:hyperlink w:anchor="page71">
              <w:r>
                <w:rPr>
                  <w:rFonts w:ascii="Arial" w:cs="Arial" w:eastAsia="Arial" w:hAnsi="Arial"/>
                  <w:sz w:val="15"/>
                  <w:szCs w:val="15"/>
                  <w:color w:val="auto"/>
                </w:rPr>
                <w:t>Certification of Chief Executive Officer pursuant to Section 906 of the Sarbanes-Oxley Act of 2002</w:t>
              </w:r>
            </w:hyperlink>
          </w:p>
        </w:tc>
      </w:tr>
      <w:tr>
        <w:trPr>
          <w:trHeight w:val="197"/>
        </w:trPr>
        <w:tc>
          <w:tcPr>
            <w:tcW w:w="920" w:type="dxa"/>
            <w:vAlign w:val="bottom"/>
          </w:tcPr>
          <w:p>
            <w:pPr>
              <w:ind w:left="20"/>
              <w:spacing w:after="0"/>
              <w:rPr>
                <w:rFonts w:ascii="Arial" w:cs="Arial" w:eastAsia="Arial" w:hAnsi="Arial"/>
                <w:sz w:val="15"/>
                <w:szCs w:val="15"/>
                <w:color w:val="auto"/>
              </w:rPr>
            </w:pPr>
            <w:hyperlink w:anchor="page72">
              <w:r>
                <w:rPr>
                  <w:rFonts w:ascii="Arial" w:cs="Arial" w:eastAsia="Arial" w:hAnsi="Arial"/>
                  <w:sz w:val="15"/>
                  <w:szCs w:val="15"/>
                  <w:color w:val="auto"/>
                </w:rPr>
                <w:t>32.2</w:t>
              </w:r>
            </w:hyperlink>
          </w:p>
        </w:tc>
        <w:tc>
          <w:tcPr>
            <w:tcW w:w="360" w:type="dxa"/>
            <w:vAlign w:val="bottom"/>
          </w:tcPr>
          <w:p>
            <w:pPr>
              <w:ind w:left="60"/>
              <w:spacing w:after="0"/>
              <w:rPr>
                <w:sz w:val="20"/>
                <w:szCs w:val="20"/>
                <w:color w:val="auto"/>
              </w:rPr>
            </w:pPr>
            <w:r>
              <w:rPr>
                <w:rFonts w:ascii="Arial" w:cs="Arial" w:eastAsia="Arial" w:hAnsi="Arial"/>
                <w:sz w:val="15"/>
                <w:szCs w:val="15"/>
                <w:color w:val="auto"/>
              </w:rPr>
              <w:t>**</w:t>
            </w:r>
          </w:p>
        </w:tc>
        <w:tc>
          <w:tcPr>
            <w:tcW w:w="9940" w:type="dxa"/>
            <w:vAlign w:val="bottom"/>
          </w:tcPr>
          <w:p>
            <w:pPr>
              <w:ind w:left="20"/>
              <w:spacing w:after="0"/>
              <w:rPr>
                <w:rFonts w:ascii="Arial" w:cs="Arial" w:eastAsia="Arial" w:hAnsi="Arial"/>
                <w:sz w:val="15"/>
                <w:szCs w:val="15"/>
                <w:color w:val="auto"/>
              </w:rPr>
            </w:pPr>
            <w:hyperlink w:anchor="page72">
              <w:r>
                <w:rPr>
                  <w:rFonts w:ascii="Arial" w:cs="Arial" w:eastAsia="Arial" w:hAnsi="Arial"/>
                  <w:sz w:val="15"/>
                  <w:szCs w:val="15"/>
                  <w:color w:val="auto"/>
                </w:rPr>
                <w:t>Certification of Chief Financial Officer pursuant to Section 906 of the Sarbanes-Oxley Act of 2002</w:t>
              </w:r>
            </w:hyperlink>
          </w:p>
        </w:tc>
      </w:tr>
      <w:tr>
        <w:trPr>
          <w:trHeight w:val="167"/>
        </w:trPr>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40" w:type="dxa"/>
            <w:vAlign w:val="bottom"/>
          </w:tcPr>
          <w:p>
            <w:pPr>
              <w:ind w:left="20"/>
              <w:spacing w:after="0" w:line="167" w:lineRule="exact"/>
              <w:rPr>
                <w:sz w:val="20"/>
                <w:szCs w:val="20"/>
                <w:color w:val="auto"/>
              </w:rPr>
            </w:pPr>
            <w:r>
              <w:rPr>
                <w:rFonts w:ascii="Arial" w:cs="Arial" w:eastAsia="Arial" w:hAnsi="Arial"/>
                <w:sz w:val="15"/>
                <w:szCs w:val="15"/>
                <w:color w:val="auto"/>
                <w:w w:val="99"/>
              </w:rPr>
              <w:t>XBRL Instance Document - the instance document does not appear in the Interactive Data File because its XBRL tags are embedded within the Inline</w:t>
            </w:r>
          </w:p>
        </w:tc>
      </w:tr>
      <w:tr>
        <w:trPr>
          <w:trHeight w:val="178"/>
        </w:trPr>
        <w:tc>
          <w:tcPr>
            <w:tcW w:w="920" w:type="dxa"/>
            <w:vAlign w:val="bottom"/>
          </w:tcPr>
          <w:p>
            <w:pPr>
              <w:ind w:left="20"/>
              <w:spacing w:after="0"/>
              <w:rPr>
                <w:sz w:val="20"/>
                <w:szCs w:val="20"/>
                <w:color w:val="auto"/>
              </w:rPr>
            </w:pPr>
            <w:r>
              <w:rPr>
                <w:rFonts w:ascii="Arial" w:cs="Arial" w:eastAsia="Arial" w:hAnsi="Arial"/>
                <w:sz w:val="15"/>
                <w:szCs w:val="15"/>
                <w:color w:val="auto"/>
              </w:rPr>
              <w:t>101.INS</w:t>
            </w:r>
          </w:p>
        </w:tc>
        <w:tc>
          <w:tcPr>
            <w:tcW w:w="360" w:type="dxa"/>
            <w:vAlign w:val="bottom"/>
          </w:tcPr>
          <w:p>
            <w:pPr>
              <w:spacing w:after="0"/>
              <w:rPr>
                <w:sz w:val="15"/>
                <w:szCs w:val="15"/>
                <w:color w:val="auto"/>
              </w:rPr>
            </w:pPr>
          </w:p>
        </w:tc>
        <w:tc>
          <w:tcPr>
            <w:tcW w:w="9940" w:type="dxa"/>
            <w:vAlign w:val="bottom"/>
          </w:tcPr>
          <w:p>
            <w:pPr>
              <w:ind w:left="20"/>
              <w:spacing w:after="0"/>
              <w:rPr>
                <w:sz w:val="20"/>
                <w:szCs w:val="20"/>
                <w:color w:val="auto"/>
              </w:rPr>
            </w:pPr>
            <w:r>
              <w:rPr>
                <w:rFonts w:ascii="Arial" w:cs="Arial" w:eastAsia="Arial" w:hAnsi="Arial"/>
                <w:sz w:val="15"/>
                <w:szCs w:val="15"/>
                <w:color w:val="auto"/>
              </w:rPr>
              <w:t>XBRL document</w:t>
            </w:r>
          </w:p>
        </w:tc>
      </w:tr>
      <w:tr>
        <w:trPr>
          <w:trHeight w:val="197"/>
        </w:trPr>
        <w:tc>
          <w:tcPr>
            <w:tcW w:w="920" w:type="dxa"/>
            <w:vAlign w:val="bottom"/>
          </w:tcPr>
          <w:p>
            <w:pPr>
              <w:ind w:left="20"/>
              <w:spacing w:after="0"/>
              <w:rPr>
                <w:sz w:val="20"/>
                <w:szCs w:val="20"/>
                <w:color w:val="auto"/>
              </w:rPr>
            </w:pPr>
            <w:r>
              <w:rPr>
                <w:rFonts w:ascii="Arial" w:cs="Arial" w:eastAsia="Arial" w:hAnsi="Arial"/>
                <w:sz w:val="15"/>
                <w:szCs w:val="15"/>
                <w:color w:val="auto"/>
              </w:rPr>
              <w:t>101.SCH</w:t>
            </w:r>
          </w:p>
        </w:tc>
        <w:tc>
          <w:tcPr>
            <w:tcW w:w="360" w:type="dxa"/>
            <w:vAlign w:val="bottom"/>
          </w:tcPr>
          <w:p>
            <w:pPr>
              <w:spacing w:after="0"/>
              <w:rPr>
                <w:sz w:val="17"/>
                <w:szCs w:val="17"/>
                <w:color w:val="auto"/>
              </w:rPr>
            </w:pPr>
          </w:p>
        </w:tc>
        <w:tc>
          <w:tcPr>
            <w:tcW w:w="9940" w:type="dxa"/>
            <w:vAlign w:val="bottom"/>
          </w:tcPr>
          <w:p>
            <w:pPr>
              <w:ind w:left="20"/>
              <w:spacing w:after="0"/>
              <w:rPr>
                <w:sz w:val="20"/>
                <w:szCs w:val="20"/>
                <w:color w:val="auto"/>
              </w:rPr>
            </w:pPr>
            <w:r>
              <w:rPr>
                <w:rFonts w:ascii="Arial" w:cs="Arial" w:eastAsia="Arial" w:hAnsi="Arial"/>
                <w:sz w:val="15"/>
                <w:szCs w:val="15"/>
                <w:color w:val="auto"/>
              </w:rPr>
              <w:t>XBRL Taxonomy Extension Schema Document</w:t>
            </w:r>
          </w:p>
        </w:tc>
      </w:tr>
      <w:tr>
        <w:trPr>
          <w:trHeight w:val="197"/>
        </w:trPr>
        <w:tc>
          <w:tcPr>
            <w:tcW w:w="920" w:type="dxa"/>
            <w:vAlign w:val="bottom"/>
          </w:tcPr>
          <w:p>
            <w:pPr>
              <w:ind w:left="20"/>
              <w:spacing w:after="0"/>
              <w:rPr>
                <w:sz w:val="20"/>
                <w:szCs w:val="20"/>
                <w:color w:val="auto"/>
              </w:rPr>
            </w:pPr>
            <w:r>
              <w:rPr>
                <w:rFonts w:ascii="Arial" w:cs="Arial" w:eastAsia="Arial" w:hAnsi="Arial"/>
                <w:sz w:val="15"/>
                <w:szCs w:val="15"/>
                <w:color w:val="auto"/>
              </w:rPr>
              <w:t>101.CAL</w:t>
            </w:r>
          </w:p>
        </w:tc>
        <w:tc>
          <w:tcPr>
            <w:tcW w:w="360" w:type="dxa"/>
            <w:vAlign w:val="bottom"/>
          </w:tcPr>
          <w:p>
            <w:pPr>
              <w:spacing w:after="0"/>
              <w:rPr>
                <w:sz w:val="17"/>
                <w:szCs w:val="17"/>
                <w:color w:val="auto"/>
              </w:rPr>
            </w:pPr>
          </w:p>
        </w:tc>
        <w:tc>
          <w:tcPr>
            <w:tcW w:w="9940" w:type="dxa"/>
            <w:vAlign w:val="bottom"/>
          </w:tcPr>
          <w:p>
            <w:pPr>
              <w:ind w:left="20"/>
              <w:spacing w:after="0"/>
              <w:rPr>
                <w:sz w:val="20"/>
                <w:szCs w:val="20"/>
                <w:color w:val="auto"/>
              </w:rPr>
            </w:pPr>
            <w:r>
              <w:rPr>
                <w:rFonts w:ascii="Arial" w:cs="Arial" w:eastAsia="Arial" w:hAnsi="Arial"/>
                <w:sz w:val="15"/>
                <w:szCs w:val="15"/>
                <w:color w:val="auto"/>
              </w:rPr>
              <w:t>XBRL Taxonomy Extension Calculation Linkbase Document</w:t>
            </w:r>
          </w:p>
        </w:tc>
      </w:tr>
      <w:tr>
        <w:trPr>
          <w:trHeight w:val="197"/>
        </w:trPr>
        <w:tc>
          <w:tcPr>
            <w:tcW w:w="920" w:type="dxa"/>
            <w:vAlign w:val="bottom"/>
          </w:tcPr>
          <w:p>
            <w:pPr>
              <w:ind w:left="20"/>
              <w:spacing w:after="0"/>
              <w:rPr>
                <w:sz w:val="20"/>
                <w:szCs w:val="20"/>
                <w:color w:val="auto"/>
              </w:rPr>
            </w:pPr>
            <w:r>
              <w:rPr>
                <w:rFonts w:ascii="Arial" w:cs="Arial" w:eastAsia="Arial" w:hAnsi="Arial"/>
                <w:sz w:val="15"/>
                <w:szCs w:val="15"/>
                <w:color w:val="auto"/>
              </w:rPr>
              <w:t>101.DEF</w:t>
            </w:r>
          </w:p>
        </w:tc>
        <w:tc>
          <w:tcPr>
            <w:tcW w:w="360" w:type="dxa"/>
            <w:vAlign w:val="bottom"/>
          </w:tcPr>
          <w:p>
            <w:pPr>
              <w:spacing w:after="0"/>
              <w:rPr>
                <w:sz w:val="17"/>
                <w:szCs w:val="17"/>
                <w:color w:val="auto"/>
              </w:rPr>
            </w:pPr>
          </w:p>
        </w:tc>
        <w:tc>
          <w:tcPr>
            <w:tcW w:w="9940" w:type="dxa"/>
            <w:vAlign w:val="bottom"/>
          </w:tcPr>
          <w:p>
            <w:pPr>
              <w:ind w:left="20"/>
              <w:spacing w:after="0"/>
              <w:rPr>
                <w:sz w:val="20"/>
                <w:szCs w:val="20"/>
                <w:color w:val="auto"/>
              </w:rPr>
            </w:pPr>
            <w:r>
              <w:rPr>
                <w:rFonts w:ascii="Arial" w:cs="Arial" w:eastAsia="Arial" w:hAnsi="Arial"/>
                <w:sz w:val="15"/>
                <w:szCs w:val="15"/>
                <w:color w:val="auto"/>
              </w:rPr>
              <w:t>XBRL Taxonomy Extension Definition Linkbase Document</w:t>
            </w:r>
          </w:p>
        </w:tc>
      </w:tr>
      <w:tr>
        <w:trPr>
          <w:trHeight w:val="197"/>
        </w:trPr>
        <w:tc>
          <w:tcPr>
            <w:tcW w:w="920" w:type="dxa"/>
            <w:vAlign w:val="bottom"/>
          </w:tcPr>
          <w:p>
            <w:pPr>
              <w:ind w:left="20"/>
              <w:spacing w:after="0"/>
              <w:rPr>
                <w:sz w:val="20"/>
                <w:szCs w:val="20"/>
                <w:color w:val="auto"/>
              </w:rPr>
            </w:pPr>
            <w:r>
              <w:rPr>
                <w:rFonts w:ascii="Arial" w:cs="Arial" w:eastAsia="Arial" w:hAnsi="Arial"/>
                <w:sz w:val="15"/>
                <w:szCs w:val="15"/>
                <w:color w:val="auto"/>
              </w:rPr>
              <w:t>101.LAB</w:t>
            </w:r>
          </w:p>
        </w:tc>
        <w:tc>
          <w:tcPr>
            <w:tcW w:w="360" w:type="dxa"/>
            <w:vAlign w:val="bottom"/>
          </w:tcPr>
          <w:p>
            <w:pPr>
              <w:spacing w:after="0"/>
              <w:rPr>
                <w:sz w:val="17"/>
                <w:szCs w:val="17"/>
                <w:color w:val="auto"/>
              </w:rPr>
            </w:pPr>
          </w:p>
        </w:tc>
        <w:tc>
          <w:tcPr>
            <w:tcW w:w="9940" w:type="dxa"/>
            <w:vAlign w:val="bottom"/>
          </w:tcPr>
          <w:p>
            <w:pPr>
              <w:ind w:left="20"/>
              <w:spacing w:after="0"/>
              <w:rPr>
                <w:sz w:val="20"/>
                <w:szCs w:val="20"/>
                <w:color w:val="auto"/>
              </w:rPr>
            </w:pPr>
            <w:r>
              <w:rPr>
                <w:rFonts w:ascii="Arial" w:cs="Arial" w:eastAsia="Arial" w:hAnsi="Arial"/>
                <w:sz w:val="15"/>
                <w:szCs w:val="15"/>
                <w:color w:val="auto"/>
              </w:rPr>
              <w:t>XBRL Taxonomy Extension Label Linkbase Document</w:t>
            </w:r>
          </w:p>
        </w:tc>
      </w:tr>
      <w:tr>
        <w:trPr>
          <w:trHeight w:val="197"/>
        </w:trPr>
        <w:tc>
          <w:tcPr>
            <w:tcW w:w="920" w:type="dxa"/>
            <w:vAlign w:val="bottom"/>
          </w:tcPr>
          <w:p>
            <w:pPr>
              <w:ind w:left="20"/>
              <w:spacing w:after="0"/>
              <w:rPr>
                <w:sz w:val="20"/>
                <w:szCs w:val="20"/>
                <w:color w:val="auto"/>
              </w:rPr>
            </w:pPr>
            <w:r>
              <w:rPr>
                <w:rFonts w:ascii="Arial" w:cs="Arial" w:eastAsia="Arial" w:hAnsi="Arial"/>
                <w:sz w:val="15"/>
                <w:szCs w:val="15"/>
                <w:color w:val="auto"/>
              </w:rPr>
              <w:t>101.PRE</w:t>
            </w:r>
          </w:p>
        </w:tc>
        <w:tc>
          <w:tcPr>
            <w:tcW w:w="360" w:type="dxa"/>
            <w:vAlign w:val="bottom"/>
          </w:tcPr>
          <w:p>
            <w:pPr>
              <w:spacing w:after="0"/>
              <w:rPr>
                <w:sz w:val="17"/>
                <w:szCs w:val="17"/>
                <w:color w:val="auto"/>
              </w:rPr>
            </w:pPr>
          </w:p>
        </w:tc>
        <w:tc>
          <w:tcPr>
            <w:tcW w:w="9940" w:type="dxa"/>
            <w:vAlign w:val="bottom"/>
          </w:tcPr>
          <w:p>
            <w:pPr>
              <w:ind w:left="20"/>
              <w:spacing w:after="0"/>
              <w:rPr>
                <w:sz w:val="20"/>
                <w:szCs w:val="20"/>
                <w:color w:val="auto"/>
              </w:rPr>
            </w:pPr>
            <w:r>
              <w:rPr>
                <w:rFonts w:ascii="Arial" w:cs="Arial" w:eastAsia="Arial" w:hAnsi="Arial"/>
                <w:sz w:val="15"/>
                <w:szCs w:val="15"/>
                <w:color w:val="auto"/>
              </w:rPr>
              <w:t>XBRL Taxonomy Extension Presentation Linkbase Document</w:t>
            </w:r>
          </w:p>
        </w:tc>
      </w:tr>
    </w:tbl>
    <w:p>
      <w:pPr>
        <w:spacing w:after="0" w:line="14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*Filed herewith</w:t>
      </w:r>
    </w:p>
    <w:p>
      <w:pPr>
        <w:ind w:left="300"/>
        <w:spacing w:after="0"/>
        <w:rPr>
          <w:sz w:val="20"/>
          <w:szCs w:val="20"/>
          <w:color w:val="auto"/>
        </w:rPr>
      </w:pPr>
      <w:r>
        <w:rPr>
          <w:rFonts w:ascii="Arial" w:cs="Arial" w:eastAsia="Arial" w:hAnsi="Arial"/>
          <w:sz w:val="13"/>
          <w:szCs w:val="13"/>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716978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67" w:name="page68"/>
    <w:bookmarkEnd w:id="67"/>
    <w:p>
      <w:pPr>
        <w:jc w:val="center"/>
        <w:ind w:right="100"/>
        <w:spacing w:after="0"/>
        <w:rPr>
          <w:sz w:val="20"/>
          <w:szCs w:val="20"/>
          <w:color w:val="auto"/>
        </w:rPr>
      </w:pPr>
      <w:r>
        <w:rPr>
          <w:rFonts w:ascii="Arial" w:cs="Arial" w:eastAsia="Arial" w:hAnsi="Arial"/>
          <w:sz w:val="21"/>
          <w:szCs w:val="21"/>
          <w:color w:val="1D2758"/>
        </w:rPr>
        <w:t>Signature</w:t>
      </w:r>
    </w:p>
    <w:p>
      <w:pPr>
        <w:spacing w:after="0" w:line="88" w:lineRule="exact"/>
        <w:rPr>
          <w:sz w:val="20"/>
          <w:szCs w:val="20"/>
          <w:color w:val="auto"/>
        </w:rPr>
      </w:pPr>
    </w:p>
    <w:p>
      <w:pPr>
        <w:ind w:right="100" w:firstLine="590"/>
        <w:spacing w:after="0" w:line="246"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tbl>
      <w:tblPr>
        <w:tblLayout w:type="fixed"/>
        <w:tblInd w:w="1200" w:type="dxa"/>
        <w:tblCellMar>
          <w:top w:w="0" w:type="dxa"/>
          <w:left w:w="0" w:type="dxa"/>
          <w:bottom w:w="0" w:type="dxa"/>
          <w:right w:w="0" w:type="dxa"/>
        </w:tblCellMar>
      </w:tblPr>
      <w:tr>
        <w:trPr>
          <w:trHeight w:val="196"/>
        </w:trPr>
        <w:tc>
          <w:tcPr>
            <w:tcW w:w="740" w:type="dxa"/>
            <w:vAlign w:val="bottom"/>
          </w:tcPr>
          <w:p>
            <w:pPr>
              <w:spacing w:after="0"/>
              <w:rPr>
                <w:sz w:val="17"/>
                <w:szCs w:val="17"/>
                <w:color w:val="auto"/>
              </w:rPr>
            </w:pPr>
          </w:p>
        </w:tc>
        <w:tc>
          <w:tcPr>
            <w:tcW w:w="9400" w:type="dxa"/>
            <w:vAlign w:val="bottom"/>
            <w:gridSpan w:val="2"/>
          </w:tcPr>
          <w:p>
            <w:pPr>
              <w:ind w:left="4980"/>
              <w:spacing w:after="0"/>
              <w:rPr>
                <w:sz w:val="20"/>
                <w:szCs w:val="20"/>
                <w:color w:val="auto"/>
              </w:rPr>
            </w:pPr>
            <w:r>
              <w:rPr>
                <w:rFonts w:ascii="Arial" w:cs="Arial" w:eastAsia="Arial" w:hAnsi="Arial"/>
                <w:sz w:val="15"/>
                <w:szCs w:val="15"/>
                <w:b w:val="1"/>
                <w:bCs w:val="1"/>
                <w:color w:val="auto"/>
              </w:rPr>
              <w:t>WillScot Mobile Mini Holdings Corp.</w:t>
            </w:r>
          </w:p>
        </w:tc>
      </w:tr>
      <w:tr>
        <w:trPr>
          <w:trHeight w:val="396"/>
        </w:trPr>
        <w:tc>
          <w:tcPr>
            <w:tcW w:w="740" w:type="dxa"/>
            <w:vAlign w:val="bottom"/>
          </w:tcPr>
          <w:p>
            <w:pPr>
              <w:spacing w:after="0"/>
              <w:rPr>
                <w:sz w:val="24"/>
                <w:szCs w:val="24"/>
                <w:color w:val="auto"/>
              </w:rPr>
            </w:pPr>
          </w:p>
        </w:tc>
        <w:tc>
          <w:tcPr>
            <w:tcW w:w="5200" w:type="dxa"/>
            <w:vAlign w:val="bottom"/>
          </w:tcPr>
          <w:p>
            <w:pPr>
              <w:ind w:left="4980"/>
              <w:spacing w:after="0"/>
              <w:rPr>
                <w:sz w:val="20"/>
                <w:szCs w:val="20"/>
                <w:color w:val="auto"/>
              </w:rPr>
            </w:pPr>
            <w:r>
              <w:rPr>
                <w:rFonts w:ascii="Arial" w:cs="Arial" w:eastAsia="Arial" w:hAnsi="Arial"/>
                <w:sz w:val="15"/>
                <w:szCs w:val="15"/>
                <w:color w:val="auto"/>
                <w:w w:val="92"/>
              </w:rPr>
              <w:t>By:</w:t>
            </w:r>
          </w:p>
        </w:tc>
        <w:tc>
          <w:tcPr>
            <w:tcW w:w="420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/s/ CHRISTOPHER J. MINER</w:t>
            </w:r>
          </w:p>
        </w:tc>
      </w:tr>
      <w:tr>
        <w:trPr>
          <w:trHeight w:val="186"/>
        </w:trPr>
        <w:tc>
          <w:tcPr>
            <w:tcW w:w="740" w:type="dxa"/>
            <w:vAlign w:val="bottom"/>
          </w:tcPr>
          <w:p>
            <w:pPr>
              <w:spacing w:after="0"/>
              <w:rPr>
                <w:sz w:val="20"/>
                <w:szCs w:val="20"/>
                <w:color w:val="auto"/>
              </w:rPr>
            </w:pPr>
            <w:r>
              <w:rPr>
                <w:rFonts w:ascii="Arial" w:cs="Arial" w:eastAsia="Arial" w:hAnsi="Arial"/>
                <w:sz w:val="15"/>
                <w:szCs w:val="15"/>
                <w:color w:val="auto"/>
              </w:rPr>
              <w:t>Dated:</w:t>
            </w:r>
          </w:p>
        </w:tc>
        <w:tc>
          <w:tcPr>
            <w:tcW w:w="5200" w:type="dxa"/>
            <w:vAlign w:val="bottom"/>
          </w:tcPr>
          <w:p>
            <w:pPr>
              <w:ind w:left="320"/>
              <w:spacing w:after="0"/>
              <w:rPr>
                <w:sz w:val="20"/>
                <w:szCs w:val="20"/>
                <w:color w:val="auto"/>
              </w:rPr>
            </w:pPr>
            <w:r>
              <w:rPr>
                <w:rFonts w:ascii="Arial" w:cs="Arial" w:eastAsia="Arial" w:hAnsi="Arial"/>
                <w:sz w:val="15"/>
                <w:szCs w:val="15"/>
                <w:color w:val="auto"/>
              </w:rPr>
              <w:t>November 5, 2021</w:t>
            </w:r>
          </w:p>
        </w:tc>
        <w:tc>
          <w:tcPr>
            <w:tcW w:w="4200" w:type="dxa"/>
            <w:vAlign w:val="bottom"/>
          </w:tcPr>
          <w:p>
            <w:pPr>
              <w:ind w:left="600"/>
              <w:spacing w:after="0"/>
              <w:rPr>
                <w:sz w:val="20"/>
                <w:szCs w:val="20"/>
                <w:color w:val="auto"/>
              </w:rPr>
            </w:pPr>
            <w:r>
              <w:rPr>
                <w:rFonts w:ascii="Arial" w:cs="Arial" w:eastAsia="Arial" w:hAnsi="Arial"/>
                <w:sz w:val="15"/>
                <w:szCs w:val="15"/>
                <w:color w:val="auto"/>
              </w:rPr>
              <w:t>Christopher J. Miner</w:t>
            </w:r>
          </w:p>
        </w:tc>
      </w:tr>
      <w:tr>
        <w:trPr>
          <w:trHeight w:val="197"/>
        </w:trPr>
        <w:tc>
          <w:tcPr>
            <w:tcW w:w="7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200" w:type="dxa"/>
            <w:vAlign w:val="bottom"/>
          </w:tcPr>
          <w:p>
            <w:pPr>
              <w:ind w:left="600"/>
              <w:spacing w:after="0"/>
              <w:rPr>
                <w:sz w:val="20"/>
                <w:szCs w:val="20"/>
                <w:color w:val="auto"/>
              </w:rPr>
            </w:pPr>
            <w:r>
              <w:rPr>
                <w:rFonts w:ascii="Arial" w:cs="Arial" w:eastAsia="Arial" w:hAnsi="Arial"/>
                <w:sz w:val="15"/>
                <w:szCs w:val="15"/>
                <w:i w:val="1"/>
                <w:iCs w:val="1"/>
                <w:color w:val="auto"/>
              </w:rPr>
              <w:t>Executive Vice President &amp;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340"/>
          </w:cols>
          <w:pgMar w:left="320" w:top="1029"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365"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5"/>
          <w:szCs w:val="15"/>
          <w:color w:val="auto"/>
        </w:rPr>
        <w:t>I, Bradley L. Soultz, certify that:</w:t>
      </w:r>
    </w:p>
    <w:p>
      <w:pPr>
        <w:spacing w:after="0" w:line="258" w:lineRule="exact"/>
        <w:rPr>
          <w:sz w:val="20"/>
          <w:szCs w:val="20"/>
          <w:color w:val="auto"/>
        </w:rPr>
      </w:pPr>
    </w:p>
    <w:p>
      <w:pPr>
        <w:ind w:left="162" w:hanging="162"/>
        <w:spacing w:after="0"/>
        <w:tabs>
          <w:tab w:leader="none" w:pos="162" w:val="left"/>
        </w:tabs>
        <w:numPr>
          <w:ilvl w:val="0"/>
          <w:numId w:val="2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73" w:lineRule="exact"/>
        <w:rPr>
          <w:rFonts w:ascii="Arial" w:cs="Arial" w:eastAsia="Arial" w:hAnsi="Arial"/>
          <w:sz w:val="15"/>
          <w:szCs w:val="15"/>
          <w:color w:val="auto"/>
        </w:rPr>
      </w:pPr>
    </w:p>
    <w:p>
      <w:pPr>
        <w:ind w:left="2" w:hanging="2"/>
        <w:spacing w:after="0" w:line="342" w:lineRule="auto"/>
        <w:tabs>
          <w:tab w:leader="none" w:pos="171"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 w:hanging="2"/>
        <w:spacing w:after="0" w:line="342" w:lineRule="auto"/>
        <w:tabs>
          <w:tab w:leader="none" w:pos="183"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 w:hanging="2"/>
        <w:spacing w:after="0" w:line="342" w:lineRule="auto"/>
        <w:tabs>
          <w:tab w:leader="none" w:pos="168"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582" w:firstLine="9"/>
        <w:spacing w:after="0" w:line="342" w:lineRule="auto"/>
        <w:tabs>
          <w:tab w:leader="none" w:pos="769"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582" w:firstLine="9"/>
        <w:spacing w:after="0" w:line="342" w:lineRule="auto"/>
        <w:tabs>
          <w:tab w:leader="none" w:pos="761"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82" w:firstLine="9"/>
        <w:spacing w:after="0" w:line="342" w:lineRule="auto"/>
        <w:tabs>
          <w:tab w:leader="none" w:pos="761"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582" w:firstLine="9"/>
        <w:spacing w:after="0" w:line="342" w:lineRule="auto"/>
        <w:tabs>
          <w:tab w:leader="none" w:pos="760" w:val="left"/>
        </w:tabs>
        <w:numPr>
          <w:ilvl w:val="1"/>
          <w:numId w:val="2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 w:hanging="2"/>
        <w:spacing w:after="0" w:line="342" w:lineRule="auto"/>
        <w:tabs>
          <w:tab w:leader="none" w:pos="163"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82" w:firstLine="9"/>
        <w:spacing w:after="0" w:line="342" w:lineRule="auto"/>
        <w:tabs>
          <w:tab w:leader="none" w:pos="756" w:val="left"/>
        </w:tabs>
        <w:numPr>
          <w:ilvl w:val="1"/>
          <w:numId w:val="2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82" w:firstLine="9"/>
        <w:spacing w:after="0" w:line="349" w:lineRule="auto"/>
        <w:tabs>
          <w:tab w:leader="none" w:pos="767" w:val="left"/>
        </w:tabs>
        <w:numPr>
          <w:ilvl w:val="1"/>
          <w:numId w:val="2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5"/>
          <w:szCs w:val="15"/>
          <w:color w:val="auto"/>
        </w:rPr>
        <w:t>Date: November 5, 2021</w:t>
      </w:r>
    </w:p>
    <w:p>
      <w:pPr>
        <w:spacing w:after="0" w:line="34" w:lineRule="exact"/>
        <w:rPr>
          <w:sz w:val="20"/>
          <w:szCs w:val="20"/>
          <w:color w:val="auto"/>
        </w:rPr>
      </w:pPr>
    </w:p>
    <w:p>
      <w:pPr>
        <w:ind w:left="6762"/>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8890</wp:posOffset>
            </wp:positionV>
            <wp:extent cx="28422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42260" cy="7620"/>
                    </a:xfrm>
                    <a:prstGeom prst="rect">
                      <a:avLst/>
                    </a:prstGeom>
                    <a:noFill/>
                  </pic:spPr>
                </pic:pic>
              </a:graphicData>
            </a:graphic>
          </wp:anchor>
        </w:drawing>
      </w:r>
    </w:p>
    <w:p>
      <w:pPr>
        <w:spacing w:after="0" w:line="20" w:lineRule="exact"/>
        <w:rPr>
          <w:sz w:val="20"/>
          <w:szCs w:val="20"/>
          <w:color w:val="auto"/>
        </w:rPr>
      </w:pPr>
    </w:p>
    <w:p>
      <w:pPr>
        <w:ind w:left="6762"/>
        <w:spacing w:after="0"/>
        <w:rPr>
          <w:sz w:val="20"/>
          <w:szCs w:val="20"/>
          <w:color w:val="auto"/>
        </w:rPr>
      </w:pPr>
      <w:r>
        <w:rPr>
          <w:rFonts w:ascii="Arial" w:cs="Arial" w:eastAsia="Arial" w:hAnsi="Arial"/>
          <w:sz w:val="15"/>
          <w:szCs w:val="15"/>
          <w:color w:val="auto"/>
        </w:rPr>
        <w:t>Bradley L. Soultz</w:t>
      </w:r>
    </w:p>
    <w:p>
      <w:pPr>
        <w:spacing w:after="0" w:line="8" w:lineRule="exact"/>
        <w:rPr>
          <w:sz w:val="20"/>
          <w:szCs w:val="20"/>
          <w:color w:val="auto"/>
        </w:rPr>
      </w:pPr>
    </w:p>
    <w:p>
      <w:pPr>
        <w:ind w:left="6762"/>
        <w:spacing w:after="0"/>
        <w:rPr>
          <w:sz w:val="20"/>
          <w:szCs w:val="20"/>
          <w:color w:val="auto"/>
        </w:rPr>
      </w:pPr>
      <w:r>
        <w:rPr>
          <w:rFonts w:ascii="Arial" w:cs="Arial" w:eastAsia="Arial" w:hAnsi="Arial"/>
          <w:sz w:val="15"/>
          <w:szCs w:val="15"/>
          <w:i w:val="1"/>
          <w:iCs w:val="1"/>
          <w:color w:val="auto"/>
        </w:rPr>
        <w:t>Chief Executive Officer and Director (Principal Executive Officer)</w:t>
      </w:r>
    </w:p>
    <w:p>
      <w:pPr>
        <w:sectPr>
          <w:pgSz w:w="11900" w:h="16838" w:orient="portrait"/>
          <w:cols w:equalWidth="0" w:num="1">
            <w:col w:w="11242"/>
          </w:cols>
          <w:pgMar w:left="318" w:top="123"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365"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5"/>
          <w:szCs w:val="15"/>
          <w:color w:val="auto"/>
        </w:rPr>
        <w:t>I, Timothy D. Boswell, certify that:</w:t>
      </w:r>
    </w:p>
    <w:p>
      <w:pPr>
        <w:spacing w:after="0" w:line="258" w:lineRule="exact"/>
        <w:rPr>
          <w:sz w:val="20"/>
          <w:szCs w:val="20"/>
          <w:color w:val="auto"/>
        </w:rPr>
      </w:pPr>
    </w:p>
    <w:p>
      <w:pPr>
        <w:ind w:left="162" w:hanging="162"/>
        <w:spacing w:after="0"/>
        <w:tabs>
          <w:tab w:leader="none" w:pos="162" w:val="left"/>
        </w:tabs>
        <w:numPr>
          <w:ilvl w:val="0"/>
          <w:numId w:val="2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73" w:lineRule="exact"/>
        <w:rPr>
          <w:rFonts w:ascii="Arial" w:cs="Arial" w:eastAsia="Arial" w:hAnsi="Arial"/>
          <w:sz w:val="15"/>
          <w:szCs w:val="15"/>
          <w:color w:val="auto"/>
        </w:rPr>
      </w:pPr>
    </w:p>
    <w:p>
      <w:pPr>
        <w:ind w:left="2" w:hanging="2"/>
        <w:spacing w:after="0" w:line="342" w:lineRule="auto"/>
        <w:tabs>
          <w:tab w:leader="none" w:pos="171"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 w:hanging="2"/>
        <w:spacing w:after="0" w:line="342" w:lineRule="auto"/>
        <w:tabs>
          <w:tab w:leader="none" w:pos="183"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 w:hanging="2"/>
        <w:spacing w:after="0" w:line="342" w:lineRule="auto"/>
        <w:tabs>
          <w:tab w:leader="none" w:pos="16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582" w:firstLine="9"/>
        <w:spacing w:after="0" w:line="342" w:lineRule="auto"/>
        <w:tabs>
          <w:tab w:leader="none" w:pos="769" w:val="left"/>
        </w:tabs>
        <w:numPr>
          <w:ilvl w:val="1"/>
          <w:numId w:val="2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582" w:firstLine="9"/>
        <w:spacing w:after="0" w:line="342" w:lineRule="auto"/>
        <w:tabs>
          <w:tab w:leader="none" w:pos="761" w:val="left"/>
        </w:tabs>
        <w:numPr>
          <w:ilvl w:val="1"/>
          <w:numId w:val="2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82" w:firstLine="9"/>
        <w:spacing w:after="0" w:line="342" w:lineRule="auto"/>
        <w:tabs>
          <w:tab w:leader="none" w:pos="761"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582" w:firstLine="9"/>
        <w:spacing w:after="0" w:line="342" w:lineRule="auto"/>
        <w:tabs>
          <w:tab w:leader="none" w:pos="7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 w:hanging="2"/>
        <w:spacing w:after="0" w:line="342" w:lineRule="auto"/>
        <w:tabs>
          <w:tab w:leader="none" w:pos="163"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82" w:firstLine="9"/>
        <w:spacing w:after="0" w:line="342" w:lineRule="auto"/>
        <w:tabs>
          <w:tab w:leader="none" w:pos="756" w:val="left"/>
        </w:tabs>
        <w:numPr>
          <w:ilvl w:val="1"/>
          <w:numId w:val="2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82" w:firstLine="9"/>
        <w:spacing w:after="0" w:line="349" w:lineRule="auto"/>
        <w:tabs>
          <w:tab w:leader="none" w:pos="767" w:val="left"/>
        </w:tabs>
        <w:numPr>
          <w:ilvl w:val="1"/>
          <w:numId w:val="2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5"/>
          <w:szCs w:val="15"/>
          <w:color w:val="auto"/>
        </w:rPr>
        <w:t>Date: November 5, 2021</w:t>
      </w:r>
    </w:p>
    <w:p>
      <w:pPr>
        <w:spacing w:after="0" w:line="37" w:lineRule="exact"/>
        <w:rPr>
          <w:sz w:val="20"/>
          <w:szCs w:val="20"/>
          <w:color w:val="auto"/>
        </w:rPr>
      </w:pPr>
    </w:p>
    <w:p>
      <w:pPr>
        <w:ind w:left="6762"/>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6350</wp:posOffset>
            </wp:positionV>
            <wp:extent cx="28422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42260" cy="7620"/>
                    </a:xfrm>
                    <a:prstGeom prst="rect">
                      <a:avLst/>
                    </a:prstGeom>
                    <a:noFill/>
                  </pic:spPr>
                </pic:pic>
              </a:graphicData>
            </a:graphic>
          </wp:anchor>
        </w:drawing>
      </w:r>
    </w:p>
    <w:p>
      <w:pPr>
        <w:spacing w:after="0" w:line="17" w:lineRule="exact"/>
        <w:rPr>
          <w:sz w:val="20"/>
          <w:szCs w:val="20"/>
          <w:color w:val="auto"/>
        </w:rPr>
      </w:pPr>
    </w:p>
    <w:p>
      <w:pPr>
        <w:ind w:left="6762"/>
        <w:spacing w:after="0"/>
        <w:rPr>
          <w:sz w:val="20"/>
          <w:szCs w:val="20"/>
          <w:color w:val="auto"/>
        </w:rPr>
      </w:pPr>
      <w:r>
        <w:rPr>
          <w:rFonts w:ascii="Arial" w:cs="Arial" w:eastAsia="Arial" w:hAnsi="Arial"/>
          <w:sz w:val="15"/>
          <w:szCs w:val="15"/>
          <w:color w:val="auto"/>
        </w:rPr>
        <w:t>Timothy D. Boswell</w:t>
      </w:r>
    </w:p>
    <w:p>
      <w:pPr>
        <w:spacing w:after="0" w:line="8" w:lineRule="exact"/>
        <w:rPr>
          <w:sz w:val="20"/>
          <w:szCs w:val="20"/>
          <w:color w:val="auto"/>
        </w:rPr>
      </w:pPr>
    </w:p>
    <w:p>
      <w:pPr>
        <w:ind w:left="6762"/>
        <w:spacing w:after="0"/>
        <w:rPr>
          <w:sz w:val="20"/>
          <w:szCs w:val="20"/>
          <w:color w:val="auto"/>
        </w:rPr>
      </w:pPr>
      <w:r>
        <w:rPr>
          <w:rFonts w:ascii="Arial" w:cs="Arial" w:eastAsia="Arial" w:hAnsi="Arial"/>
          <w:sz w:val="15"/>
          <w:szCs w:val="15"/>
          <w:i w:val="1"/>
          <w:iCs w:val="1"/>
          <w:color w:val="auto"/>
        </w:rPr>
        <w:t>President and Chief Financial Officer (Principal Financial Officer)</w:t>
      </w:r>
    </w:p>
    <w:p>
      <w:pPr>
        <w:sectPr>
          <w:pgSz w:w="11900" w:h="16838" w:orient="portrait"/>
          <w:cols w:equalWidth="0" w:num="1">
            <w:col w:w="11242"/>
          </w:cols>
          <w:pgMar w:left="318" w:top="12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74" w:lineRule="exact"/>
        <w:rPr>
          <w:sz w:val="20"/>
          <w:szCs w:val="20"/>
          <w:color w:val="auto"/>
        </w:rPr>
      </w:pPr>
    </w:p>
    <w:p>
      <w:pPr>
        <w:ind w:firstLine="295"/>
        <w:spacing w:after="0" w:line="342"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ind w:left="580" w:firstLine="9"/>
        <w:spacing w:after="0" w:line="342" w:lineRule="auto"/>
        <w:tabs>
          <w:tab w:leader="none" w:pos="754"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2021 (the “Report”) fully complies with the requirements of Section 13(a) or Section 15(d), as applicable, of the Securities Exchange Act of 1934, as amended; and</w:t>
      </w:r>
    </w:p>
    <w:p>
      <w:pPr>
        <w:ind w:left="800" w:hanging="211"/>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Date: November 5, 2021</w:t>
      </w:r>
    </w:p>
    <w:p>
      <w:pPr>
        <w:spacing w:after="0" w:line="73"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6350</wp:posOffset>
            </wp:positionV>
            <wp:extent cx="252984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29840" cy="7620"/>
                    </a:xfrm>
                    <a:prstGeom prst="rect">
                      <a:avLst/>
                    </a:prstGeom>
                    <a:noFill/>
                  </pic:spPr>
                </pic:pic>
              </a:graphicData>
            </a:graphic>
          </wp:anchor>
        </w:drawing>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Bradley L. Soultz</w:t>
      </w:r>
    </w:p>
    <w:p>
      <w:pPr>
        <w:ind w:left="724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40"/>
        <w:spacing w:after="0"/>
        <w:rPr>
          <w:sz w:val="20"/>
          <w:szCs w:val="20"/>
          <w:color w:val="auto"/>
        </w:rPr>
      </w:pPr>
      <w:r>
        <w:rPr>
          <w:rFonts w:ascii="Arial" w:cs="Arial" w:eastAsia="Arial" w:hAnsi="Arial"/>
          <w:sz w:val="15"/>
          <w:szCs w:val="15"/>
          <w:i w:val="1"/>
          <w:iCs w:val="1"/>
          <w:color w:val="auto"/>
        </w:rPr>
        <w:t>Officer)</w:t>
      </w:r>
    </w:p>
    <w:p>
      <w:pPr>
        <w:spacing w:after="0" w:line="221" w:lineRule="exact"/>
        <w:rPr>
          <w:sz w:val="20"/>
          <w:szCs w:val="20"/>
          <w:color w:val="auto"/>
        </w:rPr>
      </w:pPr>
    </w:p>
    <w:p>
      <w:pPr>
        <w:ind w:firstLine="295"/>
        <w:spacing w:after="0" w:line="349" w:lineRule="auto"/>
        <w:rPr>
          <w:sz w:val="20"/>
          <w:szCs w:val="20"/>
          <w:color w:val="auto"/>
        </w:rPr>
      </w:pPr>
      <w:r>
        <w:rPr>
          <w:rFonts w:ascii="Arial" w:cs="Arial" w:eastAsia="Arial" w:hAnsi="Arial"/>
          <w:sz w:val="15"/>
          <w:szCs w:val="15"/>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p>
      <w:pPr>
        <w:sectPr>
          <w:pgSz w:w="11900" w:h="16838" w:orient="portrait"/>
          <w:cols w:equalWidth="0" w:num="1">
            <w:col w:w="11240"/>
          </w:cols>
          <w:pgMar w:left="320" w:top="12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3" w:lineRule="exact"/>
        <w:rPr>
          <w:sz w:val="20"/>
          <w:szCs w:val="20"/>
          <w:color w:val="auto"/>
        </w:rPr>
      </w:pPr>
    </w:p>
    <w:p>
      <w:pPr>
        <w:ind w:firstLine="295"/>
        <w:spacing w:after="0" w:line="342"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ind w:left="580" w:firstLine="9"/>
        <w:spacing w:after="0" w:line="342" w:lineRule="auto"/>
        <w:tabs>
          <w:tab w:leader="none" w:pos="754"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2021 (the “Report”) fully complies with the requirements of Section 13(a) or Section 15(d), as applicable, of the Securities Exchange Act of 1934, as amended; and</w:t>
      </w:r>
    </w:p>
    <w:p>
      <w:pPr>
        <w:ind w:left="800" w:hanging="211"/>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Date: November 5, 2021</w:t>
      </w:r>
    </w:p>
    <w:p>
      <w:pPr>
        <w:spacing w:after="0" w:line="73"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6350</wp:posOffset>
            </wp:positionV>
            <wp:extent cx="252984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9840" cy="7620"/>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Timothy D. Boswell</w:t>
      </w:r>
    </w:p>
    <w:p>
      <w:pPr>
        <w:ind w:left="722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20"/>
        <w:spacing w:after="0"/>
        <w:rPr>
          <w:sz w:val="20"/>
          <w:szCs w:val="20"/>
          <w:color w:val="auto"/>
        </w:rPr>
      </w:pPr>
      <w:r>
        <w:rPr>
          <w:rFonts w:ascii="Arial" w:cs="Arial" w:eastAsia="Arial" w:hAnsi="Arial"/>
          <w:sz w:val="15"/>
          <w:szCs w:val="15"/>
          <w:i w:val="1"/>
          <w:iCs w:val="1"/>
          <w:color w:val="auto"/>
        </w:rPr>
        <w:t>Officer)</w:t>
      </w:r>
    </w:p>
    <w:p>
      <w:pPr>
        <w:spacing w:after="0" w:line="221" w:lineRule="exact"/>
        <w:rPr>
          <w:sz w:val="20"/>
          <w:szCs w:val="20"/>
          <w:color w:val="auto"/>
        </w:rPr>
      </w:pPr>
    </w:p>
    <w:p>
      <w:pPr>
        <w:ind w:firstLine="295"/>
        <w:spacing w:after="0" w:line="349" w:lineRule="auto"/>
        <w:rPr>
          <w:sz w:val="20"/>
          <w:szCs w:val="20"/>
          <w:color w:val="auto"/>
        </w:rPr>
      </w:pPr>
      <w:r>
        <w:rPr>
          <w:rFonts w:ascii="Arial" w:cs="Arial" w:eastAsia="Arial" w:hAnsi="Arial"/>
          <w:sz w:val="15"/>
          <w:szCs w:val="15"/>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2"/>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
      <w:numFmt w:val="bullet"/>
      <w:start w:val="1"/>
    </w:lvl>
    <w:lvl w:ilvl="1">
      <w:lvlJc w:val="left"/>
      <w:lvlText w:val="\endash "/>
      <w:numFmt w:val="bullet"/>
      <w:start w:val="1"/>
    </w:lvl>
  </w:abstractNum>
  <w:abstractNum w:abstractNumId="11">
    <w:nsid w:val="7C83E458"/>
    <w:multiLevelType w:val="hybridMultilevel"/>
    <w:lvl w:ilvl="0">
      <w:lvlJc w:val="left"/>
      <w:lvlText w:val="•"/>
      <w:numFmt w:val="bullet"/>
      <w:start w:val="1"/>
    </w:lvl>
    <w:lvl w:ilvl="1">
      <w:lvlJc w:val="left"/>
      <w:lvlText w:val="\endash "/>
      <w:numFmt w:val="bullet"/>
      <w:start w:val="1"/>
    </w:lvl>
  </w:abstractNum>
  <w:abstractNum w:abstractNumId="12">
    <w:nsid w:val="257130A3"/>
    <w:multiLevelType w:val="hybridMultilevel"/>
    <w:lvl w:ilvl="0">
      <w:lvlJc w:val="left"/>
      <w:lvlText w:val="•"/>
      <w:numFmt w:val="bullet"/>
      <w:start w:val="1"/>
    </w:lvl>
    <w:lvl w:ilvl="1">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2021-11-05T13:25:35Z</dcterms:created>
  <dcterms:modified xsi:type="dcterms:W3CDTF">2021-11-05T13:25:35Z</dcterms:modified>
</cp:coreProperties>
</file>