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45"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4180" w:right="2460" w:hanging="3416"/>
        <w:spacing w:after="0" w:line="332" w:lineRule="auto"/>
        <w:tabs>
          <w:tab w:leader="none" w:pos="157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2018</w:t>
      </w: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3920" w:right="2460" w:hanging="3156"/>
        <w:spacing w:after="0" w:line="385" w:lineRule="auto"/>
        <w:tabs>
          <w:tab w:leader="none" w:pos="156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23495</wp:posOffset>
            </wp:positionV>
            <wp:extent cx="1595120"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WILLSCOT CORPORATION</w:t>
      </w:r>
    </w:p>
    <w:p>
      <w:pPr>
        <w:spacing w:after="0" w:line="57"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(formerly known as Double Eagle Acquisition Corp.)</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81" w:right="239" w:bottom="1440" w:gutter="0" w:footer="0" w:header="0"/>
        </w:sectPr>
      </w:pPr>
    </w:p>
    <w:p>
      <w:pPr>
        <w:spacing w:after="0" w:line="145"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001-37552</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82-3430194</w:t>
      </w:r>
    </w:p>
    <w:p>
      <w:pPr>
        <w:spacing w:after="0" w:line="73" w:lineRule="exact"/>
        <w:rPr>
          <w:sz w:val="24"/>
          <w:szCs w:val="24"/>
          <w:color w:val="auto"/>
        </w:rPr>
      </w:pPr>
    </w:p>
    <w:p>
      <w:pPr>
        <w:sectPr>
          <w:pgSz w:w="11900" w:h="16838" w:orient="portrait"/>
          <w:cols w:equalWidth="0" w:num="3">
            <w:col w:w="4740" w:space="720"/>
            <w:col w:w="2960" w:space="720"/>
            <w:col w:w="2280"/>
          </w:cols>
          <w:pgMar w:left="240" w:top="581" w:right="239" w:bottom="1440" w:gutter="0" w:footer="0" w:header="0"/>
          <w:type w:val="continuous"/>
        </w:sectPr>
      </w:pPr>
    </w:p>
    <w:p>
      <w:pPr>
        <w:ind w:left="66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8" w:lineRule="exact"/>
        <w:rPr>
          <w:sz w:val="24"/>
          <w:szCs w:val="24"/>
          <w:color w:val="auto"/>
        </w:rPr>
      </w:pPr>
    </w:p>
    <w:p>
      <w:pPr>
        <w:sectPr>
          <w:pgSz w:w="11900" w:h="16838" w:orient="portrait"/>
          <w:cols w:equalWidth="0" w:num="3">
            <w:col w:w="4220" w:space="720"/>
            <w:col w:w="2760" w:space="720"/>
            <w:col w:w="3000"/>
          </w:cols>
          <w:pgMar w:left="240" w:top="58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901 S. Bond Street, #600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Baltimore, Maryland 21231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of principal executive offices)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(410) 931-6000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type w:val="continuous"/>
        </w:sectPr>
      </w:pPr>
    </w:p>
    <w:p>
      <w:pPr>
        <w:spacing w:after="0" w:line="271" w:lineRule="exact"/>
        <w:rPr>
          <w:sz w:val="24"/>
          <w:szCs w:val="24"/>
          <w:color w:val="auto"/>
        </w:rPr>
      </w:pPr>
    </w:p>
    <w:p>
      <w:pPr>
        <w:ind w:firstLine="648"/>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Regulations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0" w:firstLine="648"/>
        <w:spacing w:after="0" w:line="179"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420"/>
          </w:cols>
          <w:pgMar w:left="240" w:top="581" w:right="239" w:bottom="1440" w:gutter="0" w:footer="0" w:header="0"/>
          <w:type w:val="continuous"/>
        </w:sectPr>
      </w:pPr>
    </w:p>
    <w:p>
      <w:pPr>
        <w:spacing w:after="0" w:line="183"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44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3780"/>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3"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92,644,774 shares at August 1, 2018.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47" w:lineRule="exact"/>
        <w:rPr>
          <w:sz w:val="20"/>
          <w:szCs w:val="20"/>
          <w:color w:val="auto"/>
        </w:rPr>
      </w:pPr>
    </w:p>
    <w:p>
      <w:pPr>
        <w:ind w:left="4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PART I</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380"/>
              <w:spacing w:after="0"/>
              <w:rPr>
                <w:rFonts w:ascii="Arial" w:cs="Arial" w:eastAsia="Arial" w:hAnsi="Arial"/>
                <w:sz w:val="16"/>
                <w:szCs w:val="16"/>
                <w:color w:val="auto"/>
              </w:rPr>
            </w:pPr>
            <w:hyperlink w:anchor="page3">
              <w:r>
                <w:rPr>
                  <w:rFonts w:ascii="Arial" w:cs="Arial" w:eastAsia="Arial" w:hAnsi="Arial"/>
                  <w:sz w:val="16"/>
                  <w:szCs w:val="16"/>
                  <w:color w:val="auto"/>
                </w:rPr>
                <w:t>Item 1</w:t>
              </w:r>
            </w:hyperlink>
          </w:p>
        </w:tc>
        <w:tc>
          <w:tcPr>
            <w:tcW w:w="10280" w:type="dxa"/>
            <w:vAlign w:val="bottom"/>
          </w:tcPr>
          <w:p>
            <w:pPr>
              <w:ind w:left="160"/>
              <w:spacing w:after="0"/>
              <w:rPr>
                <w:rFonts w:ascii="Arial" w:cs="Arial" w:eastAsia="Arial" w:hAnsi="Arial"/>
                <w:sz w:val="16"/>
                <w:szCs w:val="16"/>
                <w:color w:val="auto"/>
              </w:rPr>
            </w:pPr>
            <w:hyperlink w:anchor="page3">
              <w:r>
                <w:rPr>
                  <w:rFonts w:ascii="Arial" w:cs="Arial" w:eastAsia="Arial" w:hAnsi="Arial"/>
                  <w:sz w:val="16"/>
                  <w:szCs w:val="16"/>
                  <w:color w:val="auto"/>
                </w:rPr>
                <w:t>Financial Statements (unaudited)</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3">
              <w:r>
                <w:rPr>
                  <w:rFonts w:ascii="Arial" w:cs="Arial" w:eastAsia="Arial" w:hAnsi="Arial"/>
                  <w:sz w:val="16"/>
                  <w:szCs w:val="16"/>
                  <w:color w:val="auto"/>
                </w:rPr>
                <w:t>Condensed Consolidated Balance Sheets as of June 30, 2018 and December 31, 2017</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spacing w:after="0"/>
              <w:rPr>
                <w:sz w:val="19"/>
                <w:szCs w:val="19"/>
                <w:color w:val="auto"/>
              </w:rPr>
            </w:pPr>
          </w:p>
        </w:tc>
        <w:tc>
          <w:tcPr>
            <w:tcW w:w="10280" w:type="dxa"/>
            <w:vAlign w:val="bottom"/>
          </w:tcPr>
          <w:p>
            <w:pPr>
              <w:ind w:left="500"/>
              <w:spacing w:after="0"/>
              <w:rPr>
                <w:rFonts w:ascii="Arial" w:cs="Arial" w:eastAsia="Arial" w:hAnsi="Arial"/>
                <w:sz w:val="16"/>
                <w:szCs w:val="16"/>
                <w:color w:val="auto"/>
              </w:rPr>
            </w:pPr>
            <w:hyperlink w:anchor="page5">
              <w:r>
                <w:rPr>
                  <w:rFonts w:ascii="Arial" w:cs="Arial" w:eastAsia="Arial" w:hAnsi="Arial"/>
                  <w:sz w:val="16"/>
                  <w:szCs w:val="16"/>
                  <w:color w:val="auto"/>
                </w:rPr>
                <w:t>Condensed Consolidated Statements of Operations for the Three and Six Months Ended June 30, 2018 and 2017</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6">
              <w:r>
                <w:rPr>
                  <w:rFonts w:ascii="Arial" w:cs="Arial" w:eastAsia="Arial" w:hAnsi="Arial"/>
                  <w:sz w:val="16"/>
                  <w:szCs w:val="16"/>
                  <w:color w:val="auto"/>
                </w:rPr>
                <w:t>Condensed Consolidated Statements of Comprehensive Loss for the Three and Six Months Ended June 30, 2018 and 2017</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spacing w:after="0"/>
              <w:rPr>
                <w:sz w:val="19"/>
                <w:szCs w:val="19"/>
                <w:color w:val="auto"/>
              </w:rPr>
            </w:pPr>
          </w:p>
        </w:tc>
        <w:tc>
          <w:tcPr>
            <w:tcW w:w="10280" w:type="dxa"/>
            <w:vAlign w:val="bottom"/>
          </w:tcPr>
          <w:p>
            <w:pPr>
              <w:ind w:left="500"/>
              <w:spacing w:after="0"/>
              <w:rPr>
                <w:rFonts w:ascii="Arial" w:cs="Arial" w:eastAsia="Arial" w:hAnsi="Arial"/>
                <w:sz w:val="16"/>
                <w:szCs w:val="16"/>
                <w:color w:val="auto"/>
              </w:rPr>
            </w:pPr>
            <w:hyperlink w:anchor="page7">
              <w:r>
                <w:rPr>
                  <w:rFonts w:ascii="Arial" w:cs="Arial" w:eastAsia="Arial" w:hAnsi="Arial"/>
                  <w:sz w:val="16"/>
                  <w:szCs w:val="16"/>
                  <w:color w:val="auto"/>
                </w:rPr>
                <w:t>Condensed Consolidated Statements of Cash Flows for the Six Months Ended June 30, 2018 and 2017</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9">
              <w:r>
                <w:rPr>
                  <w:rFonts w:ascii="Arial" w:cs="Arial" w:eastAsia="Arial" w:hAnsi="Arial"/>
                  <w:sz w:val="16"/>
                  <w:szCs w:val="16"/>
                  <w:color w:val="auto"/>
                </w:rPr>
                <w:t>Notes to the Condensed Consolidated Financial Statements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31">
              <w:r>
                <w:rPr>
                  <w:rFonts w:ascii="Arial" w:cs="Arial" w:eastAsia="Arial" w:hAnsi="Arial"/>
                  <w:sz w:val="16"/>
                  <w:szCs w:val="16"/>
                  <w:color w:val="auto"/>
                </w:rPr>
                <w:t>Item 2</w:t>
              </w:r>
            </w:hyperlink>
          </w:p>
        </w:tc>
        <w:tc>
          <w:tcPr>
            <w:tcW w:w="10280" w:type="dxa"/>
            <w:vAlign w:val="bottom"/>
          </w:tcPr>
          <w:p>
            <w:pPr>
              <w:ind w:left="160"/>
              <w:spacing w:after="0"/>
              <w:rPr>
                <w:rFonts w:ascii="Arial" w:cs="Arial" w:eastAsia="Arial" w:hAnsi="Arial"/>
                <w:sz w:val="16"/>
                <w:szCs w:val="16"/>
                <w:color w:val="auto"/>
              </w:rPr>
            </w:pPr>
            <w:hyperlink w:anchor="page31">
              <w:r>
                <w:rPr>
                  <w:rFonts w:ascii="Arial" w:cs="Arial" w:eastAsia="Arial" w:hAnsi="Arial"/>
                  <w:sz w:val="16"/>
                  <w:szCs w:val="16"/>
                  <w:color w:val="auto"/>
                </w:rPr>
                <w:t>Management’s Discussion and Analysis of Financial Condition and Results of Operations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51">
              <w:r>
                <w:rPr>
                  <w:rFonts w:ascii="Arial" w:cs="Arial" w:eastAsia="Arial" w:hAnsi="Arial"/>
                  <w:sz w:val="16"/>
                  <w:szCs w:val="16"/>
                  <w:color w:val="auto"/>
                </w:rPr>
                <w:t>Item 3</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Quantitative and Qualitative Disclosures About Market Risk</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51">
              <w:r>
                <w:rPr>
                  <w:rFonts w:ascii="Arial" w:cs="Arial" w:eastAsia="Arial" w:hAnsi="Arial"/>
                  <w:sz w:val="16"/>
                  <w:szCs w:val="16"/>
                  <w:color w:val="auto"/>
                </w:rPr>
                <w:t>Item 4</w:t>
              </w:r>
            </w:hyperlink>
          </w:p>
        </w:tc>
        <w:tc>
          <w:tcPr>
            <w:tcW w:w="10280" w:type="dxa"/>
            <w:vAlign w:val="bottom"/>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Controls and Procedures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40"/>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PART II</w:t>
              </w:r>
            </w:hyperlink>
          </w:p>
        </w:tc>
        <w:tc>
          <w:tcPr>
            <w:tcW w:w="10280" w:type="dxa"/>
            <w:vAlign w:val="bottom"/>
            <w:shd w:val="clear" w:color="auto" w:fill="E7E7E8"/>
          </w:tcPr>
          <w:p>
            <w:pPr>
              <w:spacing w:after="0"/>
              <w:rPr>
                <w:sz w:val="19"/>
                <w:szCs w:val="19"/>
                <w:color w:val="auto"/>
              </w:rPr>
            </w:pPr>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53">
              <w:r>
                <w:rPr>
                  <w:rFonts w:ascii="Arial" w:cs="Arial" w:eastAsia="Arial" w:hAnsi="Arial"/>
                  <w:sz w:val="16"/>
                  <w:szCs w:val="16"/>
                  <w:color w:val="auto"/>
                </w:rPr>
                <w:t>Item 1</w:t>
              </w:r>
            </w:hyperlink>
          </w:p>
        </w:tc>
        <w:tc>
          <w:tcPr>
            <w:tcW w:w="10280" w:type="dxa"/>
            <w:vAlign w:val="bottom"/>
          </w:tcPr>
          <w:p>
            <w:pPr>
              <w:ind w:left="160"/>
              <w:spacing w:after="0"/>
              <w:rPr>
                <w:rFonts w:ascii="Arial" w:cs="Arial" w:eastAsia="Arial" w:hAnsi="Arial"/>
                <w:sz w:val="16"/>
                <w:szCs w:val="16"/>
                <w:color w:val="auto"/>
              </w:rPr>
            </w:pPr>
            <w:hyperlink w:anchor="page53">
              <w:r>
                <w:rPr>
                  <w:rFonts w:ascii="Arial" w:cs="Arial" w:eastAsia="Arial" w:hAnsi="Arial"/>
                  <w:sz w:val="16"/>
                  <w:szCs w:val="16"/>
                  <w:color w:val="auto"/>
                </w:rPr>
                <w:t>Legal Proceedings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53">
              <w:r>
                <w:rPr>
                  <w:rFonts w:ascii="Arial" w:cs="Arial" w:eastAsia="Arial" w:hAnsi="Arial"/>
                  <w:sz w:val="16"/>
                  <w:szCs w:val="16"/>
                  <w:color w:val="auto"/>
                </w:rPr>
                <w:t>Item 1A</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53">
              <w:r>
                <w:rPr>
                  <w:rFonts w:ascii="Arial" w:cs="Arial" w:eastAsia="Arial" w:hAnsi="Arial"/>
                  <w:sz w:val="16"/>
                  <w:szCs w:val="16"/>
                  <w:color w:val="auto"/>
                </w:rPr>
                <w:t>Risk Factors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56">
              <w:r>
                <w:rPr>
                  <w:rFonts w:ascii="Arial" w:cs="Arial" w:eastAsia="Arial" w:hAnsi="Arial"/>
                  <w:sz w:val="16"/>
                  <w:szCs w:val="16"/>
                  <w:color w:val="auto"/>
                </w:rPr>
                <w:t>Item 2</w:t>
              </w:r>
            </w:hyperlink>
          </w:p>
        </w:tc>
        <w:tc>
          <w:tcPr>
            <w:tcW w:w="10280" w:type="dxa"/>
            <w:vAlign w:val="bottom"/>
          </w:tcPr>
          <w:p>
            <w:pPr>
              <w:ind w:left="160"/>
              <w:spacing w:after="0"/>
              <w:rPr>
                <w:rFonts w:ascii="Arial" w:cs="Arial" w:eastAsia="Arial" w:hAnsi="Arial"/>
                <w:sz w:val="16"/>
                <w:szCs w:val="16"/>
                <w:color w:val="auto"/>
              </w:rPr>
            </w:pPr>
            <w:hyperlink w:anchor="page56">
              <w:r>
                <w:rPr>
                  <w:rFonts w:ascii="Arial" w:cs="Arial" w:eastAsia="Arial" w:hAnsi="Arial"/>
                  <w:sz w:val="16"/>
                  <w:szCs w:val="16"/>
                  <w:color w:val="auto"/>
                </w:rPr>
                <w:t>Unregistered Sales of Equity Securities and Use of Proceeds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56">
              <w:r>
                <w:rPr>
                  <w:rFonts w:ascii="Arial" w:cs="Arial" w:eastAsia="Arial" w:hAnsi="Arial"/>
                  <w:sz w:val="16"/>
                  <w:szCs w:val="16"/>
                  <w:color w:val="auto"/>
                </w:rPr>
                <w:t>Item 3</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56">
              <w:r>
                <w:rPr>
                  <w:rFonts w:ascii="Arial" w:cs="Arial" w:eastAsia="Arial" w:hAnsi="Arial"/>
                  <w:sz w:val="16"/>
                  <w:szCs w:val="16"/>
                  <w:color w:val="auto"/>
                </w:rPr>
                <w:t>Defaults Upon Senior Securities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56">
              <w:r>
                <w:rPr>
                  <w:rFonts w:ascii="Arial" w:cs="Arial" w:eastAsia="Arial" w:hAnsi="Arial"/>
                  <w:sz w:val="16"/>
                  <w:szCs w:val="16"/>
                  <w:color w:val="auto"/>
                </w:rPr>
                <w:t>Item 4</w:t>
              </w:r>
            </w:hyperlink>
          </w:p>
        </w:tc>
        <w:tc>
          <w:tcPr>
            <w:tcW w:w="10280" w:type="dxa"/>
            <w:vAlign w:val="bottom"/>
          </w:tcPr>
          <w:p>
            <w:pPr>
              <w:ind w:left="160"/>
              <w:spacing w:after="0"/>
              <w:rPr>
                <w:rFonts w:ascii="Arial" w:cs="Arial" w:eastAsia="Arial" w:hAnsi="Arial"/>
                <w:sz w:val="16"/>
                <w:szCs w:val="16"/>
                <w:color w:val="auto"/>
              </w:rPr>
            </w:pPr>
            <w:hyperlink w:anchor="page56">
              <w:r>
                <w:rPr>
                  <w:rFonts w:ascii="Arial" w:cs="Arial" w:eastAsia="Arial" w:hAnsi="Arial"/>
                  <w:sz w:val="16"/>
                  <w:szCs w:val="16"/>
                  <w:color w:val="auto"/>
                </w:rPr>
                <w:t>Mine Safety Disclosures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56">
              <w:r>
                <w:rPr>
                  <w:rFonts w:ascii="Arial" w:cs="Arial" w:eastAsia="Arial" w:hAnsi="Arial"/>
                  <w:sz w:val="16"/>
                  <w:szCs w:val="16"/>
                  <w:color w:val="auto"/>
                </w:rPr>
                <w:t>Item 5</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56">
              <w:r>
                <w:rPr>
                  <w:rFonts w:ascii="Arial" w:cs="Arial" w:eastAsia="Arial" w:hAnsi="Arial"/>
                  <w:sz w:val="16"/>
                  <w:szCs w:val="16"/>
                  <w:color w:val="auto"/>
                </w:rPr>
                <w:t>Other Information</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56">
              <w:r>
                <w:rPr>
                  <w:rFonts w:ascii="Arial" w:cs="Arial" w:eastAsia="Arial" w:hAnsi="Arial"/>
                  <w:sz w:val="16"/>
                  <w:szCs w:val="16"/>
                  <w:color w:val="auto"/>
                </w:rPr>
                <w:t>Item 6</w:t>
              </w:r>
            </w:hyperlink>
          </w:p>
        </w:tc>
        <w:tc>
          <w:tcPr>
            <w:tcW w:w="10280" w:type="dxa"/>
            <w:vAlign w:val="bottom"/>
          </w:tcPr>
          <w:p>
            <w:pPr>
              <w:ind w:left="160"/>
              <w:spacing w:after="0"/>
              <w:rPr>
                <w:rFonts w:ascii="Arial" w:cs="Arial" w:eastAsia="Arial" w:hAnsi="Arial"/>
                <w:sz w:val="16"/>
                <w:szCs w:val="16"/>
                <w:color w:val="auto"/>
              </w:rPr>
            </w:pPr>
            <w:hyperlink w:anchor="page56">
              <w:r>
                <w:rPr>
                  <w:rFonts w:ascii="Arial" w:cs="Arial" w:eastAsia="Arial" w:hAnsi="Arial"/>
                  <w:sz w:val="16"/>
                  <w:szCs w:val="16"/>
                  <w:color w:val="auto"/>
                </w:rPr>
                <w:t>Exhibits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40"/>
              <w:spacing w:after="0"/>
              <w:rPr>
                <w:rFonts w:ascii="Arial" w:cs="Arial" w:eastAsia="Arial" w:hAnsi="Arial"/>
                <w:sz w:val="16"/>
                <w:szCs w:val="16"/>
                <w:b w:val="1"/>
                <w:bCs w:val="1"/>
                <w:color w:val="auto"/>
              </w:rPr>
            </w:pPr>
            <w:hyperlink w:anchor="page57">
              <w:r>
                <w:rPr>
                  <w:rFonts w:ascii="Arial" w:cs="Arial" w:eastAsia="Arial" w:hAnsi="Arial"/>
                  <w:sz w:val="16"/>
                  <w:szCs w:val="16"/>
                  <w:b w:val="1"/>
                  <w:bCs w:val="1"/>
                  <w:color w:val="auto"/>
                </w:rPr>
                <w:t>SIGNATURE</w:t>
              </w:r>
            </w:hyperlink>
          </w:p>
        </w:tc>
        <w:tc>
          <w:tcPr>
            <w:tcW w:w="10280" w:type="dxa"/>
            <w:vAlign w:val="bottom"/>
            <w:shd w:val="clear" w:color="auto" w:fill="E7E7E8"/>
          </w:tcPr>
          <w:p>
            <w:pPr>
              <w:spacing w:after="0"/>
              <w:rPr>
                <w:sz w:val="19"/>
                <w:szCs w:val="19"/>
                <w:color w:val="auto"/>
              </w:rPr>
            </w:pPr>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440"/>
        </w:trPr>
        <w:tc>
          <w:tcPr>
            <w:tcW w:w="1140" w:type="dxa"/>
            <w:vAlign w:val="bottom"/>
          </w:tcPr>
          <w:p>
            <w:pPr>
              <w:spacing w:after="0"/>
              <w:rPr>
                <w:sz w:val="24"/>
                <w:szCs w:val="24"/>
                <w:color w:val="auto"/>
              </w:rPr>
            </w:pPr>
          </w:p>
        </w:tc>
        <w:tc>
          <w:tcPr>
            <w:tcW w:w="10280" w:type="dxa"/>
            <w:vAlign w:val="bottom"/>
          </w:tcPr>
          <w:p>
            <w:pPr>
              <w:ind w:left="4520"/>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359" w:right="239" w:bottom="144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60" w:type="dxa"/>
            <w:vAlign w:val="bottom"/>
          </w:tcPr>
          <w:p>
            <w:pPr>
              <w:jc w:val="center"/>
              <w:ind w:right="16"/>
              <w:spacing w:after="0"/>
              <w:rPr>
                <w:sz w:val="20"/>
                <w:szCs w:val="20"/>
                <w:color w:val="auto"/>
              </w:rPr>
            </w:pPr>
            <w:r>
              <w:rPr>
                <w:rFonts w:ascii="Arial" w:cs="Arial" w:eastAsia="Arial" w:hAnsi="Arial"/>
                <w:sz w:val="40"/>
                <w:szCs w:val="40"/>
                <w:b w:val="1"/>
                <w:bCs w:val="1"/>
                <w:color w:val="008A5F"/>
                <w:w w:val="96"/>
              </w:rPr>
              <w:t>PART I</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960" w:type="dxa"/>
            <w:vAlign w:val="bottom"/>
            <w:gridSpan w:val="3"/>
          </w:tcPr>
          <w:p>
            <w:pPr>
              <w:spacing w:after="0"/>
              <w:rPr>
                <w:sz w:val="20"/>
                <w:szCs w:val="20"/>
                <w:color w:val="auto"/>
              </w:rPr>
            </w:pPr>
            <w:r>
              <w:rPr>
                <w:rFonts w:ascii="Arial" w:cs="Arial" w:eastAsia="Arial" w:hAnsi="Arial"/>
                <w:sz w:val="40"/>
                <w:szCs w:val="40"/>
                <w:b w:val="1"/>
                <w:bCs w:val="1"/>
                <w:color w:val="auto"/>
              </w:rPr>
              <w:t>ITEM 1.</w:t>
            </w:r>
          </w:p>
        </w:tc>
        <w:tc>
          <w:tcPr>
            <w:tcW w:w="6160" w:type="dxa"/>
            <w:vAlign w:val="bottom"/>
            <w:gridSpan w:val="2"/>
          </w:tcPr>
          <w:p>
            <w:pPr>
              <w:spacing w:after="0"/>
              <w:rPr>
                <w:sz w:val="20"/>
                <w:szCs w:val="20"/>
                <w:color w:val="auto"/>
              </w:rPr>
            </w:pPr>
            <w:r>
              <w:rPr>
                <w:rFonts w:ascii="Arial" w:cs="Arial" w:eastAsia="Arial" w:hAnsi="Arial"/>
                <w:sz w:val="40"/>
                <w:szCs w:val="40"/>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60" w:type="dxa"/>
            <w:vAlign w:val="bottom"/>
          </w:tcPr>
          <w:p>
            <w:pPr>
              <w:jc w:val="center"/>
              <w:ind w:right="16"/>
              <w:spacing w:after="0"/>
              <w:rPr>
                <w:sz w:val="20"/>
                <w:szCs w:val="20"/>
                <w:color w:val="auto"/>
              </w:rPr>
            </w:pPr>
            <w:r>
              <w:rPr>
                <w:rFonts w:ascii="Arial" w:cs="Arial" w:eastAsia="Arial" w:hAnsi="Arial"/>
                <w:sz w:val="23"/>
                <w:szCs w:val="23"/>
                <w:color w:val="008A5F"/>
              </w:rPr>
              <w:t>WillScot Corporation</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60" w:type="dxa"/>
            <w:vAlign w:val="bottom"/>
          </w:tcPr>
          <w:p>
            <w:pPr>
              <w:jc w:val="center"/>
              <w:ind w:right="16"/>
              <w:spacing w:after="0"/>
              <w:rPr>
                <w:sz w:val="20"/>
                <w:szCs w:val="20"/>
                <w:color w:val="auto"/>
              </w:rPr>
            </w:pPr>
            <w:r>
              <w:rPr>
                <w:rFonts w:ascii="Arial" w:cs="Arial" w:eastAsia="Arial" w:hAnsi="Arial"/>
                <w:sz w:val="23"/>
                <w:szCs w:val="23"/>
                <w:color w:val="008A5F"/>
              </w:rPr>
              <w:t>Condensed Consolidated Balance Sheets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4660" w:type="dxa"/>
            <w:vAlign w:val="bottom"/>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50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June 30, 2018</w:t>
            </w:r>
          </w:p>
        </w:tc>
        <w:tc>
          <w:tcPr>
            <w:tcW w:w="420" w:type="dxa"/>
            <w:vAlign w:val="bottom"/>
            <w:shd w:val="clear" w:color="auto" w:fill="008A5F"/>
          </w:tcPr>
          <w:p>
            <w:pPr>
              <w:spacing w:after="0"/>
              <w:rPr>
                <w:sz w:val="18"/>
                <w:szCs w:val="18"/>
                <w:color w:val="auto"/>
              </w:rPr>
            </w:pPr>
          </w:p>
        </w:tc>
        <w:tc>
          <w:tcPr>
            <w:tcW w:w="11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60" w:type="dxa"/>
            <w:vAlign w:val="bottom"/>
            <w:tcBorders>
              <w:bottom w:val="single" w:sz="8" w:color="008A5F"/>
            </w:tcBorders>
            <w:gridSpan w:val="4"/>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00" w:type="dxa"/>
            <w:vAlign w:val="bottom"/>
            <w:tcBorders>
              <w:bottom w:val="single" w:sz="8" w:color="008A5F"/>
            </w:tcBorders>
            <w:shd w:val="clear" w:color="auto" w:fill="008A5F"/>
          </w:tcPr>
          <w:p>
            <w:pPr>
              <w:spacing w:after="0"/>
              <w:rPr>
                <w:sz w:val="17"/>
                <w:szCs w:val="17"/>
                <w:color w:val="auto"/>
              </w:rPr>
            </w:pPr>
          </w:p>
        </w:tc>
        <w:tc>
          <w:tcPr>
            <w:tcW w:w="1500" w:type="dxa"/>
            <w:vAlign w:val="bottom"/>
            <w:tcBorders>
              <w:bottom w:val="single" w:sz="8" w:color="008A5F"/>
            </w:tcBorders>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(unaudited)</w:t>
            </w:r>
          </w:p>
        </w:tc>
        <w:tc>
          <w:tcPr>
            <w:tcW w:w="1600" w:type="dxa"/>
            <w:vAlign w:val="bottom"/>
            <w:tcBorders>
              <w:bottom w:val="single" w:sz="8" w:color="008A5F"/>
            </w:tcBorders>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shd w:val="clear" w:color="auto" w:fill="008A5F"/>
              </w:rPr>
              <w:t>December 31, 2017</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1900" w:type="dxa"/>
            <w:vAlign w:val="bottom"/>
            <w:tcBorders>
              <w:bottom w:val="single" w:sz="8" w:color="E7E7E8"/>
            </w:tcBorders>
            <w:gridSpan w:val="2"/>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Assets</w:t>
            </w:r>
          </w:p>
        </w:tc>
        <w:tc>
          <w:tcPr>
            <w:tcW w:w="1500" w:type="dxa"/>
            <w:vAlign w:val="bottom"/>
            <w:tcBorders>
              <w:bottom w:val="single" w:sz="8" w:color="E7E7E8"/>
            </w:tcBorders>
            <w:shd w:val="clear" w:color="auto" w:fill="E7E7E8"/>
          </w:tcPr>
          <w:p>
            <w:pPr>
              <w:spacing w:after="0"/>
              <w:rPr>
                <w:sz w:val="21"/>
                <w:szCs w:val="21"/>
                <w:color w:val="auto"/>
              </w:rPr>
            </w:pPr>
          </w:p>
        </w:tc>
        <w:tc>
          <w:tcPr>
            <w:tcW w:w="466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4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2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8,181</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7780" w:type="dxa"/>
            <w:vAlign w:val="bottom"/>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Trade receivables, net of allowances for doubtful accounts at June 30, 2018 and December 31, 2017 of</w:t>
            </w: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104,013</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94,820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0" w:type="dxa"/>
            <w:vAlign w:val="bottom"/>
            <w:tcBorders>
              <w:bottom w:val="single" w:sz="8" w:color="E7E7E8"/>
            </w:tcBorders>
            <w:shd w:val="clear" w:color="auto" w:fill="E7E7E8"/>
          </w:tcPr>
          <w:p>
            <w:pPr>
              <w:spacing w:after="0"/>
              <w:rPr>
                <w:sz w:val="17"/>
                <w:szCs w:val="17"/>
                <w:color w:val="auto"/>
              </w:rPr>
            </w:pPr>
          </w:p>
        </w:tc>
        <w:tc>
          <w:tcPr>
            <w:tcW w:w="31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$5,631 and $4,845, respectively</w:t>
            </w:r>
          </w:p>
        </w:tc>
        <w:tc>
          <w:tcPr>
            <w:tcW w:w="4660" w:type="dxa"/>
            <w:vAlign w:val="bottom"/>
            <w:tcBorders>
              <w:bottom w:val="single" w:sz="8" w:color="E7E7E8"/>
            </w:tcBorders>
            <w:shd w:val="clear" w:color="auto" w:fill="E7E7E8"/>
          </w:tcPr>
          <w:p>
            <w:pPr>
              <w:spacing w:after="0"/>
              <w:rPr>
                <w:sz w:val="17"/>
                <w:szCs w:val="17"/>
                <w:color w:val="auto"/>
              </w:rPr>
            </w:pPr>
          </w:p>
        </w:tc>
        <w:tc>
          <w:tcPr>
            <w:tcW w:w="200" w:type="dxa"/>
            <w:vAlign w:val="bottom"/>
            <w:tcBorders>
              <w:bottom w:val="single" w:sz="8" w:color="E7E7E8"/>
            </w:tcBorders>
            <w:shd w:val="clear" w:color="auto" w:fill="E7E7E8"/>
          </w:tcPr>
          <w:p>
            <w:pPr>
              <w:spacing w:after="0"/>
              <w:rPr>
                <w:sz w:val="17"/>
                <w:szCs w:val="17"/>
                <w:color w:val="auto"/>
              </w:rPr>
            </w:pPr>
          </w:p>
        </w:tc>
        <w:tc>
          <w:tcPr>
            <w:tcW w:w="140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20" w:type="dxa"/>
            <w:vAlign w:val="bottom"/>
            <w:tcBorders>
              <w:bottom w:val="single" w:sz="8" w:color="E7E7E8"/>
            </w:tcBorders>
            <w:shd w:val="clear" w:color="auto" w:fill="E7E7E8"/>
          </w:tcPr>
          <w:p>
            <w:pPr>
              <w:spacing w:after="0"/>
              <w:rPr>
                <w:sz w:val="17"/>
                <w:szCs w:val="17"/>
                <w:color w:val="auto"/>
              </w:rPr>
            </w:pPr>
          </w:p>
        </w:tc>
        <w:tc>
          <w:tcPr>
            <w:tcW w:w="118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Raw materials and consumables</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9,829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312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Prepaid expenses and other current assets</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14,137</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tcBorders>
              <w:bottom w:val="single" w:sz="8" w:color="auto"/>
            </w:tcBorders>
            <w:shd w:val="clear" w:color="auto" w:fill="E7E7E8"/>
          </w:tcPr>
          <w:p>
            <w:pPr>
              <w:spacing w:after="0"/>
              <w:rPr>
                <w:sz w:val="17"/>
                <w:szCs w:val="17"/>
                <w:color w:val="auto"/>
              </w:rPr>
            </w:pPr>
          </w:p>
        </w:tc>
        <w:tc>
          <w:tcPr>
            <w:tcW w:w="140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tcBorders>
              <w:bottom w:val="single" w:sz="8" w:color="auto"/>
            </w:tcBorders>
            <w:shd w:val="clear" w:color="auto" w:fill="E7E7E8"/>
          </w:tcPr>
          <w:p>
            <w:pPr>
              <w:spacing w:after="0"/>
              <w:rPr>
                <w:sz w:val="17"/>
                <w:szCs w:val="17"/>
                <w:color w:val="auto"/>
              </w:rPr>
            </w:pPr>
          </w:p>
        </w:tc>
        <w:tc>
          <w:tcPr>
            <w:tcW w:w="1180" w:type="dxa"/>
            <w:vAlign w:val="bottom"/>
            <w:tcBorders>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ind w:left="200"/>
              <w:spacing w:after="0"/>
              <w:rPr>
                <w:sz w:val="20"/>
                <w:szCs w:val="20"/>
                <w:color w:val="auto"/>
              </w:rPr>
            </w:pPr>
            <w:r>
              <w:rPr>
                <w:rFonts w:ascii="Arial" w:cs="Arial" w:eastAsia="Arial" w:hAnsi="Arial"/>
                <w:sz w:val="16"/>
                <w:szCs w:val="16"/>
                <w:color w:val="auto"/>
                <w:w w:val="99"/>
              </w:rPr>
              <w:t>Total current assets</w:t>
            </w:r>
          </w:p>
        </w:tc>
        <w:tc>
          <w:tcPr>
            <w:tcW w:w="15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136,160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127,783</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equipment, net</w:t>
            </w: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1,075,040</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1,040,146</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82,361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83,666</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Goodwill</w:t>
            </w: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33,570</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125,864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126,259</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312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non-current assets</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4,038</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tcBorders>
              <w:bottom w:val="single" w:sz="8" w:color="auto"/>
            </w:tcBorders>
            <w:shd w:val="clear" w:color="auto" w:fill="E7E7E8"/>
          </w:tcPr>
          <w:p>
            <w:pPr>
              <w:spacing w:after="0"/>
              <w:rPr>
                <w:sz w:val="17"/>
                <w:szCs w:val="17"/>
                <w:color w:val="auto"/>
              </w:rPr>
            </w:pPr>
          </w:p>
        </w:tc>
        <w:tc>
          <w:tcPr>
            <w:tcW w:w="140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tcBorders>
              <w:bottom w:val="single" w:sz="8" w:color="auto"/>
            </w:tcBorders>
            <w:shd w:val="clear" w:color="auto" w:fill="E7E7E8"/>
          </w:tcPr>
          <w:p>
            <w:pPr>
              <w:spacing w:after="0"/>
              <w:rPr>
                <w:sz w:val="17"/>
                <w:szCs w:val="17"/>
                <w:color w:val="auto"/>
              </w:rPr>
            </w:pPr>
          </w:p>
        </w:tc>
        <w:tc>
          <w:tcPr>
            <w:tcW w:w="1180" w:type="dxa"/>
            <w:vAlign w:val="bottom"/>
            <w:tcBorders>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gridSpan w:val="3"/>
          </w:tcPr>
          <w:p>
            <w:pPr>
              <w:ind w:left="200"/>
              <w:spacing w:after="0"/>
              <w:rPr>
                <w:sz w:val="20"/>
                <w:szCs w:val="20"/>
                <w:color w:val="auto"/>
              </w:rPr>
            </w:pPr>
            <w:r>
              <w:rPr>
                <w:rFonts w:ascii="Arial" w:cs="Arial" w:eastAsia="Arial" w:hAnsi="Arial"/>
                <w:sz w:val="16"/>
                <w:szCs w:val="16"/>
                <w:color w:val="auto"/>
              </w:rPr>
              <w:t>Total long-term assets</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1,320,873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1,282,959</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Borders>
              <w:bottom w:val="single" w:sz="8" w:color="E7E7E8"/>
            </w:tcBorders>
          </w:tcPr>
          <w:p>
            <w:pPr>
              <w:spacing w:after="0"/>
              <w:rPr>
                <w:sz w:val="16"/>
                <w:szCs w:val="16"/>
                <w:color w:val="auto"/>
              </w:rPr>
            </w:pPr>
          </w:p>
        </w:tc>
        <w:tc>
          <w:tcPr>
            <w:tcW w:w="1620" w:type="dxa"/>
            <w:vAlign w:val="bottom"/>
            <w:tcBorders>
              <w:bottom w:val="single" w:sz="8" w:color="E7E7E8"/>
            </w:tcBorders>
          </w:tcPr>
          <w:p>
            <w:pPr>
              <w:spacing w:after="0"/>
              <w:rPr>
                <w:sz w:val="16"/>
                <w:szCs w:val="16"/>
                <w:color w:val="auto"/>
              </w:rPr>
            </w:pPr>
          </w:p>
        </w:tc>
        <w:tc>
          <w:tcPr>
            <w:tcW w:w="1500" w:type="dxa"/>
            <w:vAlign w:val="bottom"/>
            <w:tcBorders>
              <w:bottom w:val="single" w:sz="8" w:color="E7E7E8"/>
            </w:tcBorders>
          </w:tcPr>
          <w:p>
            <w:pPr>
              <w:spacing w:after="0"/>
              <w:rPr>
                <w:sz w:val="16"/>
                <w:szCs w:val="16"/>
                <w:color w:val="auto"/>
              </w:rPr>
            </w:pPr>
          </w:p>
        </w:tc>
        <w:tc>
          <w:tcPr>
            <w:tcW w:w="4660" w:type="dxa"/>
            <w:vAlign w:val="bottom"/>
            <w:tcBorders>
              <w:bottom w:val="single" w:sz="8" w:color="E7E7E8"/>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Total assets</w:t>
            </w: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1,457,033</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1,410,742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tcBorders>
              <w:bottom w:val="single" w:sz="8" w:color="E7E7E8"/>
            </w:tcBorders>
            <w:shd w:val="clear" w:color="auto" w:fill="E7E7E8"/>
          </w:tcPr>
          <w:p>
            <w:pPr>
              <w:spacing w:after="0"/>
              <w:rPr>
                <w:sz w:val="18"/>
                <w:szCs w:val="18"/>
                <w:color w:val="auto"/>
              </w:rPr>
            </w:pPr>
          </w:p>
        </w:tc>
        <w:tc>
          <w:tcPr>
            <w:tcW w:w="1620" w:type="dxa"/>
            <w:vAlign w:val="bottom"/>
            <w:tcBorders>
              <w:bottom w:val="single" w:sz="8" w:color="E7E7E8"/>
            </w:tcBorders>
            <w:shd w:val="clear" w:color="auto" w:fill="E7E7E8"/>
          </w:tcPr>
          <w:p>
            <w:pPr>
              <w:spacing w:after="0"/>
              <w:rPr>
                <w:sz w:val="18"/>
                <w:szCs w:val="18"/>
                <w:color w:val="auto"/>
              </w:rPr>
            </w:pPr>
          </w:p>
        </w:tc>
        <w:tc>
          <w:tcPr>
            <w:tcW w:w="1500" w:type="dxa"/>
            <w:vAlign w:val="bottom"/>
            <w:tcBorders>
              <w:bottom w:val="single" w:sz="8" w:color="E7E7E8"/>
            </w:tcBorders>
            <w:shd w:val="clear" w:color="auto" w:fill="E7E7E8"/>
          </w:tcPr>
          <w:p>
            <w:pPr>
              <w:spacing w:after="0"/>
              <w:rPr>
                <w:sz w:val="18"/>
                <w:szCs w:val="18"/>
                <w:color w:val="auto"/>
              </w:rPr>
            </w:pPr>
          </w:p>
        </w:tc>
        <w:tc>
          <w:tcPr>
            <w:tcW w:w="4660" w:type="dxa"/>
            <w:vAlign w:val="bottom"/>
            <w:tcBorders>
              <w:bottom w:val="single" w:sz="8" w:color="E7E7E8"/>
            </w:tcBorders>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400" w:type="dxa"/>
            <w:vAlign w:val="bottom"/>
            <w:tcBorders>
              <w:bottom w:val="single" w:sz="8" w:color="auto"/>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42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6"/>
                <w:szCs w:val="16"/>
                <w:color w:val="auto"/>
              </w:rPr>
              <w:t>Liabilities</w:t>
            </w:r>
          </w:p>
        </w:tc>
        <w:tc>
          <w:tcPr>
            <w:tcW w:w="1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Accounts payable</w:t>
            </w: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58,370</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57,051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Accrued liabilities</w:t>
            </w:r>
          </w:p>
        </w:tc>
        <w:tc>
          <w:tcPr>
            <w:tcW w:w="1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45,606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48,912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Accrued interest</w:t>
            </w: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1,802</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Deferred revenue and customer deposits</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50,382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45,182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312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Current portion of long-term debt</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tcBorders>
              <w:bottom w:val="single" w:sz="8" w:color="auto"/>
            </w:tcBorders>
            <w:shd w:val="clear" w:color="auto" w:fill="E7E7E8"/>
          </w:tcPr>
          <w:p>
            <w:pPr>
              <w:spacing w:after="0"/>
              <w:rPr>
                <w:sz w:val="17"/>
                <w:szCs w:val="17"/>
                <w:color w:val="auto"/>
              </w:rPr>
            </w:pPr>
          </w:p>
        </w:tc>
        <w:tc>
          <w:tcPr>
            <w:tcW w:w="140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tcBorders>
              <w:bottom w:val="single" w:sz="8" w:color="auto"/>
            </w:tcBorders>
            <w:shd w:val="clear" w:color="auto" w:fill="E7E7E8"/>
          </w:tcPr>
          <w:p>
            <w:pPr>
              <w:spacing w:after="0"/>
              <w:rPr>
                <w:sz w:val="17"/>
                <w:szCs w:val="17"/>
                <w:color w:val="auto"/>
              </w:rPr>
            </w:pPr>
          </w:p>
        </w:tc>
        <w:tc>
          <w:tcPr>
            <w:tcW w:w="1180" w:type="dxa"/>
            <w:vAlign w:val="bottom"/>
            <w:tcBorders>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158,043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155,730</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Long-term debt</w:t>
            </w: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684,641</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624,865</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111,924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120,865</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312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6,696</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19,109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19,355</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Borders>
              <w:bottom w:val="single" w:sz="8" w:color="E7E7E8"/>
            </w:tcBorders>
          </w:tcPr>
          <w:p>
            <w:pPr>
              <w:spacing w:after="0"/>
              <w:rPr>
                <w:sz w:val="16"/>
                <w:szCs w:val="16"/>
                <w:color w:val="auto"/>
              </w:rPr>
            </w:pPr>
          </w:p>
        </w:tc>
        <w:tc>
          <w:tcPr>
            <w:tcW w:w="1620" w:type="dxa"/>
            <w:vAlign w:val="bottom"/>
            <w:tcBorders>
              <w:bottom w:val="single" w:sz="8" w:color="E7E7E8"/>
            </w:tcBorders>
          </w:tcPr>
          <w:p>
            <w:pPr>
              <w:spacing w:after="0"/>
              <w:rPr>
                <w:sz w:val="16"/>
                <w:szCs w:val="16"/>
                <w:color w:val="auto"/>
              </w:rPr>
            </w:pPr>
          </w:p>
        </w:tc>
        <w:tc>
          <w:tcPr>
            <w:tcW w:w="1500" w:type="dxa"/>
            <w:vAlign w:val="bottom"/>
            <w:tcBorders>
              <w:bottom w:val="single" w:sz="8" w:color="E7E7E8"/>
            </w:tcBorders>
          </w:tcPr>
          <w:p>
            <w:pPr>
              <w:spacing w:after="0"/>
              <w:rPr>
                <w:sz w:val="16"/>
                <w:szCs w:val="16"/>
                <w:color w:val="auto"/>
              </w:rPr>
            </w:pPr>
          </w:p>
        </w:tc>
        <w:tc>
          <w:tcPr>
            <w:tcW w:w="4660" w:type="dxa"/>
            <w:vAlign w:val="bottom"/>
            <w:tcBorders>
              <w:bottom w:val="single" w:sz="8" w:color="E7E7E8"/>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ind w:left="200"/>
              <w:spacing w:after="0"/>
              <w:rPr>
                <w:sz w:val="20"/>
                <w:szCs w:val="20"/>
                <w:color w:val="auto"/>
              </w:rPr>
            </w:pPr>
            <w:r>
              <w:rPr>
                <w:rFonts w:ascii="Arial" w:cs="Arial" w:eastAsia="Arial" w:hAnsi="Arial"/>
                <w:sz w:val="16"/>
                <w:szCs w:val="16"/>
                <w:color w:val="auto"/>
                <w:shd w:val="clear" w:color="auto" w:fill="E7E7E8"/>
              </w:rPr>
              <w:t>Long-term liabilities</w:t>
            </w: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822,370</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770,462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40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5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980,413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926,192</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00" w:type="dxa"/>
            <w:vAlign w:val="bottom"/>
            <w:gridSpan w:val="3"/>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Commitments and contingencies (see Note 12)</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Class A common stock: $0.0001 par, 400,000,000 shares authorized at June 30, 2018 and December 31,</w:t>
            </w:r>
          </w:p>
        </w:tc>
        <w:tc>
          <w:tcPr>
            <w:tcW w:w="2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2017; 84,644,744 shares issued and outstanding at both June 30, 2018 and December 31, 2017</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7780" w:type="dxa"/>
            <w:vAlign w:val="bottom"/>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Class B common stock: $0.0001 par, 100,000,000 shares authorized at June 30, 2018 and December 31,</w:t>
            </w:r>
          </w:p>
        </w:tc>
        <w:tc>
          <w:tcPr>
            <w:tcW w:w="200" w:type="dxa"/>
            <w:vAlign w:val="bottom"/>
            <w:shd w:val="clear" w:color="auto" w:fill="E7E7E8"/>
          </w:tcPr>
          <w:p>
            <w:pPr>
              <w:spacing w:after="0"/>
              <w:rPr>
                <w:sz w:val="19"/>
                <w:szCs w:val="19"/>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0" w:type="dxa"/>
            <w:vAlign w:val="bottom"/>
            <w:tcBorders>
              <w:bottom w:val="single" w:sz="8" w:color="E7E7E8"/>
            </w:tcBorders>
            <w:shd w:val="clear" w:color="auto" w:fill="E7E7E8"/>
          </w:tcPr>
          <w:p>
            <w:pPr>
              <w:spacing w:after="0"/>
              <w:rPr>
                <w:sz w:val="17"/>
                <w:szCs w:val="17"/>
                <w:color w:val="auto"/>
              </w:rPr>
            </w:pPr>
          </w:p>
        </w:tc>
        <w:tc>
          <w:tcPr>
            <w:tcW w:w="778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2017; 8,024,419 shares issued and outstanding at both June 30, 2018 and December 31, 2017</w:t>
            </w:r>
          </w:p>
        </w:tc>
        <w:tc>
          <w:tcPr>
            <w:tcW w:w="200" w:type="dxa"/>
            <w:vAlign w:val="bottom"/>
            <w:tcBorders>
              <w:bottom w:val="single" w:sz="8" w:color="E7E7E8"/>
            </w:tcBorders>
            <w:shd w:val="clear" w:color="auto" w:fill="E7E7E8"/>
          </w:tcPr>
          <w:p>
            <w:pPr>
              <w:spacing w:after="0"/>
              <w:rPr>
                <w:sz w:val="17"/>
                <w:szCs w:val="17"/>
                <w:color w:val="auto"/>
              </w:rPr>
            </w:pPr>
          </w:p>
        </w:tc>
        <w:tc>
          <w:tcPr>
            <w:tcW w:w="140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20" w:type="dxa"/>
            <w:vAlign w:val="bottom"/>
            <w:tcBorders>
              <w:bottom w:val="single" w:sz="8" w:color="E7E7E8"/>
            </w:tcBorders>
            <w:shd w:val="clear" w:color="auto" w:fill="E7E7E8"/>
          </w:tcPr>
          <w:p>
            <w:pPr>
              <w:spacing w:after="0"/>
              <w:rPr>
                <w:sz w:val="17"/>
                <w:szCs w:val="17"/>
                <w:color w:val="auto"/>
              </w:rPr>
            </w:pPr>
          </w:p>
        </w:tc>
        <w:tc>
          <w:tcPr>
            <w:tcW w:w="118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2,123,101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2,121,926</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312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Accumulated other comprehensive loss</w:t>
            </w: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(54,417)</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Accumulated deficit</w:t>
            </w:r>
          </w:p>
        </w:tc>
        <w:tc>
          <w:tcPr>
            <w:tcW w:w="1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(1,640,230)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(1,636,819)</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Borders>
              <w:bottom w:val="single" w:sz="8" w:color="E7E7E8"/>
            </w:tcBorders>
          </w:tcPr>
          <w:p>
            <w:pPr>
              <w:spacing w:after="0"/>
              <w:rPr>
                <w:sz w:val="16"/>
                <w:szCs w:val="16"/>
                <w:color w:val="auto"/>
              </w:rPr>
            </w:pPr>
          </w:p>
        </w:tc>
        <w:tc>
          <w:tcPr>
            <w:tcW w:w="1620" w:type="dxa"/>
            <w:vAlign w:val="bottom"/>
            <w:tcBorders>
              <w:bottom w:val="single" w:sz="8" w:color="E7E7E8"/>
            </w:tcBorders>
          </w:tcPr>
          <w:p>
            <w:pPr>
              <w:spacing w:after="0"/>
              <w:rPr>
                <w:sz w:val="16"/>
                <w:szCs w:val="16"/>
                <w:color w:val="auto"/>
              </w:rPr>
            </w:pPr>
          </w:p>
        </w:tc>
        <w:tc>
          <w:tcPr>
            <w:tcW w:w="1500" w:type="dxa"/>
            <w:vAlign w:val="bottom"/>
            <w:tcBorders>
              <w:bottom w:val="single" w:sz="8" w:color="E7E7E8"/>
            </w:tcBorders>
          </w:tcPr>
          <w:p>
            <w:pPr>
              <w:spacing w:after="0"/>
              <w:rPr>
                <w:sz w:val="16"/>
                <w:szCs w:val="16"/>
                <w:color w:val="auto"/>
              </w:rPr>
            </w:pPr>
          </w:p>
        </w:tc>
        <w:tc>
          <w:tcPr>
            <w:tcW w:w="4660" w:type="dxa"/>
            <w:vAlign w:val="bottom"/>
            <w:tcBorders>
              <w:bottom w:val="single" w:sz="8" w:color="E7E7E8"/>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Total shareholders' equity</w:t>
            </w: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428,463</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435,619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46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Non-controlling interest</w:t>
            </w:r>
          </w:p>
        </w:tc>
        <w:tc>
          <w:tcPr>
            <w:tcW w:w="1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48,157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48,931</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280" w:type="dxa"/>
            <w:vAlign w:val="bottom"/>
            <w:tcBorders>
              <w:bottom w:val="single" w:sz="8" w:color="E7E7E8"/>
            </w:tcBorders>
          </w:tcPr>
          <w:p>
            <w:pPr>
              <w:spacing w:after="0"/>
              <w:rPr>
                <w:sz w:val="4"/>
                <w:szCs w:val="4"/>
                <w:color w:val="auto"/>
              </w:rPr>
            </w:pPr>
          </w:p>
        </w:tc>
        <w:tc>
          <w:tcPr>
            <w:tcW w:w="1620" w:type="dxa"/>
            <w:vAlign w:val="bottom"/>
            <w:tcBorders>
              <w:bottom w:val="single" w:sz="8" w:color="E7E7E8"/>
            </w:tcBorders>
          </w:tcPr>
          <w:p>
            <w:pPr>
              <w:spacing w:after="0"/>
              <w:rPr>
                <w:sz w:val="4"/>
                <w:szCs w:val="4"/>
                <w:color w:val="auto"/>
              </w:rPr>
            </w:pPr>
          </w:p>
        </w:tc>
        <w:tc>
          <w:tcPr>
            <w:tcW w:w="1500" w:type="dxa"/>
            <w:vAlign w:val="bottom"/>
            <w:tcBorders>
              <w:bottom w:val="single" w:sz="8" w:color="E7E7E8"/>
            </w:tcBorders>
          </w:tcPr>
          <w:p>
            <w:pPr>
              <w:spacing w:after="0"/>
              <w:rPr>
                <w:sz w:val="4"/>
                <w:szCs w:val="4"/>
                <w:color w:val="auto"/>
              </w:rPr>
            </w:pPr>
          </w:p>
        </w:tc>
        <w:tc>
          <w:tcPr>
            <w:tcW w:w="4660" w:type="dxa"/>
            <w:vAlign w:val="bottom"/>
            <w:tcBorders>
              <w:bottom w:val="single" w:sz="8" w:color="E7E7E8"/>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Total equity</w:t>
            </w:r>
          </w:p>
        </w:tc>
        <w:tc>
          <w:tcPr>
            <w:tcW w:w="1500" w:type="dxa"/>
            <w:vAlign w:val="bottom"/>
            <w:shd w:val="clear" w:color="auto" w:fill="E7E7E8"/>
          </w:tcPr>
          <w:p>
            <w:pPr>
              <w:spacing w:after="0"/>
              <w:rPr>
                <w:sz w:val="17"/>
                <w:szCs w:val="17"/>
                <w:color w:val="auto"/>
              </w:rPr>
            </w:pPr>
          </w:p>
        </w:tc>
        <w:tc>
          <w:tcPr>
            <w:tcW w:w="46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476,620</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484,550</w:t>
            </w: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280" w:type="dxa"/>
            <w:vAlign w:val="bottom"/>
            <w:shd w:val="clear" w:color="auto" w:fill="E7E7E8"/>
          </w:tcPr>
          <w:p>
            <w:pPr>
              <w:spacing w:after="0"/>
              <w:rPr>
                <w:sz w:val="7"/>
                <w:szCs w:val="7"/>
                <w:color w:val="auto"/>
              </w:rPr>
            </w:pPr>
          </w:p>
        </w:tc>
        <w:tc>
          <w:tcPr>
            <w:tcW w:w="1620" w:type="dxa"/>
            <w:vAlign w:val="bottom"/>
            <w:shd w:val="clear" w:color="auto" w:fill="E7E7E8"/>
          </w:tcPr>
          <w:p>
            <w:pPr>
              <w:spacing w:after="0"/>
              <w:rPr>
                <w:sz w:val="7"/>
                <w:szCs w:val="7"/>
                <w:color w:val="auto"/>
              </w:rPr>
            </w:pPr>
          </w:p>
        </w:tc>
        <w:tc>
          <w:tcPr>
            <w:tcW w:w="1500" w:type="dxa"/>
            <w:vAlign w:val="bottom"/>
            <w:shd w:val="clear" w:color="auto" w:fill="E7E7E8"/>
          </w:tcPr>
          <w:p>
            <w:pPr>
              <w:spacing w:after="0"/>
              <w:rPr>
                <w:sz w:val="7"/>
                <w:szCs w:val="7"/>
                <w:color w:val="auto"/>
              </w:rPr>
            </w:pPr>
          </w:p>
        </w:tc>
        <w:tc>
          <w:tcPr>
            <w:tcW w:w="4660" w:type="dxa"/>
            <w:vAlign w:val="bottom"/>
            <w:shd w:val="clear" w:color="auto" w:fill="E7E7E8"/>
          </w:tcPr>
          <w:p>
            <w:pPr>
              <w:spacing w:after="0"/>
              <w:rPr>
                <w:sz w:val="7"/>
                <w:szCs w:val="7"/>
                <w:color w:val="auto"/>
              </w:rPr>
            </w:pPr>
          </w:p>
        </w:tc>
        <w:tc>
          <w:tcPr>
            <w:tcW w:w="200" w:type="dxa"/>
            <w:vAlign w:val="bottom"/>
            <w:shd w:val="clear" w:color="auto" w:fill="E7E7E8"/>
          </w:tcPr>
          <w:p>
            <w:pPr>
              <w:spacing w:after="0"/>
              <w:rPr>
                <w:sz w:val="7"/>
                <w:szCs w:val="7"/>
                <w:color w:val="auto"/>
              </w:rPr>
            </w:pPr>
          </w:p>
        </w:tc>
        <w:tc>
          <w:tcPr>
            <w:tcW w:w="140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20" w:type="dxa"/>
            <w:vAlign w:val="bottom"/>
            <w:shd w:val="clear" w:color="auto" w:fill="E7E7E8"/>
          </w:tcPr>
          <w:p>
            <w:pPr>
              <w:spacing w:after="0"/>
              <w:rPr>
                <w:sz w:val="7"/>
                <w:szCs w:val="7"/>
                <w:color w:val="auto"/>
              </w:rPr>
            </w:pPr>
          </w:p>
        </w:tc>
        <w:tc>
          <w:tcPr>
            <w:tcW w:w="118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2" w:right="239" w:bottom="0" w:gutter="0" w:footer="0" w:header="0"/>
        </w:sectPr>
      </w:pPr>
    </w:p>
    <w:bookmarkStart w:id="3" w:name="page4"/>
    <w:bookmarkEnd w:id="3"/>
    <w:p>
      <w:pPr>
        <w:spacing w:after="0"/>
        <w:tabs>
          <w:tab w:leader="none" w:pos="8060" w:val="left"/>
          <w:tab w:leader="none" w:pos="8780" w:val="left"/>
          <w:tab w:leader="none" w:pos="9760" w:val="left"/>
          <w:tab w:leader="none" w:pos="105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5725"/>
                    </a:xfrm>
                    <a:prstGeom prst="rect">
                      <a:avLst/>
                    </a:prstGeom>
                    <a:noFill/>
                  </pic:spPr>
                </pic:pic>
              </a:graphicData>
            </a:graphic>
          </wp:anchor>
        </w:drawing>
        <w:t>Total liabilities and equity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1,457,033</w:t>
        <w:tab/>
        <w:t>$</w:t>
      </w:r>
      <w:r>
        <w:rPr>
          <w:sz w:val="20"/>
          <w:szCs w:val="20"/>
          <w:color w:val="auto"/>
        </w:rPr>
        <w:tab/>
      </w:r>
      <w:r>
        <w:rPr>
          <w:rFonts w:ascii="Arial" w:cs="Arial" w:eastAsia="Arial" w:hAnsi="Arial"/>
          <w:sz w:val="16"/>
          <w:szCs w:val="16"/>
          <w:color w:val="auto"/>
        </w:rPr>
        <w:t>1,410,742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5108575</wp:posOffset>
            </wp:positionH>
            <wp:positionV relativeFrom="paragraph">
              <wp:posOffset>139065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5108575</wp:posOffset>
            </wp:positionH>
            <wp:positionV relativeFrom="paragraph">
              <wp:posOffset>-91440</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2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444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0"/>
                <w:szCs w:val="20"/>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c>
          <w:tcPr>
            <w:tcW w:w="0" w:type="dxa"/>
            <w:vAlign w:val="bottom"/>
          </w:tcPr>
          <w:p>
            <w:pPr>
              <w:spacing w:after="0"/>
              <w:rPr>
                <w:sz w:val="1"/>
                <w:szCs w:val="1"/>
                <w:color w:val="auto"/>
              </w:rPr>
            </w:pPr>
          </w:p>
        </w:tc>
      </w:tr>
      <w:tr>
        <w:trPr>
          <w:trHeight w:val="408"/>
        </w:trPr>
        <w:tc>
          <w:tcPr>
            <w:tcW w:w="5160" w:type="dxa"/>
            <w:vAlign w:val="bottom"/>
            <w:gridSpan w:val="3"/>
            <w:vMerge w:val="restart"/>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95"/>
        </w:trPr>
        <w:tc>
          <w:tcPr>
            <w:tcW w:w="5160" w:type="dxa"/>
            <w:vAlign w:val="bottom"/>
            <w:gridSpan w:val="3"/>
            <w:vMerge w:val="continue"/>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24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2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0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444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24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2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Revenues:</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Leasing and services revenue: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46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leasing</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101,249</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72,954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198,511</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141,941</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50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31,413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41,953</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w w:val="94"/>
                <w:shd w:val="clear" w:color="auto" w:fill="E7E7E8"/>
              </w:rPr>
              <w:t>Sales:</w:t>
            </w:r>
          </w:p>
        </w:tc>
        <w:tc>
          <w:tcPr>
            <w:tcW w:w="4440" w:type="dxa"/>
            <w:vAlign w:val="bottom"/>
            <w:tcBorders>
              <w:bottom w:val="single" w:sz="8" w:color="E7E7E8"/>
            </w:tcBorders>
            <w:shd w:val="clear" w:color="auto" w:fill="E7E7E8"/>
          </w:tcPr>
          <w:p>
            <w:pPr>
              <w:spacing w:after="0"/>
              <w:rPr>
                <w:sz w:val="21"/>
                <w:szCs w:val="21"/>
                <w:color w:val="auto"/>
              </w:rPr>
            </w:pP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50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46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6,246</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tcBorders>
              <w:bottom w:val="single" w:sz="8" w:color="auto"/>
            </w:tcBorders>
            <w:shd w:val="clear" w:color="auto" w:fill="E7E7E8"/>
          </w:tcPr>
          <w:p>
            <w:pPr>
              <w:spacing w:after="0"/>
              <w:rPr>
                <w:sz w:val="7"/>
                <w:szCs w:val="7"/>
                <w:color w:val="auto"/>
              </w:rPr>
            </w:pPr>
          </w:p>
        </w:tc>
        <w:tc>
          <w:tcPr>
            <w:tcW w:w="1240" w:type="dxa"/>
            <w:vAlign w:val="bottom"/>
            <w:tcBorders>
              <w:bottom w:val="single" w:sz="8" w:color="auto"/>
            </w:tcBorders>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tcBorders>
              <w:bottom w:val="single" w:sz="8" w:color="auto"/>
            </w:tcBorders>
            <w:shd w:val="clear" w:color="auto" w:fill="E7E7E8"/>
          </w:tcPr>
          <w:p>
            <w:pPr>
              <w:spacing w:after="0"/>
              <w:rPr>
                <w:sz w:val="7"/>
                <w:szCs w:val="7"/>
                <w:color w:val="auto"/>
              </w:rPr>
            </w:pPr>
          </w:p>
        </w:tc>
        <w:tc>
          <w:tcPr>
            <w:tcW w:w="114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16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tcBorders>
              <w:bottom w:val="single" w:sz="8" w:color="auto"/>
            </w:tcBorders>
            <w:shd w:val="clear" w:color="auto" w:fill="E7E7E8"/>
          </w:tcPr>
          <w:p>
            <w:pPr>
              <w:spacing w:after="0"/>
              <w:rPr>
                <w:sz w:val="7"/>
                <w:szCs w:val="7"/>
                <w:color w:val="auto"/>
              </w:rPr>
            </w:pPr>
          </w:p>
        </w:tc>
        <w:tc>
          <w:tcPr>
            <w:tcW w:w="114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275,084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209,398</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6"/>
                <w:shd w:val="clear" w:color="auto" w:fill="E7E7E8"/>
              </w:rPr>
              <w:t>Costs:</w:t>
            </w:r>
          </w:p>
        </w:tc>
        <w:tc>
          <w:tcPr>
            <w:tcW w:w="220" w:type="dxa"/>
            <w:vAlign w:val="bottom"/>
            <w:tcBorders>
              <w:bottom w:val="single" w:sz="8" w:color="E7E7E8"/>
            </w:tcBorders>
            <w:shd w:val="clear" w:color="auto" w:fill="E7E7E8"/>
          </w:tcPr>
          <w:p>
            <w:pPr>
              <w:spacing w:after="0"/>
              <w:rPr>
                <w:sz w:val="21"/>
                <w:szCs w:val="21"/>
                <w:color w:val="auto"/>
              </w:rPr>
            </w:pPr>
          </w:p>
        </w:tc>
        <w:tc>
          <w:tcPr>
            <w:tcW w:w="4440" w:type="dxa"/>
            <w:vAlign w:val="bottom"/>
            <w:tcBorders>
              <w:bottom w:val="single" w:sz="8" w:color="E7E7E8"/>
            </w:tcBorders>
            <w:shd w:val="clear" w:color="auto" w:fill="E7E7E8"/>
          </w:tcPr>
          <w:p>
            <w:pPr>
              <w:spacing w:after="0"/>
              <w:rPr>
                <w:sz w:val="21"/>
                <w:szCs w:val="21"/>
                <w:color w:val="auto"/>
              </w:rPr>
            </w:pP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Costs of leasing and services: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46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leasing</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27,129</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21,340</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54,291</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40,442</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50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30,127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40,472</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Costs of sales:</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50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10,486</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46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3,578</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Depreciation of rental equipment</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23,470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34,194</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4440" w:type="dxa"/>
            <w:vAlign w:val="bottom"/>
            <w:tcBorders>
              <w:bottom w:val="single" w:sz="8" w:color="E7E7E8"/>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44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Gross profit</w:t>
            </w:r>
          </w:p>
        </w:tc>
        <w:tc>
          <w:tcPr>
            <w:tcW w:w="260" w:type="dxa"/>
            <w:vAlign w:val="bottom"/>
            <w:shd w:val="clear" w:color="auto" w:fill="E7E7E8"/>
          </w:tcPr>
          <w:p>
            <w:pPr>
              <w:spacing w:after="0"/>
              <w:rPr>
                <w:sz w:val="17"/>
                <w:szCs w:val="17"/>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54,640</w:t>
            </w: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39,583</w:t>
            </w:r>
          </w:p>
        </w:tc>
        <w:tc>
          <w:tcPr>
            <w:tcW w:w="10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105,561</w:t>
            </w: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77,521</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Selling, general and administrative</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47,734</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31,652</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92,948</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64,413</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Other depreciation and amortization</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Restructuring costs</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Currency losses (gains), net</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(8,499)</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16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E7E7E8"/>
          </w:tcPr>
          <w:p>
            <w:pPr>
              <w:spacing w:after="0"/>
              <w:rPr>
                <w:sz w:val="19"/>
                <w:szCs w:val="19"/>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(1,574)</w:t>
            </w:r>
          </w:p>
        </w:tc>
        <w:tc>
          <w:tcPr>
            <w:tcW w:w="12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(4,419)</w:t>
            </w: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74"/>
        </w:trPr>
        <w:tc>
          <w:tcPr>
            <w:tcW w:w="500" w:type="dxa"/>
            <w:vAlign w:val="bottom"/>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4440" w:type="dxa"/>
            <w:vAlign w:val="bottom"/>
            <w:shd w:val="clear" w:color="auto" w:fill="E7E7E8"/>
          </w:tcPr>
          <w:p>
            <w:pPr>
              <w:spacing w:after="0"/>
              <w:rPr>
                <w:sz w:val="6"/>
                <w:szCs w:val="6"/>
                <w:color w:val="auto"/>
              </w:rPr>
            </w:pPr>
          </w:p>
        </w:tc>
        <w:tc>
          <w:tcPr>
            <w:tcW w:w="260" w:type="dxa"/>
            <w:vAlign w:val="bottom"/>
            <w:tcBorders>
              <w:bottom w:val="single" w:sz="8" w:color="auto"/>
            </w:tcBorders>
            <w:shd w:val="clear" w:color="auto" w:fill="E7E7E8"/>
          </w:tcPr>
          <w:p>
            <w:pPr>
              <w:spacing w:after="0"/>
              <w:rPr>
                <w:sz w:val="6"/>
                <w:szCs w:val="6"/>
                <w:color w:val="auto"/>
              </w:rPr>
            </w:pPr>
          </w:p>
        </w:tc>
        <w:tc>
          <w:tcPr>
            <w:tcW w:w="1240" w:type="dxa"/>
            <w:vAlign w:val="bottom"/>
            <w:tcBorders>
              <w:bottom w:val="single" w:sz="8" w:color="auto"/>
            </w:tcBorders>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340" w:type="dxa"/>
            <w:vAlign w:val="bottom"/>
            <w:tcBorders>
              <w:bottom w:val="single" w:sz="8" w:color="auto"/>
            </w:tcBorders>
            <w:shd w:val="clear" w:color="auto" w:fill="E7E7E8"/>
          </w:tcPr>
          <w:p>
            <w:pPr>
              <w:spacing w:after="0"/>
              <w:rPr>
                <w:sz w:val="6"/>
                <w:szCs w:val="6"/>
                <w:color w:val="auto"/>
              </w:rPr>
            </w:pPr>
          </w:p>
        </w:tc>
        <w:tc>
          <w:tcPr>
            <w:tcW w:w="1140" w:type="dxa"/>
            <w:vAlign w:val="bottom"/>
            <w:tcBorders>
              <w:bottom w:val="single" w:sz="8" w:color="auto"/>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320" w:type="dxa"/>
            <w:vAlign w:val="bottom"/>
            <w:tcBorders>
              <w:bottom w:val="single" w:sz="8" w:color="auto"/>
            </w:tcBorders>
            <w:shd w:val="clear" w:color="auto" w:fill="E7E7E8"/>
          </w:tcPr>
          <w:p>
            <w:pPr>
              <w:spacing w:after="0"/>
              <w:rPr>
                <w:sz w:val="6"/>
                <w:szCs w:val="6"/>
                <w:color w:val="auto"/>
              </w:rPr>
            </w:pPr>
          </w:p>
        </w:tc>
        <w:tc>
          <w:tcPr>
            <w:tcW w:w="1160" w:type="dxa"/>
            <w:vAlign w:val="bottom"/>
            <w:tcBorders>
              <w:bottom w:val="single" w:sz="8" w:color="auto"/>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340" w:type="dxa"/>
            <w:vAlign w:val="bottom"/>
            <w:tcBorders>
              <w:bottom w:val="single" w:sz="8" w:color="auto"/>
            </w:tcBorders>
            <w:shd w:val="clear" w:color="auto" w:fill="E7E7E8"/>
          </w:tcPr>
          <w:p>
            <w:pPr>
              <w:spacing w:after="0"/>
              <w:rPr>
                <w:sz w:val="6"/>
                <w:szCs w:val="6"/>
                <w:color w:val="auto"/>
              </w:rPr>
            </w:pPr>
          </w:p>
        </w:tc>
        <w:tc>
          <w:tcPr>
            <w:tcW w:w="1140" w:type="dxa"/>
            <w:vAlign w:val="bottom"/>
            <w:tcBorders>
              <w:bottom w:val="single" w:sz="8" w:color="auto"/>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16,217</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expense</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12,155</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29,907</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23,874</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54,568</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4440" w:type="dxa"/>
            <w:vAlign w:val="bottom"/>
            <w:tcBorders>
              <w:bottom w:val="single" w:sz="8" w:color="E7E7E8"/>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 before income tax</w:t>
            </w:r>
          </w:p>
        </w:tc>
        <w:tc>
          <w:tcPr>
            <w:tcW w:w="260" w:type="dxa"/>
            <w:vAlign w:val="bottom"/>
            <w:shd w:val="clear" w:color="auto" w:fill="E7E7E8"/>
          </w:tcPr>
          <w:p>
            <w:pPr>
              <w:spacing w:after="0"/>
              <w:rPr>
                <w:sz w:val="17"/>
                <w:szCs w:val="17"/>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(6,266)</w:t>
            </w: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(13,521)</w:t>
            </w: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(32,258)</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(10,138)</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4440" w:type="dxa"/>
            <w:vAlign w:val="bottom"/>
            <w:tcBorders>
              <w:bottom w:val="single" w:sz="8" w:color="E7E7E8"/>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continuing operations</w:t>
            </w:r>
          </w:p>
        </w:tc>
        <w:tc>
          <w:tcPr>
            <w:tcW w:w="260" w:type="dxa"/>
            <w:vAlign w:val="bottom"/>
            <w:shd w:val="clear" w:color="auto" w:fill="E7E7E8"/>
          </w:tcPr>
          <w:p>
            <w:pPr>
              <w:spacing w:after="0"/>
              <w:rPr>
                <w:sz w:val="17"/>
                <w:szCs w:val="17"/>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(9,736)</w:t>
            </w:r>
          </w:p>
        </w:tc>
        <w:tc>
          <w:tcPr>
            <w:tcW w:w="10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(22,120)</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4440" w:type="dxa"/>
            <w:vAlign w:val="bottom"/>
            <w:tcBorders>
              <w:bottom w:val="single" w:sz="8" w:color="E7E7E8"/>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income (loss)</w:t>
            </w:r>
          </w:p>
        </w:tc>
        <w:tc>
          <w:tcPr>
            <w:tcW w:w="260" w:type="dxa"/>
            <w:vAlign w:val="bottom"/>
            <w:shd w:val="clear" w:color="auto" w:fill="E7E7E8"/>
          </w:tcPr>
          <w:p>
            <w:pPr>
              <w:spacing w:after="0"/>
              <w:rPr>
                <w:sz w:val="17"/>
                <w:szCs w:val="17"/>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(16,075)</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4440" w:type="dxa"/>
            <w:vAlign w:val="bottom"/>
            <w:tcBorders>
              <w:bottom w:val="single" w:sz="8" w:color="E7E7E8"/>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income (loss) attributable to WSC</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E7E7E8"/>
          </w:tcPr>
          <w:p>
            <w:pPr>
              <w:spacing w:after="0"/>
              <w:rPr>
                <w:sz w:val="17"/>
                <w:szCs w:val="17"/>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(5,951)</w:t>
            </w: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(16,075)</w:t>
            </w:r>
          </w:p>
        </w:tc>
        <w:tc>
          <w:tcPr>
            <w:tcW w:w="0" w:type="dxa"/>
            <w:vAlign w:val="bottom"/>
          </w:tcPr>
          <w:p>
            <w:pPr>
              <w:spacing w:after="0"/>
              <w:rPr>
                <w:sz w:val="1"/>
                <w:szCs w:val="1"/>
                <w:color w:val="auto"/>
              </w:rPr>
            </w:pPr>
          </w:p>
        </w:tc>
      </w:tr>
      <w:tr>
        <w:trPr>
          <w:trHeight w:val="68"/>
        </w:trPr>
        <w:tc>
          <w:tcPr>
            <w:tcW w:w="500" w:type="dxa"/>
            <w:vAlign w:val="bottom"/>
            <w:tcBorders>
              <w:bottom w:val="single" w:sz="8" w:color="E7E7E8"/>
            </w:tcBorders>
            <w:shd w:val="clear" w:color="auto" w:fill="E7E7E8"/>
          </w:tcPr>
          <w:p>
            <w:pPr>
              <w:spacing w:after="0"/>
              <w:rPr>
                <w:sz w:val="5"/>
                <w:szCs w:val="5"/>
                <w:color w:val="auto"/>
              </w:rPr>
            </w:pPr>
          </w:p>
        </w:tc>
        <w:tc>
          <w:tcPr>
            <w:tcW w:w="220" w:type="dxa"/>
            <w:vAlign w:val="bottom"/>
            <w:tcBorders>
              <w:bottom w:val="single" w:sz="8" w:color="E7E7E8"/>
            </w:tcBorders>
            <w:shd w:val="clear" w:color="auto" w:fill="E7E7E8"/>
          </w:tcPr>
          <w:p>
            <w:pPr>
              <w:spacing w:after="0"/>
              <w:rPr>
                <w:sz w:val="5"/>
                <w:szCs w:val="5"/>
                <w:color w:val="auto"/>
              </w:rPr>
            </w:pPr>
          </w:p>
        </w:tc>
        <w:tc>
          <w:tcPr>
            <w:tcW w:w="4440" w:type="dxa"/>
            <w:vAlign w:val="bottom"/>
            <w:tcBorders>
              <w:bottom w:val="single" w:sz="8" w:color="E7E7E8"/>
            </w:tcBorders>
            <w:shd w:val="clear" w:color="auto" w:fill="E7E7E8"/>
          </w:tcPr>
          <w:p>
            <w:pPr>
              <w:spacing w:after="0"/>
              <w:rPr>
                <w:sz w:val="5"/>
                <w:szCs w:val="5"/>
                <w:color w:val="auto"/>
              </w:rPr>
            </w:pPr>
          </w:p>
        </w:tc>
        <w:tc>
          <w:tcPr>
            <w:tcW w:w="260" w:type="dxa"/>
            <w:vAlign w:val="bottom"/>
            <w:tcBorders>
              <w:bottom w:val="single" w:sz="8" w:color="auto"/>
            </w:tcBorders>
            <w:shd w:val="clear" w:color="auto" w:fill="E7E7E8"/>
          </w:tcPr>
          <w:p>
            <w:pPr>
              <w:spacing w:after="0"/>
              <w:rPr>
                <w:sz w:val="5"/>
                <w:szCs w:val="5"/>
                <w:color w:val="auto"/>
              </w:rPr>
            </w:pPr>
          </w:p>
        </w:tc>
        <w:tc>
          <w:tcPr>
            <w:tcW w:w="1240" w:type="dxa"/>
            <w:vAlign w:val="bottom"/>
            <w:tcBorders>
              <w:bottom w:val="single" w:sz="8" w:color="auto"/>
            </w:tcBorders>
            <w:shd w:val="clear" w:color="auto" w:fill="E7E7E8"/>
          </w:tcPr>
          <w:p>
            <w:pPr>
              <w:spacing w:after="0"/>
              <w:rPr>
                <w:sz w:val="5"/>
                <w:szCs w:val="5"/>
                <w:color w:val="auto"/>
              </w:rPr>
            </w:pPr>
          </w:p>
        </w:tc>
        <w:tc>
          <w:tcPr>
            <w:tcW w:w="120" w:type="dxa"/>
            <w:vAlign w:val="bottom"/>
            <w:tcBorders>
              <w:bottom w:val="single" w:sz="8" w:color="E7E7E8"/>
            </w:tcBorders>
            <w:shd w:val="clear" w:color="auto" w:fill="E7E7E8"/>
          </w:tcPr>
          <w:p>
            <w:pPr>
              <w:spacing w:after="0"/>
              <w:rPr>
                <w:sz w:val="5"/>
                <w:szCs w:val="5"/>
                <w:color w:val="auto"/>
              </w:rPr>
            </w:pPr>
          </w:p>
        </w:tc>
        <w:tc>
          <w:tcPr>
            <w:tcW w:w="340" w:type="dxa"/>
            <w:vAlign w:val="bottom"/>
            <w:tcBorders>
              <w:bottom w:val="single" w:sz="8" w:color="auto"/>
            </w:tcBorders>
            <w:shd w:val="clear" w:color="auto" w:fill="E7E7E8"/>
          </w:tcPr>
          <w:p>
            <w:pPr>
              <w:spacing w:after="0"/>
              <w:rPr>
                <w:sz w:val="5"/>
                <w:szCs w:val="5"/>
                <w:color w:val="auto"/>
              </w:rPr>
            </w:pPr>
          </w:p>
        </w:tc>
        <w:tc>
          <w:tcPr>
            <w:tcW w:w="1140" w:type="dxa"/>
            <w:vAlign w:val="bottom"/>
            <w:tcBorders>
              <w:bottom w:val="single" w:sz="8" w:color="auto"/>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320" w:type="dxa"/>
            <w:vAlign w:val="bottom"/>
            <w:tcBorders>
              <w:bottom w:val="single" w:sz="8" w:color="auto"/>
            </w:tcBorders>
            <w:shd w:val="clear" w:color="auto" w:fill="E7E7E8"/>
          </w:tcPr>
          <w:p>
            <w:pPr>
              <w:spacing w:after="0"/>
              <w:rPr>
                <w:sz w:val="5"/>
                <w:szCs w:val="5"/>
                <w:color w:val="auto"/>
              </w:rPr>
            </w:pPr>
          </w:p>
        </w:tc>
        <w:tc>
          <w:tcPr>
            <w:tcW w:w="1160" w:type="dxa"/>
            <w:vAlign w:val="bottom"/>
            <w:tcBorders>
              <w:bottom w:val="single" w:sz="8" w:color="auto"/>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340" w:type="dxa"/>
            <w:vAlign w:val="bottom"/>
            <w:tcBorders>
              <w:bottom w:val="single" w:sz="8" w:color="auto"/>
            </w:tcBorders>
            <w:shd w:val="clear" w:color="auto" w:fill="E7E7E8"/>
          </w:tcPr>
          <w:p>
            <w:pPr>
              <w:spacing w:after="0"/>
              <w:rPr>
                <w:sz w:val="5"/>
                <w:szCs w:val="5"/>
                <w:color w:val="auto"/>
              </w:rPr>
            </w:pPr>
          </w:p>
        </w:tc>
        <w:tc>
          <w:tcPr>
            <w:tcW w:w="1140" w:type="dxa"/>
            <w:vAlign w:val="bottom"/>
            <w:tcBorders>
              <w:bottom w:val="single" w:sz="8" w:color="auto"/>
            </w:tcBorders>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income (loss) per share attributable to WSC – basic</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Continuing operations - 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Discontinued operations - basic</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tcBorders>
              <w:bottom w:val="single" w:sz="8" w:color="auto"/>
            </w:tcBorders>
            <w:shd w:val="clear" w:color="auto" w:fill="E7E7E8"/>
          </w:tcPr>
          <w:p>
            <w:pPr>
              <w:spacing w:after="0"/>
              <w:rPr>
                <w:sz w:val="7"/>
                <w:szCs w:val="7"/>
                <w:color w:val="auto"/>
              </w:rPr>
            </w:pPr>
          </w:p>
        </w:tc>
        <w:tc>
          <w:tcPr>
            <w:tcW w:w="1240" w:type="dxa"/>
            <w:vAlign w:val="bottom"/>
            <w:tcBorders>
              <w:bottom w:val="single" w:sz="8" w:color="auto"/>
            </w:tcBorders>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tcBorders>
              <w:bottom w:val="single" w:sz="8" w:color="auto"/>
            </w:tcBorders>
            <w:shd w:val="clear" w:color="auto" w:fill="E7E7E8"/>
          </w:tcPr>
          <w:p>
            <w:pPr>
              <w:spacing w:after="0"/>
              <w:rPr>
                <w:sz w:val="7"/>
                <w:szCs w:val="7"/>
                <w:color w:val="auto"/>
              </w:rPr>
            </w:pPr>
          </w:p>
        </w:tc>
        <w:tc>
          <w:tcPr>
            <w:tcW w:w="114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16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tcBorders>
              <w:bottom w:val="single" w:sz="8" w:color="auto"/>
            </w:tcBorders>
            <w:shd w:val="clear" w:color="auto" w:fill="E7E7E8"/>
          </w:tcPr>
          <w:p>
            <w:pPr>
              <w:spacing w:after="0"/>
              <w:rPr>
                <w:sz w:val="7"/>
                <w:szCs w:val="7"/>
                <w:color w:val="auto"/>
              </w:rPr>
            </w:pPr>
          </w:p>
        </w:tc>
        <w:tc>
          <w:tcPr>
            <w:tcW w:w="114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Net income (loss) per share - 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44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12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Net income (loss) per share attributable to WSC – diluted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rPr>
              <w:t>Continuing operations - diluted</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Discontinued operations - 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47"/>
        </w:trPr>
        <w:tc>
          <w:tcPr>
            <w:tcW w:w="500" w:type="dxa"/>
            <w:vAlign w:val="bottom"/>
            <w:tcBorders>
              <w:bottom w:val="single" w:sz="8" w:color="E7E7E8"/>
            </w:tcBorders>
          </w:tcPr>
          <w:p>
            <w:pPr>
              <w:spacing w:after="0"/>
              <w:rPr>
                <w:sz w:val="4"/>
                <w:szCs w:val="4"/>
                <w:color w:val="auto"/>
              </w:rPr>
            </w:pPr>
          </w:p>
        </w:tc>
        <w:tc>
          <w:tcPr>
            <w:tcW w:w="220" w:type="dxa"/>
            <w:vAlign w:val="bottom"/>
            <w:tcBorders>
              <w:bottom w:val="single" w:sz="8" w:color="E7E7E8"/>
            </w:tcBorders>
          </w:tcPr>
          <w:p>
            <w:pPr>
              <w:spacing w:after="0"/>
              <w:rPr>
                <w:sz w:val="4"/>
                <w:szCs w:val="4"/>
                <w:color w:val="auto"/>
              </w:rPr>
            </w:pPr>
          </w:p>
        </w:tc>
        <w:tc>
          <w:tcPr>
            <w:tcW w:w="444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rPr>
              <w:t>Net income (loss) per share - diluted</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Weighted average shares:</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78,432,274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14,545,833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77,814,456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14,545,833</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82,180,086</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77,814,456</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Cash dividends declared per share</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44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2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20" w:type="dxa"/>
            <w:vAlign w:val="bottom"/>
            <w:shd w:val="clear" w:color="auto" w:fill="E7E7E8"/>
          </w:tcPr>
          <w:p>
            <w:pPr>
              <w:spacing w:after="0"/>
              <w:rPr>
                <w:sz w:val="7"/>
                <w:szCs w:val="7"/>
                <w:color w:val="auto"/>
              </w:rPr>
            </w:pPr>
          </w:p>
        </w:tc>
        <w:tc>
          <w:tcPr>
            <w:tcW w:w="11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20"/>
          </w:cols>
          <w:pgMar w:left="240" w:top="387" w:right="239" w:bottom="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87"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0"/>
                <w:szCs w:val="20"/>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408"/>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195"/>
        </w:trPr>
        <w:tc>
          <w:tcPr>
            <w:tcW w:w="5160" w:type="dxa"/>
            <w:vAlign w:val="bottom"/>
            <w:shd w:val="clear" w:color="auto" w:fill="008A5F"/>
          </w:tcPr>
          <w:p>
            <w:pPr>
              <w:spacing w:after="0"/>
              <w:rPr>
                <w:sz w:val="16"/>
                <w:szCs w:val="16"/>
                <w:color w:val="auto"/>
              </w:rPr>
            </w:pPr>
          </w:p>
        </w:tc>
        <w:tc>
          <w:tcPr>
            <w:tcW w:w="260" w:type="dxa"/>
            <w:vAlign w:val="bottom"/>
            <w:shd w:val="clear" w:color="auto" w:fill="008A5F"/>
          </w:tcPr>
          <w:p>
            <w:pPr>
              <w:spacing w:after="0"/>
              <w:rPr>
                <w:sz w:val="16"/>
                <w:szCs w:val="16"/>
                <w:color w:val="auto"/>
              </w:rPr>
            </w:pPr>
          </w:p>
        </w:tc>
        <w:tc>
          <w:tcPr>
            <w:tcW w:w="124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340" w:type="dxa"/>
            <w:vAlign w:val="bottom"/>
            <w:shd w:val="clear" w:color="auto" w:fill="008A5F"/>
          </w:tcPr>
          <w:p>
            <w:pPr>
              <w:spacing w:after="0"/>
              <w:rPr>
                <w:sz w:val="16"/>
                <w:szCs w:val="16"/>
                <w:color w:val="auto"/>
              </w:rPr>
            </w:pPr>
          </w:p>
        </w:tc>
        <w:tc>
          <w:tcPr>
            <w:tcW w:w="11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320" w:type="dxa"/>
            <w:vAlign w:val="bottom"/>
            <w:shd w:val="clear" w:color="auto" w:fill="008A5F"/>
          </w:tcPr>
          <w:p>
            <w:pPr>
              <w:spacing w:after="0"/>
              <w:rPr>
                <w:sz w:val="16"/>
                <w:szCs w:val="16"/>
                <w:color w:val="auto"/>
              </w:rPr>
            </w:pPr>
          </w:p>
        </w:tc>
        <w:tc>
          <w:tcPr>
            <w:tcW w:w="116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340" w:type="dxa"/>
            <w:vAlign w:val="bottom"/>
            <w:shd w:val="clear" w:color="auto" w:fill="008A5F"/>
          </w:tcPr>
          <w:p>
            <w:pPr>
              <w:spacing w:after="0"/>
              <w:rPr>
                <w:sz w:val="16"/>
                <w:szCs w:val="16"/>
                <w:color w:val="auto"/>
              </w:rPr>
            </w:pPr>
          </w:p>
        </w:tc>
        <w:tc>
          <w:tcPr>
            <w:tcW w:w="1140" w:type="dxa"/>
            <w:vAlign w:val="bottom"/>
            <w:shd w:val="clear" w:color="auto" w:fill="008A5F"/>
          </w:tcPr>
          <w:p>
            <w:pPr>
              <w:spacing w:after="0"/>
              <w:rPr>
                <w:sz w:val="16"/>
                <w:szCs w:val="16"/>
                <w:color w:val="auto"/>
              </w:rPr>
            </w:pP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(16,075)</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6"/>
        </w:trPr>
        <w:tc>
          <w:tcPr>
            <w:tcW w:w="5160" w:type="dxa"/>
            <w:vAlign w:val="bottom"/>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Foreign currency translation adjustment, net of income tax (benefit)</w:t>
            </w: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3,102</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5,783</w:t>
            </w:r>
          </w:p>
        </w:tc>
      </w:tr>
      <w:tr>
        <w:trPr>
          <w:trHeight w:val="189"/>
        </w:trPr>
        <w:tc>
          <w:tcPr>
            <w:tcW w:w="5160" w:type="dxa"/>
            <w:vAlign w:val="bottom"/>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expense of ($93), $462, ($241) and $618 for the three and six</w:t>
            </w:r>
          </w:p>
        </w:tc>
        <w:tc>
          <w:tcPr>
            <w:tcW w:w="260" w:type="dxa"/>
            <w:vAlign w:val="bottom"/>
            <w:shd w:val="clear" w:color="auto" w:fill="E7E7E8"/>
          </w:tcPr>
          <w:p>
            <w:pPr>
              <w:spacing w:after="0"/>
              <w:rPr>
                <w:sz w:val="16"/>
                <w:szCs w:val="16"/>
                <w:color w:val="auto"/>
              </w:rPr>
            </w:pPr>
          </w:p>
        </w:tc>
        <w:tc>
          <w:tcPr>
            <w:tcW w:w="12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r>
      <w:tr>
        <w:trPr>
          <w:trHeight w:val="216"/>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months ended June 30, 2018 and 2017, respectively</w:t>
            </w:r>
          </w:p>
        </w:tc>
        <w:tc>
          <w:tcPr>
            <w:tcW w:w="260" w:type="dxa"/>
            <w:vAlign w:val="bottom"/>
            <w:tcBorders>
              <w:bottom w:val="single" w:sz="8" w:color="E7E7E8"/>
            </w:tcBorders>
            <w:shd w:val="clear" w:color="auto" w:fill="E7E7E8"/>
          </w:tcPr>
          <w:p>
            <w:pPr>
              <w:spacing w:after="0"/>
              <w:rPr>
                <w:sz w:val="18"/>
                <w:szCs w:val="18"/>
                <w:color w:val="auto"/>
              </w:rPr>
            </w:pPr>
          </w:p>
        </w:tc>
        <w:tc>
          <w:tcPr>
            <w:tcW w:w="1240" w:type="dxa"/>
            <w:vAlign w:val="bottom"/>
            <w:tcBorders>
              <w:bottom w:val="single" w:sz="8" w:color="E7E7E8"/>
            </w:tcBorders>
            <w:shd w:val="clear" w:color="auto" w:fill="E7E7E8"/>
          </w:tcPr>
          <w:p>
            <w:pPr>
              <w:spacing w:after="0"/>
              <w:rPr>
                <w:sz w:val="18"/>
                <w:szCs w:val="18"/>
                <w:color w:val="auto"/>
              </w:rPr>
            </w:pPr>
          </w:p>
        </w:tc>
        <w:tc>
          <w:tcPr>
            <w:tcW w:w="120" w:type="dxa"/>
            <w:vAlign w:val="bottom"/>
            <w:tcBorders>
              <w:bottom w:val="single" w:sz="8" w:color="E7E7E8"/>
            </w:tcBorders>
            <w:shd w:val="clear" w:color="auto" w:fill="E7E7E8"/>
          </w:tcPr>
          <w:p>
            <w:pPr>
              <w:spacing w:after="0"/>
              <w:rPr>
                <w:sz w:val="18"/>
                <w:szCs w:val="18"/>
                <w:color w:val="auto"/>
              </w:rPr>
            </w:pPr>
          </w:p>
        </w:tc>
        <w:tc>
          <w:tcPr>
            <w:tcW w:w="340" w:type="dxa"/>
            <w:vAlign w:val="bottom"/>
            <w:tcBorders>
              <w:bottom w:val="single" w:sz="8" w:color="E7E7E8"/>
            </w:tcBorders>
            <w:shd w:val="clear" w:color="auto" w:fill="E7E7E8"/>
          </w:tcPr>
          <w:p>
            <w:pPr>
              <w:spacing w:after="0"/>
              <w:rPr>
                <w:sz w:val="18"/>
                <w:szCs w:val="18"/>
                <w:color w:val="auto"/>
              </w:rPr>
            </w:pPr>
          </w:p>
        </w:tc>
        <w:tc>
          <w:tcPr>
            <w:tcW w:w="114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320" w:type="dxa"/>
            <w:vAlign w:val="bottom"/>
            <w:tcBorders>
              <w:bottom w:val="single" w:sz="8" w:color="E7E7E8"/>
            </w:tcBorders>
            <w:shd w:val="clear" w:color="auto" w:fill="E7E7E8"/>
          </w:tcPr>
          <w:p>
            <w:pPr>
              <w:spacing w:after="0"/>
              <w:rPr>
                <w:sz w:val="18"/>
                <w:szCs w:val="18"/>
                <w:color w:val="auto"/>
              </w:rPr>
            </w:pPr>
          </w:p>
        </w:tc>
        <w:tc>
          <w:tcPr>
            <w:tcW w:w="116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340" w:type="dxa"/>
            <w:vAlign w:val="bottom"/>
            <w:tcBorders>
              <w:bottom w:val="single" w:sz="8" w:color="E7E7E8"/>
            </w:tcBorders>
            <w:shd w:val="clear" w:color="auto" w:fill="E7E7E8"/>
          </w:tcPr>
          <w:p>
            <w:pPr>
              <w:spacing w:after="0"/>
              <w:rPr>
                <w:sz w:val="18"/>
                <w:szCs w:val="18"/>
                <w:color w:val="auto"/>
              </w:rPr>
            </w:pPr>
          </w:p>
        </w:tc>
        <w:tc>
          <w:tcPr>
            <w:tcW w:w="1140" w:type="dxa"/>
            <w:vAlign w:val="bottom"/>
            <w:tcBorders>
              <w:bottom w:val="single" w:sz="8" w:color="E7E7E8"/>
            </w:tcBorders>
            <w:shd w:val="clear" w:color="auto" w:fill="E7E7E8"/>
          </w:tcPr>
          <w:p>
            <w:pPr>
              <w:spacing w:after="0"/>
              <w:rPr>
                <w:sz w:val="18"/>
                <w:szCs w:val="18"/>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(10,292)</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Comprehensive loss attributable to non-controlling interest</w:t>
            </w:r>
          </w:p>
        </w:tc>
        <w:tc>
          <w:tcPr>
            <w:tcW w:w="260" w:type="dxa"/>
            <w:vAlign w:val="bottom"/>
            <w:tcBorders>
              <w:bottom w:val="single" w:sz="8" w:color="E7E7E8"/>
            </w:tcBorders>
            <w:shd w:val="clear" w:color="auto" w:fill="E7E7E8"/>
          </w:tcPr>
          <w:p>
            <w:pPr>
              <w:spacing w:after="0"/>
              <w:rPr>
                <w:sz w:val="23"/>
                <w:szCs w:val="23"/>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24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7E7E8"/>
            </w:tcBorders>
            <w:shd w:val="clear" w:color="auto" w:fill="E7E7E8"/>
          </w:tcPr>
          <w:p>
            <w:pPr>
              <w:spacing w:after="0"/>
              <w:rPr>
                <w:sz w:val="23"/>
                <w:szCs w:val="23"/>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5160" w:type="dxa"/>
            <w:vAlign w:val="bottom"/>
          </w:tcPr>
          <w:p>
            <w:pPr>
              <w:ind w:left="40"/>
              <w:spacing w:after="0"/>
              <w:rPr>
                <w:sz w:val="20"/>
                <w:szCs w:val="20"/>
                <w:color w:val="auto"/>
              </w:rPr>
            </w:pPr>
            <w:r>
              <w:rPr>
                <w:rFonts w:ascii="Arial" w:cs="Arial" w:eastAsia="Arial" w:hAnsi="Arial"/>
                <w:sz w:val="16"/>
                <w:szCs w:val="16"/>
                <w:color w:val="auto"/>
              </w:rPr>
              <w:t>Total comprehensive loss attributable to WSC</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(8,062)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87" w:right="2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FFFFFF"/>
        </w:rPr>
        <w:t>Six Months Ended June 30,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184"/>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r>
      <w:tr>
        <w:trPr>
          <w:trHeight w:val="250"/>
        </w:trPr>
        <w:tc>
          <w:tcPr>
            <w:tcW w:w="790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Operating Activities: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(16,075)</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0"/>
        </w:trPr>
        <w:tc>
          <w:tcPr>
            <w:tcW w:w="790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Adjustments for non-cash items: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51,941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53,075</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2,276</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(4,237)</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Interest receivable capitalized into notes due from affiliates</w:t>
            </w:r>
          </w:p>
        </w:tc>
        <w:tc>
          <w:tcPr>
            <w:tcW w:w="400" w:type="dxa"/>
            <w:vAlign w:val="bottom"/>
            <w:shd w:val="clear" w:color="auto" w:fill="E7E7E8"/>
          </w:tcPr>
          <w:p>
            <w:pPr>
              <w:spacing w:after="0"/>
              <w:rPr>
                <w:sz w:val="19"/>
                <w:szCs w:val="19"/>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(3,915)</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7,326</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Share based compensation expense</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(5,073)</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Unrealized currency losses (gains)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(8,356)</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Trade receivables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(3,847)</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610</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Prepaid and other assets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(7,715)</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Accrued interest receivable</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(3,214)</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Accrued interest payable</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(1,524)</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14,099</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694</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00" w:type="dxa"/>
            <w:vAlign w:val="bottom"/>
            <w:tcBorders>
              <w:bottom w:val="single" w:sz="8" w:color="auto"/>
            </w:tcBorders>
            <w:shd w:val="clear" w:color="auto" w:fill="E7E7E8"/>
          </w:tcPr>
          <w:p>
            <w:pPr>
              <w:spacing w:after="0"/>
              <w:rPr>
                <w:sz w:val="17"/>
                <w:szCs w:val="17"/>
                <w:color w:val="auto"/>
              </w:rPr>
            </w:pPr>
          </w:p>
        </w:tc>
      </w:tr>
      <w:tr>
        <w:trPr>
          <w:trHeight w:val="217"/>
        </w:trPr>
        <w:tc>
          <w:tcPr>
            <w:tcW w:w="7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18,800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24,124</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0"/>
        </w:trPr>
        <w:tc>
          <w:tcPr>
            <w:tcW w:w="790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Investing Activities: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Acquisition of a business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Proceeds from sale of rental equipment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12,033</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Purchase of rental equipment and refurbishments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(64,763)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(54,223)</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Lending on notes due from affiliates</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(67,939)</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Repayments on notes due from affiliates</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2,151</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Proceeds from the sale of property, plant and equipment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Purchase of property, plant and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195"/>
        </w:trPr>
        <w:tc>
          <w:tcPr>
            <w:tcW w:w="720" w:type="dxa"/>
            <w:vAlign w:val="bottom"/>
            <w:tcBorders>
              <w:bottom w:val="single" w:sz="8" w:color="E7E7E8"/>
            </w:tcBorders>
          </w:tcPr>
          <w:p>
            <w:pPr>
              <w:spacing w:after="0"/>
              <w:rPr>
                <w:sz w:val="16"/>
                <w:szCs w:val="16"/>
                <w:color w:val="auto"/>
              </w:rPr>
            </w:pPr>
          </w:p>
        </w:tc>
        <w:tc>
          <w:tcPr>
            <w:tcW w:w="718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96"/>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Net cash used in investing activities</w:t>
            </w: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(77,671)</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(111,393)</w:t>
            </w:r>
          </w:p>
        </w:tc>
      </w:tr>
      <w:tr>
        <w:trPr>
          <w:trHeight w:val="216"/>
        </w:trPr>
        <w:tc>
          <w:tcPr>
            <w:tcW w:w="720" w:type="dxa"/>
            <w:vAlign w:val="bottom"/>
            <w:shd w:val="clear" w:color="auto" w:fill="E7E7E8"/>
          </w:tcPr>
          <w:p>
            <w:pPr>
              <w:spacing w:after="0"/>
              <w:rPr>
                <w:sz w:val="18"/>
                <w:szCs w:val="18"/>
                <w:color w:val="auto"/>
              </w:rPr>
            </w:pPr>
          </w:p>
        </w:tc>
        <w:tc>
          <w:tcPr>
            <w:tcW w:w="718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Receipts from borrowings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61,792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222,129</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Receipts on borrowings from notes due to affiliates</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75,000</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Payment of financing costs</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(10,919)</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Repayment of borrowings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(198,580)</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Principal payments on capital lease obligations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(785)</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00" w:type="dxa"/>
            <w:vAlign w:val="bottom"/>
            <w:tcBorders>
              <w:bottom w:val="single" w:sz="8" w:color="auto"/>
            </w:tcBorders>
            <w:shd w:val="clear" w:color="auto" w:fill="E7E7E8"/>
          </w:tcPr>
          <w:p>
            <w:pPr>
              <w:spacing w:after="0"/>
              <w:rPr>
                <w:sz w:val="17"/>
                <w:szCs w:val="17"/>
                <w:color w:val="auto"/>
              </w:rPr>
            </w:pPr>
          </w:p>
        </w:tc>
      </w:tr>
      <w:tr>
        <w:trPr>
          <w:trHeight w:val="217"/>
        </w:trPr>
        <w:tc>
          <w:tcPr>
            <w:tcW w:w="7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57,963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86,845</w:t>
            </w:r>
          </w:p>
        </w:tc>
      </w:tr>
      <w:tr>
        <w:trPr>
          <w:trHeight w:val="195"/>
        </w:trPr>
        <w:tc>
          <w:tcPr>
            <w:tcW w:w="720" w:type="dxa"/>
            <w:vAlign w:val="bottom"/>
            <w:tcBorders>
              <w:bottom w:val="single" w:sz="8" w:color="E7E7E8"/>
            </w:tcBorders>
          </w:tcPr>
          <w:p>
            <w:pPr>
              <w:spacing w:after="0"/>
              <w:rPr>
                <w:sz w:val="16"/>
                <w:szCs w:val="16"/>
                <w:color w:val="auto"/>
              </w:rPr>
            </w:pPr>
          </w:p>
        </w:tc>
        <w:tc>
          <w:tcPr>
            <w:tcW w:w="718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45"/>
        </w:trPr>
        <w:tc>
          <w:tcPr>
            <w:tcW w:w="720" w:type="dxa"/>
            <w:vAlign w:val="bottom"/>
            <w:shd w:val="clear" w:color="auto" w:fill="E7E7E8"/>
          </w:tcPr>
          <w:p>
            <w:pPr>
              <w:spacing w:after="0"/>
              <w:rPr>
                <w:sz w:val="12"/>
                <w:szCs w:val="12"/>
                <w:color w:val="auto"/>
              </w:rPr>
            </w:pPr>
          </w:p>
        </w:tc>
        <w:tc>
          <w:tcPr>
            <w:tcW w:w="7180" w:type="dxa"/>
            <w:vAlign w:val="bottom"/>
            <w:shd w:val="clear" w:color="auto" w:fill="E7E7E8"/>
          </w:tcPr>
          <w:p>
            <w:pPr>
              <w:spacing w:after="0"/>
              <w:rPr>
                <w:sz w:val="12"/>
                <w:szCs w:val="12"/>
                <w:color w:val="auto"/>
              </w:rPr>
            </w:pPr>
          </w:p>
        </w:tc>
        <w:tc>
          <w:tcPr>
            <w:tcW w:w="400" w:type="dxa"/>
            <w:vAlign w:val="bottom"/>
            <w:shd w:val="clear" w:color="auto" w:fill="E7E7E8"/>
          </w:tcPr>
          <w:p>
            <w:pPr>
              <w:spacing w:after="0"/>
              <w:rPr>
                <w:sz w:val="12"/>
                <w:szCs w:val="12"/>
                <w:color w:val="auto"/>
              </w:rPr>
            </w:pPr>
          </w:p>
        </w:tc>
        <w:tc>
          <w:tcPr>
            <w:tcW w:w="1320" w:type="dxa"/>
            <w:vAlign w:val="bottom"/>
            <w:shd w:val="clear" w:color="auto" w:fill="E7E7E8"/>
          </w:tcPr>
          <w:p>
            <w:pPr>
              <w:spacing w:after="0"/>
              <w:rPr>
                <w:sz w:val="12"/>
                <w:szCs w:val="12"/>
                <w:color w:val="auto"/>
              </w:rPr>
            </w:pPr>
          </w:p>
        </w:tc>
        <w:tc>
          <w:tcPr>
            <w:tcW w:w="100" w:type="dxa"/>
            <w:vAlign w:val="bottom"/>
            <w:shd w:val="clear" w:color="auto" w:fill="E7E7E8"/>
          </w:tcPr>
          <w:p>
            <w:pPr>
              <w:spacing w:after="0"/>
              <w:rPr>
                <w:sz w:val="12"/>
                <w:szCs w:val="12"/>
                <w:color w:val="auto"/>
              </w:rPr>
            </w:pPr>
          </w:p>
        </w:tc>
        <w:tc>
          <w:tcPr>
            <w:tcW w:w="400" w:type="dxa"/>
            <w:vAlign w:val="bottom"/>
            <w:shd w:val="clear" w:color="auto" w:fill="E7E7E8"/>
          </w:tcPr>
          <w:p>
            <w:pPr>
              <w:spacing w:after="0"/>
              <w:rPr>
                <w:sz w:val="12"/>
                <w:szCs w:val="12"/>
                <w:color w:val="auto"/>
              </w:rPr>
            </w:pPr>
          </w:p>
        </w:tc>
        <w:tc>
          <w:tcPr>
            <w:tcW w:w="1300" w:type="dxa"/>
            <w:vAlign w:val="bottom"/>
            <w:shd w:val="clear" w:color="auto" w:fill="E7E7E8"/>
          </w:tcPr>
          <w:p>
            <w:pPr>
              <w:spacing w:after="0"/>
              <w:rPr>
                <w:sz w:val="12"/>
                <w:szCs w:val="12"/>
                <w:color w:val="auto"/>
              </w:rPr>
            </w:pPr>
          </w:p>
        </w:tc>
      </w:tr>
    </w:tbl>
    <w:p>
      <w:pPr>
        <w:sectPr>
          <w:pgSz w:w="11900" w:h="16900" w:orient="portrait"/>
          <w:cols w:equalWidth="0" w:num="1">
            <w:col w:w="11420"/>
          </w:cols>
          <w:pgMar w:left="240" w:top="387"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Effect of exchange rate changes on cash and cash equivalents</w:t>
            </w:r>
          </w:p>
        </w:tc>
        <w:tc>
          <w:tcPr>
            <w:tcW w:w="600" w:type="dxa"/>
            <w:vAlign w:val="bottom"/>
            <w:shd w:val="clear" w:color="auto" w:fill="E7E7E8"/>
          </w:tcPr>
          <w:p>
            <w:pPr>
              <w:spacing w:after="0"/>
              <w:rPr>
                <w:sz w:val="16"/>
                <w:szCs w:val="16"/>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E7E7E8"/>
          </w:tcPr>
          <w:p>
            <w:pPr>
              <w:spacing w:after="0"/>
              <w:rPr>
                <w:sz w:val="16"/>
                <w:szCs w:val="16"/>
                <w:color w:val="auto"/>
              </w:rPr>
            </w:pPr>
          </w:p>
        </w:tc>
        <w:tc>
          <w:tcPr>
            <w:tcW w:w="600" w:type="dxa"/>
            <w:vAlign w:val="bottom"/>
            <w:shd w:val="clear" w:color="auto" w:fill="E7E7E8"/>
          </w:tcPr>
          <w:p>
            <w:pPr>
              <w:spacing w:after="0"/>
              <w:rPr>
                <w:sz w:val="16"/>
                <w:szCs w:val="16"/>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254</w:t>
            </w:r>
          </w:p>
        </w:tc>
      </w:tr>
      <w:tr>
        <w:trPr>
          <w:trHeight w:val="203"/>
        </w:trPr>
        <w:tc>
          <w:tcPr>
            <w:tcW w:w="7900" w:type="dxa"/>
            <w:vAlign w:val="bottom"/>
            <w:shd w:val="clear" w:color="auto" w:fill="E7E7E8"/>
          </w:tcPr>
          <w:p>
            <w:pPr>
              <w:spacing w:after="0"/>
              <w:rPr>
                <w:sz w:val="17"/>
                <w:szCs w:val="17"/>
                <w:color w:val="auto"/>
              </w:rPr>
            </w:pPr>
          </w:p>
        </w:tc>
        <w:tc>
          <w:tcPr>
            <w:tcW w:w="600" w:type="dxa"/>
            <w:vAlign w:val="bottom"/>
            <w:tcBorders>
              <w:bottom w:val="single" w:sz="8" w:color="auto"/>
            </w:tcBorders>
            <w:shd w:val="clear" w:color="auto" w:fill="E7E7E8"/>
          </w:tcPr>
          <w:p>
            <w:pPr>
              <w:spacing w:after="0"/>
              <w:rPr>
                <w:sz w:val="17"/>
                <w:szCs w:val="17"/>
                <w:color w:val="auto"/>
              </w:rPr>
            </w:pPr>
          </w:p>
        </w:tc>
        <w:tc>
          <w:tcPr>
            <w:tcW w:w="11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600" w:type="dxa"/>
            <w:vAlign w:val="bottom"/>
            <w:tcBorders>
              <w:bottom w:val="single" w:sz="8" w:color="auto"/>
            </w:tcBorders>
            <w:shd w:val="clear" w:color="auto" w:fill="E7E7E8"/>
          </w:tcPr>
          <w:p>
            <w:pPr>
              <w:spacing w:after="0"/>
              <w:rPr>
                <w:sz w:val="17"/>
                <w:szCs w:val="17"/>
                <w:color w:val="auto"/>
              </w:rPr>
            </w:pPr>
          </w:p>
        </w:tc>
        <w:tc>
          <w:tcPr>
            <w:tcW w:w="1100" w:type="dxa"/>
            <w:vAlign w:val="bottom"/>
            <w:tcBorders>
              <w:bottom w:val="single" w:sz="8" w:color="auto"/>
            </w:tcBorders>
            <w:shd w:val="clear" w:color="auto" w:fill="E7E7E8"/>
          </w:tcPr>
          <w:p>
            <w:pPr>
              <w:spacing w:after="0"/>
              <w:rPr>
                <w:sz w:val="17"/>
                <w:szCs w:val="17"/>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195"/>
        </w:trPr>
        <w:tc>
          <w:tcPr>
            <w:tcW w:w="7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Cash and cash equivalents at the beginning of the period</w:t>
            </w:r>
          </w:p>
        </w:tc>
        <w:tc>
          <w:tcPr>
            <w:tcW w:w="60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9,185</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6,162</w:t>
            </w:r>
          </w:p>
        </w:tc>
      </w:tr>
      <w:tr>
        <w:trPr>
          <w:trHeight w:val="203"/>
        </w:trPr>
        <w:tc>
          <w:tcPr>
            <w:tcW w:w="7900" w:type="dxa"/>
            <w:vAlign w:val="bottom"/>
            <w:shd w:val="clear" w:color="auto" w:fill="E7E7E8"/>
          </w:tcPr>
          <w:p>
            <w:pPr>
              <w:spacing w:after="0"/>
              <w:rPr>
                <w:sz w:val="17"/>
                <w:szCs w:val="17"/>
                <w:color w:val="auto"/>
              </w:rPr>
            </w:pPr>
          </w:p>
        </w:tc>
        <w:tc>
          <w:tcPr>
            <w:tcW w:w="600" w:type="dxa"/>
            <w:vAlign w:val="bottom"/>
            <w:tcBorders>
              <w:bottom w:val="single" w:sz="8" w:color="auto"/>
            </w:tcBorders>
            <w:shd w:val="clear" w:color="auto" w:fill="E7E7E8"/>
          </w:tcPr>
          <w:p>
            <w:pPr>
              <w:spacing w:after="0"/>
              <w:rPr>
                <w:sz w:val="17"/>
                <w:szCs w:val="17"/>
                <w:color w:val="auto"/>
              </w:rPr>
            </w:pPr>
          </w:p>
        </w:tc>
        <w:tc>
          <w:tcPr>
            <w:tcW w:w="11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600" w:type="dxa"/>
            <w:vAlign w:val="bottom"/>
            <w:tcBorders>
              <w:bottom w:val="single" w:sz="8" w:color="auto"/>
            </w:tcBorders>
            <w:shd w:val="clear" w:color="auto" w:fill="E7E7E8"/>
          </w:tcPr>
          <w:p>
            <w:pPr>
              <w:spacing w:after="0"/>
              <w:rPr>
                <w:sz w:val="17"/>
                <w:szCs w:val="17"/>
                <w:color w:val="auto"/>
              </w:rPr>
            </w:pPr>
          </w:p>
        </w:tc>
        <w:tc>
          <w:tcPr>
            <w:tcW w:w="1100" w:type="dxa"/>
            <w:vAlign w:val="bottom"/>
            <w:tcBorders>
              <w:bottom w:val="single" w:sz="8" w:color="auto"/>
            </w:tcBorders>
            <w:shd w:val="clear" w:color="auto" w:fill="E7E7E8"/>
          </w:tcPr>
          <w:p>
            <w:pPr>
              <w:spacing w:after="0"/>
              <w:rPr>
                <w:sz w:val="17"/>
                <w:szCs w:val="17"/>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8,181</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5,992</w:t>
            </w:r>
          </w:p>
        </w:tc>
      </w:tr>
      <w:tr>
        <w:trPr>
          <w:trHeight w:val="235"/>
        </w:trPr>
        <w:tc>
          <w:tcPr>
            <w:tcW w:w="7900" w:type="dxa"/>
            <w:vAlign w:val="bottom"/>
            <w:tcBorders>
              <w:bottom w:val="single" w:sz="8" w:color="E7E7E8"/>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64"/>
        </w:trPr>
        <w:tc>
          <w:tcPr>
            <w:tcW w:w="7900" w:type="dxa"/>
            <w:vAlign w:val="bottom"/>
            <w:shd w:val="clear" w:color="auto" w:fill="E7E7E8"/>
          </w:tcPr>
          <w:p>
            <w:pPr>
              <w:spacing w:after="0"/>
              <w:rPr>
                <w:sz w:val="22"/>
                <w:szCs w:val="22"/>
                <w:color w:val="auto"/>
              </w:rPr>
            </w:pPr>
          </w:p>
        </w:tc>
        <w:tc>
          <w:tcPr>
            <w:tcW w:w="600" w:type="dxa"/>
            <w:vAlign w:val="bottom"/>
            <w:shd w:val="clear" w:color="auto" w:fill="E7E7E8"/>
          </w:tcPr>
          <w:p>
            <w:pPr>
              <w:spacing w:after="0"/>
              <w:rPr>
                <w:sz w:val="22"/>
                <w:szCs w:val="22"/>
                <w:color w:val="auto"/>
              </w:rPr>
            </w:pPr>
          </w:p>
        </w:tc>
        <w:tc>
          <w:tcPr>
            <w:tcW w:w="11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60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16"/>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Interest paid</w:t>
            </w: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22,004</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50,404</w:t>
            </w:r>
          </w:p>
        </w:tc>
      </w:tr>
      <w:tr>
        <w:trPr>
          <w:trHeight w:val="203"/>
        </w:trPr>
        <w:tc>
          <w:tcPr>
            <w:tcW w:w="79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Income taxes paid, net of refunds received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195"/>
        </w:trPr>
        <w:tc>
          <w:tcPr>
            <w:tcW w:w="7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Capital expenditures accrued or payable</w:t>
            </w: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16,828</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8,992</w:t>
            </w:r>
          </w:p>
        </w:tc>
      </w:tr>
      <w:tr>
        <w:trPr>
          <w:trHeight w:val="203"/>
        </w:trPr>
        <w:tc>
          <w:tcPr>
            <w:tcW w:w="79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r>
    </w:tbl>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WillScot Corporation (“WSC” or along with its subsidiaries, the “Company”), is a leading provider of modular space and portable storage solutions in the United States (“US”), Canada and Mexico. The Company, whose securities are listed on The Nasdaq Capital Market, serves as the holding company for the Williams Scotsman family of companies. All of the Company’s assets and operations are owned through Williams Scotsman Holdings Corp. (“WS Holdings”). The Company operates and owns 90% of WS Holdings, and Sapphire Holding S.à r.l. (“Sapphire”), an affiliate of TDR Capital LLP (“TDR Capital”), owns the remaining 10%.</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was originally incorporated on June 26, 2015 under the name Double Eagle Acquisition Corporation (“Double Eagle”) as a Cayman Islands exempt, special purpose acquisition company, for the purpose of effecting a merger, share exchange, asset acquisition, share purchase, reorganization or similar business combination with one or more businesses. On November 29, 2017, the Company, through its subsidiary, WS Holdings, acquired all of the equity interest of Williams Scotsman International, Inc. (“WSII”), from Algeco Scotsman Global S.à r.l., (together with its subsidiaries, the “Algeco Group”). The Algeco Group is majority owned by an investment fund managed by TDR Capital. As part of the transaction (the “Business Combination”), the Company redomesticated and changed its name to WillScot Corporation. For further information on the organization of the Company, refer to the consolidated financial statements and notes included in our Annual Report on Form 10-K for the year ended December 31, 2017.</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WSII engages in the leasing and sale of mobile offices, modular buildings and storage products and their delivery and installation throughout North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America.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condensed consolidated financial statements contain all adjustments, which are of a normal and recurring nature, necessary to present fairly the financial position and the results of operations for the interim periods presented.</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consolidated operations for the three and six months ended June 30, 2018 are not necessarily indicative of the results to be expected for the full year. For further information, refer to the consolidated financial statements and notes included in our Annual Report on Form 10-K for the year ended December 31,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condensed consolidated financial statements comprise the financial statements of the Company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 The Business Combination was accounted for as a reverse recapitalization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Although WSC was the indirect acquirer of WSII for legal purposes, WSII was considered the acquirer for accounting and financial reporting purposes.</w:t>
      </w:r>
    </w:p>
    <w:p>
      <w:pPr>
        <w:spacing w:after="0" w:line="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As a result of WSII being the accounting acquirer, the financial reports filed with the US Securities and Exchange Commission (the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the Company and WSII following the Business Combination on November 29, 2017; (iii) the assets and liabilities of WSII at their historical cost; and (iv) WSC’s equity structure for all periods presented. The recapitalization of the number of shares of common stock attributable to the purchase of WSII in connection with the Business Combination is reflected retroactively to the earliest period presented and will be utilized for calculating earnings per share in all prior periods presented. No step-up basis of intangible assets or goodwill was recorded in the Business Combination transaction consistent with the treatment of the transaction as a reverse capitalization of WSII. WSII’s remote accommodations business, which consisted of Target Logistics Management LLC (“Target Logistics”) and its subsidiaries and Chard Camp Catering Services (“Chard,” and together with Target Logistics, the “Remote Accommodations Business”), was transferred to other Algeco Group members on November 28, 2017 in a transaction under common control and was not included as part of the Business Combination. The operating results of the Remote Accommodations Business, net of tax, for the three and six months ended June 30, 2017 have been reported as discontinued operations in the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8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a company that is not an issuer (as defined under section 2(a) of the Sarbanes-Oxley Act of 2002) is required to comply with such standards. As such, compliance dates included below pertain to non-issuers, and as permitted, early adoption dates for non-issuers are indicated.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prescribes a single comprehensive model for entities to use in the accounting for revenue arising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new guidance will supersede virtually all existing revenue guidance under GAAP and is effective for annual reporting periods beginning after December 15, 2018. Early adoption for non-public entities is permitted starting with annual reporting periods beginning after December 15, 2016.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 In April and May 2016, the FASB also issued clarifying updates to the new standard specifically to address certain core principles including the identification of performance obligations, licensing guidance, the assessment of the collectability criterion, the presentation of taxes collected from customers, non-cash considerations, contract modifications and completed contracts at transition.</w:t>
      </w:r>
    </w:p>
    <w:p>
      <w:pPr>
        <w:spacing w:after="0" w:line="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currently finalizing its evaluation of the impact that the updated guidance will have on the Company’s financial statements and related disclosures. As part of the evaluation process, the Company is holding regular meetings with key stakeholders from across the organization to discuss the impact of the standard on its existing contracts. The Company plans to adopt Topic 606 using the modified retrospective transition approach.</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utilizing a bottom-up approach to analyze the impact of the standard on its portfolio of contracts by reviewing the Company’s current accounting policies and practices to identify potential differences that would result from applying the requirements of the new standard to the Company’s existing revenue contracts. As part of its implementation project, the Company has prepared analysis with respect to revenue stream scoping, performed contract reviews, developed an preliminary gap analysis and evaluated the revised disclosure requirements. The Company intends to determine the preliminary impact on the Company’s financial statements during the third quarter of 2018.</w:t>
      </w:r>
    </w:p>
    <w:p>
      <w:pPr>
        <w:spacing w:after="0" w:line="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requires lessees to recognize a right-of-use asset and a lease liability for virtually all of their leases (other than leases that meet the definition of a short-term lease).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Operating leases will result in straight-line expense (similar to current accounting by lessees for operating leases under ASC 840) while finance leases will result in a front-loaded expense pattern (similar to current accounting by lessees for capital leases under ASC 840). While the new standard maintains similar accounting for lessors as under ASC 840, the new standard reflects updates to, among other things, align with certain changes to the lessee model. The new standard will be effective for fiscal years beginning after December 15, 2019, and interim periods within fiscal years beginning after December 15, 2020. Early adoption is permitted for all entities. The guidance includes a number of practical expedients that the Company may elect to apply. The impact of adopting Topic 842 will depend on the Company’s lease portfolio as of the adoption date. The Company will continue to evaluate the impacts of this guidance on its financial position, results of operations, and cash flows. The Company is planning to update its systems, processes and internal controls to meet the new reporting and disclosure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During December 2017, shortly after the Tax Cuts and Jobs Act (the “Tax Act”) was enacted, the SEC issued Staff Accounting Bulletin No. 118, </w:t>
      </w:r>
      <w:r>
        <w:rPr>
          <w:rFonts w:ascii="Arial" w:cs="Arial" w:eastAsia="Arial" w:hAnsi="Arial"/>
          <w:sz w:val="16"/>
          <w:szCs w:val="16"/>
          <w:i w:val="1"/>
          <w:iCs w:val="1"/>
          <w:color w:val="auto"/>
        </w:rPr>
        <w:t xml:space="preserve">Income Tax Accounting Implications of the Tax Cuts and Jobs Act </w:t>
      </w:r>
      <w:r>
        <w:rPr>
          <w:rFonts w:ascii="Arial" w:cs="Arial" w:eastAsia="Arial" w:hAnsi="Arial"/>
          <w:sz w:val="16"/>
          <w:szCs w:val="16"/>
          <w:color w:val="auto"/>
        </w:rPr>
        <w:t>(“SAB 118”) which provides guidance on accounting for the Tax Act’s impact. SAB 118</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measurement period, which in no case should extend beyond one year from the Tax Act enactment date, during which a company acting in good faith may complete the accounting for the impacts of the Tax Act under ASC Topic 740. Per SAB 118, companies must reflect the income tax effects of the Tax Act in the reporting period in which the accounting under ASC Topic 740 is complete. To the extent the accounting for certain income tax effects of the Tax Act is incomplete, companies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it should continue to apply ASC 740 based on the provisions of the tax laws that were in effect immediately prior to the Tax Act being enacted. If a company is unable to provide a reasonable estimate of the impacts of the Tax Act in a reporting period, a provisional amount must be recorded in the first reporting period in which a reasonable estimate can be determined. As a result of the Tax Act, in 2017, the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0" w:name="page11"/>
    <w:bookmarkEnd w:id="10"/>
    <w:p>
      <w:pPr>
        <w:jc w:val="both"/>
        <w:spacing w:after="0" w:line="249" w:lineRule="auto"/>
        <w:rPr>
          <w:sz w:val="20"/>
          <w:szCs w:val="20"/>
          <w:color w:val="auto"/>
        </w:rPr>
      </w:pPr>
      <w:r>
        <w:rPr>
          <w:rFonts w:ascii="Arial" w:cs="Arial" w:eastAsia="Arial" w:hAnsi="Arial"/>
          <w:sz w:val="16"/>
          <w:szCs w:val="16"/>
          <w:color w:val="auto"/>
        </w:rPr>
        <w:t>remeasured its net deferred tax liabilities and recognized a provisional net benefit of $28.1 million. In addition, based on information currently available, the Company recorded a provisional income tax expense of $2.4 million in 2017 related to the deemed repatriation of foreign earnings. The Company recorded a minor adjustment in 2018 to the provisional amounts recorded in its financial statements for the year ended December 31, 2017 (see Note 8) and continues to evaluate the provisions of the Tax Act including guidance from the Department of Treasury and Internal Revenue Service. Additionally, the Company expects to file its US tax return for 2017 during the fourth quarter of 2018 and any changes to the estimates used to the final tax positions for temporary differences, earnings and profits will result in adjustments of the remeasurement amounts for the Tax Act recorded as of December 31, 2017.</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continues to evaluate the impact of the Global Low Taxed Intangible Income (“GILTI”) provision of the Tax Act. The Company is required to make an accounting policy election of either (1) treating GILTI as a current period expense when incurred or (2) factoring such amounts into the Company’s measurement of its deferred taxes. The Company has not completed its analysis and has not made a determination of its accounting policy for GILTI.</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color w:val="008A5F"/>
        </w:rPr>
        <w:t>NOTE 2 -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Acquisition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Tyson provided modular space rental services in the Midwest, primarily in Indiana, Illinois and Missouri. The Company expects to realize synergies and cost savings related to this acquisition as a result of purchasing and procurement economies of scale and general and administrative expense savings, particularly with respect to the consolidation of corporate related functions and elimination of redundancies. The acquisition date fair value of the consideration transferred consisted of $24.0 million in cash consideration, net of cash acquired. The transaction was fully funded by borrowings under the ABL Facility (defined in Note 6).</w:t>
      </w: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three months ended June 30, 2018, the Company recorded adjustments to the Tyson opening balance sheet, which increased rental fleet by $0.6 million and accrued liabilities by $0.2 million. This increase resulted in an equal increase in goodwill as detailed in Note 5. Increases or decreases in the estimated fair values of the net assets acquired may impact the Company’s statements of operations in future periods. The Company expects that the preliminary values assigned to the rental fleet, intangible assets, deferred tax assets and other accrued tax liabilities will be finalized during the third quarter of 2018.</w:t>
      </w:r>
    </w:p>
    <w:p>
      <w:pPr>
        <w:spacing w:after="0" w:line="26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Tyson results were immaterial to the condensed consolidated statements of operations for the three and six months ended June 30, 2018 and as a result, the Company is not presenting pro-forma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Acquisition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20, 2017, WSII acquired 100% of the issued and outstanding ownership interests of Acton Mobile Holdings LLC (“Acton”) for a cash purchase price of $237.1 million, subject to certain adjustments. Acton owns all of the issued and outstanding membership interests of New Acton Mobile Industries, which provided modular space and portable storage rental services across the US. WSII funded the acquisition with cash on hand and borrowings under the ABL Facility (defined in Note 6). The Company incurred $4.8 million and $7.4 million in integration fees associated the Acton acquisition within selling, general, and administrative expenses (“SG&amp;A”) for the three and six months ended June 30, 2018, respectively.</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Through June 2018, the Company recorded adjustments to the Acton opening balance sheet, which increased accrued liabilities by $2.0 million due to further evaluation of unindemnified liabilities. This increase resulted in an equal increase in goodwill as detailed in Note 5. As a result of the timing of the transaction, the purchase price allocation for the rental equipment, intangible assets, property, plant and equipment, deferred tax assets, receivables, and other accrued liabilities acquired and assumed are based on preliminary valuations and are subject to change as the Company obtains additional information during the acquisition measurement period. Increases or decreases in the estimated fair values of the net assets acquired may impact the Company’s statements of operations in future periods. The Company expects that the preliminary values assigned to the rental equipment, intangible assets, property, plant and equipment, deferred tax assets, and other accrued tax liabilities will be finalized during the one-year measurement period following the acquisition date.</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pro-forma information below has been prepared using the purchase method of accounting, giving effect to the Acton acquisition as if it had been completed on January 1, 2017 (the “pro-forma acquisition date”). The pro-forma information is not necessarily indicative of the Company’s results of operations had the acquisition been completed on the above date, nor is it necessarily indicative of the Company’s future results. The pro-forma information does not reflect any cost savings from operating efficiencies or synergies that could result from the acquisition, and also does not reflect additional revenue opportunities following the acquisition.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84" w:right="239" w:bottom="1440" w:gutter="0" w:footer="0" w:header="0"/>
        </w:sectPr>
      </w:pPr>
    </w:p>
    <w:bookmarkStart w:id="11" w:name="page12"/>
    <w:bookmarkEnd w:id="11"/>
    <w:p>
      <w:pPr>
        <w:ind w:right="20" w:firstLine="648"/>
        <w:spacing w:after="0" w:line="260" w:lineRule="auto"/>
        <w:rPr>
          <w:sz w:val="20"/>
          <w:szCs w:val="20"/>
          <w:color w:val="auto"/>
        </w:rPr>
      </w:pPr>
      <w:r>
        <w:rPr>
          <w:rFonts w:ascii="Arial" w:cs="Arial" w:eastAsia="Arial" w:hAnsi="Arial"/>
          <w:sz w:val="16"/>
          <w:szCs w:val="16"/>
          <w:color w:val="auto"/>
        </w:rPr>
        <w:t>The table below presents unaudited pro-forma consolidated statements of operations information as if Acton had been included in the Company’s consolidated results 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WSC historic revenues (a)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Acton historic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Pro-forma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WSC historic pretax loss (a)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Acton historic pretax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Pro-forma pretax loss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Pro-forma adjustments to combined pretax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shd w:val="clear" w:color="auto" w:fill="E7E7E8"/>
        </w:rPr>
        <w:t>Impact of fair value mark-ups/useful life changes on depreciation (b)</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Intangible asset amortization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shd w:val="clear" w:color="auto" w:fill="E7E7E8"/>
        </w:rPr>
        <w:t>Interest expense (d)</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Elimination of historic Acton interest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Pro-forma pretax loss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Pro-forma loss from continuing operations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Pro-forma net loss</w:t>
      </w:r>
    </w:p>
    <w:p>
      <w:pPr>
        <w:spacing w:after="0" w:line="238"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w:t>
      </w:r>
    </w:p>
    <w:p>
      <w:pPr>
        <w:spacing w:after="0" w:line="28" w:lineRule="exact"/>
        <w:rPr>
          <w:rFonts w:ascii="Arial" w:cs="Arial" w:eastAsia="Arial" w:hAnsi="Arial"/>
          <w:sz w:val="14"/>
          <w:szCs w:val="14"/>
          <w:color w:val="auto"/>
        </w:rPr>
      </w:pPr>
    </w:p>
    <w:p>
      <w:pPr>
        <w:jc w:val="both"/>
        <w:ind w:left="660" w:right="140" w:hanging="4"/>
        <w:spacing w:after="0" w:line="281" w:lineRule="auto"/>
        <w:tabs>
          <w:tab w:leader="none" w:pos="876"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acquisition. The useful lives assigned to such equipment did not change significantly from the useful lives used by Acton.</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Amortization of the trade name acquired in Acton acquisition.</w:t>
      </w:r>
    </w:p>
    <w:p>
      <w:pPr>
        <w:spacing w:after="0" w:line="28" w:lineRule="exact"/>
        <w:rPr>
          <w:rFonts w:ascii="Arial" w:cs="Arial" w:eastAsia="Arial" w:hAnsi="Arial"/>
          <w:sz w:val="14"/>
          <w:szCs w:val="14"/>
          <w:color w:val="auto"/>
        </w:rPr>
      </w:pPr>
    </w:p>
    <w:p>
      <w:pPr>
        <w:ind w:left="660" w:hanging="4"/>
        <w:spacing w:after="0" w:line="281" w:lineRule="auto"/>
        <w:tabs>
          <w:tab w:leader="none" w:pos="87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As of June 30, 2018, the weighted-average interest rate of ABL borrowings was 4.58%.</w:t>
      </w:r>
    </w:p>
    <w:p>
      <w:pPr>
        <w:spacing w:after="0" w:line="1"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on Acton historic debt was eliminated.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Six Months Ended</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June 30, 2017</w:t>
      </w:r>
    </w:p>
    <w:p>
      <w:pPr>
        <w:spacing w:after="0" w:line="59" w:lineRule="exact"/>
        <w:rPr>
          <w:sz w:val="20"/>
          <w:szCs w:val="20"/>
          <w:color w:val="auto"/>
        </w:rPr>
      </w:pPr>
    </w:p>
    <w:p>
      <w:pPr>
        <w:ind w:left="980" w:hanging="975"/>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209,398</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47,388</w:t>
      </w:r>
    </w:p>
    <w:p>
      <w:pPr>
        <w:spacing w:after="0" w:line="73" w:lineRule="exact"/>
        <w:rPr>
          <w:sz w:val="20"/>
          <w:szCs w:val="20"/>
          <w:color w:val="auto"/>
        </w:rPr>
      </w:pPr>
    </w:p>
    <w:p>
      <w:pPr>
        <w:ind w:left="980" w:hanging="975"/>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256,786</w:t>
      </w:r>
    </w:p>
    <w:p>
      <w:pPr>
        <w:spacing w:after="0" w:line="275" w:lineRule="exact"/>
        <w:rPr>
          <w:sz w:val="20"/>
          <w:szCs w:val="20"/>
          <w:color w:val="auto"/>
        </w:rPr>
      </w:pPr>
    </w:p>
    <w:p>
      <w:pPr>
        <w:ind w:left="1020" w:hanging="101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(32,258)</w:t>
      </w:r>
    </w:p>
    <w:p>
      <w:pPr>
        <w:spacing w:after="0" w:line="59"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(275)</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(32,533)</w:t>
      </w:r>
    </w:p>
    <w:p>
      <w:pPr>
        <w:spacing w:after="0" w:line="32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(1,272)</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(354)</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(5,431)</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2,514</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(37,076)</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(11,652)</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(25,424)</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6,045</w:t>
      </w:r>
    </w:p>
    <w:p>
      <w:pPr>
        <w:spacing w:after="0" w:line="73" w:lineRule="exact"/>
        <w:rPr>
          <w:sz w:val="20"/>
          <w:szCs w:val="20"/>
          <w:color w:val="auto"/>
        </w:rPr>
      </w:pPr>
    </w:p>
    <w:p>
      <w:pPr>
        <w:ind w:left="1020" w:hanging="1015"/>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(19,379)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1080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560" w:lineRule="exact"/>
        <w:rPr>
          <w:sz w:val="20"/>
          <w:szCs w:val="20"/>
          <w:color w:val="auto"/>
        </w:rPr>
      </w:pPr>
    </w:p>
    <w:p>
      <w:pPr>
        <w:sectPr>
          <w:pgSz w:w="11900" w:h="16838" w:orient="portrait"/>
          <w:cols w:equalWidth="0" w:num="2">
            <w:col w:w="9140" w:space="600"/>
            <w:col w:w="1680"/>
          </w:cols>
          <w:pgMar w:left="240" w:top="38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21, 2018, the Company and its newly-formed acquisition subsidiary, Mason Merger Sub, Inc. (“Merger Sub”), entered into an Agreement and Plan of Merger (the “Merger Agreement”) with Modular Space Holdings Space, Inc. (“ModSpace”), a privately-owned provider of office trailers, portable storage units and modular buildings, and NANOMA LLC, solely in its capacity as the representative of the Holders (as defined therein), pursuant to which Merger Sub will merge with and into ModSpace with ModSpace as the surviving entity and continuing as an indirect subsidiary of the Company (the “ModSpace Acquisition”). Subject to potential adjustment under the Merger Agreement, the aggregate consideration payable to the sellers under the Merger Agreement consists of (i) $1,063,750,000 in cash, (ii) 6,458,500 shares of the Company’s Class A common stock and (iii) warrants to purchase an aggregate of 10,000,000 shares of the Company’s Class A common stock at an exercise price of $15.50 per share.</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ModSpace sellers who receive Class A common shares and warrants will receive customary registration rights, and will be subject to a six-month lock-up arrangement, under a registration rights agreement to be entered into on the closing date. The warrants issuable to the sellers are not redeemable and will expire on November 29, 2022.</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closing of the merger is subject to certain closing conditions, including a Canadian regulatory approval; the continuing accuracy of each party’s representations and warranties; the performance of certain obligations; and, the satisfaction of other customary conditions. The Merger Agreement may be terminated by the Company or ModSpace under certain circumstances. If the ModSpace Acquisition does not close due to the occurrence of certain regulatory events, we may be required to pay to ModSpace a $35.0 million termination fee.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incurred $4.1 million in transaction costs related to the ModSpace Acquisition for the three and six months ended June 30,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3"/>
          <w:szCs w:val="23"/>
          <w:color w:val="008A5F"/>
        </w:rPr>
        <w:t>NOTE 3 - Discontinued Operations</w:t>
      </w:r>
    </w:p>
    <w:p>
      <w:pPr>
        <w:spacing w:after="0" w:line="8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WSII’s Remote Accommodations Business was transferred to another entity included in the Algeco Group prior to the Business Combination. WSII does not expect to have continuing involvement in the Remote Accommodations Business going forward. Historically, the Remote Accommodations Business leased rental equipment from WSII. After the Business Combination, several lease agreements for rental equipment still exist between the Company and Target Logistics. The lease revenue associated with these agreements is disclosed in Note 15.</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 transactions discussed above, the Remote Accommodations segment has been reported as discontinued operations in the condensed consolidated statements of operations for the three and six months ended June 30,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discontinued operations, net of tax, for the three and six months ended June 30, 2017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82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Three Months Ended</w:t>
            </w:r>
          </w:p>
        </w:tc>
        <w:tc>
          <w:tcPr>
            <w:tcW w:w="140" w:type="dxa"/>
            <w:vAlign w:val="bottom"/>
            <w:shd w:val="clear" w:color="auto" w:fill="008A5F"/>
          </w:tcPr>
          <w:p>
            <w:pPr>
              <w:spacing w:after="0"/>
              <w:rPr>
                <w:sz w:val="17"/>
                <w:szCs w:val="17"/>
                <w:color w:val="auto"/>
              </w:rPr>
            </w:pPr>
          </w:p>
        </w:tc>
        <w:tc>
          <w:tcPr>
            <w:tcW w:w="156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Six Months Ended</w:t>
            </w:r>
          </w:p>
        </w:tc>
      </w:tr>
      <w:tr>
        <w:trPr>
          <w:trHeight w:val="234"/>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jc w:val="center"/>
              <w:ind w:right="340"/>
              <w:spacing w:after="0"/>
              <w:rPr>
                <w:sz w:val="20"/>
                <w:szCs w:val="20"/>
                <w:color w:val="auto"/>
              </w:rPr>
            </w:pPr>
            <w:r>
              <w:rPr>
                <w:rFonts w:ascii="Arial" w:cs="Arial" w:eastAsia="Arial" w:hAnsi="Arial"/>
                <w:sz w:val="16"/>
                <w:szCs w:val="16"/>
                <w:b w:val="1"/>
                <w:bCs w:val="1"/>
                <w:color w:val="FFFFFF"/>
              </w:rPr>
              <w:t>June 30, 2017</w:t>
            </w:r>
          </w:p>
        </w:tc>
        <w:tc>
          <w:tcPr>
            <w:tcW w:w="1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June 30, 2017</w:t>
            </w: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Remote accommodations revenue</w:t>
            </w:r>
          </w:p>
        </w:tc>
        <w:tc>
          <w:tcPr>
            <w:tcW w:w="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31,487</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58,565</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Remote accommodations costs of leasing and services</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24,738</w:t>
            </w:r>
          </w:p>
        </w:tc>
      </w:tr>
      <w:tr>
        <w:trPr>
          <w:trHeight w:val="47"/>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6,119</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12,542</w:t>
            </w:r>
          </w:p>
        </w:tc>
      </w:tr>
      <w:tr>
        <w:trPr>
          <w:trHeight w:val="217"/>
        </w:trPr>
        <w:tc>
          <w:tcPr>
            <w:tcW w:w="790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21,285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3,499</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6,531</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2,508</w:t>
            </w:r>
          </w:p>
        </w:tc>
      </w:tr>
      <w:tr>
        <w:trPr>
          <w:trHeight w:val="47"/>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770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7"/>
        </w:trPr>
        <w:tc>
          <w:tcPr>
            <w:tcW w:w="790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Operating profit</w:t>
            </w:r>
          </w:p>
        </w:tc>
        <w:tc>
          <w:tcPr>
            <w:tcW w:w="22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7,106</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11,516</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1,420</w:t>
            </w:r>
          </w:p>
        </w:tc>
      </w:tr>
      <w:tr>
        <w:trPr>
          <w:trHeight w:val="47"/>
        </w:trPr>
        <w:tc>
          <w:tcPr>
            <w:tcW w:w="790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Income from discontinued operations, before income tax</w:t>
            </w:r>
          </w:p>
        </w:tc>
        <w:tc>
          <w:tcPr>
            <w:tcW w:w="22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6,367</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10,096</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4,051</w:t>
            </w:r>
          </w:p>
        </w:tc>
      </w:tr>
      <w:tr>
        <w:trPr>
          <w:trHeight w:val="47"/>
        </w:trPr>
        <w:tc>
          <w:tcPr>
            <w:tcW w:w="790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6,045</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and costs related to the Remote Accommodations Business for the three and six months ended June 30, 2017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82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Three Months Ended</w:t>
            </w:r>
          </w:p>
        </w:tc>
        <w:tc>
          <w:tcPr>
            <w:tcW w:w="140" w:type="dxa"/>
            <w:vAlign w:val="bottom"/>
            <w:shd w:val="clear" w:color="auto" w:fill="008A5F"/>
          </w:tcPr>
          <w:p>
            <w:pPr>
              <w:spacing w:after="0"/>
              <w:rPr>
                <w:sz w:val="17"/>
                <w:szCs w:val="17"/>
                <w:color w:val="auto"/>
              </w:rPr>
            </w:pPr>
          </w:p>
        </w:tc>
        <w:tc>
          <w:tcPr>
            <w:tcW w:w="156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Six Months Ended</w:t>
            </w:r>
          </w:p>
        </w:tc>
      </w:tr>
      <w:tr>
        <w:trPr>
          <w:trHeight w:val="234"/>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jc w:val="center"/>
              <w:ind w:right="340"/>
              <w:spacing w:after="0"/>
              <w:rPr>
                <w:sz w:val="20"/>
                <w:szCs w:val="20"/>
                <w:color w:val="auto"/>
              </w:rPr>
            </w:pPr>
            <w:r>
              <w:rPr>
                <w:rFonts w:ascii="Arial" w:cs="Arial" w:eastAsia="Arial" w:hAnsi="Arial"/>
                <w:sz w:val="16"/>
                <w:szCs w:val="16"/>
                <w:b w:val="1"/>
                <w:bCs w:val="1"/>
                <w:color w:val="FFFFFF"/>
              </w:rPr>
              <w:t>June 30, 2017</w:t>
            </w:r>
          </w:p>
        </w:tc>
        <w:tc>
          <w:tcPr>
            <w:tcW w:w="1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June 30, 2017</w:t>
            </w: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Remote accommodations revenue:</w:t>
            </w:r>
          </w:p>
        </w:tc>
        <w:tc>
          <w:tcPr>
            <w:tcW w:w="22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56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Lease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14,613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28,577</w:t>
            </w:r>
          </w:p>
        </w:tc>
      </w:tr>
      <w:tr>
        <w:trPr>
          <w:trHeight w:val="47"/>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Service revenue</w:t>
            </w:r>
          </w:p>
        </w:tc>
        <w:tc>
          <w:tcPr>
            <w:tcW w:w="22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16,874</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29,988</w:t>
            </w:r>
          </w:p>
        </w:tc>
      </w:tr>
      <w:tr>
        <w:trPr>
          <w:trHeight w:val="270"/>
        </w:trPr>
        <w:tc>
          <w:tcPr>
            <w:tcW w:w="790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Total remote accommodations revenue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31,487</w:t>
            </w:r>
          </w:p>
        </w:tc>
        <w:tc>
          <w:tcPr>
            <w:tcW w:w="100" w:type="dxa"/>
            <w:vAlign w:val="bottom"/>
            <w:tcBorders>
              <w:bottom w:val="single" w:sz="8" w:color="E7E7E8"/>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58,565</w:t>
            </w:r>
          </w:p>
        </w:tc>
      </w:tr>
      <w:tr>
        <w:trPr>
          <w:trHeight w:val="149"/>
        </w:trPr>
        <w:tc>
          <w:tcPr>
            <w:tcW w:w="790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1500" w:type="dxa"/>
            <w:vAlign w:val="bottom"/>
            <w:shd w:val="clear" w:color="auto" w:fill="E7E7E8"/>
          </w:tcPr>
          <w:p>
            <w:pPr>
              <w:spacing w:after="0"/>
              <w:rPr>
                <w:sz w:val="12"/>
                <w:szCs w:val="12"/>
                <w:color w:val="auto"/>
              </w:rPr>
            </w:pPr>
          </w:p>
        </w:tc>
        <w:tc>
          <w:tcPr>
            <w:tcW w:w="100" w:type="dxa"/>
            <w:vAlign w:val="bottom"/>
            <w:shd w:val="clear" w:color="auto" w:fill="E7E7E8"/>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1560" w:type="dxa"/>
            <w:vAlign w:val="bottom"/>
            <w:shd w:val="clear" w:color="auto" w:fill="E7E7E8"/>
          </w:tcPr>
          <w:p>
            <w:pPr>
              <w:spacing w:after="0"/>
              <w:rPr>
                <w:sz w:val="12"/>
                <w:szCs w:val="1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Remote accommodation costs: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Cost of leases</w:t>
            </w:r>
          </w:p>
        </w:tc>
        <w:tc>
          <w:tcPr>
            <w:tcW w:w="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4,200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20,538</w:t>
            </w:r>
          </w:p>
        </w:tc>
      </w:tr>
      <w:tr>
        <w:trPr>
          <w:trHeight w:val="47"/>
        </w:trPr>
        <w:tc>
          <w:tcPr>
            <w:tcW w:w="790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remote accommodations costs</w:t>
            </w: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13,163</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24,738</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Cash flows from the Company’s discontinued operations are included in the condensed consolidated statements of cash flows. The significant cash flow items from discontinued operations for the six months ended June 30, 2017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6040" w:type="dxa"/>
            <w:vAlign w:val="bottom"/>
            <w:shd w:val="clear" w:color="auto" w:fill="008A5F"/>
          </w:tcPr>
          <w:p>
            <w:pPr>
              <w:spacing w:after="0"/>
              <w:rPr>
                <w:sz w:val="21"/>
                <w:szCs w:val="21"/>
                <w:color w:val="auto"/>
              </w:rPr>
            </w:pPr>
          </w:p>
        </w:tc>
        <w:tc>
          <w:tcPr>
            <w:tcW w:w="148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June 30, 2017</w:t>
            </w:r>
          </w:p>
        </w:tc>
      </w:tr>
      <w:tr>
        <w:trPr>
          <w:trHeight w:val="243"/>
        </w:trPr>
        <w:tc>
          <w:tcPr>
            <w:tcW w:w="3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and amortization</w:t>
            </w:r>
          </w:p>
        </w:tc>
        <w:tc>
          <w:tcPr>
            <w:tcW w:w="6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15,050</w:t>
            </w: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6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4,213</w:t>
            </w:r>
          </w:p>
        </w:tc>
      </w:tr>
      <w:tr>
        <w:trPr>
          <w:trHeight w:val="540"/>
        </w:trPr>
        <w:tc>
          <w:tcPr>
            <w:tcW w:w="3900" w:type="dxa"/>
            <w:vAlign w:val="bottom"/>
          </w:tcPr>
          <w:p>
            <w:pPr>
              <w:spacing w:after="0"/>
              <w:rPr>
                <w:sz w:val="24"/>
                <w:szCs w:val="24"/>
                <w:color w:val="auto"/>
              </w:rPr>
            </w:pPr>
          </w:p>
        </w:tc>
        <w:tc>
          <w:tcPr>
            <w:tcW w:w="6040" w:type="dxa"/>
            <w:vAlign w:val="bottom"/>
          </w:tcPr>
          <w:p>
            <w:pPr>
              <w:jc w:val="right"/>
              <w:ind w:right="4059"/>
              <w:spacing w:after="0"/>
              <w:rPr>
                <w:sz w:val="20"/>
                <w:szCs w:val="20"/>
                <w:color w:val="auto"/>
              </w:rPr>
            </w:pPr>
            <w:r>
              <w:rPr>
                <w:rFonts w:ascii="Arial" w:cs="Arial" w:eastAsia="Arial" w:hAnsi="Arial"/>
                <w:sz w:val="16"/>
                <w:szCs w:val="16"/>
                <w:color w:val="auto"/>
              </w:rPr>
              <w:t>11</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13" w:name="page14"/>
    <w:bookmarkEnd w:id="13"/>
    <w:p>
      <w:pPr>
        <w:spacing w:after="0"/>
        <w:rPr>
          <w:sz w:val="20"/>
          <w:szCs w:val="20"/>
          <w:color w:val="auto"/>
        </w:rPr>
      </w:pPr>
      <w:r>
        <w:rPr>
          <w:rFonts w:ascii="Arial" w:cs="Arial" w:eastAsia="Arial" w:hAnsi="Arial"/>
          <w:sz w:val="23"/>
          <w:szCs w:val="23"/>
          <w:color w:val="008A5F"/>
        </w:rPr>
        <w:t>NOTE 4 - Rental Equipment, net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Modular units and portable storage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Value added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rental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FFFFFF"/>
              </w:rPr>
              <w:t>June 30, 2018</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FFFFFF"/>
                <w:w w:val="99"/>
              </w:rPr>
              <w:t>December 31, 2017</w:t>
            </w:r>
          </w:p>
        </w:tc>
      </w:tr>
      <w:tr>
        <w:trPr>
          <w:trHeight w:val="243"/>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1,445,769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1,385,901</w:t>
            </w:r>
          </w:p>
        </w:tc>
      </w:tr>
      <w:tr>
        <w:trPr>
          <w:trHeight w:val="270"/>
        </w:trPr>
        <w:tc>
          <w:tcPr>
            <w:tcW w:w="2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66,834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59,566</w:t>
            </w:r>
          </w:p>
        </w:tc>
      </w:tr>
      <w:tr>
        <w:trPr>
          <w:trHeight w:val="47"/>
        </w:trPr>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1,512,603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1,445,467</w:t>
            </w:r>
          </w:p>
        </w:tc>
      </w:tr>
      <w:tr>
        <w:trPr>
          <w:trHeight w:val="257"/>
        </w:trPr>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(437,563)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(405,321)</w:t>
            </w:r>
          </w:p>
        </w:tc>
      </w:tr>
      <w:tr>
        <w:trPr>
          <w:trHeight w:val="47"/>
        </w:trPr>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1,075,040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1,040,146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2">
            <w:col w:w="7180" w:space="720"/>
            <w:col w:w="3520"/>
          </w:cols>
          <w:pgMar w:left="240" w:top="387" w:right="239" w:bottom="1440" w:gutter="0" w:footer="0" w:header="0"/>
        </w:sectPr>
      </w:pPr>
    </w:p>
    <w:p>
      <w:pPr>
        <w:jc w:val="both"/>
        <w:ind w:firstLine="648"/>
        <w:spacing w:after="0" w:line="251" w:lineRule="auto"/>
        <w:rPr>
          <w:sz w:val="20"/>
          <w:szCs w:val="20"/>
          <w:color w:val="auto"/>
        </w:rPr>
      </w:pPr>
      <w:r>
        <w:rPr>
          <w:rFonts w:ascii="Arial" w:cs="Arial" w:eastAsia="Arial" w:hAnsi="Arial"/>
          <w:sz w:val="16"/>
          <w:szCs w:val="16"/>
          <w:color w:val="auto"/>
        </w:rPr>
        <w:t>During the three and six months ended June 30, 2018, the Company received $1.8 million and $9.3 million, respectively, in insurance proceeds related to assets damaged during Hurricane Harvey. The insurance proceeds exceeded the book value of damaged assets, and the Company recorded gains of $1.8 million and $4.8 million which are reflected in other (income) expense, net, on the condensed consolidated statements of operations for the three and six months ended June 30, 2018,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008A5F"/>
        </w:rPr>
        <w:t>NOTE 5 - Goodwill</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January 1, 2017</w:t>
            </w:r>
          </w:p>
        </w:tc>
        <w:tc>
          <w:tcPr>
            <w:tcW w:w="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56,811</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56,811</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Acquisition of a business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28,609</w:t>
            </w:r>
          </w:p>
        </w:tc>
      </w:tr>
      <w:tr>
        <w:trPr>
          <w:trHeight w:val="47"/>
        </w:trPr>
        <w:tc>
          <w:tcPr>
            <w:tcW w:w="6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60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Effects of movements in foreign exchange rates</w:t>
            </w:r>
          </w:p>
        </w:tc>
        <w:tc>
          <w:tcPr>
            <w:tcW w:w="240" w:type="dxa"/>
            <w:vAlign w:val="bottom"/>
            <w:tcBorders>
              <w:bottom w:val="single" w:sz="8" w:color="E7E7E8"/>
            </w:tcBorders>
            <w:shd w:val="clear" w:color="auto" w:fill="E7E7E8"/>
          </w:tcPr>
          <w:p>
            <w:pPr>
              <w:spacing w:after="0"/>
              <w:rPr>
                <w:sz w:val="21"/>
                <w:szCs w:val="21"/>
                <w:color w:val="auto"/>
              </w:rPr>
            </w:pPr>
          </w:p>
        </w:tc>
        <w:tc>
          <w:tcPr>
            <w:tcW w:w="16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E7E8"/>
            </w:tcBorders>
            <w:shd w:val="clear" w:color="auto" w:fill="E7E7E8"/>
          </w:tcPr>
          <w:p>
            <w:pPr>
              <w:spacing w:after="0"/>
              <w:rPr>
                <w:sz w:val="21"/>
                <w:szCs w:val="21"/>
                <w:color w:val="auto"/>
              </w:rPr>
            </w:pPr>
          </w:p>
        </w:tc>
        <w:tc>
          <w:tcPr>
            <w:tcW w:w="15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3,932</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Impairment losses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(60,743)</w:t>
            </w:r>
          </w:p>
        </w:tc>
      </w:tr>
      <w:tr>
        <w:trPr>
          <w:trHeight w:val="47"/>
        </w:trPr>
        <w:tc>
          <w:tcPr>
            <w:tcW w:w="6060" w:type="dxa"/>
            <w:vAlign w:val="bottom"/>
            <w:tcBorders>
              <w:bottom w:val="single" w:sz="8" w:color="E7E7E8"/>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Borders>
              <w:bottom w:val="single" w:sz="8" w:color="E7E7E8"/>
            </w:tcBorders>
            <w:shd w:val="clear" w:color="auto" w:fill="E7E7E8"/>
          </w:tcPr>
          <w:p>
            <w:pPr>
              <w:spacing w:after="0"/>
              <w:rPr>
                <w:sz w:val="20"/>
                <w:szCs w:val="20"/>
                <w:color w:val="auto"/>
              </w:rPr>
            </w:pPr>
          </w:p>
        </w:tc>
        <w:tc>
          <w:tcPr>
            <w:tcW w:w="180" w:type="dxa"/>
            <w:vAlign w:val="bottom"/>
            <w:tcBorders>
              <w:bottom w:val="single" w:sz="8" w:color="E7E7E8"/>
            </w:tcBorders>
            <w:shd w:val="clear" w:color="auto" w:fill="E7E7E8"/>
          </w:tcPr>
          <w:p>
            <w:pPr>
              <w:spacing w:after="0"/>
              <w:rPr>
                <w:sz w:val="20"/>
                <w:szCs w:val="20"/>
                <w:color w:val="auto"/>
              </w:rPr>
            </w:pPr>
          </w:p>
        </w:tc>
        <w:tc>
          <w:tcPr>
            <w:tcW w:w="16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Acquisition of a business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3,406</w:t>
            </w:r>
          </w:p>
        </w:tc>
      </w:tr>
      <w:tr>
        <w:trPr>
          <w:trHeight w:val="47"/>
        </w:trPr>
        <w:tc>
          <w:tcPr>
            <w:tcW w:w="6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60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Changes to preliminary purchase price allocations</w:t>
            </w: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E7E7E8"/>
            </w:tcBorders>
            <w:shd w:val="clear" w:color="auto" w:fill="E7E7E8"/>
          </w:tcPr>
          <w:p>
            <w:pPr>
              <w:spacing w:after="0"/>
              <w:rPr>
                <w:sz w:val="23"/>
                <w:szCs w:val="23"/>
                <w:color w:val="auto"/>
              </w:rPr>
            </w:pPr>
          </w:p>
        </w:tc>
        <w:tc>
          <w:tcPr>
            <w:tcW w:w="180" w:type="dxa"/>
            <w:vAlign w:val="bottom"/>
            <w:tcBorders>
              <w:bottom w:val="single" w:sz="8" w:color="E7E7E8"/>
            </w:tcBorders>
            <w:shd w:val="clear" w:color="auto" w:fill="E7E7E8"/>
          </w:tcPr>
          <w:p>
            <w:pPr>
              <w:spacing w:after="0"/>
              <w:rPr>
                <w:sz w:val="23"/>
                <w:szCs w:val="23"/>
                <w:color w:val="auto"/>
              </w:rPr>
            </w:pPr>
          </w:p>
        </w:tc>
        <w:tc>
          <w:tcPr>
            <w:tcW w:w="16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1,555</w:t>
            </w:r>
          </w:p>
        </w:tc>
      </w:tr>
      <w:tr>
        <w:trPr>
          <w:trHeight w:val="230"/>
        </w:trPr>
        <w:tc>
          <w:tcPr>
            <w:tcW w:w="606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33,570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33,570</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recognition of $28.6 million of goodwill to the Modular - US segment, as defined in Note 13, for the year ended December 31, 2017. During the three and six months ended June 30, 2018, respectively, the Company made a $1.0 million and $2.0 million adjustment to the preliminary valuation of the acquired net assets of Acton including the related goodwill, due to further evaluation of unindemnified liabilities.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Additionally, as discussed in further detail in Note 2, the Company acquired Tyson in January 2018. A preliminary valuation of the acquired net assets of Tyson resulted in the recognition of $3.4 million of goodwill in the Modular - US segment, which the Company expects will be deductible for tax purposes. During the three and six months ended June 30, 2018, the Company made a $0.4 million adjustment to the preliminary valuation of the acquired net assets of Tyson, including the related goodwill, due to further evaluation of rental equipment and property, plant and equipment, and unindemnified liabilities.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87"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3"/>
          <w:szCs w:val="23"/>
          <w:color w:val="008A5F"/>
        </w:rPr>
        <w:t>NOTE 6 - Debt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020" w:type="dxa"/>
            <w:vAlign w:val="bottom"/>
            <w:shd w:val="clear" w:color="auto" w:fill="008A5F"/>
          </w:tcPr>
          <w:p>
            <w:pPr>
              <w:jc w:val="center"/>
              <w:ind w:left="239"/>
              <w:spacing w:after="0"/>
              <w:rPr>
                <w:sz w:val="20"/>
                <w:szCs w:val="20"/>
                <w:color w:val="auto"/>
              </w:rPr>
            </w:pPr>
            <w:r>
              <w:rPr>
                <w:rFonts w:ascii="Arial" w:cs="Arial" w:eastAsia="Arial" w:hAnsi="Arial"/>
                <w:sz w:val="16"/>
                <w:szCs w:val="16"/>
                <w:b w:val="1"/>
                <w:bCs w:val="1"/>
                <w:color w:val="FFFFFF"/>
              </w:rPr>
              <w:t>Interest rate</w:t>
            </w:r>
          </w:p>
        </w:tc>
        <w:tc>
          <w:tcPr>
            <w:tcW w:w="19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220" w:type="dxa"/>
            <w:vAlign w:val="bottom"/>
            <w:shd w:val="clear" w:color="auto" w:fill="008A5F"/>
          </w:tcPr>
          <w:p>
            <w:pPr>
              <w:spacing w:after="0"/>
              <w:rPr>
                <w:sz w:val="23"/>
                <w:szCs w:val="23"/>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June 30, 2018</w:t>
            </w:r>
          </w:p>
        </w:tc>
        <w:tc>
          <w:tcPr>
            <w:tcW w:w="120" w:type="dxa"/>
            <w:vAlign w:val="bottom"/>
            <w:shd w:val="clear" w:color="auto" w:fill="008A5F"/>
          </w:tcPr>
          <w:p>
            <w:pPr>
              <w:spacing w:after="0"/>
              <w:rPr>
                <w:sz w:val="23"/>
                <w:szCs w:val="23"/>
                <w:color w:val="auto"/>
              </w:rPr>
            </w:pPr>
          </w:p>
        </w:tc>
        <w:tc>
          <w:tcPr>
            <w:tcW w:w="158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w w:val="99"/>
              </w:rPr>
              <w:t>December 31, 2017</w:t>
            </w:r>
          </w:p>
        </w:tc>
      </w:tr>
      <w:tr>
        <w:trPr>
          <w:trHeight w:val="250"/>
        </w:trPr>
        <w:tc>
          <w:tcPr>
            <w:tcW w:w="39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Senior secured notes</w:t>
            </w:r>
          </w:p>
        </w:tc>
        <w:tc>
          <w:tcPr>
            <w:tcW w:w="2020" w:type="dxa"/>
            <w:vAlign w:val="bottom"/>
            <w:tcBorders>
              <w:bottom w:val="single" w:sz="8" w:color="E7E7E8"/>
            </w:tcBorders>
            <w:shd w:val="clear" w:color="auto" w:fill="E7E7E8"/>
          </w:tcPr>
          <w:p>
            <w:pPr>
              <w:jc w:val="center"/>
              <w:ind w:left="239"/>
              <w:spacing w:after="0"/>
              <w:rPr>
                <w:sz w:val="20"/>
                <w:szCs w:val="20"/>
                <w:color w:val="auto"/>
              </w:rPr>
            </w:pPr>
            <w:r>
              <w:rPr>
                <w:rFonts w:ascii="Arial" w:cs="Arial" w:eastAsia="Arial" w:hAnsi="Arial"/>
                <w:sz w:val="16"/>
                <w:szCs w:val="16"/>
                <w:color w:val="auto"/>
                <w:w w:val="99"/>
              </w:rPr>
              <w:t>7.875%</w:t>
            </w:r>
          </w:p>
        </w:tc>
        <w:tc>
          <w:tcPr>
            <w:tcW w:w="19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291,456</w:t>
            </w:r>
          </w:p>
        </w:tc>
        <w:tc>
          <w:tcPr>
            <w:tcW w:w="10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290,687</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US ABL Facility</w:t>
            </w:r>
          </w:p>
        </w:tc>
        <w:tc>
          <w:tcPr>
            <w:tcW w:w="2020" w:type="dxa"/>
            <w:vAlign w:val="bottom"/>
          </w:tcPr>
          <w:p>
            <w:pPr>
              <w:jc w:val="center"/>
              <w:ind w:left="239"/>
              <w:spacing w:after="0"/>
              <w:rPr>
                <w:sz w:val="20"/>
                <w:szCs w:val="20"/>
                <w:color w:val="auto"/>
              </w:rPr>
            </w:pPr>
            <w:r>
              <w:rPr>
                <w:rFonts w:ascii="Arial" w:cs="Arial" w:eastAsia="Arial" w:hAnsi="Arial"/>
                <w:sz w:val="16"/>
                <w:szCs w:val="16"/>
                <w:color w:val="auto"/>
              </w:rPr>
              <w:t>Varies</w:t>
            </w:r>
          </w:p>
        </w:tc>
        <w:tc>
          <w:tcPr>
            <w:tcW w:w="1960" w:type="dxa"/>
            <w:vAlign w:val="bottom"/>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356,759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297,323</w:t>
            </w:r>
          </w:p>
        </w:tc>
      </w:tr>
      <w:tr>
        <w:trPr>
          <w:trHeight w:val="47"/>
        </w:trPr>
        <w:tc>
          <w:tcPr>
            <w:tcW w:w="39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39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Canadian ABL Facility (a)</w:t>
            </w:r>
          </w:p>
        </w:tc>
        <w:tc>
          <w:tcPr>
            <w:tcW w:w="2020" w:type="dxa"/>
            <w:vAlign w:val="bottom"/>
            <w:tcBorders>
              <w:bottom w:val="single" w:sz="8" w:color="E7E7E8"/>
            </w:tcBorders>
            <w:shd w:val="clear" w:color="auto" w:fill="E7E7E8"/>
          </w:tcPr>
          <w:p>
            <w:pPr>
              <w:jc w:val="center"/>
              <w:ind w:left="239"/>
              <w:spacing w:after="0"/>
              <w:rPr>
                <w:sz w:val="20"/>
                <w:szCs w:val="20"/>
                <w:color w:val="auto"/>
              </w:rPr>
            </w:pPr>
            <w:r>
              <w:rPr>
                <w:rFonts w:ascii="Arial" w:cs="Arial" w:eastAsia="Arial" w:hAnsi="Arial"/>
                <w:sz w:val="16"/>
                <w:szCs w:val="16"/>
                <w:color w:val="auto"/>
              </w:rPr>
              <w:t>Varies</w:t>
            </w:r>
          </w:p>
        </w:tc>
        <w:tc>
          <w:tcPr>
            <w:tcW w:w="19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E7E7E8"/>
            </w:tcBorders>
            <w:shd w:val="clear" w:color="auto" w:fill="E7E7E8"/>
          </w:tcPr>
          <w:p>
            <w:pPr>
              <w:spacing w:after="0"/>
              <w:rPr>
                <w:sz w:val="21"/>
                <w:szCs w:val="21"/>
                <w:color w:val="auto"/>
              </w:rPr>
            </w:pPr>
          </w:p>
        </w:tc>
        <w:tc>
          <w:tcPr>
            <w:tcW w:w="16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Capital lease and other financing obligations</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38,736</w:t>
            </w:r>
          </w:p>
        </w:tc>
      </w:tr>
      <w:tr>
        <w:trPr>
          <w:trHeight w:val="47"/>
        </w:trPr>
        <w:tc>
          <w:tcPr>
            <w:tcW w:w="3920" w:type="dxa"/>
            <w:vAlign w:val="bottom"/>
            <w:tcBorders>
              <w:bottom w:val="single" w:sz="8" w:color="E7E7E8"/>
            </w:tcBorders>
          </w:tcPr>
          <w:p>
            <w:pPr>
              <w:spacing w:after="0"/>
              <w:rPr>
                <w:sz w:val="4"/>
                <w:szCs w:val="4"/>
                <w:color w:val="auto"/>
              </w:rPr>
            </w:pPr>
          </w:p>
        </w:tc>
        <w:tc>
          <w:tcPr>
            <w:tcW w:w="2020" w:type="dxa"/>
            <w:vAlign w:val="bottom"/>
            <w:tcBorders>
              <w:bottom w:val="single" w:sz="8" w:color="E7E7E8"/>
            </w:tcBorders>
          </w:tcPr>
          <w:p>
            <w:pPr>
              <w:spacing w:after="0"/>
              <w:rPr>
                <w:sz w:val="4"/>
                <w:szCs w:val="4"/>
                <w:color w:val="auto"/>
              </w:rPr>
            </w:pPr>
          </w:p>
        </w:tc>
        <w:tc>
          <w:tcPr>
            <w:tcW w:w="196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39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debt</w:t>
            </w:r>
          </w:p>
        </w:tc>
        <w:tc>
          <w:tcPr>
            <w:tcW w:w="202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22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686,524</w:t>
            </w:r>
          </w:p>
        </w:tc>
        <w:tc>
          <w:tcPr>
            <w:tcW w:w="100" w:type="dxa"/>
            <w:vAlign w:val="bottom"/>
            <w:tcBorders>
              <w:bottom w:val="single" w:sz="8" w:color="E7E7E8"/>
            </w:tcBorders>
            <w:shd w:val="clear" w:color="auto" w:fill="E7E7E8"/>
          </w:tcPr>
          <w:p>
            <w:pPr>
              <w:spacing w:after="0"/>
              <w:rPr>
                <w:sz w:val="20"/>
                <w:szCs w:val="20"/>
                <w:color w:val="auto"/>
              </w:rPr>
            </w:pPr>
          </w:p>
        </w:tc>
        <w:tc>
          <w:tcPr>
            <w:tcW w:w="120" w:type="dxa"/>
            <w:vAlign w:val="bottom"/>
            <w:tcBorders>
              <w:bottom w:val="single" w:sz="8" w:color="E7E7E8"/>
            </w:tcBorders>
            <w:shd w:val="clear" w:color="auto" w:fill="E7E7E8"/>
          </w:tcPr>
          <w:p>
            <w:pPr>
              <w:spacing w:after="0"/>
              <w:rPr>
                <w:sz w:val="20"/>
                <w:szCs w:val="20"/>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626,746</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47"/>
        </w:trPr>
        <w:tc>
          <w:tcPr>
            <w:tcW w:w="3920" w:type="dxa"/>
            <w:vAlign w:val="bottom"/>
            <w:tcBorders>
              <w:bottom w:val="single" w:sz="8" w:color="E7E7E8"/>
            </w:tcBorders>
          </w:tcPr>
          <w:p>
            <w:pPr>
              <w:spacing w:after="0"/>
              <w:rPr>
                <w:sz w:val="4"/>
                <w:szCs w:val="4"/>
                <w:color w:val="auto"/>
              </w:rPr>
            </w:pPr>
          </w:p>
        </w:tc>
        <w:tc>
          <w:tcPr>
            <w:tcW w:w="2020" w:type="dxa"/>
            <w:vAlign w:val="bottom"/>
            <w:tcBorders>
              <w:bottom w:val="single" w:sz="8" w:color="E7E7E8"/>
            </w:tcBorders>
          </w:tcPr>
          <w:p>
            <w:pPr>
              <w:spacing w:after="0"/>
              <w:rPr>
                <w:sz w:val="4"/>
                <w:szCs w:val="4"/>
                <w:color w:val="auto"/>
              </w:rPr>
            </w:pPr>
          </w:p>
        </w:tc>
        <w:tc>
          <w:tcPr>
            <w:tcW w:w="1960" w:type="dxa"/>
            <w:vAlign w:val="bottom"/>
            <w:tcBorders>
              <w:bottom w:val="single" w:sz="8" w:color="E7E7E8"/>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39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long-term debt</w:t>
            </w:r>
          </w:p>
        </w:tc>
        <w:tc>
          <w:tcPr>
            <w:tcW w:w="202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684,641</w:t>
            </w:r>
          </w:p>
        </w:tc>
        <w:tc>
          <w:tcPr>
            <w:tcW w:w="100" w:type="dxa"/>
            <w:vAlign w:val="bottom"/>
            <w:tcBorders>
              <w:bottom w:val="single" w:sz="8" w:color="E7E7E8"/>
            </w:tcBorders>
            <w:shd w:val="clear" w:color="auto" w:fill="E7E7E8"/>
          </w:tcPr>
          <w:p>
            <w:pPr>
              <w:spacing w:after="0"/>
              <w:rPr>
                <w:sz w:val="20"/>
                <w:szCs w:val="20"/>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624,865</w:t>
            </w:r>
          </w:p>
        </w:tc>
      </w:tr>
      <w:tr>
        <w:trPr>
          <w:trHeight w:val="20"/>
        </w:trPr>
        <w:tc>
          <w:tcPr>
            <w:tcW w:w="3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jc w:val="both"/>
        <w:ind w:left="660" w:hanging="328"/>
        <w:spacing w:after="0" w:line="250"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At June 30, 2018, the Company had no outstanding borrowings on the Canadian ABL Facility and $1.5 million of related debt issuance costs. As there were no principal borrowings outstanding on the Canadian ABL Facility as of December 31, 2017, $1.8 million of debt issuance costs related to that facility are included in other non-current assets on the condensed 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treasury and cash management. In October 2012, the Algeco Group entered into a multi-currency asset-based revolving credit facility (the “Algeco Group Revolver”), which had a maximum aggregate availability of the equivalent of $1.355 billion. The maximum borrowing availability to WSII in US dollars and Canadian dollars (“CAD”) was $760.0 million and $175.0 million, respectively.</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expense of $8.3 million and $14.5 million million related to the Algeco Group Revolver was included in interest expense for the three and six months ended June 30, 2017.</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ABL Facility</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that provides a senior secured revolving credit facility in the aggregate principal amount of up to $600.0 million. The ABL Facility, which matures on May 29, 2022, consists of</w:t>
      </w:r>
    </w:p>
    <w:p>
      <w:pPr>
        <w:spacing w:after="0" w:line="1" w:lineRule="exact"/>
        <w:rPr>
          <w:sz w:val="20"/>
          <w:szCs w:val="20"/>
          <w:color w:val="auto"/>
        </w:rPr>
      </w:pPr>
    </w:p>
    <w:p>
      <w:pPr>
        <w:jc w:val="both"/>
        <w:ind w:firstLine="8"/>
        <w:spacing w:after="0" w:line="250" w:lineRule="auto"/>
        <w:tabs>
          <w:tab w:leader="none" w:pos="20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$530.0 million asset-backed revolving credit facility (the “US ABL Facility”) for WSII and certain of its domestic subsidiaries (the “US Borrowers”), (ii) a $70.0 million asset-based revolving credit facility (the “Canadian ABL Facility”) for Williams Scotsman of Canada, Inc. (the “Canadian Borrower,” and together with the US Borrowers, the “Borrowers”), and (iii) an accordion feature that permits the Borrowers to increase the lenders’ commitments in an aggregate amount not to exceed $300.0 million, subject to the satisfaction of customary conditions, plus any voluntary prepayments that are accompanied by permanent commitment reductions under the ABL Facility.</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The applicable margin is fixed at 2.50% for LIBOR borrowings and 1.50% for base rate borrowings up until March 31, 2018. Commencing on March 31, 2018, the applicable margins are subject to one step-down of 0.25% or one step-up of 0.25%, based on excess availability levels with respect to the ABL Facility. The ABL Facility requires the payment of an annual commitment fee on the unused available borrowings of between 0.375% and 0.5% per annum. At June 30, 2018, the weighted average interest rate for borrowings under the ABL Facility was 4.58%.</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$530.0 million and the US Borrowing Base (defined below) (the “US Line Cap”), and (ii) with respect to the Canadian Borrower, $70.0 million and the Canadian Borrowing Base (defined below) (the “Canadian Line Cap,” together with the US Line Cap, the “Line Cap”).</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(net of reserves) equal to the sum of:</w:t>
      </w:r>
    </w:p>
    <w:p>
      <w:pPr>
        <w:spacing w:after="0" w:line="59"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At June 30, 2018, the Line Cap was $600.0 million and the Borrowers had $219.6 million of available borrowing capacity under the ABL Facility, including $153.1 million under the US ABL Facility and $66.5 million under the Canadian ABL Facility. At December 31, 2017, the Line Cap was $600.0 million and the Borrowers had $281.1 million of available borrowing capacity under the ABL Facility, including $211.1 million under the US ABL Facility and $70.0 million under the Canadian ABL Facility.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87" w:right="239" w:bottom="1440" w:gutter="0" w:footer="0" w:header="0"/>
        </w:sectPr>
      </w:pPr>
    </w:p>
    <w:bookmarkStart w:id="15" w:name="page16"/>
    <w:bookmarkEnd w:id="15"/>
    <w:p>
      <w:pPr>
        <w:jc w:val="both"/>
        <w:ind w:firstLine="648"/>
        <w:spacing w:after="0" w:line="251" w:lineRule="auto"/>
        <w:rPr>
          <w:sz w:val="20"/>
          <w:szCs w:val="20"/>
          <w:color w:val="auto"/>
        </w:rPr>
      </w:pPr>
      <w:r>
        <w:rPr>
          <w:rFonts w:ascii="Arial" w:cs="Arial" w:eastAsia="Arial" w:hAnsi="Arial"/>
          <w:sz w:val="16"/>
          <w:szCs w:val="16"/>
          <w:color w:val="auto"/>
        </w:rPr>
        <w:t>Borrowing capacity under the US ABL Facility is made available for up to $60.0 million of standby letters of credit and up to $50.0 million of swingline loans, and borrowing capacity under the Canadian ABL Facility is made available for up to $30.0 million of standby letters of credit, and $25.0 million of swingline loans. Letters of credit and bank guarantees carried fees of 2.625% at June 30, 2018 and December 31, 2017, respectively. The Company had issued $8.9 million of standby letters of credit under the ABL Facility at June 30, 2018 and December 31, 2017.</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ABL Facility requires the Borrowers to maintain a (i) minimum fixed charge coverage ratio of 1.00:1.00 and (ii) maximum total net leverage ratio of 5.50:1.00, in each case, at any time when the excess availability under the ABL Facility is less than the greater of (a) $50.0 million and (b) an amount equal to 10% of the Line Cap.</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ABL Facility also contains a number of customary negative covenants. Such covenants, among other things, may limit or restrict the ability of each of the Borrowers, their restricted subsidiaries, and where applicable, WS Holdings, to: incur additional indebtedness, issue disqualified stock and make guarantees; incur liens; engage in mergers or consolidations or fundamental changes; sell assets; pay dividends and repurchase capital stock; make investments, loans and advances, including acquisitions; amend organizational documents and master lease documents; enter into certain agreements that would restrict the ability to pay dividends or incur liens on assets; repay certain junior indebtedness; enter into sale and leaseback transactions; and change the conduct of its business.</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prepayments of junior indebtedness subject, in each case, to compliance with certain financial metrics and certain other conditions and (ii) a number of other traditional exceptions that grant the Borrowers continued flexibility to operate and develop their businesses. The ABL Facility also contains customary representations and warranties, affirmative covenants and events of default. The Company is in compliance with these covenants and restrictions as of June 30, 2018.</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had $368.0 million and $310.0 million in outstanding principal under the ABL Facility at June 30, 2018 and December 31, 2017, respectively. Debt issuance costs and discounts of $11.2 million and $12.7 million are included in the carrying value of debt at June 30, 2018 and December 31, 2017, respectively.</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July 2018, the Company and certain of its subsidiaries entered into amendments to the ABL Facility that will, among other things, (i) permit the ModSpace Acquisition (as defined in Note 16) and the financing thereof, (ii) increase the ABL Facility limit to $1.35 billion in the aggregate, and (iii) increase certain thresholds, basket sizes and default and notice triggers set forth in the ABL Facility to account for the increased size of the Company’s business following the ModSpace Acquisition. The amendments will become effective upon the closing of the ModSpace Acquisition. See Note 16 for additional information on the amendments.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WSII has $300.0 million aggregate principal amount of 7.875% senior secured notes due December 15, 2022 (the “Notes”) under an indenture dated November 29, 2017, which was entered into by and among WSII, the guarantors named therein, and Deutsche Bank Trust Company Americas, as trustee and as collateral agent. Interest is payable semi-annually on June 15 and December 15, beginning June 15, 2018. For the three and six months ended June 30, 2018, the Company incurred $5.9 million and $11.7 million, respectively, of interest expense related to the Notes.</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Before December 15, 2019, WSII may redeem the Notes at a redemption price equal to 100% of the principal amount, plus a customary make whole premium for the Notes being redeemed, plus accrued and unpaid interest, if any, to but not including the redemption date.</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customary make whole premium, with respect to any Note on any applicable redemption date, as calculated by the Company, is the greater of (i) 100% of the then outstanding principal amount of the Note; and (ii) the excess of (a) the present value at such redemption date of (i) the redemption price set on or after December 15, 2019 plus (ii) all required interest payments due on the Note through December 15, 2019, excluding accrued but unpaid interest to the redemption date, in each case, computed using a discount rate equal to the Treasury Rate as of such redemption date plus 50 basis points; over (b) the then outstanding principal amount of the Note.</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Before December 15, 2019, WSII may redeem up to 40% of the aggregate principal amount of the Notes at a price equal to 107.875% of the principal amount of the Notes being redeemed, plus accrued and unpaid interest, if any, to but not including the redemption date with the net proceeds of certain equity offerings. At any time prior to November 29, 2019, WSII may also redeem up to 10% of the aggregate principal amount of the Notes at a redemption price equal to 103% of the principal amount of the Notes being redeemed during each twelve-month period commencing with the closing date, plus accrued and unpaid interest, if any, to but not including the redemption date. If WSII undergoes a change of control or sells certain of its assets, WSII may be required to offer to repurchase the Notes.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or after December 15, 2019, WSII, at its option, may redeem the Notes, in whole or in part, at the redemption prices expressed as percentages of principal amount set forth below, plus accrued and unpaid interest to, but not including, the applicable redemption date (subject to the right of Note holders on the relevant record date to receive interest due on an interest payment date falling on or prior to the redemption date), if redeemed during the twelve month period beginning on December 15 of each of the years set forth below:</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5"/>
        </w:trPr>
        <w:tc>
          <w:tcPr>
            <w:tcW w:w="55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Year</w:t>
            </w:r>
          </w:p>
        </w:tc>
        <w:tc>
          <w:tcPr>
            <w:tcW w:w="592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Redemption Price</w:t>
            </w:r>
          </w:p>
        </w:tc>
      </w:tr>
      <w:tr>
        <w:trPr>
          <w:trHeight w:val="89"/>
        </w:trPr>
        <w:tc>
          <w:tcPr>
            <w:tcW w:w="5500" w:type="dxa"/>
            <w:vAlign w:val="bottom"/>
            <w:shd w:val="clear" w:color="auto" w:fill="008A5F"/>
          </w:tcPr>
          <w:p>
            <w:pPr>
              <w:spacing w:after="0"/>
              <w:rPr>
                <w:sz w:val="7"/>
                <w:szCs w:val="7"/>
                <w:color w:val="auto"/>
              </w:rPr>
            </w:pPr>
          </w:p>
        </w:tc>
        <w:tc>
          <w:tcPr>
            <w:tcW w:w="5920" w:type="dxa"/>
            <w:vAlign w:val="bottom"/>
            <w:shd w:val="clear" w:color="auto" w:fill="008A5F"/>
          </w:tcPr>
          <w:p>
            <w:pPr>
              <w:spacing w:after="0"/>
              <w:rPr>
                <w:sz w:val="7"/>
                <w:szCs w:val="7"/>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r>
        <w:trPr>
          <w:trHeight w:val="224"/>
        </w:trPr>
        <w:tc>
          <w:tcPr>
            <w:tcW w:w="5500" w:type="dxa"/>
            <w:vAlign w:val="bottom"/>
          </w:tcPr>
          <w:p>
            <w:pPr>
              <w:ind w:left="20"/>
              <w:spacing w:after="0"/>
              <w:rPr>
                <w:sz w:val="20"/>
                <w:szCs w:val="20"/>
                <w:color w:val="auto"/>
              </w:rPr>
            </w:pPr>
            <w:r>
              <w:rPr>
                <w:rFonts w:ascii="Arial" w:cs="Arial" w:eastAsia="Arial" w:hAnsi="Arial"/>
                <w:sz w:val="16"/>
                <w:szCs w:val="16"/>
                <w:color w:val="auto"/>
              </w:rPr>
              <w:t>2020</w:t>
            </w:r>
          </w:p>
        </w:tc>
        <w:tc>
          <w:tcPr>
            <w:tcW w:w="5920" w:type="dxa"/>
            <w:vAlign w:val="bottom"/>
          </w:tcPr>
          <w:p>
            <w:pPr>
              <w:jc w:val="right"/>
              <w:spacing w:after="0"/>
              <w:rPr>
                <w:sz w:val="20"/>
                <w:szCs w:val="20"/>
                <w:color w:val="auto"/>
              </w:rPr>
            </w:pPr>
            <w:r>
              <w:rPr>
                <w:rFonts w:ascii="Arial" w:cs="Arial" w:eastAsia="Arial" w:hAnsi="Arial"/>
                <w:sz w:val="16"/>
                <w:szCs w:val="16"/>
                <w:color w:val="auto"/>
              </w:rPr>
              <w:t>101.969%</w:t>
            </w:r>
          </w:p>
        </w:tc>
      </w:tr>
      <w:tr>
        <w:trPr>
          <w:trHeight w:val="101"/>
        </w:trPr>
        <w:tc>
          <w:tcPr>
            <w:tcW w:w="5500" w:type="dxa"/>
            <w:vAlign w:val="bottom"/>
          </w:tcPr>
          <w:p>
            <w:pPr>
              <w:spacing w:after="0"/>
              <w:rPr>
                <w:sz w:val="8"/>
                <w:szCs w:val="8"/>
                <w:color w:val="auto"/>
              </w:rPr>
            </w:pPr>
          </w:p>
        </w:tc>
        <w:tc>
          <w:tcPr>
            <w:tcW w:w="5920" w:type="dxa"/>
            <w:vAlign w:val="bottom"/>
          </w:tcPr>
          <w:p>
            <w:pPr>
              <w:spacing w:after="0"/>
              <w:rPr>
                <w:sz w:val="8"/>
                <w:szCs w:val="8"/>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bl>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WSC or any restricted subsidiary of WSII; selling, leasing or transferring any of its property or assets to WSC or any restricted subsidiary of WSII; directly or indirectly creating, incurring or assuming any lien of any kind securing debt on the collateral; or entering into any sale and leaseback transaction.</w:t>
      </w:r>
    </w:p>
    <w:p>
      <w:pPr>
        <w:spacing w:after="0" w:line="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0" w:lineRule="auto"/>
        <w:tabs>
          <w:tab w:leader="none" w:pos="2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June 30, 2018 and December 31, 2017.</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debt issuance costs pertaining to the Notes was $8.5 million and $9.3 million as of June 30, 2018 and December 31, 2017,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capital lease and financing obligations primarily consisted of $38.1 million and $38.5 million under sale-leaseback transactions and $0.2 million and $0.2 million of capital leases at June 30, 2018 and December 31, 2017, respectively. The Company’s capital lease and financing obligations are presented net of $1.7 million and $1.8 million of debt issuance costs at June 30, 2018 and December 31, 2017, respectively. The Company’s capital leases primarily relate to real estate, equipment and vehicles and have interest rates ranging from 1.2% to 11.9%.</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entered into several arrangements in which it has sold branch locations and simultaneously leased the associated properties back from the various purchasers. Due to the terms of the lease agreements, these transactions are treated as financing arrangements. These transactions contain non-recourse financing which is a form of continuing involvement and precludes the use of sale-lease back accounting. The terms of the financing arrangements range from approximately eighteen months to ten years. The interest rates implicit in these financing arrangements is approximately 8.0%.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To and From Affiliates</w:t>
      </w:r>
    </w:p>
    <w:p>
      <w:pPr>
        <w:spacing w:after="0" w:line="1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Prior to the Business Combination, the Algeco Group distributed borrowings from its third party notes to entities within the Algeco Group, including WSII, through intercompany loans. WSII previously recorded these intercompany loans as notes due to affiliates with maturity dates of June 30, 2018 and October 15, 2019.</w:t>
      </w:r>
    </w:p>
    <w:p>
      <w:pPr>
        <w:spacing w:after="0" w:line="5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Interest expense of $16.6 million and $31.3 million associated with these notes due to affiliates is reflected in interest expense in the consolidated statement of operations for the three and six months ended June 30, 2017, respectively. Interest on the notes due to affiliates was payable on a semi-annual basis.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Conversely, WSII also distributed borrowings to other entities within the Algeco Group through intercompany loans, and earned interest income on the principal. For the three and six months ended June 30, 2017, the Company recognized $3.5 million and $6.1 million, respectively, of interest income related to the loans.</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conjunction with the Business Combination, all notes due to and from affiliates were settled, and there is no related interest expense or interest income related to the notes due to or from affiliates for the three and six months ended June 30, 2018.</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18" w:right="239" w:bottom="1440" w:gutter="0" w:footer="0" w:header="0"/>
        </w:sectPr>
      </w:pPr>
    </w:p>
    <w:bookmarkStart w:id="17" w:name="page18"/>
    <w:bookmarkEnd w:id="17"/>
    <w:p>
      <w:pPr>
        <w:spacing w:after="0"/>
        <w:rPr>
          <w:sz w:val="20"/>
          <w:szCs w:val="20"/>
          <w:color w:val="auto"/>
        </w:rPr>
      </w:pPr>
      <w:r>
        <w:rPr>
          <w:rFonts w:ascii="Arial" w:cs="Arial" w:eastAsia="Arial" w:hAnsi="Arial"/>
          <w:sz w:val="23"/>
          <w:szCs w:val="23"/>
          <w:color w:val="008A5F"/>
        </w:rPr>
        <w:t>NOTE 7 – Equity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net of tax, for the six months ended June 30, 2018 and 2017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Foreign Currency</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189"/>
        </w:trPr>
        <w:tc>
          <w:tcPr>
            <w:tcW w:w="790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38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r>
      <w:tr>
        <w:trPr>
          <w:trHeight w:val="234"/>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Adjustment</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(49,497)</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(2,380)</w:t>
            </w:r>
          </w:p>
        </w:tc>
      </w:tr>
      <w:tr>
        <w:trPr>
          <w:trHeight w:val="47"/>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79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E7E7E8"/>
          </w:tcPr>
          <w:p>
            <w:pPr>
              <w:spacing w:after="0"/>
              <w:rPr>
                <w:sz w:val="23"/>
                <w:szCs w:val="23"/>
                <w:color w:val="auto"/>
              </w:rPr>
            </w:pPr>
          </w:p>
        </w:tc>
        <w:tc>
          <w:tcPr>
            <w:tcW w:w="38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(2,540)</w:t>
            </w:r>
          </w:p>
        </w:tc>
      </w:tr>
      <w:tr>
        <w:trPr>
          <w:trHeight w:val="230"/>
        </w:trPr>
        <w:tc>
          <w:tcPr>
            <w:tcW w:w="790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(54,417)</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Foreign Currency</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189"/>
        </w:trPr>
        <w:tc>
          <w:tcPr>
            <w:tcW w:w="790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38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r>
      <w:tr>
        <w:trPr>
          <w:trHeight w:val="234"/>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Adjustment</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(56,928)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(56,928)</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5,783</w:t>
            </w:r>
          </w:p>
        </w:tc>
      </w:tr>
      <w:tr>
        <w:trPr>
          <w:trHeight w:val="47"/>
        </w:trPr>
        <w:tc>
          <w:tcPr>
            <w:tcW w:w="79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June 30, 2017</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(51,145)</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(51,145)</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firstLine="8"/>
        <w:spacing w:after="0" w:line="260" w:lineRule="auto"/>
        <w:tabs>
          <w:tab w:leader="none" w:pos="2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spacing w:after="0" w:line="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material amounts reclassified from accumulated other comprehensive loss and into consolidated net income (loss) for the three and six months ended June 30, 2018 and 2017.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non-controlling interest for the six months ended June 30, 2018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48,931</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Net loss attributable to non-controlling interest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47"/>
        </w:trPr>
        <w:tc>
          <w:tcPr>
            <w:tcW w:w="9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(269)</w:t>
            </w:r>
          </w:p>
        </w:tc>
      </w:tr>
      <w:tr>
        <w:trPr>
          <w:trHeight w:val="230"/>
        </w:trPr>
        <w:tc>
          <w:tcPr>
            <w:tcW w:w="9720" w:type="dxa"/>
            <w:vAlign w:val="bottom"/>
          </w:tcPr>
          <w:p>
            <w:pPr>
              <w:ind w:left="40"/>
              <w:spacing w:after="0"/>
              <w:rPr>
                <w:sz w:val="20"/>
                <w:szCs w:val="20"/>
                <w:color w:val="auto"/>
              </w:rPr>
            </w:pPr>
            <w:r>
              <w:rPr>
                <w:rFonts w:ascii="Arial" w:cs="Arial" w:eastAsia="Arial" w:hAnsi="Arial"/>
                <w:sz w:val="16"/>
                <w:szCs w:val="16"/>
                <w:color w:val="auto"/>
              </w:rPr>
              <w:t>Balance at June 30, 2018</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48,157</w:t>
            </w:r>
          </w:p>
        </w:tc>
      </w:tr>
      <w:tr>
        <w:trPr>
          <w:trHeight w:val="20"/>
        </w:trPr>
        <w:tc>
          <w:tcPr>
            <w:tcW w:w="9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NOTE 8 – Income Taxes</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recorded income tax benefit of approximately $6.6 million and $7.1 million for the three and six months ended June 30, 2018, respectively, and $5.3 million and $10.1 million for the same periods of 2017.</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effective tax rate (“ETR”) for the three months ended June 30, 2018 and 2017 was 106.1% and 24.3%, respectively and 52.3% and 24.8% for the six months ended June 30, 2018 and 2017, respectively. The Company’s ETR for the three and six months ended June 30, 2018 is materially driven by discrete items, of which a $4.2 million tax benefit relates to a reduction in our net state deferred tax liability driven by the Maryland apportionment rule that was enacted in the second quarter.</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annual ETR used to determine the tax benefit for the quarter of approximately 19.8% is lower than the US statutory rate of 21.0% due to: (1) mix of earnings between tax paying components, notably forecasted losses in Canada which result in higher tax benefit due to a higher statutory tax rate, (2) reduction to the deferred tax liability established for the book over tax basis difference for our investment in our Canadian subsidiary and offset by (3) a partial valuation allowance due to limitations on the deductibility of interest expense estimated for the current year. Due to the foregoing, changes to our forecast of pre-tax book income and the mix of earnings between tax paying components that may occur due to changes in our business in subsequent periods may have a significant effect on our annual effective tax rate and consequently, tax expense (benefit) recorded in subsequent interim periods.</w:t>
      </w:r>
    </w:p>
    <w:p>
      <w:pPr>
        <w:spacing w:after="0" w:line="7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 addition, the Company also recognized tax benefit of $0.2 million and $0.4 million for the three and six months ended June 30, 2018, related to foreign currency losses. For the three and six months ended June 30, 2017, the Company recognized tax expense of $2.5 million and $3.1 million related to foreign currency gains. The Company also adjusted the provisional amounts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7" w:right="2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6"/>
          <w:szCs w:val="16"/>
          <w:color w:val="auto"/>
        </w:rPr>
        <w:t>for the impacts of the Tax Act under SAB 118 reported in its financial statements for the year ended December 31, 2017, with an adjustment in the current quarter due to a change in state law for a tax benefit of $0.3 million which is incremental to the $0.3 million benefit recorded in the first quarter. As noted above, the Company recorded a discrete benefit of $4.2 million in the second quarter of 2018 to reduce its net state deferred tax liability primarily related to the enactment of an apportionment rule change in Maryland.</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008A5F"/>
        </w:rPr>
        <w:t>NOTE 9 - Fair Value Measures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 The Company utilizes the suggested accounting guidance for the three levels of inputs that may be used to measure fair value:</w:t>
      </w:r>
    </w:p>
    <w:p>
      <w:pPr>
        <w:spacing w:after="0" w:line="14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14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140" w:lineRule="exact"/>
        <w:rPr>
          <w:sz w:val="20"/>
          <w:szCs w:val="20"/>
          <w:color w:val="auto"/>
        </w:rPr>
      </w:pPr>
    </w:p>
    <w:p>
      <w:pPr>
        <w:ind w:left="1680" w:right="800" w:hanging="998"/>
        <w:spacing w:after="0" w:line="260" w:lineRule="auto"/>
        <w:tabs>
          <w:tab w:leader="none" w:pos="166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 largely due to the short-term maturities of these instruments.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9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960" w:type="dxa"/>
            <w:vAlign w:val="bottom"/>
            <w:gridSpan w:val="3"/>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June 30, 2018</w:t>
            </w:r>
          </w:p>
        </w:tc>
        <w:tc>
          <w:tcPr>
            <w:tcW w:w="180" w:type="dxa"/>
            <w:vAlign w:val="bottom"/>
            <w:shd w:val="clear" w:color="auto" w:fill="008A5F"/>
          </w:tcPr>
          <w:p>
            <w:pPr>
              <w:spacing w:after="0"/>
              <w:rPr>
                <w:sz w:val="20"/>
                <w:szCs w:val="20"/>
                <w:color w:val="auto"/>
              </w:rPr>
            </w:pPr>
          </w:p>
        </w:tc>
        <w:tc>
          <w:tcPr>
            <w:tcW w:w="72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0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9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2017</w:t>
            </w:r>
          </w:p>
        </w:tc>
        <w:tc>
          <w:tcPr>
            <w:tcW w:w="220" w:type="dxa"/>
            <w:vAlign w:val="bottom"/>
            <w:shd w:val="clear" w:color="auto" w:fill="008A5F"/>
          </w:tcPr>
          <w:p>
            <w:pPr>
              <w:spacing w:after="0"/>
              <w:rPr>
                <w:sz w:val="20"/>
                <w:szCs w:val="20"/>
                <w:color w:val="auto"/>
              </w:rPr>
            </w:pPr>
          </w:p>
        </w:tc>
        <w:tc>
          <w:tcPr>
            <w:tcW w:w="8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2740" w:type="dxa"/>
            <w:vAlign w:val="bottom"/>
            <w:shd w:val="clear" w:color="auto" w:fill="008A5F"/>
          </w:tcPr>
          <w:p>
            <w:pPr>
              <w:spacing w:after="0"/>
              <w:rPr>
                <w:sz w:val="24"/>
                <w:szCs w:val="24"/>
                <w:color w:val="auto"/>
              </w:rPr>
            </w:pPr>
          </w:p>
        </w:tc>
        <w:tc>
          <w:tcPr>
            <w:tcW w:w="200" w:type="dxa"/>
            <w:vAlign w:val="bottom"/>
            <w:shd w:val="clear" w:color="auto" w:fill="008A5F"/>
          </w:tcPr>
          <w:p>
            <w:pPr>
              <w:spacing w:after="0"/>
              <w:rPr>
                <w:sz w:val="24"/>
                <w:szCs w:val="24"/>
                <w:color w:val="auto"/>
              </w:rPr>
            </w:pPr>
          </w:p>
        </w:tc>
        <w:tc>
          <w:tcPr>
            <w:tcW w:w="940" w:type="dxa"/>
            <w:vAlign w:val="bottom"/>
            <w:vMerge w:val="restart"/>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24"/>
                <w:szCs w:val="24"/>
                <w:color w:val="auto"/>
              </w:rPr>
            </w:pPr>
          </w:p>
        </w:tc>
        <w:tc>
          <w:tcPr>
            <w:tcW w:w="820" w:type="dxa"/>
            <w:vAlign w:val="bottom"/>
            <w:shd w:val="clear" w:color="auto" w:fill="008A5F"/>
          </w:tcPr>
          <w:p>
            <w:pPr>
              <w:spacing w:after="0"/>
              <w:rPr>
                <w:sz w:val="24"/>
                <w:szCs w:val="24"/>
                <w:color w:val="auto"/>
              </w:rPr>
            </w:pPr>
          </w:p>
        </w:tc>
        <w:tc>
          <w:tcPr>
            <w:tcW w:w="160" w:type="dxa"/>
            <w:vAlign w:val="bottom"/>
            <w:shd w:val="clear" w:color="auto" w:fill="008A5F"/>
          </w:tcPr>
          <w:p>
            <w:pPr>
              <w:spacing w:after="0"/>
              <w:rPr>
                <w:sz w:val="24"/>
                <w:szCs w:val="24"/>
                <w:color w:val="auto"/>
              </w:rPr>
            </w:pPr>
          </w:p>
        </w:tc>
        <w:tc>
          <w:tcPr>
            <w:tcW w:w="98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w w:val="99"/>
              </w:rPr>
              <w:t>Fair Value</w:t>
            </w:r>
          </w:p>
        </w:tc>
        <w:tc>
          <w:tcPr>
            <w:tcW w:w="180" w:type="dxa"/>
            <w:vAlign w:val="bottom"/>
            <w:shd w:val="clear" w:color="auto" w:fill="008A5F"/>
          </w:tcPr>
          <w:p>
            <w:pPr>
              <w:spacing w:after="0"/>
              <w:rPr>
                <w:sz w:val="24"/>
                <w:szCs w:val="24"/>
                <w:color w:val="auto"/>
              </w:rPr>
            </w:pPr>
          </w:p>
        </w:tc>
        <w:tc>
          <w:tcPr>
            <w:tcW w:w="720" w:type="dxa"/>
            <w:vAlign w:val="bottom"/>
            <w:shd w:val="clear" w:color="auto" w:fill="008A5F"/>
          </w:tcPr>
          <w:p>
            <w:pPr>
              <w:spacing w:after="0"/>
              <w:rPr>
                <w:sz w:val="24"/>
                <w:szCs w:val="24"/>
                <w:color w:val="auto"/>
              </w:rPr>
            </w:pPr>
          </w:p>
        </w:tc>
        <w:tc>
          <w:tcPr>
            <w:tcW w:w="240" w:type="dxa"/>
            <w:vAlign w:val="bottom"/>
            <w:shd w:val="clear" w:color="auto" w:fill="008A5F"/>
          </w:tcPr>
          <w:p>
            <w:pPr>
              <w:spacing w:after="0"/>
              <w:rPr>
                <w:sz w:val="24"/>
                <w:szCs w:val="24"/>
                <w:color w:val="auto"/>
              </w:rPr>
            </w:pPr>
          </w:p>
        </w:tc>
        <w:tc>
          <w:tcPr>
            <w:tcW w:w="1020" w:type="dxa"/>
            <w:vAlign w:val="bottom"/>
            <w:vMerge w:val="restart"/>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Carrying</w:t>
            </w:r>
          </w:p>
        </w:tc>
        <w:tc>
          <w:tcPr>
            <w:tcW w:w="220" w:type="dxa"/>
            <w:vAlign w:val="bottom"/>
            <w:shd w:val="clear" w:color="auto" w:fill="008A5F"/>
          </w:tcPr>
          <w:p>
            <w:pPr>
              <w:spacing w:after="0"/>
              <w:rPr>
                <w:sz w:val="24"/>
                <w:szCs w:val="24"/>
                <w:color w:val="auto"/>
              </w:rPr>
            </w:pPr>
          </w:p>
        </w:tc>
        <w:tc>
          <w:tcPr>
            <w:tcW w:w="800" w:type="dxa"/>
            <w:vAlign w:val="bottom"/>
            <w:shd w:val="clear" w:color="auto" w:fill="008A5F"/>
          </w:tcPr>
          <w:p>
            <w:pPr>
              <w:spacing w:after="0"/>
              <w:rPr>
                <w:sz w:val="24"/>
                <w:szCs w:val="24"/>
                <w:color w:val="auto"/>
              </w:rPr>
            </w:pPr>
          </w:p>
        </w:tc>
        <w:tc>
          <w:tcPr>
            <w:tcW w:w="200" w:type="dxa"/>
            <w:vAlign w:val="bottom"/>
            <w:shd w:val="clear" w:color="auto" w:fill="008A5F"/>
          </w:tcPr>
          <w:p>
            <w:pPr>
              <w:spacing w:after="0"/>
              <w:rPr>
                <w:sz w:val="24"/>
                <w:szCs w:val="24"/>
                <w:color w:val="auto"/>
              </w:rPr>
            </w:pPr>
          </w:p>
        </w:tc>
        <w:tc>
          <w:tcPr>
            <w:tcW w:w="9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Fair Value</w:t>
            </w:r>
          </w:p>
        </w:tc>
        <w:tc>
          <w:tcPr>
            <w:tcW w:w="220" w:type="dxa"/>
            <w:vAlign w:val="bottom"/>
            <w:shd w:val="clear" w:color="auto" w:fill="008A5F"/>
          </w:tcPr>
          <w:p>
            <w:pPr>
              <w:spacing w:after="0"/>
              <w:rPr>
                <w:sz w:val="24"/>
                <w:szCs w:val="24"/>
                <w:color w:val="auto"/>
              </w:rPr>
            </w:pPr>
          </w:p>
        </w:tc>
        <w:tc>
          <w:tcPr>
            <w:tcW w:w="840" w:type="dxa"/>
            <w:vAlign w:val="bottom"/>
            <w:shd w:val="clear" w:color="auto" w:fill="008A5F"/>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740" w:type="dxa"/>
            <w:vAlign w:val="bottom"/>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940" w:type="dxa"/>
            <w:vAlign w:val="bottom"/>
            <w:vMerge w:val="continue"/>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820" w:type="dxa"/>
            <w:vAlign w:val="bottom"/>
            <w:shd w:val="clear" w:color="auto" w:fill="008A5F"/>
          </w:tcPr>
          <w:p>
            <w:pPr>
              <w:spacing w:after="0"/>
              <w:rPr>
                <w:sz w:val="9"/>
                <w:szCs w:val="9"/>
                <w:color w:val="auto"/>
              </w:rPr>
            </w:pPr>
          </w:p>
        </w:tc>
        <w:tc>
          <w:tcPr>
            <w:tcW w:w="160" w:type="dxa"/>
            <w:vAlign w:val="bottom"/>
            <w:shd w:val="clear" w:color="auto" w:fill="008A5F"/>
          </w:tcPr>
          <w:p>
            <w:pPr>
              <w:spacing w:after="0"/>
              <w:rPr>
                <w:sz w:val="9"/>
                <w:szCs w:val="9"/>
                <w:color w:val="auto"/>
              </w:rPr>
            </w:pPr>
          </w:p>
        </w:tc>
        <w:tc>
          <w:tcPr>
            <w:tcW w:w="980" w:type="dxa"/>
            <w:vAlign w:val="bottom"/>
            <w:shd w:val="clear" w:color="auto" w:fill="008A5F"/>
          </w:tcPr>
          <w:p>
            <w:pPr>
              <w:spacing w:after="0"/>
              <w:rPr>
                <w:sz w:val="9"/>
                <w:szCs w:val="9"/>
                <w:color w:val="auto"/>
              </w:rPr>
            </w:pPr>
          </w:p>
        </w:tc>
        <w:tc>
          <w:tcPr>
            <w:tcW w:w="180" w:type="dxa"/>
            <w:vAlign w:val="bottom"/>
            <w:shd w:val="clear" w:color="auto" w:fill="008A5F"/>
          </w:tcPr>
          <w:p>
            <w:pPr>
              <w:spacing w:after="0"/>
              <w:rPr>
                <w:sz w:val="9"/>
                <w:szCs w:val="9"/>
                <w:color w:val="auto"/>
              </w:rPr>
            </w:pPr>
          </w:p>
        </w:tc>
        <w:tc>
          <w:tcPr>
            <w:tcW w:w="720" w:type="dxa"/>
            <w:vAlign w:val="bottom"/>
            <w:shd w:val="clear" w:color="auto" w:fill="008A5F"/>
          </w:tcPr>
          <w:p>
            <w:pPr>
              <w:spacing w:after="0"/>
              <w:rPr>
                <w:sz w:val="9"/>
                <w:szCs w:val="9"/>
                <w:color w:val="auto"/>
              </w:rPr>
            </w:pPr>
          </w:p>
        </w:tc>
        <w:tc>
          <w:tcPr>
            <w:tcW w:w="240" w:type="dxa"/>
            <w:vAlign w:val="bottom"/>
            <w:shd w:val="clear" w:color="auto" w:fill="008A5F"/>
          </w:tcPr>
          <w:p>
            <w:pPr>
              <w:spacing w:after="0"/>
              <w:rPr>
                <w:sz w:val="9"/>
                <w:szCs w:val="9"/>
                <w:color w:val="auto"/>
              </w:rPr>
            </w:pPr>
          </w:p>
        </w:tc>
        <w:tc>
          <w:tcPr>
            <w:tcW w:w="1020" w:type="dxa"/>
            <w:vAlign w:val="bottom"/>
            <w:vMerge w:val="continue"/>
            <w:shd w:val="clear" w:color="auto" w:fill="008A5F"/>
          </w:tcPr>
          <w:p>
            <w:pPr>
              <w:spacing w:after="0"/>
              <w:rPr>
                <w:sz w:val="9"/>
                <w:szCs w:val="9"/>
                <w:color w:val="auto"/>
              </w:rPr>
            </w:pPr>
          </w:p>
        </w:tc>
        <w:tc>
          <w:tcPr>
            <w:tcW w:w="220" w:type="dxa"/>
            <w:vAlign w:val="bottom"/>
            <w:shd w:val="clear" w:color="auto" w:fill="008A5F"/>
          </w:tcPr>
          <w:p>
            <w:pPr>
              <w:spacing w:after="0"/>
              <w:rPr>
                <w:sz w:val="9"/>
                <w:szCs w:val="9"/>
                <w:color w:val="auto"/>
              </w:rPr>
            </w:pPr>
          </w:p>
        </w:tc>
        <w:tc>
          <w:tcPr>
            <w:tcW w:w="800" w:type="dxa"/>
            <w:vAlign w:val="bottom"/>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940" w:type="dxa"/>
            <w:vAlign w:val="bottom"/>
            <w:shd w:val="clear" w:color="auto" w:fill="008A5F"/>
          </w:tcPr>
          <w:p>
            <w:pPr>
              <w:spacing w:after="0"/>
              <w:rPr>
                <w:sz w:val="9"/>
                <w:szCs w:val="9"/>
                <w:color w:val="auto"/>
              </w:rPr>
            </w:pPr>
          </w:p>
        </w:tc>
        <w:tc>
          <w:tcPr>
            <w:tcW w:w="220" w:type="dxa"/>
            <w:vAlign w:val="bottom"/>
            <w:shd w:val="clear" w:color="auto" w:fill="008A5F"/>
          </w:tcPr>
          <w:p>
            <w:pPr>
              <w:spacing w:after="0"/>
              <w:rPr>
                <w:sz w:val="9"/>
                <w:szCs w:val="9"/>
                <w:color w:val="auto"/>
              </w:rPr>
            </w:pPr>
          </w:p>
        </w:tc>
        <w:tc>
          <w:tcPr>
            <w:tcW w:w="840" w:type="dxa"/>
            <w:vAlign w:val="bottom"/>
            <w:shd w:val="clear" w:color="auto" w:fill="008A5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8"/>
                <w:szCs w:val="18"/>
                <w:color w:val="auto"/>
              </w:rPr>
            </w:pPr>
          </w:p>
        </w:tc>
        <w:tc>
          <w:tcPr>
            <w:tcW w:w="94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18"/>
                <w:szCs w:val="18"/>
                <w:color w:val="auto"/>
              </w:rPr>
            </w:pPr>
          </w:p>
        </w:tc>
        <w:tc>
          <w:tcPr>
            <w:tcW w:w="82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160" w:type="dxa"/>
            <w:vAlign w:val="bottom"/>
            <w:shd w:val="clear" w:color="auto" w:fill="008A5F"/>
          </w:tcPr>
          <w:p>
            <w:pPr>
              <w:spacing w:after="0"/>
              <w:rPr>
                <w:sz w:val="18"/>
                <w:szCs w:val="18"/>
                <w:color w:val="auto"/>
              </w:rPr>
            </w:pPr>
          </w:p>
        </w:tc>
        <w:tc>
          <w:tcPr>
            <w:tcW w:w="98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Level 2</w:t>
            </w:r>
          </w:p>
        </w:tc>
        <w:tc>
          <w:tcPr>
            <w:tcW w:w="180" w:type="dxa"/>
            <w:vAlign w:val="bottom"/>
            <w:shd w:val="clear" w:color="auto" w:fill="008A5F"/>
          </w:tcPr>
          <w:p>
            <w:pPr>
              <w:spacing w:after="0"/>
              <w:rPr>
                <w:sz w:val="18"/>
                <w:szCs w:val="18"/>
                <w:color w:val="auto"/>
              </w:rPr>
            </w:pPr>
          </w:p>
        </w:tc>
        <w:tc>
          <w:tcPr>
            <w:tcW w:w="72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Level 3</w:t>
            </w:r>
          </w:p>
        </w:tc>
        <w:tc>
          <w:tcPr>
            <w:tcW w:w="240" w:type="dxa"/>
            <w:vAlign w:val="bottom"/>
            <w:shd w:val="clear" w:color="auto" w:fill="008A5F"/>
          </w:tcPr>
          <w:p>
            <w:pPr>
              <w:spacing w:after="0"/>
              <w:rPr>
                <w:sz w:val="18"/>
                <w:szCs w:val="18"/>
                <w:color w:val="auto"/>
              </w:rPr>
            </w:pPr>
          </w:p>
        </w:tc>
        <w:tc>
          <w:tcPr>
            <w:tcW w:w="10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Amount</w:t>
            </w:r>
          </w:p>
        </w:tc>
        <w:tc>
          <w:tcPr>
            <w:tcW w:w="220" w:type="dxa"/>
            <w:vAlign w:val="bottom"/>
            <w:shd w:val="clear" w:color="auto" w:fill="008A5F"/>
          </w:tcPr>
          <w:p>
            <w:pPr>
              <w:spacing w:after="0"/>
              <w:rPr>
                <w:sz w:val="18"/>
                <w:szCs w:val="18"/>
                <w:color w:val="auto"/>
              </w:rPr>
            </w:pPr>
          </w:p>
        </w:tc>
        <w:tc>
          <w:tcPr>
            <w:tcW w:w="80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200" w:type="dxa"/>
            <w:vAlign w:val="bottom"/>
            <w:shd w:val="clear" w:color="auto" w:fill="008A5F"/>
          </w:tcPr>
          <w:p>
            <w:pPr>
              <w:spacing w:after="0"/>
              <w:rPr>
                <w:sz w:val="18"/>
                <w:szCs w:val="18"/>
                <w:color w:val="auto"/>
              </w:rPr>
            </w:pPr>
          </w:p>
        </w:tc>
        <w:tc>
          <w:tcPr>
            <w:tcW w:w="94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Level 2</w:t>
            </w:r>
          </w:p>
        </w:tc>
        <w:tc>
          <w:tcPr>
            <w:tcW w:w="220" w:type="dxa"/>
            <w:vAlign w:val="bottom"/>
            <w:shd w:val="clear" w:color="auto" w:fill="008A5F"/>
          </w:tcPr>
          <w:p>
            <w:pPr>
              <w:spacing w:after="0"/>
              <w:rPr>
                <w:sz w:val="18"/>
                <w:szCs w:val="18"/>
                <w:color w:val="auto"/>
              </w:rPr>
            </w:pPr>
          </w:p>
        </w:tc>
        <w:tc>
          <w:tcPr>
            <w:tcW w:w="84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101"/>
        </w:trPr>
        <w:tc>
          <w:tcPr>
            <w:tcW w:w="27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9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82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72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02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80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94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8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Financial liabilities not measured at</w:t>
            </w:r>
          </w:p>
        </w:tc>
        <w:tc>
          <w:tcPr>
            <w:tcW w:w="20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82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80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8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fair value</w:t>
            </w:r>
          </w:p>
        </w:tc>
        <w:tc>
          <w:tcPr>
            <w:tcW w:w="20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8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7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22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220" w:type="dxa"/>
            <w:vAlign w:val="bottom"/>
            <w:shd w:val="clear" w:color="auto" w:fill="E7E7E8"/>
          </w:tcPr>
          <w:p>
            <w:pPr>
              <w:spacing w:after="0"/>
              <w:rPr>
                <w:sz w:val="8"/>
                <w:szCs w:val="8"/>
                <w:color w:val="auto"/>
              </w:rPr>
            </w:pPr>
          </w:p>
        </w:tc>
        <w:tc>
          <w:tcPr>
            <w:tcW w:w="84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ABL Facility (see Note 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356,759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368,000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297,323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Notes (see Note 6)</w:t>
            </w:r>
          </w:p>
        </w:tc>
        <w:tc>
          <w:tcPr>
            <w:tcW w:w="200" w:type="dxa"/>
            <w:vAlign w:val="bottom"/>
            <w:shd w:val="clear" w:color="auto" w:fill="E7E7E8"/>
          </w:tcPr>
          <w:p>
            <w:pPr>
              <w:spacing w:after="0"/>
              <w:rPr>
                <w:sz w:val="19"/>
                <w:szCs w:val="19"/>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291,456</w:t>
            </w:r>
          </w:p>
        </w:tc>
        <w:tc>
          <w:tcPr>
            <w:tcW w:w="200" w:type="dxa"/>
            <w:vAlign w:val="bottom"/>
            <w:shd w:val="clear" w:color="auto" w:fill="E7E7E8"/>
          </w:tcPr>
          <w:p>
            <w:pPr>
              <w:spacing w:after="0"/>
              <w:rPr>
                <w:sz w:val="19"/>
                <w:szCs w:val="19"/>
                <w:color w:val="auto"/>
              </w:rPr>
            </w:pPr>
          </w:p>
        </w:tc>
        <w:tc>
          <w:tcPr>
            <w:tcW w:w="820" w:type="dxa"/>
            <w:vAlign w:val="bottom"/>
            <w:shd w:val="clear" w:color="auto" w:fill="E7E7E8"/>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9"/>
                <w:szCs w:val="19"/>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312,567</w:t>
            </w:r>
          </w:p>
        </w:tc>
        <w:tc>
          <w:tcPr>
            <w:tcW w:w="180" w:type="dxa"/>
            <w:vAlign w:val="bottom"/>
            <w:shd w:val="clear" w:color="auto" w:fill="E7E7E8"/>
          </w:tcPr>
          <w:p>
            <w:pPr>
              <w:spacing w:after="0"/>
              <w:rPr>
                <w:sz w:val="19"/>
                <w:szCs w:val="19"/>
                <w:color w:val="auto"/>
              </w:rPr>
            </w:pPr>
          </w:p>
        </w:tc>
        <w:tc>
          <w:tcPr>
            <w:tcW w:w="720" w:type="dxa"/>
            <w:vAlign w:val="bottom"/>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9"/>
                <w:szCs w:val="19"/>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290,687</w:t>
            </w:r>
          </w:p>
        </w:tc>
        <w:tc>
          <w:tcPr>
            <w:tcW w:w="220" w:type="dxa"/>
            <w:vAlign w:val="bottom"/>
            <w:shd w:val="clear" w:color="auto" w:fill="E7E7E8"/>
          </w:tcPr>
          <w:p>
            <w:pPr>
              <w:spacing w:after="0"/>
              <w:rPr>
                <w:sz w:val="19"/>
                <w:szCs w:val="19"/>
                <w:color w:val="auto"/>
              </w:rPr>
            </w:pPr>
          </w:p>
        </w:tc>
        <w:tc>
          <w:tcPr>
            <w:tcW w:w="8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9"/>
                <w:szCs w:val="19"/>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310,410</w:t>
            </w:r>
          </w:p>
        </w:tc>
        <w:tc>
          <w:tcPr>
            <w:tcW w:w="220" w:type="dxa"/>
            <w:vAlign w:val="bottom"/>
            <w:shd w:val="clear" w:color="auto" w:fill="E7E7E8"/>
          </w:tcPr>
          <w:p>
            <w:pPr>
              <w:spacing w:after="0"/>
              <w:rPr>
                <w:sz w:val="19"/>
                <w:szCs w:val="19"/>
                <w:color w:val="auto"/>
              </w:rPr>
            </w:pPr>
          </w:p>
        </w:tc>
        <w:tc>
          <w:tcPr>
            <w:tcW w:w="84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740" w:type="dxa"/>
            <w:vAlign w:val="bottom"/>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940" w:type="dxa"/>
            <w:vAlign w:val="bottom"/>
            <w:tcBorders>
              <w:bottom w:val="single" w:sz="8" w:color="auto"/>
            </w:tcBorders>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820" w:type="dxa"/>
            <w:vAlign w:val="bottom"/>
            <w:tcBorders>
              <w:bottom w:val="single" w:sz="8" w:color="auto"/>
            </w:tcBorders>
            <w:shd w:val="clear" w:color="auto" w:fill="E7E7E8"/>
          </w:tcPr>
          <w:p>
            <w:pPr>
              <w:spacing w:after="0"/>
              <w:rPr>
                <w:sz w:val="8"/>
                <w:szCs w:val="8"/>
                <w:color w:val="auto"/>
              </w:rPr>
            </w:pPr>
          </w:p>
        </w:tc>
        <w:tc>
          <w:tcPr>
            <w:tcW w:w="160" w:type="dxa"/>
            <w:vAlign w:val="bottom"/>
            <w:tcBorders>
              <w:bottom w:val="single" w:sz="8" w:color="auto"/>
            </w:tcBorders>
            <w:shd w:val="clear" w:color="auto" w:fill="E7E7E8"/>
          </w:tcPr>
          <w:p>
            <w:pPr>
              <w:spacing w:after="0"/>
              <w:rPr>
                <w:sz w:val="8"/>
                <w:szCs w:val="8"/>
                <w:color w:val="auto"/>
              </w:rPr>
            </w:pPr>
          </w:p>
        </w:tc>
        <w:tc>
          <w:tcPr>
            <w:tcW w:w="980" w:type="dxa"/>
            <w:vAlign w:val="bottom"/>
            <w:tcBorders>
              <w:bottom w:val="single" w:sz="8" w:color="auto"/>
            </w:tcBorders>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720" w:type="dxa"/>
            <w:vAlign w:val="bottom"/>
            <w:tcBorders>
              <w:bottom w:val="single" w:sz="8" w:color="auto"/>
            </w:tcBorders>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020" w:type="dxa"/>
            <w:vAlign w:val="bottom"/>
            <w:tcBorders>
              <w:bottom w:val="single" w:sz="8" w:color="auto"/>
            </w:tcBorders>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800" w:type="dxa"/>
            <w:vAlign w:val="bottom"/>
            <w:tcBorders>
              <w:bottom w:val="single" w:sz="8" w:color="auto"/>
            </w:tcBorders>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940" w:type="dxa"/>
            <w:vAlign w:val="bottom"/>
            <w:tcBorders>
              <w:bottom w:val="single" w:sz="8" w:color="auto"/>
            </w:tcBorders>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84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648,215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680,567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588,010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620,410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three and six months ended June 30, 2018 and 2017. The fair value of the Company’s ABL Facility is primarily based upon observable market data such as market interest rates. The fair value of the Company’s Notes is based on their last trading price at the end of each period obtained from a third party.</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NOTE 10 - Restructuring</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$0.4 million and $0.7 million and $1.1 million and $1.0 million net of reversals, during the three and six months ended June 30, 2018 and 2017. The following is a summary of the activity in the Company’s restructuring accruals for the six months ended June 30, 2018 and 2017:</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0"/>
                <w:szCs w:val="20"/>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313"/>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101"/>
        </w:trPr>
        <w:tc>
          <w:tcPr>
            <w:tcW w:w="516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24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2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beginning of the period</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1,793</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Charges during the period</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968</w:t>
            </w: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Cash payments during the period</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(639)</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Currency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2,130</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restructuring charges for the three and six months ended June 30, 2018 relate primarily to employee termination costs in connection with the integration of Acton and Tyson. As part of the restructuring plan, certain employees were required to render future service in order to receive their termination benefits. The termination costs associated with these employees was recognized over the period from the date of communication of termination to the employee to the actual date of termination. The Company anticipates that the remaining actions contemplated under the $1.0 million accrual as of June 30, 2018, will be substantially completed by the end of the fourth quarter of 2018.</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84" w:right="239" w:bottom="1440" w:gutter="0" w:footer="0" w:header="0"/>
        </w:sectPr>
      </w:pPr>
    </w:p>
    <w:bookmarkStart w:id="19" w:name="page20"/>
    <w:bookmarkEnd w:id="19"/>
    <w:p>
      <w:pPr>
        <w:jc w:val="both"/>
        <w:ind w:firstLine="648"/>
        <w:spacing w:after="0" w:line="260" w:lineRule="auto"/>
        <w:rPr>
          <w:sz w:val="20"/>
          <w:szCs w:val="20"/>
          <w:color w:val="auto"/>
        </w:rPr>
      </w:pPr>
      <w:r>
        <w:rPr>
          <w:rFonts w:ascii="Arial" w:cs="Arial" w:eastAsia="Arial" w:hAnsi="Arial"/>
          <w:sz w:val="16"/>
          <w:szCs w:val="16"/>
          <w:color w:val="auto"/>
        </w:rPr>
        <w:t>The restructuring charges for the three and six months ended June 30, 2017 related to corporate employee termination costs incurred as part of the Algeco Group.</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$0.4 million and $1.1 million of restructuring charges for the three and six months ended June 30, 2018 all pertain to the Modular - US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$0.7 million and $1.0 million of restructuring charges for the three and six months ended June 30, 2017 all pertain to Corporate and other.</w:t>
      </w:r>
    </w:p>
    <w:p>
      <w:pPr>
        <w:spacing w:after="0" w:line="89" w:lineRule="exact"/>
        <w:rPr>
          <w:sz w:val="20"/>
          <w:szCs w:val="20"/>
          <w:color w:val="auto"/>
        </w:rPr>
      </w:pPr>
    </w:p>
    <w:p>
      <w:pPr>
        <w:spacing w:after="0"/>
        <w:rPr>
          <w:sz w:val="20"/>
          <w:szCs w:val="20"/>
          <w:color w:val="auto"/>
        </w:rPr>
      </w:pPr>
      <w:r>
        <w:rPr>
          <w:rFonts w:ascii="Arial" w:cs="Arial" w:eastAsia="Arial" w:hAnsi="Arial"/>
          <w:sz w:val="23"/>
          <w:szCs w:val="23"/>
          <w:color w:val="008A5F"/>
        </w:rPr>
        <w:t>NOTE 11 - Stock-Based Compensation</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16, 2017, the Company’s shareholders approved a long-term incentive award plan (the “Plan”). The Plan is administered by the Compensation Committee of the Company’s Board of Directors. Under the Plan, the Committee may grant an aggregate of 4,000,000 shares of Class A common stock in the form of non-qualified stock options, incentive stock options, stock appreciation rights, restricted stock awards (“RSAs”), restricted stock units (“RSUs”), performance compensation awards and stock bonus awards. Stock-based payments including the grant of stock options, RSUs, and RSAs are subject to service-based vesting requirements, and expense is recognized on a straight-line basis over the vesting period. Forfeitures are accounted for as they occur. During the six months ended June 30, 2018, 27,675 RSAs, 921,730 RSUs and 589,257 stock option awards were granted under the Plan, while 35,050 RSUs were forfeited during the three and six months ended June 30, 2018.</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payments to employees include grants of stock options and RSUs, which are recognized in the financial statements based on their fair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RSUs and RSAs are valued based on the intrinsic value of the difference between the exercise price, if any, of the award and the fair market value of our common stock on the grant date. RSAs vest over a one-year period and RSUs vest over a four-year period.</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is based on peer group volatility as the Company does not have a sufficient trading history as a stand-alone public company.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The Company has never declared or paid a cash dividend on common shares.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2018, none of the granted RSAs, RSUs or stock options had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for the six months ended June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008A5F"/>
          </w:tcPr>
          <w:p>
            <w:pPr>
              <w:spacing w:after="0"/>
              <w:rPr>
                <w:sz w:val="17"/>
                <w:szCs w:val="17"/>
                <w:color w:val="auto"/>
              </w:rPr>
            </w:pPr>
          </w:p>
        </w:tc>
        <w:tc>
          <w:tcPr>
            <w:tcW w:w="21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Weighted-Average Grant</w:t>
            </w:r>
          </w:p>
        </w:tc>
      </w:tr>
      <w:tr>
        <w:trPr>
          <w:trHeight w:val="234"/>
        </w:trPr>
        <w:tc>
          <w:tcPr>
            <w:tcW w:w="6980" w:type="dxa"/>
            <w:vAlign w:val="bottom"/>
            <w:shd w:val="clear" w:color="auto" w:fill="008A5F"/>
          </w:tcPr>
          <w:p>
            <w:pPr>
              <w:spacing w:after="0"/>
              <w:rPr>
                <w:sz w:val="20"/>
                <w:szCs w:val="20"/>
                <w:color w:val="auto"/>
              </w:rPr>
            </w:pPr>
          </w:p>
        </w:tc>
        <w:tc>
          <w:tcPr>
            <w:tcW w:w="218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008A5F"/>
          </w:tcPr>
          <w:p>
            <w:pPr>
              <w:spacing w:after="0"/>
              <w:rPr>
                <w:sz w:val="20"/>
                <w:szCs w:val="20"/>
                <w:color w:val="auto"/>
              </w:rPr>
            </w:pPr>
          </w:p>
        </w:tc>
        <w:tc>
          <w:tcPr>
            <w:tcW w:w="2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Date Fair Value</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Balance, December 31, 2017</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27,675</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73"/>
        </w:trPr>
        <w:tc>
          <w:tcPr>
            <w:tcW w:w="69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3"/>
                <w:szCs w:val="23"/>
                <w:color w:val="auto"/>
              </w:rPr>
            </w:pPr>
          </w:p>
        </w:tc>
        <w:tc>
          <w:tcPr>
            <w:tcW w:w="20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27,675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bl>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$0.1 million and $0.1 million for the three and six months ended June 30, 2018, respectively. At June 30, 2018, unrecognized compensation cost related to RSAs totaled $0.3 million and is expected to be recognized over the remaining nine-month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RSU award activity for the six months ended June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shd w:val="clear" w:color="auto" w:fill="008A5F"/>
          </w:tcPr>
          <w:p>
            <w:pPr>
              <w:spacing w:after="0"/>
              <w:rPr>
                <w:sz w:val="17"/>
                <w:szCs w:val="17"/>
                <w:color w:val="auto"/>
              </w:rPr>
            </w:pPr>
          </w:p>
        </w:tc>
        <w:tc>
          <w:tcPr>
            <w:tcW w:w="3100" w:type="dxa"/>
            <w:vAlign w:val="bottom"/>
            <w:shd w:val="clear" w:color="auto" w:fill="008A5F"/>
          </w:tcPr>
          <w:p>
            <w:pPr>
              <w:spacing w:after="0"/>
              <w:rPr>
                <w:sz w:val="17"/>
                <w:szCs w:val="17"/>
                <w:color w:val="auto"/>
              </w:rPr>
            </w:pPr>
          </w:p>
        </w:tc>
        <w:tc>
          <w:tcPr>
            <w:tcW w:w="22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20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Weighted-Average Grant</w:t>
            </w:r>
          </w:p>
        </w:tc>
      </w:tr>
      <w:tr>
        <w:trPr>
          <w:trHeight w:val="234"/>
        </w:trPr>
        <w:tc>
          <w:tcPr>
            <w:tcW w:w="3880" w:type="dxa"/>
            <w:vAlign w:val="bottom"/>
            <w:shd w:val="clear" w:color="auto" w:fill="008A5F"/>
          </w:tcPr>
          <w:p>
            <w:pPr>
              <w:spacing w:after="0"/>
              <w:rPr>
                <w:sz w:val="20"/>
                <w:szCs w:val="20"/>
                <w:color w:val="auto"/>
              </w:rPr>
            </w:pPr>
          </w:p>
        </w:tc>
        <w:tc>
          <w:tcPr>
            <w:tcW w:w="3100" w:type="dxa"/>
            <w:vAlign w:val="bottom"/>
            <w:shd w:val="clear" w:color="auto" w:fill="008A5F"/>
          </w:tcPr>
          <w:p>
            <w:pPr>
              <w:spacing w:after="0"/>
              <w:rPr>
                <w:sz w:val="20"/>
                <w:szCs w:val="20"/>
                <w:color w:val="auto"/>
              </w:rPr>
            </w:pPr>
          </w:p>
        </w:tc>
        <w:tc>
          <w:tcPr>
            <w:tcW w:w="222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Number of Shares</w:t>
            </w:r>
          </w:p>
        </w:tc>
        <w:tc>
          <w:tcPr>
            <w:tcW w:w="180" w:type="dxa"/>
            <w:vAlign w:val="bottom"/>
            <w:shd w:val="clear" w:color="auto" w:fill="008A5F"/>
          </w:tcPr>
          <w:p>
            <w:pPr>
              <w:spacing w:after="0"/>
              <w:rPr>
                <w:sz w:val="20"/>
                <w:szCs w:val="20"/>
                <w:color w:val="auto"/>
              </w:rPr>
            </w:pPr>
          </w:p>
        </w:tc>
        <w:tc>
          <w:tcPr>
            <w:tcW w:w="2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Date Fair Value</w:t>
            </w:r>
          </w:p>
        </w:tc>
      </w:tr>
      <w:tr>
        <w:trPr>
          <w:trHeight w:val="270"/>
        </w:trPr>
        <w:tc>
          <w:tcPr>
            <w:tcW w:w="38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Balance, December 31, 2017</w:t>
            </w:r>
          </w:p>
        </w:tc>
        <w:tc>
          <w:tcPr>
            <w:tcW w:w="3100" w:type="dxa"/>
            <w:vAlign w:val="bottom"/>
            <w:shd w:val="clear" w:color="auto" w:fill="E7E7E8"/>
          </w:tcPr>
          <w:p>
            <w:pPr>
              <w:spacing w:after="0"/>
              <w:rPr>
                <w:sz w:val="23"/>
                <w:szCs w:val="23"/>
                <w:color w:val="auto"/>
              </w:rPr>
            </w:pPr>
          </w:p>
        </w:tc>
        <w:tc>
          <w:tcPr>
            <w:tcW w:w="2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880" w:type="dxa"/>
            <w:vAlign w:val="bottom"/>
          </w:tcPr>
          <w:p>
            <w:pPr>
              <w:ind w:left="280"/>
              <w:spacing w:after="0"/>
              <w:rPr>
                <w:sz w:val="20"/>
                <w:szCs w:val="20"/>
                <w:color w:val="auto"/>
              </w:rPr>
            </w:pPr>
            <w:r>
              <w:rPr>
                <w:rFonts w:ascii="Arial" w:cs="Arial" w:eastAsia="Arial" w:hAnsi="Arial"/>
                <w:sz w:val="16"/>
                <w:szCs w:val="16"/>
                <w:color w:val="auto"/>
              </w:rPr>
              <w:t>Granted</w:t>
            </w:r>
          </w:p>
        </w:tc>
        <w:tc>
          <w:tcPr>
            <w:tcW w:w="5320" w:type="dxa"/>
            <w:vAlign w:val="bottom"/>
            <w:gridSpan w:val="2"/>
          </w:tcPr>
          <w:p>
            <w:pPr>
              <w:jc w:val="right"/>
              <w:ind w:right="79"/>
              <w:spacing w:after="0"/>
              <w:rPr>
                <w:sz w:val="20"/>
                <w:szCs w:val="20"/>
                <w:color w:val="auto"/>
              </w:rPr>
            </w:pPr>
            <w:r>
              <w:rPr>
                <w:rFonts w:ascii="Arial" w:cs="Arial" w:eastAsia="Arial" w:hAnsi="Arial"/>
                <w:sz w:val="16"/>
                <w:szCs w:val="16"/>
                <w:color w:val="auto"/>
              </w:rPr>
              <w:t>921,730</w:t>
            </w:r>
          </w:p>
        </w:tc>
        <w:tc>
          <w:tcPr>
            <w:tcW w:w="18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73"/>
        </w:trPr>
        <w:tc>
          <w:tcPr>
            <w:tcW w:w="38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Forfeited</w:t>
            </w:r>
          </w:p>
        </w:tc>
        <w:tc>
          <w:tcPr>
            <w:tcW w:w="3100" w:type="dxa"/>
            <w:vAlign w:val="bottom"/>
            <w:shd w:val="clear" w:color="auto" w:fill="E7E7E8"/>
          </w:tcPr>
          <w:p>
            <w:pPr>
              <w:spacing w:after="0"/>
              <w:rPr>
                <w:sz w:val="23"/>
                <w:szCs w:val="23"/>
                <w:color w:val="auto"/>
              </w:rPr>
            </w:pPr>
          </w:p>
        </w:tc>
        <w:tc>
          <w:tcPr>
            <w:tcW w:w="2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(35,050)</w:t>
            </w:r>
          </w:p>
        </w:tc>
        <w:tc>
          <w:tcPr>
            <w:tcW w:w="180" w:type="dxa"/>
            <w:vAlign w:val="bottom"/>
            <w:tcBorders>
              <w:bottom w:val="single" w:sz="8" w:color="auto"/>
            </w:tcBorders>
            <w:shd w:val="clear" w:color="auto" w:fill="E7E7E8"/>
          </w:tcPr>
          <w:p>
            <w:pPr>
              <w:spacing w:after="0"/>
              <w:rPr>
                <w:sz w:val="23"/>
                <w:szCs w:val="23"/>
                <w:color w:val="auto"/>
              </w:rPr>
            </w:pPr>
          </w:p>
        </w:tc>
        <w:tc>
          <w:tcPr>
            <w:tcW w:w="20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13.60</w:t>
            </w:r>
          </w:p>
        </w:tc>
      </w:tr>
      <w:tr>
        <w:trPr>
          <w:trHeight w:val="251"/>
        </w:trPr>
        <w:tc>
          <w:tcPr>
            <w:tcW w:w="388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5320" w:type="dxa"/>
            <w:vAlign w:val="bottom"/>
            <w:gridSpan w:val="2"/>
          </w:tcPr>
          <w:p>
            <w:pPr>
              <w:jc w:val="right"/>
              <w:ind w:right="79"/>
              <w:spacing w:after="0"/>
              <w:rPr>
                <w:sz w:val="20"/>
                <w:szCs w:val="20"/>
                <w:color w:val="auto"/>
              </w:rPr>
            </w:pPr>
            <w:r>
              <w:rPr>
                <w:rFonts w:ascii="Arial" w:cs="Arial" w:eastAsia="Arial" w:hAnsi="Arial"/>
                <w:sz w:val="16"/>
                <w:szCs w:val="16"/>
                <w:color w:val="auto"/>
              </w:rPr>
              <w:t>886,680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459"/>
        </w:trPr>
        <w:tc>
          <w:tcPr>
            <w:tcW w:w="3880" w:type="dxa"/>
            <w:vAlign w:val="bottom"/>
          </w:tcPr>
          <w:p>
            <w:pPr>
              <w:spacing w:after="0"/>
              <w:rPr>
                <w:sz w:val="24"/>
                <w:szCs w:val="24"/>
                <w:color w:val="auto"/>
              </w:rPr>
            </w:pPr>
          </w:p>
        </w:tc>
        <w:tc>
          <w:tcPr>
            <w:tcW w:w="3100" w:type="dxa"/>
            <w:vAlign w:val="bottom"/>
          </w:tcPr>
          <w:p>
            <w:pPr>
              <w:jc w:val="right"/>
              <w:ind w:right="1099"/>
              <w:spacing w:after="0"/>
              <w:rPr>
                <w:sz w:val="20"/>
                <w:szCs w:val="20"/>
                <w:color w:val="auto"/>
              </w:rPr>
            </w:pPr>
            <w:r>
              <w:rPr>
                <w:rFonts w:ascii="Arial" w:cs="Arial" w:eastAsia="Arial" w:hAnsi="Arial"/>
                <w:sz w:val="16"/>
                <w:szCs w:val="16"/>
                <w:color w:val="auto"/>
              </w:rPr>
              <w:t>18</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465" w:right="239" w:bottom="1440" w:gutter="0" w:footer="0" w:header="0"/>
        </w:sectPr>
      </w:pPr>
    </w:p>
    <w:bookmarkStart w:id="20" w:name="page21"/>
    <w:bookmarkEnd w:id="20"/>
    <w:p>
      <w:pPr>
        <w:jc w:val="both"/>
        <w:ind w:firstLine="648"/>
        <w:spacing w:after="0" w:line="251" w:lineRule="auto"/>
        <w:rPr>
          <w:sz w:val="20"/>
          <w:szCs w:val="20"/>
          <w:color w:val="auto"/>
        </w:rPr>
      </w:pPr>
      <w:r>
        <w:rPr>
          <w:rFonts w:ascii="Arial" w:cs="Arial" w:eastAsia="Arial" w:hAnsi="Arial"/>
          <w:sz w:val="16"/>
          <w:szCs w:val="16"/>
          <w:color w:val="auto"/>
        </w:rPr>
        <w:t>Compensation expense for RSUs recognized in SG&amp;A on the condensed consolidated statements of operations was $0.6 million and $0.8 million for the three and six months ended June 30, 2018, respectively, with associated tax benefits of $0.2 million and $0.2 million for the three and six months ended June 30, 2018, respectively. At June 30, 2018, unrecognized compensation cost related to RSUs totaled $11.2 million and is expected to be recognized over a remaining period of 3.75 years.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for the six months ended June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008A5F"/>
          </w:tcPr>
          <w:p>
            <w:pPr>
              <w:spacing w:after="0"/>
              <w:rPr>
                <w:sz w:val="17"/>
                <w:szCs w:val="17"/>
                <w:color w:val="auto"/>
              </w:rPr>
            </w:pPr>
          </w:p>
        </w:tc>
        <w:tc>
          <w:tcPr>
            <w:tcW w:w="21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w w:val="99"/>
              </w:rPr>
              <w:t>Weighted-Average</w:t>
            </w:r>
          </w:p>
        </w:tc>
      </w:tr>
      <w:tr>
        <w:trPr>
          <w:trHeight w:val="189"/>
        </w:trPr>
        <w:tc>
          <w:tcPr>
            <w:tcW w:w="6980" w:type="dxa"/>
            <w:vAlign w:val="bottom"/>
            <w:shd w:val="clear" w:color="auto" w:fill="008A5F"/>
          </w:tcPr>
          <w:p>
            <w:pPr>
              <w:spacing w:after="0"/>
              <w:rPr>
                <w:sz w:val="16"/>
                <w:szCs w:val="16"/>
                <w:color w:val="auto"/>
              </w:rPr>
            </w:pPr>
          </w:p>
        </w:tc>
        <w:tc>
          <w:tcPr>
            <w:tcW w:w="2180" w:type="dxa"/>
            <w:vAlign w:val="bottom"/>
            <w:shd w:val="clear" w:color="auto" w:fill="008A5F"/>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Exercise Price per Share</w:t>
            </w:r>
          </w:p>
        </w:tc>
      </w:tr>
      <w:tr>
        <w:trPr>
          <w:trHeight w:val="234"/>
        </w:trPr>
        <w:tc>
          <w:tcPr>
            <w:tcW w:w="6980" w:type="dxa"/>
            <w:vAlign w:val="bottom"/>
            <w:shd w:val="clear" w:color="auto" w:fill="008A5F"/>
          </w:tcPr>
          <w:p>
            <w:pPr>
              <w:spacing w:after="0"/>
              <w:rPr>
                <w:sz w:val="20"/>
                <w:szCs w:val="20"/>
                <w:color w:val="auto"/>
              </w:rPr>
            </w:pPr>
          </w:p>
        </w:tc>
        <w:tc>
          <w:tcPr>
            <w:tcW w:w="218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Number of Options</w:t>
            </w:r>
          </w:p>
        </w:tc>
        <w:tc>
          <w:tcPr>
            <w:tcW w:w="220" w:type="dxa"/>
            <w:vAlign w:val="bottom"/>
            <w:shd w:val="clear" w:color="auto" w:fill="008A5F"/>
          </w:tcPr>
          <w:p>
            <w:pPr>
              <w:spacing w:after="0"/>
              <w:rPr>
                <w:sz w:val="20"/>
                <w:szCs w:val="20"/>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Outstanding options, December 31, 2017</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589,257</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80"/>
        </w:trPr>
        <w:tc>
          <w:tcPr>
            <w:tcW w:w="69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Exercised</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98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Outstanding options, June 30, 2018</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589,257</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13.60</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Fully vested and exercisable options, end of period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$0.2 million for the three and six months ended June 30, 2018, respectively, with associated tax benefits of $0.0 million and $0.1 million for the three and six months ended June 30, 2018, respectively. At June 30, 2018, unrecognized compensation cost related to stock option awards totaled $3.0 million and is expected to be recognized over a remaining period of 3.75 years.</w:t>
      </w:r>
    </w:p>
    <w:p>
      <w:pPr>
        <w:spacing w:after="0" w:line="68" w:lineRule="exact"/>
        <w:rPr>
          <w:sz w:val="20"/>
          <w:szCs w:val="20"/>
          <w:color w:val="auto"/>
        </w:rPr>
      </w:pPr>
    </w:p>
    <w:p>
      <w:pPr>
        <w:ind w:right="2320" w:firstLine="648"/>
        <w:spacing w:after="0" w:line="260" w:lineRule="auto"/>
        <w:rPr>
          <w:sz w:val="20"/>
          <w:szCs w:val="20"/>
          <w:color w:val="auto"/>
        </w:rPr>
      </w:pPr>
      <w:r>
        <w:rPr>
          <w:rFonts w:ascii="Arial" w:cs="Arial" w:eastAsia="Arial" w:hAnsi="Arial"/>
          <w:sz w:val="16"/>
          <w:szCs w:val="16"/>
          <w:color w:val="auto"/>
        </w:rPr>
        <w:t>The fair value of each option award at grant date was estimated using the Black-Scholes option-pricing model with the following assumptions: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shd w:val="clear" w:color="auto" w:fill="008A5F"/>
          </w:tcPr>
          <w:p>
            <w:pPr>
              <w:spacing w:after="0"/>
              <w:rPr>
                <w:sz w:val="21"/>
                <w:szCs w:val="21"/>
                <w:color w:val="auto"/>
              </w:rPr>
            </w:pPr>
          </w:p>
        </w:tc>
        <w:tc>
          <w:tcPr>
            <w:tcW w:w="3540" w:type="dxa"/>
            <w:vAlign w:val="bottom"/>
            <w:shd w:val="clear" w:color="auto" w:fill="008A5F"/>
          </w:tcPr>
          <w:p>
            <w:pPr>
              <w:spacing w:after="0"/>
              <w:rPr>
                <w:sz w:val="21"/>
                <w:szCs w:val="21"/>
                <w:color w:val="auto"/>
              </w:rPr>
            </w:pPr>
          </w:p>
        </w:tc>
        <w:tc>
          <w:tcPr>
            <w:tcW w:w="18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Assumptions</w:t>
            </w:r>
          </w:p>
        </w:tc>
      </w:tr>
      <w:tr>
        <w:trPr>
          <w:trHeight w:val="24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Expected volatility</w:t>
            </w:r>
          </w:p>
        </w:tc>
        <w:tc>
          <w:tcPr>
            <w:tcW w:w="3540" w:type="dxa"/>
            <w:vAlign w:val="bottom"/>
            <w:shd w:val="clear" w:color="auto" w:fill="E7E7E8"/>
          </w:tcPr>
          <w:p>
            <w:pPr>
              <w:spacing w:after="0"/>
              <w:rPr>
                <w:sz w:val="21"/>
                <w:szCs w:val="21"/>
                <w:color w:val="auto"/>
              </w:rPr>
            </w:pPr>
          </w:p>
        </w:tc>
        <w:tc>
          <w:tcPr>
            <w:tcW w:w="1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w:t>
            </w:r>
          </w:p>
        </w:tc>
      </w:tr>
      <w:tr>
        <w:trPr>
          <w:trHeight w:val="233"/>
        </w:trPr>
        <w:tc>
          <w:tcPr>
            <w:tcW w:w="6020" w:type="dxa"/>
            <w:vAlign w:val="bottom"/>
          </w:tcPr>
          <w:p>
            <w:pPr>
              <w:ind w:left="40"/>
              <w:spacing w:after="0"/>
              <w:rPr>
                <w:sz w:val="20"/>
                <w:szCs w:val="20"/>
                <w:color w:val="auto"/>
              </w:rPr>
            </w:pPr>
            <w:r>
              <w:rPr>
                <w:rFonts w:ascii="Arial" w:cs="Arial" w:eastAsia="Arial" w:hAnsi="Arial"/>
                <w:sz w:val="16"/>
                <w:szCs w:val="16"/>
                <w:color w:val="auto"/>
              </w:rPr>
              <w:t>Expected dividend yield</w:t>
            </w:r>
          </w:p>
        </w:tc>
        <w:tc>
          <w:tcPr>
            <w:tcW w:w="3540" w:type="dxa"/>
            <w:vAlign w:val="bottom"/>
          </w:tcPr>
          <w:p>
            <w:pPr>
              <w:spacing w:after="0"/>
              <w:rPr>
                <w:sz w:val="20"/>
                <w:szCs w:val="20"/>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Risk-free interest rate</w:t>
            </w:r>
          </w:p>
        </w:tc>
        <w:tc>
          <w:tcPr>
            <w:tcW w:w="3540" w:type="dxa"/>
            <w:vAlign w:val="bottom"/>
            <w:shd w:val="clear" w:color="auto" w:fill="E7E7E8"/>
          </w:tcPr>
          <w:p>
            <w:pPr>
              <w:spacing w:after="0"/>
              <w:rPr>
                <w:sz w:val="21"/>
                <w:szCs w:val="21"/>
                <w:color w:val="auto"/>
              </w:rPr>
            </w:pPr>
          </w:p>
        </w:tc>
        <w:tc>
          <w:tcPr>
            <w:tcW w:w="1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w:t>
            </w:r>
          </w:p>
        </w:tc>
      </w:tr>
      <w:tr>
        <w:trPr>
          <w:trHeight w:val="233"/>
        </w:trPr>
        <w:tc>
          <w:tcPr>
            <w:tcW w:w="602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3540" w:type="dxa"/>
            <w:vAlign w:val="bottom"/>
          </w:tcPr>
          <w:p>
            <w:pPr>
              <w:spacing w:after="0"/>
              <w:rPr>
                <w:sz w:val="20"/>
                <w:szCs w:val="20"/>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color w:val="auto"/>
              </w:rPr>
              <w:t>6.25</w:t>
            </w:r>
          </w:p>
        </w:tc>
      </w:tr>
      <w:tr>
        <w:trPr>
          <w:trHeight w:val="25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Exercise price</w:t>
            </w:r>
          </w:p>
        </w:tc>
        <w:tc>
          <w:tcPr>
            <w:tcW w:w="35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13.60</w:t>
            </w:r>
          </w:p>
        </w:tc>
      </w:tr>
      <w:tr>
        <w:trPr>
          <w:trHeight w:val="224"/>
        </w:trPr>
        <w:tc>
          <w:tcPr>
            <w:tcW w:w="6020" w:type="dxa"/>
            <w:vAlign w:val="bottom"/>
          </w:tcPr>
          <w:p>
            <w:pPr>
              <w:ind w:left="40"/>
              <w:spacing w:after="0"/>
              <w:rPr>
                <w:sz w:val="20"/>
                <w:szCs w:val="20"/>
                <w:color w:val="auto"/>
              </w:rPr>
            </w:pPr>
            <w:r>
              <w:rPr>
                <w:rFonts w:ascii="Arial" w:cs="Arial" w:eastAsia="Arial" w:hAnsi="Arial"/>
                <w:sz w:val="16"/>
                <w:szCs w:val="16"/>
                <w:color w:val="auto"/>
              </w:rPr>
              <w:t>Weighted-average grant date fair value</w:t>
            </w:r>
          </w:p>
        </w:tc>
        <w:tc>
          <w:tcPr>
            <w:tcW w:w="3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99"/>
              <w:spacing w:after="0"/>
              <w:rPr>
                <w:sz w:val="20"/>
                <w:szCs w:val="20"/>
                <w:color w:val="auto"/>
              </w:rPr>
            </w:pPr>
            <w:r>
              <w:rPr>
                <w:rFonts w:ascii="Arial" w:cs="Arial" w:eastAsia="Arial" w:hAnsi="Arial"/>
                <w:sz w:val="16"/>
                <w:szCs w:val="16"/>
                <w:color w:val="auto"/>
              </w:rPr>
              <w:t>5.51</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3"/>
          <w:szCs w:val="23"/>
          <w:color w:val="008A5F"/>
        </w:rPr>
        <w:t>NOTE 12 - Commitments and Contingencies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discussed in more detail in Note 2, the Merger Agreement may be terminated by the Company or ModSpace under certain circumstances. If the ModSpace Acquisition does not close due to the occurrence of certain regulatory events, we may be required to pay to ModSpace a $35.0 million termination fee.</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color w:val="008A5F"/>
        </w:rPr>
        <w:t>NOTE 13 - Segment Reporting</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historically has operated in two principal lines of business; modular leasing and sales and remote accommodations, which were managed separately. The Remote Accommodations Business was considered a single operating segment. As part of the Business Combination, the Remote Accommodations segment is no longer owned by the Company and is reported as discontinued operations in the condensed consolidated financial statements. As such, the segment was excluded from the segment information below.</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Total assets for each reportable segment are not available because the Company utilizes a centralized approach to working capital management. Transactions between reportable segments are not significant.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39" w:right="239" w:bottom="1440" w:gutter="0" w:footer="0" w:header="0"/>
        </w:sectPr>
      </w:pPr>
    </w:p>
    <w:bookmarkStart w:id="21" w:name="page22"/>
    <w:bookmarkEnd w:id="21"/>
    <w:p>
      <w:pPr>
        <w:jc w:val="both"/>
        <w:ind w:right="20"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15"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six months ended June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29"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FFFFFF"/>
          <w:shd w:val="clear" w:color="auto" w:fill="008A5F"/>
        </w:rPr>
        <w:t>Three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20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90,965</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10,284</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101,249</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31,413</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17"/>
        </w:trPr>
        <w:tc>
          <w:tcPr>
            <w:tcW w:w="440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66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124,813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15,520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140,333</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shd w:val="clear" w:color="auto" w:fill="E7E7E8"/>
          </w:tcPr>
          <w:p>
            <w:pPr>
              <w:spacing w:after="0"/>
              <w:rPr>
                <w:sz w:val="15"/>
                <w:szCs w:val="15"/>
                <w:color w:val="auto"/>
              </w:rPr>
            </w:pPr>
          </w:p>
        </w:tc>
        <w:tc>
          <w:tcPr>
            <w:tcW w:w="16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5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15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13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24,505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27,129</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26,310</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3,817</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30,127</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20,217</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3,253</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23,470</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w:t>
            </w:r>
          </w:p>
        </w:tc>
        <w:tc>
          <w:tcPr>
            <w:tcW w:w="1660" w:type="dxa"/>
            <w:vAlign w:val="bottom"/>
            <w:tcBorders>
              <w:bottom w:val="single" w:sz="8" w:color="E7E7E8"/>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49,741</w:t>
            </w:r>
          </w:p>
        </w:tc>
        <w:tc>
          <w:tcPr>
            <w:tcW w:w="100" w:type="dxa"/>
            <w:vAlign w:val="bottom"/>
            <w:tcBorders>
              <w:bottom w:val="single" w:sz="8" w:color="E7E7E8"/>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4,899</w:t>
            </w:r>
          </w:p>
        </w:tc>
        <w:tc>
          <w:tcPr>
            <w:tcW w:w="100" w:type="dxa"/>
            <w:vAlign w:val="bottom"/>
            <w:tcBorders>
              <w:bottom w:val="single" w:sz="8" w:color="E7E7E8"/>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54,640</w:t>
            </w:r>
          </w:p>
        </w:tc>
        <w:tc>
          <w:tcPr>
            <w:tcW w:w="0" w:type="dxa"/>
            <w:vAlign w:val="bottom"/>
          </w:tcPr>
          <w:p>
            <w:pPr>
              <w:spacing w:after="0"/>
              <w:rPr>
                <w:sz w:val="1"/>
                <w:szCs w:val="1"/>
                <w:color w:val="auto"/>
              </w:rPr>
            </w:pPr>
          </w:p>
        </w:tc>
      </w:tr>
      <w:tr>
        <w:trPr>
          <w:trHeight w:val="224"/>
        </w:trPr>
        <w:tc>
          <w:tcPr>
            <w:tcW w:w="4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90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38,104</w:t>
            </w:r>
          </w:p>
        </w:tc>
        <w:tc>
          <w:tcPr>
            <w:tcW w:w="100" w:type="dxa"/>
            <w:vAlign w:val="bottom"/>
            <w:shd w:val="clear" w:color="auto" w:fill="E7E7E8"/>
          </w:tcPr>
          <w:p>
            <w:pPr>
              <w:spacing w:after="0"/>
              <w:rPr>
                <w:sz w:val="19"/>
                <w:szCs w:val="19"/>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3,812</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41,916</w:t>
            </w:r>
          </w:p>
        </w:tc>
        <w:tc>
          <w:tcPr>
            <w:tcW w:w="0" w:type="dxa"/>
            <w:vAlign w:val="bottom"/>
          </w:tcPr>
          <w:p>
            <w:pPr>
              <w:spacing w:after="0"/>
              <w:rPr>
                <w:sz w:val="1"/>
                <w:szCs w:val="1"/>
                <w:color w:val="auto"/>
              </w:rPr>
            </w:pPr>
          </w:p>
        </w:tc>
      </w:tr>
      <w:tr>
        <w:trPr>
          <w:trHeight w:val="20"/>
        </w:trPr>
        <w:tc>
          <w:tcPr>
            <w:tcW w:w="440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66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00" w:type="dxa"/>
            <w:vAlign w:val="bottom"/>
          </w:tcPr>
          <w:p>
            <w:pPr>
              <w:spacing w:after="0"/>
              <w:rPr>
                <w:sz w:val="6"/>
                <w:szCs w:val="6"/>
                <w:color w:val="auto"/>
              </w:rPr>
            </w:pPr>
          </w:p>
        </w:tc>
        <w:tc>
          <w:tcPr>
            <w:tcW w:w="19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43,325</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4,409</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47,734</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30,931</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32,679</w:t>
            </w:r>
          </w:p>
        </w:tc>
        <w:tc>
          <w:tcPr>
            <w:tcW w:w="0" w:type="dxa"/>
            <w:vAlign w:val="bottom"/>
          </w:tcPr>
          <w:p>
            <w:pPr>
              <w:spacing w:after="0"/>
              <w:rPr>
                <w:sz w:val="1"/>
                <w:szCs w:val="1"/>
                <w:color w:val="auto"/>
              </w:rPr>
            </w:pPr>
          </w:p>
        </w:tc>
      </w:tr>
      <w:tr>
        <w:trPr>
          <w:trHeight w:val="521"/>
        </w:trPr>
        <w:tc>
          <w:tcPr>
            <w:tcW w:w="4400" w:type="dxa"/>
            <w:vAlign w:val="bottom"/>
          </w:tcPr>
          <w:p>
            <w:pPr>
              <w:spacing w:after="0"/>
              <w:rPr>
                <w:sz w:val="24"/>
                <w:szCs w:val="24"/>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6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500" w:type="dxa"/>
            <w:vAlign w:val="bottom"/>
            <w:gridSpan w:val="5"/>
            <w:shd w:val="clear" w:color="auto" w:fill="008A5F"/>
          </w:tcPr>
          <w:p>
            <w:pPr>
              <w:ind w:left="280"/>
              <w:spacing w:after="0"/>
              <w:rPr>
                <w:sz w:val="20"/>
                <w:szCs w:val="20"/>
                <w:color w:val="auto"/>
              </w:rPr>
            </w:pPr>
            <w:r>
              <w:rPr>
                <w:rFonts w:ascii="Arial" w:cs="Arial" w:eastAsia="Arial" w:hAnsi="Arial"/>
                <w:sz w:val="16"/>
                <w:szCs w:val="16"/>
                <w:b w:val="1"/>
                <w:bCs w:val="1"/>
                <w:color w:val="FFFFFF"/>
              </w:rPr>
              <w:t>Three Months Ended June 30, 2017</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74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Modular - US</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64,854</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8,242</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72,954</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20,970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22,949</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9,396</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3,835</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47"/>
        </w:trPr>
        <w:tc>
          <w:tcPr>
            <w:tcW w:w="424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98,209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110,077</w:t>
            </w:r>
          </w:p>
        </w:tc>
        <w:tc>
          <w:tcPr>
            <w:tcW w:w="0" w:type="dxa"/>
            <w:vAlign w:val="bottom"/>
          </w:tcPr>
          <w:p>
            <w:pPr>
              <w:spacing w:after="0"/>
              <w:rPr>
                <w:sz w:val="1"/>
                <w:szCs w:val="1"/>
                <w:color w:val="auto"/>
              </w:rPr>
            </w:pPr>
          </w:p>
        </w:tc>
      </w:tr>
      <w:tr>
        <w:trPr>
          <w:trHeight w:val="172"/>
        </w:trPr>
        <w:tc>
          <w:tcPr>
            <w:tcW w:w="42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19,338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21,340</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20,393</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22,339</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6,072</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6,766</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1,923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14,529</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2,945</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17,474</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35,954</w:t>
            </w:r>
          </w:p>
        </w:tc>
        <w:tc>
          <w:tcPr>
            <w:tcW w:w="12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E7E7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39,583</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26,329</w:t>
            </w:r>
          </w:p>
        </w:tc>
        <w:tc>
          <w:tcPr>
            <w:tcW w:w="12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2,506</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(2,588)</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26,247</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24,181</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3,248</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31,652</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25,909</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27,625</w:t>
            </w:r>
          </w:p>
        </w:tc>
        <w:tc>
          <w:tcPr>
            <w:tcW w:w="0" w:type="dxa"/>
            <w:vAlign w:val="bottom"/>
          </w:tcPr>
          <w:p>
            <w:pPr>
              <w:spacing w:after="0"/>
              <w:rPr>
                <w:sz w:val="1"/>
                <w:szCs w:val="1"/>
                <w:color w:val="auto"/>
              </w:rPr>
            </w:pPr>
          </w:p>
        </w:tc>
      </w:tr>
      <w:tr>
        <w:trPr>
          <w:trHeight w:val="52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23" w:name="page24"/>
    <w:bookmarkEnd w:id="23"/>
    <w:p>
      <w:pPr>
        <w:ind w:left="7500"/>
        <w:spacing w:after="0"/>
        <w:rPr>
          <w:sz w:val="20"/>
          <w:szCs w:val="20"/>
          <w:color w:val="auto"/>
        </w:rPr>
      </w:pPr>
      <w:r>
        <w:rPr>
          <w:rFonts w:ascii="Arial" w:cs="Arial" w:eastAsia="Arial" w:hAnsi="Arial"/>
          <w:sz w:val="16"/>
          <w:szCs w:val="16"/>
          <w:b w:val="1"/>
          <w:bCs w:val="1"/>
          <w:color w:val="FFFFFF"/>
          <w:shd w:val="clear" w:color="auto" w:fill="008A5F"/>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t>Six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20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178,913</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19,598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198,511</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51,360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57,663</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5,663</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17"/>
        </w:trPr>
        <w:tc>
          <w:tcPr>
            <w:tcW w:w="440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66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246,900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28,184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275,084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shd w:val="clear" w:color="auto" w:fill="E7E7E8"/>
          </w:tcPr>
          <w:p>
            <w:pPr>
              <w:spacing w:after="0"/>
              <w:rPr>
                <w:sz w:val="15"/>
                <w:szCs w:val="15"/>
                <w:color w:val="auto"/>
              </w:rPr>
            </w:pPr>
          </w:p>
        </w:tc>
        <w:tc>
          <w:tcPr>
            <w:tcW w:w="16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5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15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13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49,562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4,729</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54,291</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49,250</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6,398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55,648</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7,442</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8,691</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40,904</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6,411</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47,315</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w:t>
            </w:r>
          </w:p>
        </w:tc>
        <w:tc>
          <w:tcPr>
            <w:tcW w:w="1660" w:type="dxa"/>
            <w:vAlign w:val="bottom"/>
            <w:tcBorders>
              <w:bottom w:val="single" w:sz="8" w:color="E7E7E8"/>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96,549</w:t>
            </w:r>
          </w:p>
        </w:tc>
        <w:tc>
          <w:tcPr>
            <w:tcW w:w="100" w:type="dxa"/>
            <w:vAlign w:val="bottom"/>
            <w:tcBorders>
              <w:bottom w:val="single" w:sz="8" w:color="E7E7E8"/>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9,012</w:t>
            </w:r>
          </w:p>
        </w:tc>
        <w:tc>
          <w:tcPr>
            <w:tcW w:w="100" w:type="dxa"/>
            <w:vAlign w:val="bottom"/>
            <w:tcBorders>
              <w:bottom w:val="single" w:sz="8" w:color="E7E7E8"/>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105,561</w:t>
            </w:r>
          </w:p>
        </w:tc>
        <w:tc>
          <w:tcPr>
            <w:tcW w:w="0" w:type="dxa"/>
            <w:vAlign w:val="bottom"/>
          </w:tcPr>
          <w:p>
            <w:pPr>
              <w:spacing w:after="0"/>
              <w:rPr>
                <w:sz w:val="1"/>
                <w:szCs w:val="1"/>
                <w:color w:val="auto"/>
              </w:rPr>
            </w:pPr>
          </w:p>
        </w:tc>
      </w:tr>
      <w:tr>
        <w:trPr>
          <w:trHeight w:val="224"/>
        </w:trPr>
        <w:tc>
          <w:tcPr>
            <w:tcW w:w="4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90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70,716</w:t>
            </w:r>
          </w:p>
        </w:tc>
        <w:tc>
          <w:tcPr>
            <w:tcW w:w="100" w:type="dxa"/>
            <w:vAlign w:val="bottom"/>
            <w:shd w:val="clear" w:color="auto" w:fill="E7E7E8"/>
          </w:tcPr>
          <w:p>
            <w:pPr>
              <w:spacing w:after="0"/>
              <w:rPr>
                <w:sz w:val="19"/>
                <w:szCs w:val="19"/>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6,692</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77,408</w:t>
            </w:r>
          </w:p>
        </w:tc>
        <w:tc>
          <w:tcPr>
            <w:tcW w:w="0" w:type="dxa"/>
            <w:vAlign w:val="bottom"/>
          </w:tcPr>
          <w:p>
            <w:pPr>
              <w:spacing w:after="0"/>
              <w:rPr>
                <w:sz w:val="1"/>
                <w:szCs w:val="1"/>
                <w:color w:val="auto"/>
              </w:rPr>
            </w:pPr>
          </w:p>
        </w:tc>
      </w:tr>
      <w:tr>
        <w:trPr>
          <w:trHeight w:val="20"/>
        </w:trPr>
        <w:tc>
          <w:tcPr>
            <w:tcW w:w="440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66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00" w:type="dxa"/>
            <w:vAlign w:val="bottom"/>
          </w:tcPr>
          <w:p>
            <w:pPr>
              <w:spacing w:after="0"/>
              <w:rPr>
                <w:sz w:val="6"/>
                <w:szCs w:val="6"/>
                <w:color w:val="auto"/>
              </w:rPr>
            </w:pPr>
          </w:p>
        </w:tc>
        <w:tc>
          <w:tcPr>
            <w:tcW w:w="19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84,146</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8,802</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92,948</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61,455</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3,308</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64,763</w:t>
            </w:r>
          </w:p>
        </w:tc>
        <w:tc>
          <w:tcPr>
            <w:tcW w:w="0" w:type="dxa"/>
            <w:vAlign w:val="bottom"/>
          </w:tcPr>
          <w:p>
            <w:pPr>
              <w:spacing w:after="0"/>
              <w:rPr>
                <w:sz w:val="1"/>
                <w:szCs w:val="1"/>
                <w:color w:val="auto"/>
              </w:rPr>
            </w:pPr>
          </w:p>
        </w:tc>
      </w:tr>
      <w:tr>
        <w:trPr>
          <w:trHeight w:val="521"/>
        </w:trPr>
        <w:tc>
          <w:tcPr>
            <w:tcW w:w="4400" w:type="dxa"/>
            <w:vAlign w:val="bottom"/>
          </w:tcPr>
          <w:p>
            <w:pPr>
              <w:spacing w:after="0"/>
              <w:rPr>
                <w:sz w:val="24"/>
                <w:szCs w:val="24"/>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4"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6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500" w:type="dxa"/>
            <w:vAlign w:val="bottom"/>
            <w:gridSpan w:val="5"/>
            <w:shd w:val="clear" w:color="auto" w:fill="008A5F"/>
          </w:tcPr>
          <w:p>
            <w:pPr>
              <w:ind w:left="360"/>
              <w:spacing w:after="0"/>
              <w:rPr>
                <w:sz w:val="20"/>
                <w:szCs w:val="20"/>
                <w:color w:val="auto"/>
              </w:rPr>
            </w:pPr>
            <w:r>
              <w:rPr>
                <w:rFonts w:ascii="Arial" w:cs="Arial" w:eastAsia="Arial" w:hAnsi="Arial"/>
                <w:sz w:val="16"/>
                <w:szCs w:val="16"/>
                <w:b w:val="1"/>
                <w:bCs w:val="1"/>
                <w:color w:val="FFFFFF"/>
              </w:rPr>
              <w:t>Six Months Ended June 30, 2017</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74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Modular - US</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126,032</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16,204</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141,941</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38,324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41,953</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12,556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8,712</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c>
          <w:tcPr>
            <w:tcW w:w="0" w:type="dxa"/>
            <w:vAlign w:val="bottom"/>
          </w:tcPr>
          <w:p>
            <w:pPr>
              <w:spacing w:after="0"/>
              <w:rPr>
                <w:sz w:val="1"/>
                <w:szCs w:val="1"/>
                <w:color w:val="auto"/>
              </w:rPr>
            </w:pPr>
          </w:p>
        </w:tc>
      </w:tr>
      <w:tr>
        <w:trPr>
          <w:trHeight w:val="247"/>
        </w:trPr>
        <w:tc>
          <w:tcPr>
            <w:tcW w:w="424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185,624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24,069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209,398</w:t>
            </w:r>
          </w:p>
        </w:tc>
        <w:tc>
          <w:tcPr>
            <w:tcW w:w="0" w:type="dxa"/>
            <w:vAlign w:val="bottom"/>
          </w:tcPr>
          <w:p>
            <w:pPr>
              <w:spacing w:after="0"/>
              <w:rPr>
                <w:sz w:val="1"/>
                <w:szCs w:val="1"/>
                <w:color w:val="auto"/>
              </w:rPr>
            </w:pPr>
          </w:p>
        </w:tc>
      </w:tr>
      <w:tr>
        <w:trPr>
          <w:trHeight w:val="172"/>
        </w:trPr>
        <w:tc>
          <w:tcPr>
            <w:tcW w:w="42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36,713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3,729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40,442</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37,067</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40,472</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8,685</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10,486</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28,354</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5,840</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34,194</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69,769</w:t>
            </w:r>
          </w:p>
        </w:tc>
        <w:tc>
          <w:tcPr>
            <w:tcW w:w="12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E7E7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77,521</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50,012</w:t>
            </w:r>
          </w:p>
        </w:tc>
        <w:tc>
          <w:tcPr>
            <w:tcW w:w="12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5,625</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(7,444)</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48,193</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48,127</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8,277</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8,009</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64,413</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47,958</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50,302</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from continuing operations before income tax to Adjusted EBITDA by segment for the three and six months ended June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29"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FFFFFF"/>
        </w:rPr>
        <w:t>Three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4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880" w:type="dxa"/>
            <w:vAlign w:val="bottom"/>
            <w:gridSpan w:val="2"/>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(6,266)</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12,155</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21,571</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3,469</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25,040</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Integration costs</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4,785</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Stock compensation expense</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80"/>
        </w:trPr>
        <w:tc>
          <w:tcPr>
            <w:tcW w:w="474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(income) expense</w:t>
            </w:r>
          </w:p>
        </w:tc>
        <w:tc>
          <w:tcPr>
            <w:tcW w:w="1660" w:type="dxa"/>
            <w:vAlign w:val="bottom"/>
            <w:tcBorders>
              <w:bottom w:val="single" w:sz="8" w:color="E7E7E8"/>
            </w:tcBorders>
            <w:shd w:val="clear" w:color="auto" w:fill="E7E7E8"/>
          </w:tcPr>
          <w:p>
            <w:pPr>
              <w:spacing w:after="0"/>
              <w:rPr>
                <w:sz w:val="24"/>
                <w:szCs w:val="24"/>
                <w:color w:val="auto"/>
              </w:rPr>
            </w:pPr>
          </w:p>
        </w:tc>
        <w:tc>
          <w:tcPr>
            <w:tcW w:w="220" w:type="dxa"/>
            <w:vAlign w:val="bottom"/>
            <w:tcBorders>
              <w:bottom w:val="single" w:sz="8" w:color="E7E7E8"/>
            </w:tcBorders>
            <w:shd w:val="clear" w:color="auto" w:fill="E7E7E8"/>
          </w:tcPr>
          <w:p>
            <w:pPr>
              <w:spacing w:after="0"/>
              <w:rPr>
                <w:sz w:val="24"/>
                <w:szCs w:val="24"/>
                <w:color w:val="auto"/>
              </w:rPr>
            </w:pPr>
          </w:p>
        </w:tc>
        <w:tc>
          <w:tcPr>
            <w:tcW w:w="1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E7E7E8"/>
            </w:tcBorders>
            <w:shd w:val="clear" w:color="auto" w:fill="E7E7E8"/>
          </w:tcPr>
          <w:p>
            <w:pPr>
              <w:spacing w:after="0"/>
              <w:rPr>
                <w:sz w:val="24"/>
                <w:szCs w:val="24"/>
                <w:color w:val="auto"/>
              </w:rPr>
            </w:pPr>
          </w:p>
        </w:tc>
        <w:tc>
          <w:tcPr>
            <w:tcW w:w="160" w:type="dxa"/>
            <w:vAlign w:val="bottom"/>
            <w:tcBorders>
              <w:bottom w:val="single" w:sz="8" w:color="E7E7E8"/>
            </w:tcBorders>
            <w:shd w:val="clear" w:color="auto" w:fill="E7E7E8"/>
          </w:tcPr>
          <w:p>
            <w:pPr>
              <w:spacing w:after="0"/>
              <w:rPr>
                <w:sz w:val="24"/>
                <w:szCs w:val="24"/>
                <w:color w:val="auto"/>
              </w:rPr>
            </w:pP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4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38,104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41,916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60" w:type="dxa"/>
            <w:vAlign w:val="bottom"/>
            <w:vMerge w:val="restart"/>
          </w:tcPr>
          <w:p>
            <w:pPr>
              <w:jc w:val="right"/>
              <w:ind w:right="519"/>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4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3240" w:type="dxa"/>
            <w:vAlign w:val="bottom"/>
            <w:gridSpan w:val="5"/>
            <w:shd w:val="clear" w:color="auto" w:fill="008A5F"/>
          </w:tcPr>
          <w:p>
            <w:pPr>
              <w:ind w:left="140"/>
              <w:spacing w:after="0"/>
              <w:rPr>
                <w:sz w:val="20"/>
                <w:szCs w:val="20"/>
                <w:color w:val="auto"/>
              </w:rPr>
            </w:pPr>
            <w:r>
              <w:rPr>
                <w:rFonts w:ascii="Arial" w:cs="Arial" w:eastAsia="Arial" w:hAnsi="Arial"/>
                <w:sz w:val="16"/>
                <w:szCs w:val="16"/>
                <w:b w:val="1"/>
                <w:bCs w:val="1"/>
                <w:color w:val="FFFFFF"/>
              </w:rPr>
              <w:t>Three Months Ended June 30, 2017</w:t>
            </w: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spacing w:after="0"/>
              <w:rPr>
                <w:sz w:val="21"/>
                <w:szCs w:val="21"/>
                <w:color w:val="auto"/>
              </w:rPr>
            </w:pPr>
          </w:p>
        </w:tc>
      </w:tr>
      <w:tr>
        <w:trPr>
          <w:trHeight w:val="218"/>
        </w:trPr>
        <w:tc>
          <w:tcPr>
            <w:tcW w:w="4700" w:type="dxa"/>
            <w:vAlign w:val="bottom"/>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2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540" w:type="dxa"/>
            <w:vAlign w:val="bottom"/>
            <w:shd w:val="clear" w:color="auto" w:fill="008A5F"/>
          </w:tcPr>
          <w:p>
            <w:pPr>
              <w:spacing w:after="0"/>
              <w:rPr>
                <w:sz w:val="18"/>
                <w:szCs w:val="18"/>
                <w:color w:val="auto"/>
              </w:rPr>
            </w:pPr>
          </w:p>
        </w:tc>
        <w:tc>
          <w:tcPr>
            <w:tcW w:w="10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40" w:type="dxa"/>
            <w:vAlign w:val="bottom"/>
            <w:shd w:val="clear" w:color="auto" w:fill="008A5F"/>
          </w:tcPr>
          <w:p>
            <w:pPr>
              <w:spacing w:after="0"/>
              <w:rPr>
                <w:sz w:val="18"/>
                <w:szCs w:val="18"/>
                <w:color w:val="auto"/>
              </w:rPr>
            </w:pPr>
          </w:p>
        </w:tc>
      </w:tr>
      <w:tr>
        <w:trPr>
          <w:trHeight w:val="234"/>
        </w:trPr>
        <w:tc>
          <w:tcPr>
            <w:tcW w:w="47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E7E7E8"/>
          </w:tcPr>
          <w:p>
            <w:pPr>
              <w:spacing w:after="0"/>
              <w:rPr>
                <w:sz w:val="23"/>
                <w:szCs w:val="23"/>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(13,883)</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(15,005)</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15,953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26,398</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4"/>
                <w:szCs w:val="24"/>
                <w:color w:val="auto"/>
              </w:rPr>
            </w:pP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15,830</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3,189</w:t>
            </w:r>
          </w:p>
        </w:tc>
        <w:tc>
          <w:tcPr>
            <w:tcW w:w="100" w:type="dxa"/>
            <w:vAlign w:val="bottom"/>
            <w:shd w:val="clear" w:color="auto" w:fill="E7E7E8"/>
          </w:tcPr>
          <w:p>
            <w:pPr>
              <w:spacing w:after="0"/>
              <w:rPr>
                <w:sz w:val="24"/>
                <w:szCs w:val="24"/>
                <w:color w:val="auto"/>
              </w:rPr>
            </w:pP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19,364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(6,497)</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4"/>
                <w:szCs w:val="24"/>
                <w:color w:val="auto"/>
              </w:rPr>
            </w:pPr>
          </w:p>
        </w:tc>
        <w:tc>
          <w:tcPr>
            <w:tcW w:w="15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776</w:t>
            </w:r>
          </w:p>
        </w:tc>
      </w:tr>
      <w:tr>
        <w:trPr>
          <w:trHeight w:val="280"/>
        </w:trPr>
        <w:tc>
          <w:tcPr>
            <w:tcW w:w="47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expense</w:t>
            </w:r>
          </w:p>
        </w:tc>
        <w:tc>
          <w:tcPr>
            <w:tcW w:w="2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7E7E8"/>
            </w:tcBorders>
            <w:shd w:val="clear" w:color="auto" w:fill="E7E7E8"/>
          </w:tcPr>
          <w:p>
            <w:pPr>
              <w:spacing w:after="0"/>
              <w:rPr>
                <w:sz w:val="24"/>
                <w:szCs w:val="24"/>
                <w:color w:val="auto"/>
              </w:rPr>
            </w:pPr>
          </w:p>
        </w:tc>
        <w:tc>
          <w:tcPr>
            <w:tcW w:w="160" w:type="dxa"/>
            <w:vAlign w:val="bottom"/>
            <w:tcBorders>
              <w:bottom w:val="single" w:sz="8" w:color="E7E7E8"/>
            </w:tcBorders>
            <w:shd w:val="clear" w:color="auto" w:fill="E7E7E8"/>
          </w:tcPr>
          <w:p>
            <w:pPr>
              <w:spacing w:after="0"/>
              <w:rPr>
                <w:sz w:val="24"/>
                <w:szCs w:val="24"/>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E7E7E8"/>
            </w:tcBorders>
            <w:shd w:val="clear" w:color="auto" w:fill="E7E7E8"/>
          </w:tcPr>
          <w:p>
            <w:pPr>
              <w:spacing w:after="0"/>
              <w:rPr>
                <w:sz w:val="24"/>
                <w:szCs w:val="24"/>
                <w:color w:val="auto"/>
              </w:rPr>
            </w:pPr>
          </w:p>
        </w:tc>
        <w:tc>
          <w:tcPr>
            <w:tcW w:w="540" w:type="dxa"/>
            <w:vAlign w:val="bottom"/>
            <w:tcBorders>
              <w:bottom w:val="single" w:sz="8" w:color="E7E7E8"/>
            </w:tcBorders>
            <w:shd w:val="clear" w:color="auto" w:fill="E7E7E8"/>
          </w:tcPr>
          <w:p>
            <w:pPr>
              <w:spacing w:after="0"/>
              <w:rPr>
                <w:sz w:val="24"/>
                <w:szCs w:val="24"/>
                <w:color w:val="auto"/>
              </w:rPr>
            </w:pPr>
          </w:p>
        </w:tc>
        <w:tc>
          <w:tcPr>
            <w:tcW w:w="10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527</w:t>
            </w:r>
          </w:p>
        </w:tc>
      </w:tr>
      <w:tr>
        <w:trPr>
          <w:trHeight w:val="234"/>
        </w:trPr>
        <w:tc>
          <w:tcPr>
            <w:tcW w:w="47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26,329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26,247</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32"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FFFFFF"/>
        </w:rPr>
        <w:t>Six Months Ended June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r>
      <w:tr>
        <w:trPr>
          <w:trHeight w:val="234"/>
        </w:trPr>
        <w:tc>
          <w:tcPr>
            <w:tcW w:w="64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6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(10,841)</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(13,521)</w:t>
            </w:r>
          </w:p>
        </w:tc>
      </w:tr>
      <w:tr>
        <w:trPr>
          <w:trHeight w:val="260"/>
        </w:trPr>
        <w:tc>
          <w:tcPr>
            <w:tcW w:w="64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22,823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23,874</w:t>
            </w:r>
          </w:p>
        </w:tc>
      </w:tr>
      <w:tr>
        <w:trPr>
          <w:trHeight w:val="280"/>
        </w:trPr>
        <w:tc>
          <w:tcPr>
            <w:tcW w:w="64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44,463</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6,858</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51,321</w:t>
            </w:r>
          </w:p>
        </w:tc>
      </w:tr>
      <w:tr>
        <w:trPr>
          <w:trHeight w:val="260"/>
        </w:trPr>
        <w:tc>
          <w:tcPr>
            <w:tcW w:w="640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1,596</w:t>
            </w:r>
          </w:p>
        </w:tc>
      </w:tr>
      <w:tr>
        <w:trPr>
          <w:trHeight w:val="280"/>
        </w:trPr>
        <w:tc>
          <w:tcPr>
            <w:tcW w:w="64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1,077</w:t>
            </w:r>
          </w:p>
        </w:tc>
      </w:tr>
      <w:tr>
        <w:trPr>
          <w:trHeight w:val="260"/>
        </w:trPr>
        <w:tc>
          <w:tcPr>
            <w:tcW w:w="6400" w:type="dxa"/>
            <w:vAlign w:val="bottom"/>
          </w:tcPr>
          <w:p>
            <w:pPr>
              <w:ind w:left="280"/>
              <w:spacing w:after="0"/>
              <w:rPr>
                <w:sz w:val="20"/>
                <w:szCs w:val="20"/>
                <w:color w:val="auto"/>
              </w:rPr>
            </w:pPr>
            <w:r>
              <w:rPr>
                <w:rFonts w:ascii="Arial" w:cs="Arial" w:eastAsia="Arial" w:hAnsi="Arial"/>
                <w:sz w:val="16"/>
                <w:szCs w:val="16"/>
                <w:color w:val="auto"/>
              </w:rPr>
              <w:t>Integration costs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7,415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7,415</w:t>
            </w:r>
          </w:p>
        </w:tc>
      </w:tr>
      <w:tr>
        <w:trPr>
          <w:trHeight w:val="280"/>
        </w:trPr>
        <w:tc>
          <w:tcPr>
            <w:tcW w:w="64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Stock compensation expense</w:t>
            </w: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1,175</w:t>
            </w:r>
          </w:p>
        </w:tc>
      </w:tr>
      <w:tr>
        <w:trPr>
          <w:trHeight w:val="260"/>
        </w:trPr>
        <w:tc>
          <w:tcPr>
            <w:tcW w:w="640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80"/>
        </w:trPr>
        <w:tc>
          <w:tcPr>
            <w:tcW w:w="6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expense</w:t>
            </w:r>
          </w:p>
        </w:tc>
        <w:tc>
          <w:tcPr>
            <w:tcW w:w="220" w:type="dxa"/>
            <w:vAlign w:val="bottom"/>
            <w:tcBorders>
              <w:bottom w:val="single" w:sz="8" w:color="E7E7E8"/>
            </w:tcBorders>
            <w:shd w:val="clear" w:color="auto" w:fill="E7E7E8"/>
          </w:tcPr>
          <w:p>
            <w:pPr>
              <w:spacing w:after="0"/>
              <w:rPr>
                <w:sz w:val="24"/>
                <w:szCs w:val="24"/>
                <w:color w:val="auto"/>
              </w:rPr>
            </w:pPr>
          </w:p>
        </w:tc>
        <w:tc>
          <w:tcPr>
            <w:tcW w:w="14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E7E7E8"/>
            </w:tcBorders>
            <w:shd w:val="clear" w:color="auto" w:fill="E7E7E8"/>
          </w:tcPr>
          <w:p>
            <w:pPr>
              <w:spacing w:after="0"/>
              <w:rPr>
                <w:sz w:val="24"/>
                <w:szCs w:val="24"/>
                <w:color w:val="auto"/>
              </w:rPr>
            </w:pPr>
          </w:p>
        </w:tc>
        <w:tc>
          <w:tcPr>
            <w:tcW w:w="160" w:type="dxa"/>
            <w:vAlign w:val="bottom"/>
            <w:tcBorders>
              <w:bottom w:val="single" w:sz="8" w:color="E7E7E8"/>
            </w:tcBorders>
            <w:shd w:val="clear" w:color="auto" w:fill="E7E7E8"/>
          </w:tcPr>
          <w:p>
            <w:pPr>
              <w:spacing w:after="0"/>
              <w:rPr>
                <w:sz w:val="24"/>
                <w:szCs w:val="24"/>
                <w:color w:val="auto"/>
              </w:rPr>
            </w:pP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353</w:t>
            </w:r>
          </w:p>
        </w:tc>
      </w:tr>
      <w:tr>
        <w:trPr>
          <w:trHeight w:val="234"/>
        </w:trPr>
        <w:tc>
          <w:tcPr>
            <w:tcW w:w="64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70,716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77,408</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4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3240" w:type="dxa"/>
            <w:vAlign w:val="bottom"/>
            <w:gridSpan w:val="5"/>
            <w:shd w:val="clear" w:color="auto" w:fill="008A5F"/>
          </w:tcPr>
          <w:p>
            <w:pPr>
              <w:ind w:left="240"/>
              <w:spacing w:after="0"/>
              <w:rPr>
                <w:sz w:val="20"/>
                <w:szCs w:val="20"/>
                <w:color w:val="auto"/>
              </w:rPr>
            </w:pPr>
            <w:r>
              <w:rPr>
                <w:rFonts w:ascii="Arial" w:cs="Arial" w:eastAsia="Arial" w:hAnsi="Arial"/>
                <w:sz w:val="16"/>
                <w:szCs w:val="16"/>
                <w:b w:val="1"/>
                <w:bCs w:val="1"/>
                <w:color w:val="FFFFFF"/>
              </w:rPr>
              <w:t>Six Months Ended June 30, 2017</w:t>
            </w: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spacing w:after="0"/>
              <w:rPr>
                <w:sz w:val="21"/>
                <w:szCs w:val="21"/>
                <w:color w:val="auto"/>
              </w:rPr>
            </w:pPr>
          </w:p>
        </w:tc>
      </w:tr>
      <w:tr>
        <w:trPr>
          <w:trHeight w:val="218"/>
        </w:trPr>
        <w:tc>
          <w:tcPr>
            <w:tcW w:w="4700" w:type="dxa"/>
            <w:vAlign w:val="bottom"/>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2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540" w:type="dxa"/>
            <w:vAlign w:val="bottom"/>
            <w:shd w:val="clear" w:color="auto" w:fill="008A5F"/>
          </w:tcPr>
          <w:p>
            <w:pPr>
              <w:spacing w:after="0"/>
              <w:rPr>
                <w:sz w:val="18"/>
                <w:szCs w:val="18"/>
                <w:color w:val="auto"/>
              </w:rPr>
            </w:pPr>
          </w:p>
        </w:tc>
        <w:tc>
          <w:tcPr>
            <w:tcW w:w="10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40" w:type="dxa"/>
            <w:vAlign w:val="bottom"/>
            <w:shd w:val="clear" w:color="auto" w:fill="008A5F"/>
          </w:tcPr>
          <w:p>
            <w:pPr>
              <w:spacing w:after="0"/>
              <w:rPr>
                <w:sz w:val="18"/>
                <w:szCs w:val="18"/>
                <w:color w:val="auto"/>
              </w:rPr>
            </w:pPr>
          </w:p>
        </w:tc>
      </w:tr>
      <w:tr>
        <w:trPr>
          <w:trHeight w:val="234"/>
        </w:trPr>
        <w:tc>
          <w:tcPr>
            <w:tcW w:w="47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(5,210)</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E7E7E8"/>
          </w:tcPr>
          <w:p>
            <w:pPr>
              <w:spacing w:after="0"/>
              <w:rPr>
                <w:sz w:val="23"/>
                <w:szCs w:val="23"/>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(24,590)</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(32,258)</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31,512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48,475</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4"/>
                <w:szCs w:val="24"/>
                <w:color w:val="auto"/>
              </w:rPr>
            </w:pP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30,993</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E7E7E8"/>
          </w:tcPr>
          <w:p>
            <w:pPr>
              <w:spacing w:after="0"/>
              <w:rPr>
                <w:sz w:val="24"/>
                <w:szCs w:val="24"/>
                <w:color w:val="auto"/>
              </w:rPr>
            </w:pP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38,025</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(8,499)</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4"/>
                <w:szCs w:val="24"/>
                <w:color w:val="auto"/>
              </w:rPr>
            </w:pPr>
          </w:p>
        </w:tc>
        <w:tc>
          <w:tcPr>
            <w:tcW w:w="15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280"/>
        </w:trPr>
        <w:tc>
          <w:tcPr>
            <w:tcW w:w="47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expense</w:t>
            </w:r>
          </w:p>
        </w:tc>
        <w:tc>
          <w:tcPr>
            <w:tcW w:w="2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E7E7E8"/>
            </w:tcBorders>
            <w:shd w:val="clear" w:color="auto" w:fill="E7E7E8"/>
          </w:tcPr>
          <w:p>
            <w:pPr>
              <w:spacing w:after="0"/>
              <w:rPr>
                <w:sz w:val="24"/>
                <w:szCs w:val="24"/>
                <w:color w:val="auto"/>
              </w:rPr>
            </w:pPr>
          </w:p>
        </w:tc>
        <w:tc>
          <w:tcPr>
            <w:tcW w:w="160" w:type="dxa"/>
            <w:vAlign w:val="bottom"/>
            <w:tcBorders>
              <w:bottom w:val="single" w:sz="8" w:color="E7E7E8"/>
            </w:tcBorders>
            <w:shd w:val="clear" w:color="auto" w:fill="E7E7E8"/>
          </w:tcPr>
          <w:p>
            <w:pPr>
              <w:spacing w:after="0"/>
              <w:rPr>
                <w:sz w:val="24"/>
                <w:szCs w:val="24"/>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E7E7E8"/>
            </w:tcBorders>
            <w:shd w:val="clear" w:color="auto" w:fill="E7E7E8"/>
          </w:tcPr>
          <w:p>
            <w:pPr>
              <w:spacing w:after="0"/>
              <w:rPr>
                <w:sz w:val="24"/>
                <w:szCs w:val="24"/>
                <w:color w:val="auto"/>
              </w:rPr>
            </w:pPr>
          </w:p>
        </w:tc>
        <w:tc>
          <w:tcPr>
            <w:tcW w:w="540" w:type="dxa"/>
            <w:vAlign w:val="bottom"/>
            <w:tcBorders>
              <w:bottom w:val="single" w:sz="8" w:color="E7E7E8"/>
            </w:tcBorders>
            <w:shd w:val="clear" w:color="auto" w:fill="E7E7E8"/>
          </w:tcPr>
          <w:p>
            <w:pPr>
              <w:spacing w:after="0"/>
              <w:rPr>
                <w:sz w:val="24"/>
                <w:szCs w:val="24"/>
                <w:color w:val="auto"/>
              </w:rPr>
            </w:pPr>
          </w:p>
        </w:tc>
        <w:tc>
          <w:tcPr>
            <w:tcW w:w="10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620</w:t>
            </w:r>
          </w:p>
        </w:tc>
      </w:tr>
      <w:tr>
        <w:trPr>
          <w:trHeight w:val="234"/>
        </w:trPr>
        <w:tc>
          <w:tcPr>
            <w:tcW w:w="47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50,012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48,193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NOTE 14 - Income (Loss) Per Share</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Basic income (loss) per share (“EPS”) is calculated by dividing net income (loss) attributable to WSC by the weighted average number of Class A common stock shares outstanding during the period. Concurrently with the Business Combination,12,425,000 of Class A shares were placed into escrow and were not entitled to vote or participate in the economic rewards available to the other Class A shareholders. On January 19, 2018, 6,212,500 shares of WSC Class A common stock were released from the escrow account. The remaining 6,212,500 shares of WSC Class A common stock in escrow are not included in the LPS calculation. In July 2018, certain contingencies were satisfied that under the earnout agreement governing the release of the escrowed shares, will result in the release of the remaining escrowed shares to Double Eagle, Harry E. Sloan and Sapphire upon the delivery of release instructions to the escrow agent.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99"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LPS calculation.</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Diluted EPS is computed similarly to basic net income (loss) per share, except that it includes the potential dilution that could occur if dilutive securities were exercised. Effects of potentially dilutive securities are presented only in periods in which they are dilutive. Stock options and restricted stock units, representing 589,257 and 886,680 shares of Class A common stock outstanding for the three and six months ended June 30, 2018, were excluded from the computation of diluted earnings per share because their effect would have been anti-dilutive.</w:t>
      </w:r>
    </w:p>
    <w:p>
      <w:pPr>
        <w:spacing w:after="0" w:line="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is a reconciliation of net income (loss) and weighted-average shares of common stock outstanding for purposes of calculating basic and diluted income (loss) per share for the three and six months ended June 30,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3280" w:type="dxa"/>
            <w:vAlign w:val="bottom"/>
            <w:gridSpan w:val="5"/>
            <w:shd w:val="clear" w:color="auto" w:fill="008A5F"/>
          </w:tcPr>
          <w:p>
            <w:pPr>
              <w:ind w:left="260"/>
              <w:spacing w:after="0"/>
              <w:rPr>
                <w:sz w:val="20"/>
                <w:szCs w:val="20"/>
                <w:color w:val="auto"/>
              </w:rPr>
            </w:pPr>
            <w:r>
              <w:rPr>
                <w:rFonts w:ascii="Arial" w:cs="Arial" w:eastAsia="Arial" w:hAnsi="Arial"/>
                <w:sz w:val="16"/>
                <w:szCs w:val="16"/>
                <w:b w:val="1"/>
                <w:bCs w:val="1"/>
                <w:color w:val="FFFFFF"/>
              </w:rPr>
              <w:t>Three Months Ended June 30,</w:t>
            </w:r>
          </w:p>
        </w:tc>
        <w:tc>
          <w:tcPr>
            <w:tcW w:w="400" w:type="dxa"/>
            <w:vAlign w:val="bottom"/>
            <w:shd w:val="clear" w:color="auto" w:fill="008A5F"/>
          </w:tcPr>
          <w:p>
            <w:pPr>
              <w:spacing w:after="0"/>
              <w:rPr>
                <w:sz w:val="21"/>
                <w:szCs w:val="21"/>
                <w:color w:val="auto"/>
              </w:rPr>
            </w:pPr>
          </w:p>
        </w:tc>
        <w:tc>
          <w:tcPr>
            <w:tcW w:w="3120" w:type="dxa"/>
            <w:vAlign w:val="bottom"/>
            <w:gridSpan w:val="4"/>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Six Months Ended June 30,</w:t>
            </w:r>
          </w:p>
        </w:tc>
      </w:tr>
      <w:tr>
        <w:trPr>
          <w:trHeight w:val="290"/>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per share numbers)</w:t>
            </w:r>
          </w:p>
        </w:tc>
        <w:tc>
          <w:tcPr>
            <w:tcW w:w="380" w:type="dxa"/>
            <w:vAlign w:val="bottom"/>
            <w:shd w:val="clear" w:color="auto" w:fill="008A5F"/>
          </w:tcPr>
          <w:p>
            <w:pPr>
              <w:spacing w:after="0"/>
              <w:rPr>
                <w:sz w:val="24"/>
                <w:szCs w:val="24"/>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400" w:type="dxa"/>
            <w:vAlign w:val="bottom"/>
            <w:shd w:val="clear" w:color="auto" w:fill="008A5F"/>
          </w:tcPr>
          <w:p>
            <w:pPr>
              <w:spacing w:after="0"/>
              <w:rPr>
                <w:sz w:val="24"/>
                <w:szCs w:val="24"/>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400" w:type="dxa"/>
            <w:vAlign w:val="bottom"/>
            <w:shd w:val="clear" w:color="auto" w:fill="008A5F"/>
          </w:tcPr>
          <w:p>
            <w:pPr>
              <w:spacing w:after="0"/>
              <w:rPr>
                <w:sz w:val="24"/>
                <w:szCs w:val="24"/>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400" w:type="dxa"/>
            <w:vAlign w:val="bottom"/>
            <w:shd w:val="clear" w:color="auto" w:fill="008A5F"/>
          </w:tcPr>
          <w:p>
            <w:pPr>
              <w:spacing w:after="0"/>
              <w:rPr>
                <w:sz w:val="24"/>
                <w:szCs w:val="24"/>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Numerator</w:t>
            </w:r>
          </w:p>
        </w:tc>
        <w:tc>
          <w:tcPr>
            <w:tcW w:w="380" w:type="dxa"/>
            <w:vAlign w:val="bottom"/>
            <w:shd w:val="clear" w:color="auto" w:fill="E7E7E8"/>
          </w:tcPr>
          <w:p>
            <w:pPr>
              <w:spacing w:after="0"/>
              <w:rPr>
                <w:sz w:val="23"/>
                <w:szCs w:val="23"/>
                <w:color w:val="auto"/>
              </w:rPr>
            </w:pPr>
          </w:p>
        </w:tc>
        <w:tc>
          <w:tcPr>
            <w:tcW w:w="136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(22,120)</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380" w:type="dxa"/>
            <w:vAlign w:val="bottom"/>
            <w:shd w:val="clear" w:color="auto" w:fill="E7E7E8"/>
          </w:tcPr>
          <w:p>
            <w:pPr>
              <w:spacing w:after="0"/>
              <w:rPr>
                <w:sz w:val="23"/>
                <w:szCs w:val="23"/>
                <w:color w:val="auto"/>
              </w:rPr>
            </w:pPr>
          </w:p>
        </w:tc>
        <w:tc>
          <w:tcPr>
            <w:tcW w:w="148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6,045</w:t>
            </w:r>
          </w:p>
        </w:tc>
      </w:tr>
      <w:tr>
        <w:trPr>
          <w:trHeight w:val="247"/>
        </w:trPr>
        <w:tc>
          <w:tcPr>
            <w:tcW w:w="42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(16,075)</w:t>
            </w:r>
          </w:p>
        </w:tc>
      </w:tr>
      <w:tr>
        <w:trPr>
          <w:trHeight w:val="228"/>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Net income (loss) attributable to non-controlling</w:t>
            </w:r>
          </w:p>
        </w:tc>
        <w:tc>
          <w:tcPr>
            <w:tcW w:w="38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r>
      <w:tr>
        <w:trPr>
          <w:trHeight w:val="208"/>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interest, net of tax</w:t>
            </w:r>
          </w:p>
        </w:tc>
        <w:tc>
          <w:tcPr>
            <w:tcW w:w="380" w:type="dxa"/>
            <w:vAlign w:val="bottom"/>
            <w:shd w:val="clear" w:color="auto" w:fill="E7E7E8"/>
          </w:tcPr>
          <w:p>
            <w:pPr>
              <w:spacing w:after="0"/>
              <w:rPr>
                <w:sz w:val="18"/>
                <w:szCs w:val="18"/>
                <w:color w:val="auto"/>
              </w:rPr>
            </w:pPr>
          </w:p>
        </w:tc>
        <w:tc>
          <w:tcPr>
            <w:tcW w:w="1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2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Total income (loss) attributable to WSC</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E7E7E8"/>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E7E7E8"/>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100" w:type="dxa"/>
            <w:vAlign w:val="bottom"/>
            <w:tcBorders>
              <w:bottom w:val="single" w:sz="8" w:color="E7E7E8"/>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(16,075)</w:t>
            </w:r>
          </w:p>
        </w:tc>
      </w:tr>
      <w:tr>
        <w:trPr>
          <w:trHeight w:val="173"/>
        </w:trPr>
        <w:tc>
          <w:tcPr>
            <w:tcW w:w="42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136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400" w:type="dxa"/>
            <w:vAlign w:val="bottom"/>
            <w:shd w:val="clear" w:color="auto" w:fill="E7E7E8"/>
          </w:tcPr>
          <w:p>
            <w:pPr>
              <w:spacing w:after="0"/>
              <w:rPr>
                <w:sz w:val="15"/>
                <w:szCs w:val="15"/>
                <w:color w:val="auto"/>
              </w:rPr>
            </w:pPr>
          </w:p>
        </w:tc>
        <w:tc>
          <w:tcPr>
            <w:tcW w:w="13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400" w:type="dxa"/>
            <w:vAlign w:val="bottom"/>
            <w:shd w:val="clear" w:color="auto" w:fill="E7E7E8"/>
          </w:tcPr>
          <w:p>
            <w:pPr>
              <w:spacing w:after="0"/>
              <w:rPr>
                <w:sz w:val="15"/>
                <w:szCs w:val="15"/>
                <w:color w:val="auto"/>
              </w:rPr>
            </w:pPr>
          </w:p>
        </w:tc>
        <w:tc>
          <w:tcPr>
            <w:tcW w:w="13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400" w:type="dxa"/>
            <w:vAlign w:val="bottom"/>
            <w:shd w:val="clear" w:color="auto" w:fill="E7E7E8"/>
          </w:tcPr>
          <w:p>
            <w:pPr>
              <w:spacing w:after="0"/>
              <w:rPr>
                <w:sz w:val="15"/>
                <w:szCs w:val="15"/>
                <w:color w:val="auto"/>
              </w:rPr>
            </w:pPr>
          </w:p>
        </w:tc>
        <w:tc>
          <w:tcPr>
            <w:tcW w:w="1300" w:type="dxa"/>
            <w:vAlign w:val="bottom"/>
            <w:shd w:val="clear" w:color="auto" w:fill="E7E7E8"/>
          </w:tcPr>
          <w:p>
            <w:pPr>
              <w:spacing w:after="0"/>
              <w:rPr>
                <w:sz w:val="15"/>
                <w:szCs w:val="15"/>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424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Average shares outstanding - basic</w:t>
            </w:r>
          </w:p>
        </w:tc>
        <w:tc>
          <w:tcPr>
            <w:tcW w:w="380" w:type="dxa"/>
            <w:vAlign w:val="bottom"/>
            <w:tcBorders>
              <w:bottom w:val="single" w:sz="8" w:color="E7E7E8"/>
            </w:tcBorders>
            <w:shd w:val="clear" w:color="auto" w:fill="E7E7E8"/>
          </w:tcPr>
          <w:p>
            <w:pPr>
              <w:spacing w:after="0"/>
              <w:rPr>
                <w:sz w:val="22"/>
                <w:szCs w:val="22"/>
                <w:color w:val="auto"/>
              </w:rPr>
            </w:pPr>
          </w:p>
        </w:tc>
        <w:tc>
          <w:tcPr>
            <w:tcW w:w="13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78,432,274</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77,814,456</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Average effect of dilutive securities:</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4240" w:type="dxa"/>
            <w:vAlign w:val="bottom"/>
            <w:tcBorders>
              <w:bottom w:val="single" w:sz="8" w:color="E7E7E8"/>
            </w:tcBorders>
            <w:shd w:val="clear" w:color="auto" w:fill="E7E7E8"/>
          </w:tcPr>
          <w:p>
            <w:pPr>
              <w:ind w:left="500"/>
              <w:spacing w:after="0"/>
              <w:rPr>
                <w:sz w:val="20"/>
                <w:szCs w:val="20"/>
                <w:color w:val="auto"/>
              </w:rPr>
            </w:pPr>
            <w:r>
              <w:rPr>
                <w:rFonts w:ascii="Arial" w:cs="Arial" w:eastAsia="Arial" w:hAnsi="Arial"/>
                <w:sz w:val="16"/>
                <w:szCs w:val="16"/>
                <w:color w:val="auto"/>
                <w:shd w:val="clear" w:color="auto" w:fill="E7E7E8"/>
              </w:rPr>
              <w:t>Warrants</w:t>
            </w:r>
          </w:p>
        </w:tc>
        <w:tc>
          <w:tcPr>
            <w:tcW w:w="380" w:type="dxa"/>
            <w:vAlign w:val="bottom"/>
            <w:tcBorders>
              <w:bottom w:val="single" w:sz="8" w:color="E7E7E8"/>
            </w:tcBorders>
            <w:shd w:val="clear" w:color="auto" w:fill="E7E7E8"/>
          </w:tcPr>
          <w:p>
            <w:pPr>
              <w:spacing w:after="0"/>
              <w:rPr>
                <w:sz w:val="22"/>
                <w:szCs w:val="22"/>
                <w:color w:val="auto"/>
              </w:rPr>
            </w:pPr>
          </w:p>
        </w:tc>
        <w:tc>
          <w:tcPr>
            <w:tcW w:w="13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3,745,030</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40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Pr>
          <w:p>
            <w:pPr>
              <w:ind w:left="500"/>
              <w:spacing w:after="0"/>
              <w:rPr>
                <w:sz w:val="20"/>
                <w:szCs w:val="20"/>
                <w:color w:val="auto"/>
              </w:rPr>
            </w:pPr>
            <w:r>
              <w:rPr>
                <w:rFonts w:ascii="Arial" w:cs="Arial" w:eastAsia="Arial" w:hAnsi="Arial"/>
                <w:sz w:val="16"/>
                <w:szCs w:val="16"/>
                <w:color w:val="auto"/>
              </w:rPr>
              <w:t>Restricted stock awards</w:t>
            </w:r>
          </w:p>
        </w:tc>
        <w:tc>
          <w:tcPr>
            <w:tcW w:w="3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Borders>
              <w:top w:val="single" w:sz="8" w:color="E7E7E8"/>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Average shares outstanding - diluted</w:t>
            </w:r>
          </w:p>
        </w:tc>
        <w:tc>
          <w:tcPr>
            <w:tcW w:w="380" w:type="dxa"/>
            <w:vAlign w:val="bottom"/>
            <w:tcBorders>
              <w:top w:val="single" w:sz="8" w:color="auto"/>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82,180,086</w:t>
            </w:r>
          </w:p>
        </w:tc>
        <w:tc>
          <w:tcPr>
            <w:tcW w:w="120" w:type="dxa"/>
            <w:vAlign w:val="bottom"/>
            <w:tcBorders>
              <w:top w:val="single" w:sz="8" w:color="E7E7E8"/>
              <w:bottom w:val="single" w:sz="8" w:color="E7E7E8"/>
            </w:tcBorders>
            <w:shd w:val="clear" w:color="auto" w:fill="E7E7E8"/>
          </w:tcPr>
          <w:p>
            <w:pPr>
              <w:spacing w:after="0"/>
              <w:rPr>
                <w:sz w:val="20"/>
                <w:szCs w:val="20"/>
                <w:color w:val="auto"/>
              </w:rPr>
            </w:pPr>
          </w:p>
        </w:tc>
        <w:tc>
          <w:tcPr>
            <w:tcW w:w="400" w:type="dxa"/>
            <w:vAlign w:val="bottom"/>
            <w:tcBorders>
              <w:top w:val="single" w:sz="8" w:color="auto"/>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400" w:type="dxa"/>
            <w:vAlign w:val="bottom"/>
            <w:tcBorders>
              <w:top w:val="single" w:sz="8" w:color="auto"/>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77,814,456</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400" w:type="dxa"/>
            <w:vAlign w:val="bottom"/>
            <w:tcBorders>
              <w:top w:val="single" w:sz="8" w:color="auto"/>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r>
      <w:tr>
        <w:trPr>
          <w:trHeight w:val="216"/>
        </w:trPr>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Income (loss) per share - basic</w:t>
            </w:r>
          </w:p>
        </w:tc>
        <w:tc>
          <w:tcPr>
            <w:tcW w:w="380" w:type="dxa"/>
            <w:vAlign w:val="bottom"/>
            <w:shd w:val="clear" w:color="auto" w:fill="E7E7E8"/>
          </w:tcPr>
          <w:p>
            <w:pPr>
              <w:spacing w:after="0"/>
              <w:rPr>
                <w:sz w:val="23"/>
                <w:szCs w:val="23"/>
                <w:color w:val="auto"/>
              </w:rPr>
            </w:pPr>
          </w:p>
        </w:tc>
        <w:tc>
          <w:tcPr>
            <w:tcW w:w="136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Continuing operations - 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8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Discontinued operations - basic</w:t>
            </w: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0.42</w:t>
            </w:r>
          </w:p>
        </w:tc>
      </w:tr>
      <w:tr>
        <w:trPr>
          <w:trHeight w:val="27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Net income (loss) per share - basic</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E7E7E8"/>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E7E7E8"/>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81"/>
        </w:trPr>
        <w:tc>
          <w:tcPr>
            <w:tcW w:w="424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36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Income (loss) per share - diluted</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Continuing operations - basic</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w:t>
            </w:r>
          </w:p>
        </w:tc>
      </w:tr>
      <w:tr>
        <w:trPr>
          <w:trHeight w:val="264"/>
        </w:trPr>
        <w:tc>
          <w:tcPr>
            <w:tcW w:w="42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Discontinued operations - basic</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0.42</w:t>
            </w:r>
          </w:p>
        </w:tc>
      </w:tr>
      <w:tr>
        <w:trPr>
          <w:trHeight w:val="240"/>
        </w:trPr>
        <w:tc>
          <w:tcPr>
            <w:tcW w:w="424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Net income (loss) per share - basic</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NOTE 15 - Related Parties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June 30, 2018 and December 31, 2017,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5100" w:type="dxa"/>
            <w:vAlign w:val="bottom"/>
            <w:shd w:val="clear" w:color="auto" w:fill="008A5F"/>
          </w:tcPr>
          <w:p>
            <w:pPr>
              <w:ind w:left="1820"/>
              <w:spacing w:after="0"/>
              <w:rPr>
                <w:sz w:val="20"/>
                <w:szCs w:val="20"/>
                <w:color w:val="auto"/>
              </w:rPr>
            </w:pPr>
            <w:r>
              <w:rPr>
                <w:rFonts w:ascii="Arial" w:cs="Arial" w:eastAsia="Arial" w:hAnsi="Arial"/>
                <w:sz w:val="16"/>
                <w:szCs w:val="16"/>
                <w:b w:val="1"/>
                <w:bCs w:val="1"/>
                <w:color w:val="FFFFFF"/>
              </w:rPr>
              <w:t>Financial statement line Item</w:t>
            </w:r>
          </w:p>
        </w:tc>
        <w:tc>
          <w:tcPr>
            <w:tcW w:w="200" w:type="dxa"/>
            <w:vAlign w:val="bottom"/>
            <w:shd w:val="clear" w:color="auto" w:fill="008A5F"/>
          </w:tcPr>
          <w:p>
            <w:pPr>
              <w:spacing w:after="0"/>
              <w:rPr>
                <w:sz w:val="23"/>
                <w:szCs w:val="23"/>
                <w:color w:val="auto"/>
              </w:rPr>
            </w:pPr>
          </w:p>
        </w:tc>
        <w:tc>
          <w:tcPr>
            <w:tcW w:w="15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June 30, 2018</w:t>
            </w:r>
          </w:p>
        </w:tc>
        <w:tc>
          <w:tcPr>
            <w:tcW w:w="16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2017</w:t>
            </w:r>
          </w:p>
        </w:tc>
        <w:tc>
          <w:tcPr>
            <w:tcW w:w="0" w:type="dxa"/>
            <w:vAlign w:val="bottom"/>
          </w:tcPr>
          <w:p>
            <w:pPr>
              <w:spacing w:after="0"/>
              <w:rPr>
                <w:sz w:val="1"/>
                <w:szCs w:val="1"/>
                <w:color w:val="auto"/>
              </w:rPr>
            </w:pPr>
          </w:p>
        </w:tc>
      </w:tr>
      <w:tr>
        <w:trPr>
          <w:trHeight w:val="270"/>
        </w:trPr>
        <w:tc>
          <w:tcPr>
            <w:tcW w:w="3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Receivables due from affiliates</w:t>
            </w:r>
          </w:p>
        </w:tc>
        <w:tc>
          <w:tcPr>
            <w:tcW w:w="5100" w:type="dxa"/>
            <w:vAlign w:val="bottom"/>
            <w:shd w:val="clear" w:color="auto" w:fill="E7E7E8"/>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E7E7E8"/>
          </w:tcPr>
          <w:p>
            <w:pPr>
              <w:spacing w:after="0"/>
              <w:rPr>
                <w:sz w:val="23"/>
                <w:szCs w:val="23"/>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Amounts due to affiliates</w:t>
            </w:r>
          </w:p>
        </w:tc>
        <w:tc>
          <w:tcPr>
            <w:tcW w:w="5100" w:type="dxa"/>
            <w:vAlign w:val="bottom"/>
            <w:tcBorders>
              <w:bottom w:val="single" w:sz="8" w:color="E7E7E8"/>
            </w:tcBorders>
          </w:tcPr>
          <w:p>
            <w:pPr>
              <w:ind w:left="78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bottom w:val="single" w:sz="8" w:color="E7E7E8"/>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E7E7E8"/>
            </w:tcBorders>
            <w:shd w:val="clear" w:color="auto" w:fill="E7E7E8"/>
          </w:tcPr>
          <w:p>
            <w:pPr>
              <w:spacing w:after="0"/>
              <w:rPr>
                <w:sz w:val="20"/>
                <w:szCs w:val="20"/>
                <w:color w:val="auto"/>
              </w:rPr>
            </w:pPr>
          </w:p>
        </w:tc>
        <w:tc>
          <w:tcPr>
            <w:tcW w:w="5100" w:type="dxa"/>
            <w:vAlign w:val="bottom"/>
            <w:tcBorders>
              <w:bottom w:val="single" w:sz="8" w:color="E7E7E8"/>
            </w:tcBorders>
            <w:shd w:val="clear" w:color="auto" w:fill="E7E7E8"/>
          </w:tcPr>
          <w:p>
            <w:pPr>
              <w:ind w:left="780"/>
              <w:spacing w:after="0"/>
              <w:rPr>
                <w:sz w:val="20"/>
                <w:szCs w:val="20"/>
                <w:color w:val="auto"/>
              </w:rPr>
            </w:pPr>
            <w:r>
              <w:rPr>
                <w:rFonts w:ascii="Arial" w:cs="Arial" w:eastAsia="Arial" w:hAnsi="Arial"/>
                <w:sz w:val="16"/>
                <w:szCs w:val="16"/>
                <w:color w:val="auto"/>
              </w:rPr>
              <w:t>Total related party liabilities, net</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E7E7E8"/>
            </w:tcBorders>
            <w:shd w:val="clear" w:color="auto" w:fill="E7E7E8"/>
          </w:tcPr>
          <w:p>
            <w:pPr>
              <w:spacing w:after="0"/>
              <w:rPr>
                <w:sz w:val="20"/>
                <w:szCs w:val="20"/>
                <w:color w:val="auto"/>
              </w:rPr>
            </w:pP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100" w:type="dxa"/>
            <w:vAlign w:val="bottom"/>
            <w:vMerge w:val="restart"/>
          </w:tcPr>
          <w:p>
            <w:pPr>
              <w:ind w:left="2600"/>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0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27" w:name="page28"/>
    <w:bookmarkEnd w:id="27"/>
    <w:p>
      <w:pPr>
        <w:jc w:val="both"/>
        <w:ind w:firstLine="648"/>
        <w:spacing w:after="0" w:line="249"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The purpose of the TSA is to ensure an orderly transition of WSII’s business and effectuate the Business Combination.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The Company had $0.1 million and $2.9 million in receivables due from affiliates pertaining to the Transition Services Agreement at June 30, 2018 and December 31, 2017, respectively.</w:t>
      </w:r>
    </w:p>
    <w:p>
      <w:pPr>
        <w:spacing w:after="0" w:line="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accrued expenses of $0.5 million and $1.2 million at June 30, 2018 and December 31, 2017, respectively, included in amounts due to affiliates, related to rental equipment purchases from an entity within the Algeco Group.</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and six months ended June 30, 2018 and 2017, respectively,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40" w:type="dxa"/>
            <w:vAlign w:val="bottom"/>
            <w:shd w:val="clear" w:color="auto" w:fill="008A5F"/>
          </w:tcPr>
          <w:p>
            <w:pPr>
              <w:spacing w:after="0"/>
              <w:rPr>
                <w:sz w:val="21"/>
                <w:szCs w:val="21"/>
                <w:color w:val="auto"/>
              </w:rPr>
            </w:pPr>
          </w:p>
        </w:tc>
        <w:tc>
          <w:tcPr>
            <w:tcW w:w="252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1"/>
                <w:szCs w:val="21"/>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290"/>
        </w:trPr>
        <w:tc>
          <w:tcPr>
            <w:tcW w:w="26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520" w:type="dxa"/>
            <w:vAlign w:val="bottom"/>
            <w:shd w:val="clear" w:color="auto" w:fill="008A5F"/>
          </w:tcPr>
          <w:p>
            <w:pPr>
              <w:ind w:left="160"/>
              <w:spacing w:after="0"/>
              <w:rPr>
                <w:sz w:val="20"/>
                <w:szCs w:val="20"/>
                <w:color w:val="auto"/>
              </w:rPr>
            </w:pPr>
            <w:r>
              <w:rPr>
                <w:rFonts w:ascii="Arial" w:cs="Arial" w:eastAsia="Arial" w:hAnsi="Arial"/>
                <w:sz w:val="16"/>
                <w:szCs w:val="16"/>
                <w:b w:val="1"/>
                <w:bCs w:val="1"/>
                <w:color w:val="FFFFFF"/>
              </w:rPr>
              <w:t>Financial statement line item</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18"/>
        </w:trPr>
        <w:tc>
          <w:tcPr>
            <w:tcW w:w="2640" w:type="dxa"/>
            <w:vAlign w:val="bottom"/>
          </w:tcPr>
          <w:p>
            <w:pPr>
              <w:ind w:left="40"/>
              <w:spacing w:after="0"/>
              <w:rPr>
                <w:sz w:val="20"/>
                <w:szCs w:val="20"/>
                <w:color w:val="auto"/>
              </w:rPr>
            </w:pPr>
            <w:r>
              <w:rPr>
                <w:rFonts w:ascii="Arial" w:cs="Arial" w:eastAsia="Arial" w:hAnsi="Arial"/>
                <w:sz w:val="16"/>
                <w:szCs w:val="16"/>
                <w:color w:val="auto"/>
              </w:rPr>
              <w:t>Leasing revenue from related</w:t>
            </w:r>
          </w:p>
        </w:tc>
        <w:tc>
          <w:tcPr>
            <w:tcW w:w="2520" w:type="dxa"/>
            <w:vAlign w:val="bottom"/>
          </w:tcPr>
          <w:p>
            <w:pPr>
              <w:ind w:left="20"/>
              <w:spacing w:after="0"/>
              <w:rPr>
                <w:sz w:val="20"/>
                <w:szCs w:val="20"/>
                <w:color w:val="auto"/>
              </w:rPr>
            </w:pPr>
            <w:r>
              <w:rPr>
                <w:rFonts w:ascii="Arial" w:cs="Arial" w:eastAsia="Arial" w:hAnsi="Arial"/>
                <w:sz w:val="16"/>
                <w:szCs w:val="16"/>
                <w:color w:val="auto"/>
              </w:rPr>
              <w:t>Modular leasing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4"/>
        </w:trPr>
        <w:tc>
          <w:tcPr>
            <w:tcW w:w="2640" w:type="dxa"/>
            <w:vAlign w:val="bottom"/>
          </w:tcPr>
          <w:p>
            <w:pPr>
              <w:ind w:left="40"/>
              <w:spacing w:after="0"/>
              <w:rPr>
                <w:sz w:val="20"/>
                <w:szCs w:val="20"/>
                <w:color w:val="auto"/>
              </w:rPr>
            </w:pPr>
            <w:r>
              <w:rPr>
                <w:rFonts w:ascii="Arial" w:cs="Arial" w:eastAsia="Arial" w:hAnsi="Arial"/>
                <w:sz w:val="16"/>
                <w:szCs w:val="16"/>
                <w:color w:val="auto"/>
              </w:rPr>
              <w:t>parties</w:t>
            </w:r>
          </w:p>
        </w:tc>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Management fees and recharge</w:t>
            </w:r>
          </w:p>
        </w:tc>
        <w:tc>
          <w:tcPr>
            <w:tcW w:w="2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&amp; administrative</w:t>
            </w:r>
          </w:p>
        </w:tc>
        <w:tc>
          <w:tcPr>
            <w:tcW w:w="260" w:type="dxa"/>
            <w:vAlign w:val="bottom"/>
            <w:shd w:val="clear" w:color="auto" w:fill="E7E7E8"/>
          </w:tcPr>
          <w:p>
            <w:pPr>
              <w:spacing w:after="0"/>
              <w:rPr>
                <w:sz w:val="19"/>
                <w:szCs w:val="19"/>
                <w:color w:val="auto"/>
              </w:rPr>
            </w:pPr>
          </w:p>
        </w:tc>
        <w:tc>
          <w:tcPr>
            <w:tcW w:w="13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6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151</w:t>
            </w:r>
          </w:p>
        </w:tc>
      </w:tr>
      <w:tr>
        <w:trPr>
          <w:trHeight w:val="189"/>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income on transactions with</w:t>
            </w:r>
          </w:p>
        </w:tc>
        <w:tc>
          <w:tcPr>
            <w:tcW w:w="2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shd w:val="clear" w:color="auto" w:fill="E7E7E8"/>
          </w:tcPr>
          <w:p>
            <w:pPr>
              <w:spacing w:after="0"/>
              <w:rPr>
                <w:sz w:val="16"/>
                <w:szCs w:val="16"/>
                <w:color w:val="auto"/>
              </w:rPr>
            </w:pPr>
          </w:p>
        </w:tc>
        <w:tc>
          <w:tcPr>
            <w:tcW w:w="12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r>
      <w:tr>
        <w:trPr>
          <w:trHeight w:val="214"/>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affiliates</w:t>
            </w:r>
          </w:p>
        </w:tc>
        <w:tc>
          <w:tcPr>
            <w:tcW w:w="252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r>
      <w:tr>
        <w:trPr>
          <w:trHeight w:val="218"/>
        </w:trPr>
        <w:tc>
          <w:tcPr>
            <w:tcW w:w="2640" w:type="dxa"/>
            <w:vAlign w:val="bottom"/>
          </w:tcPr>
          <w:p>
            <w:pPr>
              <w:ind w:left="40"/>
              <w:spacing w:after="0"/>
              <w:rPr>
                <w:sz w:val="20"/>
                <w:szCs w:val="20"/>
                <w:color w:val="auto"/>
              </w:rPr>
            </w:pPr>
            <w:r>
              <w:rPr>
                <w:rFonts w:ascii="Arial" w:cs="Arial" w:eastAsia="Arial" w:hAnsi="Arial"/>
                <w:sz w:val="16"/>
                <w:szCs w:val="16"/>
                <w:color w:val="auto"/>
              </w:rPr>
              <w:t>Interest income on notes due from</w:t>
            </w:r>
          </w:p>
        </w:tc>
        <w:tc>
          <w:tcPr>
            <w:tcW w:w="25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(6,093)</w:t>
            </w:r>
          </w:p>
        </w:tc>
      </w:tr>
      <w:tr>
        <w:trPr>
          <w:trHeight w:val="204"/>
        </w:trPr>
        <w:tc>
          <w:tcPr>
            <w:tcW w:w="2640" w:type="dxa"/>
            <w:vAlign w:val="bottom"/>
          </w:tcPr>
          <w:p>
            <w:pPr>
              <w:ind w:left="40"/>
              <w:spacing w:after="0"/>
              <w:rPr>
                <w:sz w:val="20"/>
                <w:szCs w:val="20"/>
                <w:color w:val="auto"/>
              </w:rPr>
            </w:pPr>
            <w:r>
              <w:rPr>
                <w:rFonts w:ascii="Arial" w:cs="Arial" w:eastAsia="Arial" w:hAnsi="Arial"/>
                <w:sz w:val="16"/>
                <w:szCs w:val="16"/>
                <w:color w:val="auto"/>
              </w:rPr>
              <w:t>affiliates</w:t>
            </w:r>
          </w:p>
        </w:tc>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Interest expense on notes due to</w:t>
            </w:r>
          </w:p>
        </w:tc>
        <w:tc>
          <w:tcPr>
            <w:tcW w:w="2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E7E7E8"/>
          </w:tcPr>
          <w:p>
            <w:pPr>
              <w:spacing w:after="0"/>
              <w:rPr>
                <w:sz w:val="19"/>
                <w:szCs w:val="19"/>
                <w:color w:val="auto"/>
              </w:rPr>
            </w:pPr>
          </w:p>
        </w:tc>
        <w:tc>
          <w:tcPr>
            <w:tcW w:w="13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15,990</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6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30,727</w:t>
            </w:r>
          </w:p>
        </w:tc>
      </w:tr>
      <w:tr>
        <w:trPr>
          <w:trHeight w:val="214"/>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affiliates</w:t>
            </w:r>
          </w:p>
        </w:tc>
        <w:tc>
          <w:tcPr>
            <w:tcW w:w="252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spacing w:after="0"/>
              <w:rPr>
                <w:sz w:val="18"/>
                <w:szCs w:val="18"/>
                <w:color w:val="auto"/>
              </w:rPr>
            </w:pPr>
          </w:p>
        </w:tc>
      </w:tr>
      <w:tr>
        <w:trPr>
          <w:trHeight w:val="198"/>
        </w:trPr>
        <w:tc>
          <w:tcPr>
            <w:tcW w:w="264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rPr>
              <w:t>Total related party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13,983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24,785</w:t>
            </w:r>
          </w:p>
        </w:tc>
      </w:tr>
      <w:tr>
        <w:trPr>
          <w:trHeight w:val="198"/>
        </w:trPr>
        <w:tc>
          <w:tcPr>
            <w:tcW w:w="264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rPr>
              <w:t>expense, net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$0.4 million and $0.2 million for three months ended June 30, 2018 and 2017, respectively, and $1.7 million and $0.5 million during the six months ended June 30, 2018 and 2017, respectively.</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paid $0.4 million and $0.0 million in professional fees to an entity, that two of the Company’s Directors also served in the same role for that entity, during the three months ended June 30, 2018 and 2017, respectively, and $1.0 million and $0.6 million during the six months ended June 30, 2018 and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NOTE 16 - Subsequent Events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described in Note 2, on June 21, 2018, the Company entered into a definitive agreement to acquire ModSpace, a privately-owned provider of office trailers, portable storage units and modular buildings. Subject to potential adjustment under the Merger Agreement, the aggregate consideration payable by the Company to the sellers includes (i) $1,063,750,000 in cash, (ii) 6,458,500 shares of the Company’s Class A common stock and (iii) warrants to purchase an aggregate of 10,000,000 shares of the Company’s Class A common stock at an exercise price of $15.50 per share.</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16, 2018, the Canadian Competition Bureau issued a no-action letter relating to the ModSpace Acquisition. The no-action letter satisfied the Company’s obligation under the Merger Agreement to clear Competition Bureau review under Canada’s Competition Act.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expects to close the acquisition in August 2018.</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ABL Facility</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July and August 2018, the Company entered into amendments to the ABL Facility that, among other things, (i) permit the ModSpace Acquisition and the Company’s financing thereof (including, without limitation, incremental borrowings under the ABL Facility and the senior unsecured notes described below), (ii) increase the ABL Facility limit to $1.35 billion in the aggregate, and increase the amount of the facility’s accordion feature to $450.0 million, and (iii) increase certain thresholds, basket sizes and default and notice triggers to account for the Company’s increased scale business following the ModSpace Acquisition. The amendments, copies of which is filed as an exhibits to this Form 10-Q, will become effective upon the closing of the ModSpace Acquisition and the satisfaction of other customary closing conditions.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84" w:right="239" w:bottom="1440" w:gutter="0" w:footer="0" w:header="0"/>
        </w:sectPr>
      </w:pPr>
    </w:p>
    <w:bookmarkStart w:id="28" w:name="page29"/>
    <w:bookmarkEnd w:id="28"/>
    <w:p>
      <w:pPr>
        <w:jc w:val="both"/>
        <w:ind w:firstLine="648"/>
        <w:spacing w:after="0" w:line="250" w:lineRule="auto"/>
        <w:rPr>
          <w:sz w:val="20"/>
          <w:szCs w:val="20"/>
          <w:color w:val="auto"/>
        </w:rPr>
      </w:pPr>
      <w:r>
        <w:rPr>
          <w:rFonts w:ascii="Arial" w:cs="Arial" w:eastAsia="Arial" w:hAnsi="Arial"/>
          <w:sz w:val="16"/>
          <w:szCs w:val="16"/>
          <w:color w:val="auto"/>
        </w:rPr>
        <w:t>Under the amended ABL Facility, (i) the borrowing limits of the US ABL Facility and the Canadian ABL Facility will be $1,200.0 million and $150.0 million, respectively, (ii) the borrowing capacity for standby letters of credit under the US ABL Facility and the Canadian ABL Facility will be $75.0 million and $60.0 million, respectively, and (iii) the borrowing capacity for swingline loans under the US ABL Facility and the Canadian ABL Facility will be $75.0 million and $50.0 million, respectively. As amended, the US Line Cap will equal the lesser of $1,200.0 million and the US Borrowing Base, and the Canadian Line Cap will equal the lessor of $150.0 million and the Canadian Borrowing Base.</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amended ABL Facility requires the Borrowers to maintain a (i) minimum fixed charge coverage ratio of 1.00:1.00 and (ii) maximum total net leverage ratio of 5.50:1.00, in each case, at any time when the excess availability under the amended ABL Facility is less than the greater of (a) $135.0 million and (b) an amount equal to 10% of the Line Cap.</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 Financing</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Equity Offering</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25, 2018, the Company entered into an underwriting agreement with certain financial institutions under which the Company agreed to sell, and the underwriters agreed to purchase, 8.0 million shares of the Company’s Class A common stock at a public offering price of $16.00 per share. The Company granted to the underwriters an option to purchase up to 1.2 million additional Class A common shares at a public offering price of $16.00 per share less the underwriting discount (which would raise an additional $19.2 million of gross proceeds for the Company).</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July 30, 2018, the Company closed the underwritten public stock offering. The net offering proceeds to the Company were approximately $121.9 million. The Company plans to use the proceeds to fund the ModSpace Acquisition and to pay related fees and expenses or, if the ModSpace Acquisition is not consummated, for general corporate purposes.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2023 Senior Secured Notes</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31, 2018, a wholly-owned subsidiary of WSII, Mason Finance Sub, Inc. (“Finance Sub”), entered into a purchase agreement with certain financial institutions under which the initial purchasers agreed to purchase $300.0 million in aggregate principal amount of 6.875% senior secured notes due 2023 (the “2023 Secured Notes”) to be issued by Finance Sub. The proceeds are expected to fund the ModSpace Acquisition and to pay related fees and expenses. The 2023 Secured Notes were offered only to qualified institutional buyers pursuant to Rule 144A under the Securities Act and to persons outside the United States pursuant to Regulation S under the Securities Act.</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August 6, 2018, Finance Sub closed the private placement and the initial purchasers deposited $300.0 million of gross offering proceeds into an escrow account. Upon consummation of the ModSpace Acquisition and the satisfaction of other conditions, the escrowed proceeds will be released to fund a portion of the cash consideration payable by WSII in the ModSpace Acquisition and to pay related fees and expenses. Upon the closing the ModSpace Acquisition, Finance Sub will merge with and into WSII, with WSII continuing as the surviving corporation, and WSII will assume the obligations of Finance Sub under the 2023 Secured Notes and the indenture governing the notes. If the ModSpace Acquisition is not completed by a specified date or certain other events occur, the 2023 Secured Notes will be subject to a special mandatory redemption.</w:t>
      </w:r>
    </w:p>
    <w:p>
      <w:pPr>
        <w:spacing w:after="0" w:line="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2023 Secured Notes mature on August 15, 2023. The notes bear interest at a rate of 6.875% per annum, payable semi-annually on February 15 and August 15 of each year beginning February 15, 2019.</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WSII may redeem the 2023 Secured Notes, in whole or in part, at a redemption price equal to (i) prior to August 15, 2020, 100% of the principal amount of the notes to be redeemed plus a make-whole premium; (ii) during the period from August 15, 2020 through August 14, 2021, 103.438% of the principal amount of the notes to be redeemed, plus accrued and unpaid interest, (iii) during the period from August 15, 2021 through August 14, 2022, 101.719% of the principal amount of the notes to be redeemed, plus accrued and unpaid interest; and, (iv) from and after August 15, 2022, 100% of the principal amount of the notes to be redeemed, plus accrued and unpaid interest. WSII may also redeem, prior to August 15, 2020, up to 40% of the principal amount of the 2023 Senior Notes at a redemption price equal to 106.875% of the principal amount of the notes to be redeemed, plus accrued and unpaid interest, with the net proceeds of certain equity offerings.</w:t>
      </w:r>
    </w:p>
    <w:p>
      <w:pPr>
        <w:spacing w:after="0" w:line="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Additional information regarding the 2023 Secured Notes and the indenture governing the notes is contained in the Form 8-K filed by the Company with the SEC on August 7, 2018.</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2023 Senior Unsecured Notes</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28, 2018, the Company entered into a note purchase agreement with certain financial institutions under which the initial purchasers agreed to purchase $200.0 million in aggregate principal amount of senior unsecured notes due 2023 (the “Unsecured Notes”) to be issued by Finance Sub. The proceeds are expected to fund the ModSpace Acquisition and to pay related fees and expenses. The Unsecured Notes were offered only to qualified institutional buyers pursuant to Rule 144A under the Securities Act.</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3, 2018, Finance Sub closed the private placement and the initial purchasers deposited $200.0 million of gross offering proceeds into an escrow account. Upon consummation of the ModSpace Acquisition and the satisfaction of other conditions, the escrowed proceeds will be released to fund a portion of the cash consideration payable by WSII in the ModSpace Acquisition and to pay related fees and expenses. Upon the closing the ModSpace Acquisition, Finance Sub will merge with and into WSII, with WSII continuing as the surviving corporation, and WSII will assume the obligations of Finance Sub under the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84" w:right="239" w:bottom="1440" w:gutter="0" w:footer="0" w:header="0"/>
        </w:sectPr>
      </w:pPr>
    </w:p>
    <w:bookmarkStart w:id="29" w:name="page30"/>
    <w:bookmarkEnd w:id="29"/>
    <w:p>
      <w:pPr>
        <w:jc w:val="both"/>
        <w:spacing w:after="0" w:line="260" w:lineRule="auto"/>
        <w:rPr>
          <w:sz w:val="20"/>
          <w:szCs w:val="20"/>
          <w:color w:val="auto"/>
        </w:rPr>
      </w:pPr>
      <w:r>
        <w:rPr>
          <w:rFonts w:ascii="Arial" w:cs="Arial" w:eastAsia="Arial" w:hAnsi="Arial"/>
          <w:sz w:val="16"/>
          <w:szCs w:val="16"/>
          <w:color w:val="auto"/>
        </w:rPr>
        <w:t>Unsecured Notes and the indenture governing the notes. If the ModSpace Acquisition is not completed by a specified date or certain other events occur, the Unsecured Notes will be subject to a special mandatory redemption.</w:t>
      </w:r>
    </w:p>
    <w:p>
      <w:pPr>
        <w:spacing w:after="0" w:line="6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Unsecured Notes, which mature on November 15, 2023, will bear interest at a rate of 10.0% per annum if paid in cash (or if paid in kind, 11.5% per annum) for any interest period ending on or prior to February 15, 2021, increasing thereafter to 12.5% per annum with no paid in kind option, in each case, payable semi-annually on February 15 and August 15 of each year beginning February 15, 2019.</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Unsecured Notes are not redeemable before February 15, 2019. WSII may redeem the Unsecured Notes, in whole or in part, at a redemption price equal to (i) during the period from February 15, 2019 through August 14, 2019, 100% of the principal amount of the notes to be redeemed plus a make-whole premium; (ii) during the period from August 15, 2019 through February 14, 2020, 102% of the principal amount of the notes to be redeemed, plus accrued and unpaid interest; (iii) during the period from February 15, 2020 through February 14, 2021, 104% of the principal amount of the notes to be redeemed, plus accrued and unpaid interest, and (iv) thereafter, 106% of the principal amount of the notes to be redeemed, plus accrued and unpaid interest.</w:t>
      </w:r>
    </w:p>
    <w:p>
      <w:pPr>
        <w:spacing w:after="0" w:line="68"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Additional information regarding the Unsecured Notes and the indenture governing the notes is contained in the Form 8-K filed by the Company with the SEC on August 7,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Delisting</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February 2018, a hearings panel of The Nasdaq Stock Market LLC (“Nasdaq”) established a July 3, 2018 deadline for the Company to comply with the minimum holder requirement applicable to the Company’s warrants. On July 10, 2018, the Company was notified that its warrants would be delisted from The Nasdaq Capital Market based on the Company’s failure to satisfy a minimum holder requirement applicable to the warrants. Trading for the Company’s warrants was suspended at the opening of business on July 12, 2018, and a Form 25-NSE will be filed with the Securities and Exchange Commission to remove the warrants from listing and registration on Nasdaq.</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84" w:right="239" w:bottom="1440" w:gutter="0" w:footer="0" w:header="0"/>
        </w:sectPr>
      </w:pPr>
    </w:p>
    <w:bookmarkStart w:id="30" w:name="page31"/>
    <w:bookmarkEnd w:id="30"/>
    <w:p>
      <w:pPr>
        <w:ind w:left="1960" w:right="760" w:hanging="1944"/>
        <w:spacing w:after="0" w:line="283" w:lineRule="auto"/>
        <w:tabs>
          <w:tab w:leader="none" w:pos="194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Management’s Discussion and Analysis of Financial Condition and Results of Operations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(“WSC” or the “Company”), our operations and our present business environment. MD&amp;A is provided as a supplement to, and should be read in conjunction with, our financial statements and the accompanying notes thereto, contained in Part I, Item 1 of this report.</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the Company, through its subsidiary, Williams Scotsman Holdings Corp. (“WS Holdings”), acquired all of the equity interest of Williams Scotsman International, Inc. (“WSII”) via a reverse recapitalization (the “Business Combination”). As a result of the Business Combination, (i) WSC’s consolidated financial results for periods prior to November 29, 2017 reflect the financial results of WSII and its consolidated subsidiaries, as the accounting predecessor to WSC, and (ii) for periods from and after this date, WSC’s financial results reflect those of WSC and its consolidated subsidiaries (including WSII and its subsidiaries) as the successor following the Business Combination.</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Prior to the completion of the Business Combination, WSII also provided full-service remote workforce accommodation solutions in their remote accommodations business, which consisted of Target Logistics Management LLC (“Target Logistics”) and its subsidiaries and Chard Camp Catering Services (“Chard,” and together with Target Logistics, the “Remote Accommodations Business”). A parent company of WSII’s former owners, Algeco Scotsman Global S.à r.l., (together with its subsidiaries, the “Algeco Group”), undertook an internal restructuring (the “Carve-Out Transaction”) whereby certain assets related to WSII’s historical Remote Accommodations Business were transferred from WSII to other entities owned by the Algeco Group. This Remote Accommodations Business segment in its entirety is presented as discontinued operations in the condensed consolidated financial statements.</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this section where presented.</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leading provider of modular space and portable storage solutions in the United States (“US”), Canada and Mexico. As of June 30, 2018, our branch network included over 100 locations and additional drop lots to better service our more than 35,000 customers across the US, Canada and Mexico. We offer our customers an extensive selection of “Ready to Work” modular space and portable storage solutions with over 77,000 modular space units and nearly 20,000 portable storage units in our fleet.</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second quarter of 2018, the integration of Acton Mobile (“Acton”) continued as planned, achieving full information technology system cut-over to Williams Scotsman’s operating platform. We also executed on cost savings measures in the quarter related to the Acton integration that will provide future savings. As of June 30, 2018, we had ceased production activities and began exit activities at 90% of the locations in overlapping markets. Exit activities for redundant branch locations, such as preparing units and materials for transport to other locations remain on schedule. These activities are expected to continue through the rest of the year and into early 2019 as we execute the established integration plan.</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22, 2018, we announced our agreement to acquire Modular Space Holdings, Inc. (“ModSpace”), which is the largest privately held provider of office trailers, portable storage units and modular buildings in the US and Canada, with over 80 operating locations. This transformative acquisition will position our company as the clear leader in the special rental services industry, with approximately $1.0 billion of annual revenue and over 160,000 rental units across North America. The Acton integration and ModSpace announcement demonstrate our ongoing commitment and ability to execute on our consolidation strategy while remaining focused on our core priorities of growing modular leasing revenues by increasing modular space units on rent and delivering “Ready to Work” solutions to our customers with value-added products and services (“VAPS”), and focusing on continually improving the overall customer experience. During July, we received a No Action Letter from the Canadian Competition Bureau, the receipt of which was a closing condition for the ModSpace acquisition, and the transaction is now expected to close in mid-August.</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ModSpace announcement, we secured debt commitments from several financial institutions to fund the acquisition. Subsequent to June 30, 2018, the Company entered into or amended several agreements to fund the cash consideration payable in the ModSpace acquisition on a permanent basis and to pay related fees and expenses:</w:t>
      </w:r>
    </w:p>
    <w:p>
      <w:pPr>
        <w:spacing w:after="0" w:line="66" w:lineRule="exact"/>
        <w:rPr>
          <w:sz w:val="20"/>
          <w:szCs w:val="20"/>
          <w:color w:val="auto"/>
        </w:rPr>
      </w:pPr>
    </w:p>
    <w:p>
      <w:pPr>
        <w:ind w:left="1300" w:hanging="320"/>
        <w:spacing w:after="0" w:line="260"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Upsized our revolving credit agreement to $1.35 billion (expandable to $1.8 billion through an accordion feature) and obtained the amendments required to finance the acquisition and to give effect to our greater scale thereafter.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52" w:right="239" w:bottom="1440" w:gutter="0" w:footer="0" w:header="0"/>
        </w:sectPr>
      </w:pPr>
    </w:p>
    <w:bookmarkStart w:id="31" w:name="page32"/>
    <w:bookmarkEnd w:id="31"/>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Completed $300.0 million private placement of 6.875% senior secured notes due 2023.</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Completed $200.0 million private placement of senior unsecured notes due 2023.</w:t>
      </w:r>
    </w:p>
    <w:p>
      <w:pPr>
        <w:spacing w:after="0" w:line="59"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Raised $128.0 million of gross proceeds from an underwritten common stock offering, subject to the underwriters' right to purchase an additional 1.2 million shares (which could raise an additional $19.2 million of gross proceeds).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16 to the condensed consolidated financial statements for further discussion of subsequent events.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2018, key drivers of financial performance include:</w:t>
      </w:r>
    </w:p>
    <w:p>
      <w:pPr>
        <w:spacing w:after="0" w:line="86" w:lineRule="exact"/>
        <w:rPr>
          <w:sz w:val="20"/>
          <w:szCs w:val="20"/>
          <w:color w:val="auto"/>
        </w:rPr>
      </w:pPr>
    </w:p>
    <w:p>
      <w:pPr>
        <w:jc w:val="both"/>
        <w:ind w:left="1300" w:hanging="320"/>
        <w:spacing w:after="0" w:line="25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total revenues by $30.2 million, or 27.4% as compared to the same period in 2017, driven by a 38.2% increase in our core leasing and services revenues from both organic growth, and due to the impact of the Acton and Tyson acquisitions discussed in Note 2 of our unaudited condensed consolidated financial statements. The increase in our core leasing and services business was partially offset by decreases of 44.7% and 48.9% in our new and rental unit sales.</w:t>
      </w:r>
    </w:p>
    <w:p>
      <w:pPr>
        <w:spacing w:after="0" w:line="40"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 pro-forma basis, including results of Williams Scotsman, Acton, and Tyson for all periods presented, core leasing and services revenues increased $12.8 million, or 10.7% in the second quarter as compared to the same period in 2017.</w:t>
      </w:r>
    </w:p>
    <w:p>
      <w:pPr>
        <w:spacing w:after="0" w:line="33"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89.0% of revenue for the three months ended June 30, 2018, by $26.6 million, or 27.1%, as compared to the same period in 2017, through:</w:t>
      </w:r>
    </w:p>
    <w:p>
      <w:pPr>
        <w:ind w:left="3740" w:hanging="2107"/>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growth of 2.6% to $549 through increases both in the price of our units, as well as increased VAPS pricing and penetration. Organic increases on the Williams Scotsman legacy fleet were partially offset by lower rates on units acquired from Acton and Tyson; and</w:t>
      </w:r>
    </w:p>
    <w:p>
      <w:pPr>
        <w:spacing w:after="0" w:line="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Increased average modular space units on rent by 13,217 units, or 36.9%, primarily due to the Acton and Tyson acquisitions; and</w:t>
      </w:r>
    </w:p>
    <w:p>
      <w:pPr>
        <w:spacing w:after="0" w:line="5"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increased 30 basis points (“bps”) to 72.2% for the three months ended June 30, 2018, as compared to the three months ended March 31, 2018, though decreased by 160 bps during the quarter as compared to the three months ended June 30, 2017, as a result of lower utilization on acquired fleet from Acton and Tyson; and</w:t>
      </w:r>
    </w:p>
    <w:p>
      <w:pPr>
        <w:spacing w:after="0" w:line="39" w:lineRule="exact"/>
        <w:rPr>
          <w:rFonts w:ascii="Arial" w:cs="Arial" w:eastAsia="Arial" w:hAnsi="Arial"/>
          <w:sz w:val="16"/>
          <w:szCs w:val="16"/>
          <w:color w:val="auto"/>
        </w:rPr>
      </w:pPr>
    </w:p>
    <w:p>
      <w:pPr>
        <w:ind w:left="1960" w:hanging="324"/>
        <w:spacing w:after="0" w:line="249" w:lineRule="auto"/>
        <w:rPr>
          <w:rFonts w:ascii="Arial" w:cs="Arial" w:eastAsia="Arial" w:hAnsi="Arial"/>
          <w:sz w:val="16"/>
          <w:szCs w:val="16"/>
          <w:color w:val="auto"/>
        </w:rPr>
      </w:pPr>
      <w:r>
        <w:rPr>
          <w:rFonts w:ascii="Arial" w:cs="Arial" w:eastAsia="Arial" w:hAnsi="Arial"/>
          <w:sz w:val="16"/>
          <w:szCs w:val="16"/>
          <w:color w:val="auto"/>
        </w:rPr>
        <w:t>– On a pro-forma basis, including results of Williams Scotsman, Acton, and Tyson for all periods presented, core leasing and services revenues in the Modular - US segment increased $8.7 million, or 8.0%, primarily reflecting a 1.6% increase in average modular space units on rent and by a 9.8% increase in average modular space monthly rental rate. Total pro-forma revenues in the Modular - US segment decreased $0.6 million, or 0.5% as compared to the same period in 2017 driven by a $9.3 million, or 58.9% decrease year over year in new and rental unit sales as a result of lower volumes of sales opportunities and increased focus on our higher margin modular leasing business.</w:t>
      </w:r>
    </w:p>
    <w:p>
      <w:pPr>
        <w:spacing w:after="0" w:line="43"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the Modular - Other North America segment revenues which represented 11.0% of revenues for the three months ended June 30, 2018, by $3.5 million, or 29.2% as compared to the same period in 2017. Increases were driven primarily by:</w:t>
      </w: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7.3% to $573</w:t>
      </w:r>
    </w:p>
    <w:p>
      <w:pPr>
        <w:spacing w:after="0" w:line="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units on rent increased by 624 units, or 12.7% as compared to the same period in 2017</w:t>
      </w:r>
    </w:p>
    <w:p>
      <w:pPr>
        <w:spacing w:after="0" w:line="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increased by 710 bps as compared to the same period in 2017 to 57.1%</w:t>
      </w:r>
    </w:p>
    <w:p>
      <w:pPr>
        <w:spacing w:after="0" w:line="59"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Generated combined Adjusted EBITDA of $41.9 million between the Modular - US Segment and the Modular - Other North America Segment, representing an increase of $13.1 million or 45.5% as compared to the same period in 2017, which includes the impact of the Acton and Tyson acquisitions discussed in Note 2 of the unaudited condensed consolidated financial statements.</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83% of our revenues in the three months ended June 30, 2018, including the customer base from the Acton and Tyson acquisitions. Market fundamentals underlying these markets are currently favorable, and we expect continued modest market growth in the next several years. Potential increased capital spending as a result tax reform, discussions of increased infrastructure spending, and rebuilding in areas impacted by natural disasters in 2017 across the US also provide us confidence in continued demand for our products.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84" w:right="239" w:bottom="1440" w:gutter="0" w:footer="0" w:header="0"/>
        </w:sectPr>
      </w:pPr>
    </w:p>
    <w:bookmarkStart w:id="32" w:name="page33"/>
    <w:bookmarkEnd w:id="32"/>
    <w:p>
      <w:pPr>
        <w:jc w:val="both"/>
        <w:ind w:firstLine="648"/>
        <w:spacing w:after="0" w:line="250" w:lineRule="auto"/>
        <w:rPr>
          <w:sz w:val="20"/>
          <w:szCs w:val="20"/>
          <w:color w:val="auto"/>
        </w:rPr>
      </w:pPr>
      <w:r>
        <w:rPr>
          <w:rFonts w:ascii="Arial" w:cs="Arial" w:eastAsia="Arial" w:hAnsi="Arial"/>
          <w:sz w:val="16"/>
          <w:szCs w:val="16"/>
          <w:color w:val="auto"/>
        </w:rPr>
        <w:t>Although only 11.0% of our revenues for the three months ended June 30, 2018 were from the Modular - Other North America segment, markets in Canada, including Alaska, and Mexico, show continued improvement despite declines experienced over the last several years related to the energy markets. This segment saw significant improvement in average modular space monthly rental rates, average modular space units on rent, and average modular space monthly utilization as compared to the same period in 2017. However, competitive pressures in these markets may continue to depress pricing given current levels of supply in the market until utilization across the industry improves.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the Three Months Ended June 30, 2017</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statements of operations for the three months ended June 30, 2018 and 2017 are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0" w:type="dxa"/>
            <w:vAlign w:val="bottom"/>
            <w:shd w:val="clear" w:color="auto" w:fill="008A5F"/>
          </w:tcPr>
          <w:p>
            <w:pPr>
              <w:spacing w:after="0"/>
              <w:rPr>
                <w:sz w:val="20"/>
                <w:szCs w:val="20"/>
                <w:color w:val="auto"/>
              </w:rPr>
            </w:pPr>
          </w:p>
        </w:tc>
        <w:tc>
          <w:tcPr>
            <w:tcW w:w="4700" w:type="dxa"/>
            <w:vAlign w:val="bottom"/>
            <w:shd w:val="clear" w:color="auto" w:fill="008A5F"/>
          </w:tcPr>
          <w:p>
            <w:pPr>
              <w:spacing w:after="0"/>
              <w:rPr>
                <w:sz w:val="20"/>
                <w:szCs w:val="20"/>
                <w:color w:val="auto"/>
              </w:rPr>
            </w:pPr>
          </w:p>
        </w:tc>
        <w:tc>
          <w:tcPr>
            <w:tcW w:w="176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2900" w:type="dxa"/>
            <w:vAlign w:val="bottom"/>
            <w:gridSpan w:val="5"/>
            <w:shd w:val="clear" w:color="auto" w:fill="008A5F"/>
          </w:tcPr>
          <w:p>
            <w:pPr>
              <w:ind w:left="180"/>
              <w:spacing w:after="0"/>
              <w:rPr>
                <w:sz w:val="20"/>
                <w:szCs w:val="20"/>
                <w:color w:val="auto"/>
              </w:rPr>
            </w:pPr>
            <w:r>
              <w:rPr>
                <w:rFonts w:ascii="Arial" w:cs="Arial" w:eastAsia="Arial" w:hAnsi="Arial"/>
                <w:sz w:val="16"/>
                <w:szCs w:val="16"/>
                <w:b w:val="1"/>
                <w:bCs w:val="1"/>
                <w:color w:val="FFFFFF"/>
              </w:rPr>
              <w:t>Three Months Ended June 30,</w:t>
            </w:r>
          </w:p>
        </w:tc>
        <w:tc>
          <w:tcPr>
            <w:tcW w:w="140" w:type="dxa"/>
            <w:vAlign w:val="bottom"/>
            <w:shd w:val="clear" w:color="auto" w:fill="008A5F"/>
          </w:tcPr>
          <w:p>
            <w:pPr>
              <w:spacing w:after="0"/>
              <w:rPr>
                <w:sz w:val="20"/>
                <w:szCs w:val="20"/>
                <w:color w:val="auto"/>
              </w:rPr>
            </w:pPr>
          </w:p>
        </w:tc>
        <w:tc>
          <w:tcPr>
            <w:tcW w:w="1340" w:type="dxa"/>
            <w:vAlign w:val="bottom"/>
            <w:vMerge w:val="restart"/>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2018 vs. 2017 $</w:t>
            </w:r>
          </w:p>
        </w:tc>
        <w:tc>
          <w:tcPr>
            <w:tcW w:w="0" w:type="dxa"/>
            <w:vAlign w:val="bottom"/>
          </w:tcPr>
          <w:p>
            <w:pPr>
              <w:spacing w:after="0"/>
              <w:rPr>
                <w:sz w:val="1"/>
                <w:szCs w:val="1"/>
                <w:color w:val="auto"/>
              </w:rPr>
            </w:pPr>
          </w:p>
        </w:tc>
      </w:tr>
      <w:tr>
        <w:trPr>
          <w:trHeight w:val="89"/>
        </w:trPr>
        <w:tc>
          <w:tcPr>
            <w:tcW w:w="280" w:type="dxa"/>
            <w:vAlign w:val="bottom"/>
            <w:shd w:val="clear" w:color="auto" w:fill="008A5F"/>
          </w:tcPr>
          <w:p>
            <w:pPr>
              <w:spacing w:after="0"/>
              <w:rPr>
                <w:sz w:val="7"/>
                <w:szCs w:val="7"/>
                <w:color w:val="auto"/>
              </w:rPr>
            </w:pPr>
          </w:p>
        </w:tc>
        <w:tc>
          <w:tcPr>
            <w:tcW w:w="4700" w:type="dxa"/>
            <w:vAlign w:val="bottom"/>
            <w:shd w:val="clear" w:color="auto" w:fill="008A5F"/>
          </w:tcPr>
          <w:p>
            <w:pPr>
              <w:spacing w:after="0"/>
              <w:rPr>
                <w:sz w:val="7"/>
                <w:szCs w:val="7"/>
                <w:color w:val="auto"/>
              </w:rPr>
            </w:pPr>
          </w:p>
        </w:tc>
        <w:tc>
          <w:tcPr>
            <w:tcW w:w="1760" w:type="dxa"/>
            <w:vAlign w:val="bottom"/>
            <w:shd w:val="clear" w:color="auto" w:fill="008A5F"/>
          </w:tcPr>
          <w:p>
            <w:pPr>
              <w:spacing w:after="0"/>
              <w:rPr>
                <w:sz w:val="7"/>
                <w:szCs w:val="7"/>
                <w:color w:val="auto"/>
              </w:rPr>
            </w:pPr>
          </w:p>
        </w:tc>
        <w:tc>
          <w:tcPr>
            <w:tcW w:w="300" w:type="dxa"/>
            <w:vAlign w:val="bottom"/>
            <w:shd w:val="clear" w:color="auto" w:fill="008A5F"/>
          </w:tcPr>
          <w:p>
            <w:pPr>
              <w:spacing w:after="0"/>
              <w:rPr>
                <w:sz w:val="7"/>
                <w:szCs w:val="7"/>
                <w:color w:val="auto"/>
              </w:rPr>
            </w:pPr>
          </w:p>
        </w:tc>
        <w:tc>
          <w:tcPr>
            <w:tcW w:w="122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40" w:type="dxa"/>
            <w:vAlign w:val="bottom"/>
            <w:shd w:val="clear" w:color="auto" w:fill="008A5F"/>
          </w:tcPr>
          <w:p>
            <w:pPr>
              <w:spacing w:after="0"/>
              <w:rPr>
                <w:sz w:val="7"/>
                <w:szCs w:val="7"/>
                <w:color w:val="auto"/>
              </w:rPr>
            </w:pPr>
          </w:p>
        </w:tc>
        <w:tc>
          <w:tcPr>
            <w:tcW w:w="114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34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98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76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22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34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101"/>
        </w:trPr>
        <w:tc>
          <w:tcPr>
            <w:tcW w:w="280" w:type="dxa"/>
            <w:vAlign w:val="bottom"/>
            <w:shd w:val="clear" w:color="auto" w:fill="008A5F"/>
          </w:tcPr>
          <w:p>
            <w:pPr>
              <w:spacing w:after="0"/>
              <w:rPr>
                <w:sz w:val="8"/>
                <w:szCs w:val="8"/>
                <w:color w:val="auto"/>
              </w:rPr>
            </w:pPr>
          </w:p>
        </w:tc>
        <w:tc>
          <w:tcPr>
            <w:tcW w:w="4700" w:type="dxa"/>
            <w:vAlign w:val="bottom"/>
            <w:shd w:val="clear" w:color="auto" w:fill="008A5F"/>
          </w:tcPr>
          <w:p>
            <w:pPr>
              <w:spacing w:after="0"/>
              <w:rPr>
                <w:sz w:val="8"/>
                <w:szCs w:val="8"/>
                <w:color w:val="auto"/>
              </w:rPr>
            </w:pPr>
          </w:p>
        </w:tc>
        <w:tc>
          <w:tcPr>
            <w:tcW w:w="176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22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Leasing and services revenue: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060" w:type="dxa"/>
            <w:vAlign w:val="bottom"/>
            <w:tcBorders>
              <w:bottom w:val="single" w:sz="8" w:color="E7E7E8"/>
            </w:tcBorders>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101,249</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72,954</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28,295</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8,464</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Sales: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0" w:type="dxa"/>
            <w:vAlign w:val="bottom"/>
            <w:tcBorders>
              <w:bottom w:val="single" w:sz="8" w:color="E7E7E8"/>
            </w:tcBorders>
            <w:shd w:val="clear" w:color="auto" w:fill="E7E7E8"/>
          </w:tcPr>
          <w:p>
            <w:pPr>
              <w:spacing w:after="0"/>
              <w:rPr>
                <w:sz w:val="23"/>
                <w:szCs w:val="23"/>
                <w:color w:val="auto"/>
              </w:rPr>
            </w:pPr>
          </w:p>
        </w:tc>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1760" w:type="dxa"/>
            <w:vAlign w:val="bottom"/>
            <w:tcBorders>
              <w:bottom w:val="single" w:sz="8" w:color="E7E7E8"/>
            </w:tcBorders>
            <w:shd w:val="clear" w:color="auto" w:fill="E7E7E8"/>
          </w:tcPr>
          <w:p>
            <w:pPr>
              <w:spacing w:after="0"/>
              <w:rPr>
                <w:sz w:val="23"/>
                <w:szCs w:val="23"/>
                <w:color w:val="auto"/>
              </w:rPr>
            </w:pPr>
          </w:p>
        </w:tc>
        <w:tc>
          <w:tcPr>
            <w:tcW w:w="300" w:type="dxa"/>
            <w:vAlign w:val="bottom"/>
            <w:tcBorders>
              <w:bottom w:val="single" w:sz="8" w:color="E7E7E8"/>
            </w:tcBorders>
            <w:shd w:val="clear" w:color="auto" w:fill="E7E7E8"/>
          </w:tcPr>
          <w:p>
            <w:pPr>
              <w:spacing w:after="0"/>
              <w:rPr>
                <w:sz w:val="23"/>
                <w:szCs w:val="23"/>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(2,343)</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1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140,333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110,077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30,256</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Costs: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Costs of leasing and services: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27,129</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21,340</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5,789</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7,788</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Costs of sales: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(3,062)</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2,575</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Depreciation of rental equipment</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47"/>
        </w:trPr>
        <w:tc>
          <w:tcPr>
            <w:tcW w:w="280" w:type="dxa"/>
            <w:vAlign w:val="bottom"/>
            <w:tcBorders>
              <w:bottom w:val="single" w:sz="8" w:color="E7E7E8"/>
            </w:tcBorders>
          </w:tcPr>
          <w:p>
            <w:pPr>
              <w:spacing w:after="0"/>
              <w:rPr>
                <w:sz w:val="4"/>
                <w:szCs w:val="4"/>
                <w:color w:val="auto"/>
              </w:rPr>
            </w:pPr>
          </w:p>
        </w:tc>
        <w:tc>
          <w:tcPr>
            <w:tcW w:w="4700" w:type="dxa"/>
            <w:vAlign w:val="bottom"/>
            <w:tcBorders>
              <w:bottom w:val="single" w:sz="8" w:color="E7E7E8"/>
            </w:tcBorders>
          </w:tcPr>
          <w:p>
            <w:pPr>
              <w:spacing w:after="0"/>
              <w:rPr>
                <w:sz w:val="4"/>
                <w:szCs w:val="4"/>
                <w:color w:val="auto"/>
              </w:rPr>
            </w:pPr>
          </w:p>
        </w:tc>
        <w:tc>
          <w:tcPr>
            <w:tcW w:w="1760" w:type="dxa"/>
            <w:vAlign w:val="bottom"/>
            <w:tcBorders>
              <w:bottom w:val="single" w:sz="8" w:color="E7E7E8"/>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E7E7E8"/>
            </w:tcBorders>
            <w:shd w:val="clear" w:color="auto" w:fill="E7E7E8"/>
          </w:tcPr>
          <w:p>
            <w:pPr>
              <w:spacing w:after="0"/>
              <w:rPr>
                <w:sz w:val="20"/>
                <w:szCs w:val="20"/>
                <w:color w:val="auto"/>
              </w:rPr>
            </w:pPr>
          </w:p>
        </w:tc>
        <w:tc>
          <w:tcPr>
            <w:tcW w:w="470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1760" w:type="dxa"/>
            <w:vAlign w:val="bottom"/>
            <w:tcBorders>
              <w:bottom w:val="single" w:sz="8" w:color="E7E7E8"/>
            </w:tcBorders>
            <w:shd w:val="clear" w:color="auto" w:fill="E7E7E8"/>
          </w:tcPr>
          <w:p>
            <w:pPr>
              <w:spacing w:after="0"/>
              <w:rPr>
                <w:sz w:val="20"/>
                <w:szCs w:val="20"/>
                <w:color w:val="auto"/>
              </w:rPr>
            </w:pPr>
          </w:p>
        </w:tc>
        <w:tc>
          <w:tcPr>
            <w:tcW w:w="30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54,640</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39,583</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15,057</w:t>
            </w:r>
          </w:p>
        </w:tc>
        <w:tc>
          <w:tcPr>
            <w:tcW w:w="0" w:type="dxa"/>
            <w:vAlign w:val="bottom"/>
          </w:tcPr>
          <w:p>
            <w:pPr>
              <w:spacing w:after="0"/>
              <w:rPr>
                <w:sz w:val="1"/>
                <w:szCs w:val="1"/>
                <w:color w:val="auto"/>
              </w:rPr>
            </w:pPr>
          </w:p>
        </w:tc>
      </w:tr>
      <w:tr>
        <w:trPr>
          <w:trHeight w:val="22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Expenses: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Selling, general and administrative</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47,734</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31,652</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16,082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Other depreciation and amortization</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Restructuring costs</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Currency losses (gains), net</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7,069</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0" w:type="dxa"/>
            <w:vAlign w:val="bottom"/>
            <w:tcBorders>
              <w:bottom w:val="single" w:sz="8" w:color="E7E7E8"/>
            </w:tcBorders>
            <w:shd w:val="clear" w:color="auto" w:fill="E7E7E8"/>
          </w:tcPr>
          <w:p>
            <w:pPr>
              <w:spacing w:after="0"/>
              <w:rPr>
                <w:sz w:val="23"/>
                <w:szCs w:val="23"/>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(income) expense, net</w:t>
            </w:r>
          </w:p>
        </w:tc>
        <w:tc>
          <w:tcPr>
            <w:tcW w:w="1760" w:type="dxa"/>
            <w:vAlign w:val="bottom"/>
            <w:tcBorders>
              <w:bottom w:val="single" w:sz="8" w:color="E7E7E8"/>
            </w:tcBorders>
            <w:shd w:val="clear" w:color="auto" w:fill="E7E7E8"/>
          </w:tcPr>
          <w:p>
            <w:pPr>
              <w:spacing w:after="0"/>
              <w:rPr>
                <w:sz w:val="23"/>
                <w:szCs w:val="23"/>
                <w:color w:val="auto"/>
              </w:rPr>
            </w:pPr>
          </w:p>
        </w:tc>
        <w:tc>
          <w:tcPr>
            <w:tcW w:w="300" w:type="dxa"/>
            <w:vAlign w:val="bottom"/>
            <w:tcBorders>
              <w:bottom w:val="single" w:sz="8" w:color="E7E7E8"/>
            </w:tcBorders>
            <w:shd w:val="clear" w:color="auto" w:fill="E7E7E8"/>
          </w:tcPr>
          <w:p>
            <w:pPr>
              <w:spacing w:after="0"/>
              <w:rPr>
                <w:sz w:val="23"/>
                <w:szCs w:val="23"/>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1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(5,504)</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Interest expense</w:t>
            </w:r>
          </w:p>
        </w:tc>
        <w:tc>
          <w:tcPr>
            <w:tcW w:w="1760" w:type="dxa"/>
            <w:vAlign w:val="bottom"/>
            <w:tcBorders>
              <w:bottom w:val="single" w:sz="8" w:color="E7E7E8"/>
            </w:tcBorders>
            <w:shd w:val="clear" w:color="auto" w:fill="E7E7E8"/>
          </w:tcPr>
          <w:p>
            <w:pPr>
              <w:spacing w:after="0"/>
              <w:rPr>
                <w:sz w:val="21"/>
                <w:szCs w:val="21"/>
                <w:color w:val="auto"/>
              </w:rPr>
            </w:pPr>
          </w:p>
        </w:tc>
        <w:tc>
          <w:tcPr>
            <w:tcW w:w="30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12,155</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29,907</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(17,752)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Interest income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47"/>
        </w:trPr>
        <w:tc>
          <w:tcPr>
            <w:tcW w:w="280" w:type="dxa"/>
            <w:vAlign w:val="bottom"/>
            <w:tcBorders>
              <w:bottom w:val="single" w:sz="8" w:color="E7E7E8"/>
            </w:tcBorders>
          </w:tcPr>
          <w:p>
            <w:pPr>
              <w:spacing w:after="0"/>
              <w:rPr>
                <w:sz w:val="4"/>
                <w:szCs w:val="4"/>
                <w:color w:val="auto"/>
              </w:rPr>
            </w:pPr>
          </w:p>
        </w:tc>
        <w:tc>
          <w:tcPr>
            <w:tcW w:w="4700" w:type="dxa"/>
            <w:vAlign w:val="bottom"/>
            <w:tcBorders>
              <w:bottom w:val="single" w:sz="8" w:color="E7E7E8"/>
            </w:tcBorders>
          </w:tcPr>
          <w:p>
            <w:pPr>
              <w:spacing w:after="0"/>
              <w:rPr>
                <w:sz w:val="4"/>
                <w:szCs w:val="4"/>
                <w:color w:val="auto"/>
              </w:rPr>
            </w:pPr>
          </w:p>
        </w:tc>
        <w:tc>
          <w:tcPr>
            <w:tcW w:w="1760" w:type="dxa"/>
            <w:vAlign w:val="bottom"/>
            <w:tcBorders>
              <w:bottom w:val="single" w:sz="8" w:color="E7E7E8"/>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 before income tax</w:t>
            </w:r>
          </w:p>
        </w:tc>
        <w:tc>
          <w:tcPr>
            <w:tcW w:w="1760" w:type="dxa"/>
            <w:vAlign w:val="bottom"/>
            <w:tcBorders>
              <w:bottom w:val="single" w:sz="8" w:color="E7E7E8"/>
            </w:tcBorders>
            <w:shd w:val="clear" w:color="auto" w:fill="E7E7E8"/>
          </w:tcPr>
          <w:p>
            <w:pPr>
              <w:spacing w:after="0"/>
              <w:rPr>
                <w:sz w:val="20"/>
                <w:szCs w:val="20"/>
                <w:color w:val="auto"/>
              </w:rPr>
            </w:pPr>
          </w:p>
        </w:tc>
        <w:tc>
          <w:tcPr>
            <w:tcW w:w="30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8,739</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Income tax benefit</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47"/>
        </w:trPr>
        <w:tc>
          <w:tcPr>
            <w:tcW w:w="280" w:type="dxa"/>
            <w:vAlign w:val="bottom"/>
            <w:tcBorders>
              <w:bottom w:val="single" w:sz="8" w:color="E7E7E8"/>
            </w:tcBorders>
          </w:tcPr>
          <w:p>
            <w:pPr>
              <w:spacing w:after="0"/>
              <w:rPr>
                <w:sz w:val="4"/>
                <w:szCs w:val="4"/>
                <w:color w:val="auto"/>
              </w:rPr>
            </w:pPr>
          </w:p>
        </w:tc>
        <w:tc>
          <w:tcPr>
            <w:tcW w:w="4700" w:type="dxa"/>
            <w:vAlign w:val="bottom"/>
            <w:tcBorders>
              <w:bottom w:val="single" w:sz="8" w:color="E7E7E8"/>
            </w:tcBorders>
          </w:tcPr>
          <w:p>
            <w:pPr>
              <w:spacing w:after="0"/>
              <w:rPr>
                <w:sz w:val="4"/>
                <w:szCs w:val="4"/>
                <w:color w:val="auto"/>
              </w:rPr>
            </w:pPr>
          </w:p>
        </w:tc>
        <w:tc>
          <w:tcPr>
            <w:tcW w:w="1760" w:type="dxa"/>
            <w:vAlign w:val="bottom"/>
            <w:tcBorders>
              <w:bottom w:val="single" w:sz="8" w:color="E7E7E8"/>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continuing operations</w:t>
            </w:r>
          </w:p>
        </w:tc>
        <w:tc>
          <w:tcPr>
            <w:tcW w:w="1760" w:type="dxa"/>
            <w:vAlign w:val="bottom"/>
            <w:tcBorders>
              <w:bottom w:val="single" w:sz="8" w:color="E7E7E8"/>
            </w:tcBorders>
            <w:shd w:val="clear" w:color="auto" w:fill="E7E7E8"/>
          </w:tcPr>
          <w:p>
            <w:pPr>
              <w:spacing w:after="0"/>
              <w:rPr>
                <w:sz w:val="20"/>
                <w:szCs w:val="20"/>
                <w:color w:val="auto"/>
              </w:rPr>
            </w:pPr>
          </w:p>
        </w:tc>
        <w:tc>
          <w:tcPr>
            <w:tcW w:w="30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10,115</w:t>
            </w:r>
          </w:p>
        </w:tc>
        <w:tc>
          <w:tcPr>
            <w:tcW w:w="0" w:type="dxa"/>
            <w:vAlign w:val="bottom"/>
          </w:tcPr>
          <w:p>
            <w:pPr>
              <w:spacing w:after="0"/>
              <w:rPr>
                <w:sz w:val="1"/>
                <w:szCs w:val="1"/>
                <w:color w:val="auto"/>
              </w:rPr>
            </w:pPr>
          </w:p>
        </w:tc>
      </w:tr>
      <w:tr>
        <w:trPr>
          <w:trHeight w:val="22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47"/>
        </w:trPr>
        <w:tc>
          <w:tcPr>
            <w:tcW w:w="280" w:type="dxa"/>
            <w:vAlign w:val="bottom"/>
            <w:tcBorders>
              <w:bottom w:val="single" w:sz="8" w:color="E7E7E8"/>
            </w:tcBorders>
          </w:tcPr>
          <w:p>
            <w:pPr>
              <w:spacing w:after="0"/>
              <w:rPr>
                <w:sz w:val="4"/>
                <w:szCs w:val="4"/>
                <w:color w:val="auto"/>
              </w:rPr>
            </w:pPr>
          </w:p>
        </w:tc>
        <w:tc>
          <w:tcPr>
            <w:tcW w:w="4700" w:type="dxa"/>
            <w:vAlign w:val="bottom"/>
            <w:tcBorders>
              <w:bottom w:val="single" w:sz="8" w:color="E7E7E8"/>
            </w:tcBorders>
          </w:tcPr>
          <w:p>
            <w:pPr>
              <w:spacing w:after="0"/>
              <w:rPr>
                <w:sz w:val="4"/>
                <w:szCs w:val="4"/>
                <w:color w:val="auto"/>
              </w:rPr>
            </w:pPr>
          </w:p>
        </w:tc>
        <w:tc>
          <w:tcPr>
            <w:tcW w:w="1760" w:type="dxa"/>
            <w:vAlign w:val="bottom"/>
            <w:tcBorders>
              <w:bottom w:val="single" w:sz="8" w:color="E7E7E8"/>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income (loss)</w:t>
            </w:r>
          </w:p>
        </w:tc>
        <w:tc>
          <w:tcPr>
            <w:tcW w:w="1760" w:type="dxa"/>
            <w:vAlign w:val="bottom"/>
            <w:tcBorders>
              <w:bottom w:val="single" w:sz="8" w:color="E7E7E8"/>
            </w:tcBorders>
            <w:shd w:val="clear" w:color="auto" w:fill="E7E7E8"/>
          </w:tcPr>
          <w:p>
            <w:pPr>
              <w:spacing w:after="0"/>
              <w:rPr>
                <w:sz w:val="20"/>
                <w:szCs w:val="20"/>
                <w:color w:val="auto"/>
              </w:rPr>
            </w:pPr>
          </w:p>
        </w:tc>
        <w:tc>
          <w:tcPr>
            <w:tcW w:w="30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2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non-controlling interest, net of tax</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47"/>
        </w:trPr>
        <w:tc>
          <w:tcPr>
            <w:tcW w:w="280" w:type="dxa"/>
            <w:vAlign w:val="bottom"/>
            <w:tcBorders>
              <w:bottom w:val="single" w:sz="8" w:color="E7E7E8"/>
            </w:tcBorders>
          </w:tcPr>
          <w:p>
            <w:pPr>
              <w:spacing w:after="0"/>
              <w:rPr>
                <w:sz w:val="4"/>
                <w:szCs w:val="4"/>
                <w:color w:val="auto"/>
              </w:rPr>
            </w:pPr>
          </w:p>
        </w:tc>
        <w:tc>
          <w:tcPr>
            <w:tcW w:w="4700" w:type="dxa"/>
            <w:vAlign w:val="bottom"/>
            <w:tcBorders>
              <w:bottom w:val="single" w:sz="8" w:color="E7E7E8"/>
            </w:tcBorders>
          </w:tcPr>
          <w:p>
            <w:pPr>
              <w:spacing w:after="0"/>
              <w:rPr>
                <w:sz w:val="4"/>
                <w:szCs w:val="4"/>
                <w:color w:val="auto"/>
              </w:rPr>
            </w:pPr>
          </w:p>
        </w:tc>
        <w:tc>
          <w:tcPr>
            <w:tcW w:w="2060" w:type="dxa"/>
            <w:vAlign w:val="bottom"/>
            <w:tcBorders>
              <w:bottom w:val="single" w:sz="8" w:color="E7E7E8"/>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98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income (loss) attributable to WSC</w:t>
            </w:r>
          </w:p>
        </w:tc>
        <w:tc>
          <w:tcPr>
            <w:tcW w:w="2060" w:type="dxa"/>
            <w:vAlign w:val="bottom"/>
            <w:tcBorders>
              <w:bottom w:val="single" w:sz="8" w:color="E7E7E8"/>
            </w:tcBorders>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6,132</w:t>
            </w:r>
          </w:p>
        </w:tc>
        <w:tc>
          <w:tcPr>
            <w:tcW w:w="0" w:type="dxa"/>
            <w:vAlign w:val="bottom"/>
          </w:tcPr>
          <w:p>
            <w:pPr>
              <w:spacing w:after="0"/>
              <w:rPr>
                <w:sz w:val="1"/>
                <w:szCs w:val="1"/>
                <w:color w:val="auto"/>
              </w:rPr>
            </w:pPr>
          </w:p>
        </w:tc>
      </w:tr>
      <w:tr>
        <w:trPr>
          <w:trHeight w:val="20"/>
        </w:trPr>
        <w:tc>
          <w:tcPr>
            <w:tcW w:w="280" w:type="dxa"/>
            <w:vAlign w:val="bottom"/>
            <w:tcBorders>
              <w:top w:val="single" w:sz="8" w:color="E7E7E8"/>
            </w:tcBorders>
          </w:tcPr>
          <w:p>
            <w:pPr>
              <w:spacing w:after="0" w:line="20" w:lineRule="exact"/>
              <w:rPr>
                <w:sz w:val="1"/>
                <w:szCs w:val="1"/>
                <w:color w:val="auto"/>
              </w:rPr>
            </w:pPr>
          </w:p>
        </w:tc>
        <w:tc>
          <w:tcPr>
            <w:tcW w:w="4700" w:type="dxa"/>
            <w:vAlign w:val="bottom"/>
            <w:tcBorders>
              <w:top w:val="single" w:sz="8" w:color="E7E7E8"/>
            </w:tcBorders>
          </w:tcPr>
          <w:p>
            <w:pPr>
              <w:spacing w:after="0" w:line="20" w:lineRule="exact"/>
              <w:rPr>
                <w:sz w:val="1"/>
                <w:szCs w:val="1"/>
                <w:color w:val="auto"/>
              </w:rPr>
            </w:pPr>
          </w:p>
        </w:tc>
        <w:tc>
          <w:tcPr>
            <w:tcW w:w="1760" w:type="dxa"/>
            <w:vAlign w:val="bottom"/>
            <w:tcBorders>
              <w:top w:val="single" w:sz="8" w:color="E7E7E8"/>
              <w:bottom w:val="single" w:sz="8" w:color="E7E7E8"/>
            </w:tcBorders>
            <w:vMerge w:val="restart"/>
          </w:tcPr>
          <w:p>
            <w:pPr>
              <w:jc w:val="right"/>
              <w:ind w:right="859"/>
              <w:spacing w:after="0"/>
              <w:rPr>
                <w:sz w:val="20"/>
                <w:szCs w:val="20"/>
                <w:color w:val="auto"/>
              </w:rPr>
            </w:pPr>
            <w:r>
              <w:rPr>
                <w:rFonts w:ascii="Arial" w:cs="Arial" w:eastAsia="Arial" w:hAnsi="Arial"/>
                <w:sz w:val="16"/>
                <w:szCs w:val="16"/>
                <w:color w:val="auto"/>
              </w:rPr>
              <w:t>31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Three Months Ended June 30, 2018 and 2017</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$30.2 million, or 27.4%, to $140.3 million for the three months ended June 30, 2018 from $110.1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2017. The increase was primarily the result of a 38.2% increase in leasing and services revenue driven by improved pricing and volumes. Average modular space monthly rental rates increased 3.2% to $551 for the three months ended June 30, 2018, and average modular space units on rent increased 13,841 units, or 34.0%.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37.1%. The increase in leasing and services revenue was partially offset by decreases of $4.2 million, or 44.7%, and $2.3 million, or 48.9% in new unit and rental unit sales, respectively, as compared to the same period in 2017. The decrease year over year in new and rental unit sales was as a result of lower volumes of sales opportunities and increased focus on our higher margin modular leasing business.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pro-forma basis, including results of the Company, Acton, and Tyson for all periods presented, total revenues increased $2.8 million, or 2.1%, year-over-year for the three months ended June 30, 2018. Core leasing and services revenues increased $12.8 million, or 10.7%, primarily reflecting a 2.6% increase in average modular space units on rent and a 9.8% increase in average modular space monthly rental rate. The increase in leasing and services revenues was partially offset by a $10.0 million, or 56.5% decrease year over year in new and rental unit sales.</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three months ended June 30, 2018 and 2017 were 68,017 and 53,019, respectively. The increase was due to units acquired as part of the Acton and Tyson acquisitions and organic improvements in modular space average units on rent, with modular space average units on rent increasing by 13,841 units, or 34.0% for the three months ended June 30, 2018. Modular space average monthly rental rates increased 3.2% for the three months ended June 30, 2018. Portable storage average units on rent increased by 1,157 units, or 9.4% for the three months ended June 30, 2018. Average portable storage monthly rental rates increased 4.4% for the three months ended June 30, 2018. The average modular space unit utilization rate during the three months ended June 30, 2018 was 70.3%, as compared to 69.8% during the same period in 2017. The increase in average modular space utilization rate was driven by improvement in the modular space average units on rent in the Modular - Other North America business segment, slightly offset by declines in the Modular - US business segment as a result of acquired units at lower utilization rates. The average portable storage unit utilization rate during the three months ended June 30, 2018 was 68.1%, as compared to 70.0% during the same period in 2017. The decrease in average portable storage utilization rate was driven by organic declines in the number of portable storage average units on rent in the Modular - US segment.</w:t>
      </w:r>
    </w:p>
    <w:p>
      <w:pPr>
        <w:spacing w:after="0" w:line="5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38.9% and 36.0% for the three months ended June 30, 2018 and 2017,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56.0% and 52.0% for the three months ended June 30, 2018 and 2017, respectively.</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Gross profit increased $15.0 million, or 37.9%, to $54.6 million for the three months ended June 30, 2018 from $39.6 million for the three months ended June 30, 2017. The increase in gross profit is a result of a $23.2 million increase in modular leasing and services gross profit primarily as a result of increased revenues as well as increased margins due to favorable average monthly rental rates on modular space units. These increases were partially offset by increased depreciation of $6.0 million as a result of continued capital investment in rental equipment, including additional depreciation related to the Acton and Tyson acquisitions, and decreased new unit and rental unit gross profit of $2.2 million due to lower revenues.</w:t>
      </w:r>
    </w:p>
    <w:p>
      <w:pPr>
        <w:spacing w:after="0" w:line="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(“SG&amp;A”) increased $16.0 million, or 50.5%, to $47.7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2018, compared to $31.7 million for the three months ended June 30, 2017. $9.2 million of the SG&amp;A increase was driven by discrete items including increased transaction fees of $3.3 million related to the pending ModSpace acquisition, increased integration costs of $4.8 million related primarily to the Acton integration, and increased stock compensation expense of $1.1 million. The remaining increases of $6.8 million are primarily related to $2.7 million of increased public company costs including outside professional fees, and increased headcount, occupancy, and indirect tax costs all of which are partially driven by the Acton and Tyson acquisitions and our expanded employee base and branch network. Cost synergies related to the Acton integration plan are on track. As of June 30, 2018, we had ceased production activities and began exit activities at 90% of the Acton locations in overlapping markets. Exit activities for redundant branch locations, such as preparing units and materials for transport to other locations remain on schedule. These activities are expected to continue through the rest of the year and into early 2019 and we expect additional cost savings as we execute the established integration plan. These increases were partially offset by a reduction of $3.2 million in corporate &amp; other related to Algeco Group costs no longer included in our operations.</w:t>
      </w:r>
    </w:p>
    <w:p>
      <w:pPr>
        <w:spacing w:after="0" w:line="2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$0.3 million, or 15.8%, to $1.6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2018, compared to $1.9 million for the three months ended June 30, 2017.</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$0.4 million for the three months ended June 30, 2018 as compared to $0.7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2018 restructuring charges relate primarily to employee termination costs related to the Acton acquisition. The 2017 restructuring charges relate primarily to the Algeco Group corporate function and consist of employee termination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41" w:right="239" w:bottom="1440" w:gutter="0" w:footer="0" w:header="0"/>
        </w:sectPr>
      </w:pPr>
    </w:p>
    <w:bookmarkStart w:id="34" w:name="page35"/>
    <w:bookmarkEnd w:id="34"/>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$7.1 million to a $0.6 million loss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a $6.5 million gain for the three months ended June 30, 2017. The decrease in currency losses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 in November 2017.</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was $1.6 million of other income for the three months ended June 30, 2018 and $0.5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of other expense for the three months ended June 30, 2017. The increase in other income was driven by insurance proceeds related to assets damaged during Hurricane Harvey which contributed $1.8 million to other (income) expense, net, for the three months ended June 30, 2018.</w:t>
      </w:r>
    </w:p>
    <w:p>
      <w:pPr>
        <w:spacing w:after="0" w:line="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$17.7 million, or 59.2%, to $12.2 million for the three months ended June 30, 2018 from $29.9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2017. Upon consummation of the Business Combination in November 2017, we issued $300.0 million of 7.875% senior secured notes (the “Notes”) and entered into a new $600.0 million ABL credit agreement (the “ABL Facility”) to fund our operations as a stand-alone company. The majority of the interest costs incurred during the three months ended June 30, 2017 relate to the previous debt structure of the Company as part of the Algeco Group. The decrease in interest expense is driven by our lower debt balance in 2018 under our new debt structure as compared to the Algeco Group debt structure in place in 2017. See Note 6 to the condensed consolidated financial statements for further discussion of our debt.</w:t>
      </w:r>
    </w:p>
    <w:p>
      <w:pPr>
        <w:spacing w:after="0" w:line="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$3.5 million, or 100.0%, to $0.0 million for the three months ended June 30, 2018 from $3.5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2017. This decrease is due to the decrease in the principal balance of notes due from affiliates, which were settled upon consummation of the Business Combination in November 2017.</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increased $1.3 million to $6.6 million for the three months ended June 30, 2018 compared to $5.3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2017. The increase in income tax benefit was principally due to discrete benefits related to state enacted laws in the three months ended June 30, 2018, which were partially offset by a smaller pre-tax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Six Months Ended June 30, 2018 Compared to the Six Months Ended June 30, 2017</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8180" w:type="dxa"/>
            <w:vAlign w:val="bottom"/>
            <w:gridSpan w:val="6"/>
          </w:tcPr>
          <w:p>
            <w:pPr>
              <w:ind w:left="40"/>
              <w:spacing w:after="0"/>
              <w:rPr>
                <w:sz w:val="20"/>
                <w:szCs w:val="20"/>
                <w:color w:val="auto"/>
              </w:rPr>
            </w:pPr>
            <w:r>
              <w:rPr>
                <w:rFonts w:ascii="Arial" w:cs="Arial" w:eastAsia="Arial" w:hAnsi="Arial"/>
                <w:sz w:val="16"/>
                <w:szCs w:val="16"/>
                <w:color w:val="auto"/>
              </w:rPr>
              <w:t>Our consolidated statements of net loss for the six months ended June 30, 2018 and 2017 are presented below:</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008A5F"/>
          </w:tcPr>
          <w:p>
            <w:pPr>
              <w:spacing w:after="0"/>
              <w:rPr>
                <w:sz w:val="19"/>
                <w:szCs w:val="19"/>
                <w:color w:val="auto"/>
              </w:rPr>
            </w:pPr>
          </w:p>
        </w:tc>
        <w:tc>
          <w:tcPr>
            <w:tcW w:w="4240" w:type="dxa"/>
            <w:vAlign w:val="bottom"/>
            <w:shd w:val="clear" w:color="auto" w:fill="008A5F"/>
          </w:tcPr>
          <w:p>
            <w:pPr>
              <w:spacing w:after="0"/>
              <w:rPr>
                <w:sz w:val="19"/>
                <w:szCs w:val="19"/>
                <w:color w:val="auto"/>
              </w:rPr>
            </w:pPr>
          </w:p>
        </w:tc>
        <w:tc>
          <w:tcPr>
            <w:tcW w:w="188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2860" w:type="dxa"/>
            <w:vAlign w:val="bottom"/>
            <w:gridSpan w:val="5"/>
            <w:shd w:val="clear" w:color="auto" w:fill="008A5F"/>
          </w:tcPr>
          <w:p>
            <w:pPr>
              <w:ind w:left="240"/>
              <w:spacing w:after="0"/>
              <w:rPr>
                <w:sz w:val="20"/>
                <w:szCs w:val="20"/>
                <w:color w:val="auto"/>
              </w:rPr>
            </w:pPr>
            <w:r>
              <w:rPr>
                <w:rFonts w:ascii="Arial" w:cs="Arial" w:eastAsia="Arial" w:hAnsi="Arial"/>
                <w:sz w:val="16"/>
                <w:szCs w:val="16"/>
                <w:b w:val="1"/>
                <w:bCs w:val="1"/>
                <w:color w:val="FFFFFF"/>
              </w:rPr>
              <w:t>Six Months Ended June 30,</w:t>
            </w:r>
          </w:p>
        </w:tc>
        <w:tc>
          <w:tcPr>
            <w:tcW w:w="140" w:type="dxa"/>
            <w:vAlign w:val="bottom"/>
            <w:shd w:val="clear" w:color="auto" w:fill="008A5F"/>
          </w:tcPr>
          <w:p>
            <w:pPr>
              <w:spacing w:after="0"/>
              <w:rPr>
                <w:sz w:val="19"/>
                <w:szCs w:val="19"/>
                <w:color w:val="auto"/>
              </w:rPr>
            </w:pPr>
          </w:p>
        </w:tc>
        <w:tc>
          <w:tcPr>
            <w:tcW w:w="1340" w:type="dxa"/>
            <w:vAlign w:val="bottom"/>
            <w:vMerge w:val="restart"/>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2018 vs. 2017 $</w:t>
            </w:r>
          </w:p>
        </w:tc>
        <w:tc>
          <w:tcPr>
            <w:tcW w:w="0" w:type="dxa"/>
            <w:vAlign w:val="bottom"/>
          </w:tcPr>
          <w:p>
            <w:pPr>
              <w:spacing w:after="0"/>
              <w:rPr>
                <w:sz w:val="1"/>
                <w:szCs w:val="1"/>
                <w:color w:val="auto"/>
              </w:rPr>
            </w:pPr>
          </w:p>
        </w:tc>
      </w:tr>
      <w:tr>
        <w:trPr>
          <w:trHeight w:val="101"/>
        </w:trPr>
        <w:tc>
          <w:tcPr>
            <w:tcW w:w="620" w:type="dxa"/>
            <w:vAlign w:val="bottom"/>
            <w:shd w:val="clear" w:color="auto" w:fill="008A5F"/>
          </w:tcPr>
          <w:p>
            <w:pPr>
              <w:spacing w:after="0"/>
              <w:rPr>
                <w:sz w:val="8"/>
                <w:szCs w:val="8"/>
                <w:color w:val="auto"/>
              </w:rPr>
            </w:pPr>
          </w:p>
        </w:tc>
        <w:tc>
          <w:tcPr>
            <w:tcW w:w="4240" w:type="dxa"/>
            <w:vAlign w:val="bottom"/>
            <w:shd w:val="clear" w:color="auto" w:fill="008A5F"/>
          </w:tcPr>
          <w:p>
            <w:pPr>
              <w:spacing w:after="0"/>
              <w:rPr>
                <w:sz w:val="8"/>
                <w:szCs w:val="8"/>
                <w:color w:val="auto"/>
              </w:rPr>
            </w:pPr>
          </w:p>
        </w:tc>
        <w:tc>
          <w:tcPr>
            <w:tcW w:w="188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44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88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8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440" w:type="dxa"/>
            <w:vAlign w:val="bottom"/>
            <w:shd w:val="clear" w:color="auto" w:fill="008A5F"/>
          </w:tcPr>
          <w:p>
            <w:pPr>
              <w:spacing w:after="0"/>
              <w:rPr>
                <w:sz w:val="19"/>
                <w:szCs w:val="19"/>
                <w:color w:val="auto"/>
              </w:rPr>
            </w:pPr>
          </w:p>
        </w:tc>
        <w:tc>
          <w:tcPr>
            <w:tcW w:w="10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34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101"/>
        </w:trPr>
        <w:tc>
          <w:tcPr>
            <w:tcW w:w="620" w:type="dxa"/>
            <w:vAlign w:val="bottom"/>
            <w:shd w:val="clear" w:color="auto" w:fill="008A5F"/>
          </w:tcPr>
          <w:p>
            <w:pPr>
              <w:spacing w:after="0"/>
              <w:rPr>
                <w:sz w:val="8"/>
                <w:szCs w:val="8"/>
                <w:color w:val="auto"/>
              </w:rPr>
            </w:pPr>
          </w:p>
        </w:tc>
        <w:tc>
          <w:tcPr>
            <w:tcW w:w="4240" w:type="dxa"/>
            <w:vAlign w:val="bottom"/>
            <w:shd w:val="clear" w:color="auto" w:fill="008A5F"/>
          </w:tcPr>
          <w:p>
            <w:pPr>
              <w:spacing w:after="0"/>
              <w:rPr>
                <w:sz w:val="8"/>
                <w:szCs w:val="8"/>
                <w:color w:val="auto"/>
              </w:rPr>
            </w:pPr>
          </w:p>
        </w:tc>
        <w:tc>
          <w:tcPr>
            <w:tcW w:w="188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44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Leasing and services revenue:</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22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22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198,511</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141,941</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56,570</w:t>
            </w: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Modular delivery and installation</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57,663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15,710</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Sales: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New units</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188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6,246</w:t>
            </w:r>
          </w:p>
        </w:tc>
        <w:tc>
          <w:tcPr>
            <w:tcW w:w="100" w:type="dxa"/>
            <w:vAlign w:val="bottom"/>
            <w:tcBorders>
              <w:bottom w:val="single" w:sz="8" w:color="E7E7E8"/>
            </w:tcBorders>
            <w:shd w:val="clear" w:color="auto" w:fill="E7E7E8"/>
          </w:tcPr>
          <w:p>
            <w:pPr>
              <w:spacing w:after="0"/>
              <w:rPr>
                <w:sz w:val="23"/>
                <w:szCs w:val="23"/>
                <w:color w:val="auto"/>
              </w:rPr>
            </w:pPr>
          </w:p>
        </w:tc>
        <w:tc>
          <w:tcPr>
            <w:tcW w:w="440" w:type="dxa"/>
            <w:vAlign w:val="bottom"/>
            <w:tcBorders>
              <w:bottom w:val="single" w:sz="8" w:color="E7E7E8"/>
            </w:tcBorders>
            <w:shd w:val="clear" w:color="auto" w:fill="E7E7E8"/>
          </w:tcPr>
          <w:p>
            <w:pPr>
              <w:spacing w:after="0"/>
              <w:rPr>
                <w:sz w:val="23"/>
                <w:szCs w:val="23"/>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(4,376)</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Total revenues</w:t>
            </w:r>
          </w:p>
        </w:tc>
        <w:tc>
          <w:tcPr>
            <w:tcW w:w="1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275,084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209,398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65,686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Costs: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Costs of leasing and services:</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54,291</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40,442</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13,849</w:t>
            </w: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Modular delivery and installation</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15,176</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Costs of sales: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New units</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3,578</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6,283</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Depreciation of rental equipment</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47,315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13,121</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E7E7E8"/>
            </w:tcBorders>
            <w:shd w:val="clear" w:color="auto" w:fill="E7E7E8"/>
          </w:tcPr>
          <w:p>
            <w:pPr>
              <w:spacing w:after="0"/>
              <w:rPr>
                <w:sz w:val="20"/>
                <w:szCs w:val="20"/>
                <w:color w:val="auto"/>
              </w:rPr>
            </w:pPr>
          </w:p>
        </w:tc>
        <w:tc>
          <w:tcPr>
            <w:tcW w:w="4240" w:type="dxa"/>
            <w:vAlign w:val="bottom"/>
            <w:tcBorders>
              <w:bottom w:val="single" w:sz="8" w:color="E7E7E8"/>
            </w:tcBorders>
            <w:shd w:val="clear" w:color="auto" w:fill="E7E7E8"/>
          </w:tcPr>
          <w:p>
            <w:pPr>
              <w:ind w:left="100"/>
              <w:spacing w:after="0"/>
              <w:rPr>
                <w:sz w:val="20"/>
                <w:szCs w:val="20"/>
                <w:color w:val="auto"/>
              </w:rPr>
            </w:pPr>
            <w:r>
              <w:rPr>
                <w:rFonts w:ascii="Arial" w:cs="Arial" w:eastAsia="Arial" w:hAnsi="Arial"/>
                <w:sz w:val="16"/>
                <w:szCs w:val="16"/>
                <w:color w:val="auto"/>
              </w:rPr>
              <w:t>Gross profit</w:t>
            </w:r>
          </w:p>
        </w:tc>
        <w:tc>
          <w:tcPr>
            <w:tcW w:w="188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105,561</w:t>
            </w:r>
          </w:p>
        </w:tc>
        <w:tc>
          <w:tcPr>
            <w:tcW w:w="100" w:type="dxa"/>
            <w:vAlign w:val="bottom"/>
            <w:tcBorders>
              <w:bottom w:val="single" w:sz="8" w:color="E7E7E8"/>
            </w:tcBorders>
            <w:shd w:val="clear" w:color="auto" w:fill="E7E7E8"/>
          </w:tcPr>
          <w:p>
            <w:pPr>
              <w:spacing w:after="0"/>
              <w:rPr>
                <w:sz w:val="20"/>
                <w:szCs w:val="20"/>
                <w:color w:val="auto"/>
              </w:rPr>
            </w:pPr>
          </w:p>
        </w:tc>
        <w:tc>
          <w:tcPr>
            <w:tcW w:w="440" w:type="dxa"/>
            <w:vAlign w:val="bottom"/>
            <w:tcBorders>
              <w:bottom w:val="single" w:sz="8" w:color="E7E7E8"/>
            </w:tcBorders>
            <w:shd w:val="clear" w:color="auto" w:fill="E7E7E8"/>
          </w:tcPr>
          <w:p>
            <w:pPr>
              <w:spacing w:after="0"/>
              <w:rPr>
                <w:sz w:val="20"/>
                <w:szCs w:val="20"/>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77,521</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28,040</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Expenses:</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Selling, general and administrative</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92,948</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64,413</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28,535</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Other depreciation and amortization</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Restructuring costs</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Currency losses (gains), net</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(income) expense, net</w:t>
            </w:r>
          </w:p>
        </w:tc>
        <w:tc>
          <w:tcPr>
            <w:tcW w:w="188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E7E7E8"/>
            </w:tcBorders>
            <w:shd w:val="clear" w:color="auto" w:fill="E7E7E8"/>
          </w:tcPr>
          <w:p>
            <w:pPr>
              <w:spacing w:after="0"/>
              <w:rPr>
                <w:sz w:val="23"/>
                <w:szCs w:val="23"/>
                <w:color w:val="auto"/>
              </w:rPr>
            </w:pPr>
          </w:p>
        </w:tc>
        <w:tc>
          <w:tcPr>
            <w:tcW w:w="440" w:type="dxa"/>
            <w:vAlign w:val="bottom"/>
            <w:tcBorders>
              <w:bottom w:val="single" w:sz="8" w:color="E7E7E8"/>
            </w:tcBorders>
            <w:shd w:val="clear" w:color="auto" w:fill="E7E7E8"/>
          </w:tcPr>
          <w:p>
            <w:pPr>
              <w:spacing w:after="0"/>
              <w:rPr>
                <w:sz w:val="23"/>
                <w:szCs w:val="23"/>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Operating income</w:t>
            </w:r>
          </w:p>
        </w:tc>
        <w:tc>
          <w:tcPr>
            <w:tcW w:w="1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10,353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(5,864)</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expense</w:t>
            </w:r>
          </w:p>
        </w:tc>
        <w:tc>
          <w:tcPr>
            <w:tcW w:w="188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23,874</w:t>
            </w: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E7E7E8"/>
            </w:tcBorders>
            <w:shd w:val="clear" w:color="auto" w:fill="E7E7E8"/>
          </w:tcPr>
          <w:p>
            <w:pPr>
              <w:spacing w:after="0"/>
              <w:rPr>
                <w:sz w:val="21"/>
                <w:szCs w:val="21"/>
                <w:color w:val="auto"/>
              </w:rPr>
            </w:pPr>
          </w:p>
        </w:tc>
        <w:tc>
          <w:tcPr>
            <w:tcW w:w="10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54,568</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(30,694)</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Interest income</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 before income tax</w:t>
            </w:r>
          </w:p>
        </w:tc>
        <w:tc>
          <w:tcPr>
            <w:tcW w:w="188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(13,521)</w:t>
            </w:r>
          </w:p>
        </w:tc>
        <w:tc>
          <w:tcPr>
            <w:tcW w:w="100" w:type="dxa"/>
            <w:vAlign w:val="bottom"/>
            <w:tcBorders>
              <w:bottom w:val="single" w:sz="8" w:color="E7E7E8"/>
            </w:tcBorders>
            <w:shd w:val="clear" w:color="auto" w:fill="E7E7E8"/>
          </w:tcPr>
          <w:p>
            <w:pPr>
              <w:spacing w:after="0"/>
              <w:rPr>
                <w:sz w:val="20"/>
                <w:szCs w:val="20"/>
                <w:color w:val="auto"/>
              </w:rPr>
            </w:pPr>
          </w:p>
        </w:tc>
        <w:tc>
          <w:tcPr>
            <w:tcW w:w="440" w:type="dxa"/>
            <w:vAlign w:val="bottom"/>
            <w:tcBorders>
              <w:bottom w:val="single" w:sz="8" w:color="E7E7E8"/>
            </w:tcBorders>
            <w:shd w:val="clear" w:color="auto" w:fill="E7E7E8"/>
          </w:tcPr>
          <w:p>
            <w:pPr>
              <w:spacing w:after="0"/>
              <w:rPr>
                <w:sz w:val="20"/>
                <w:szCs w:val="20"/>
                <w:color w:val="auto"/>
              </w:rPr>
            </w:pPr>
          </w:p>
        </w:tc>
        <w:tc>
          <w:tcPr>
            <w:tcW w:w="10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(32,258)</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18,737</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Income tax benefit</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w:t>
            </w:r>
          </w:p>
        </w:tc>
        <w:tc>
          <w:tcPr>
            <w:tcW w:w="188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E7E7E8"/>
            </w:tcBorders>
            <w:shd w:val="clear" w:color="auto" w:fill="E7E7E8"/>
          </w:tcPr>
          <w:p>
            <w:pPr>
              <w:spacing w:after="0"/>
              <w:rPr>
                <w:sz w:val="20"/>
                <w:szCs w:val="20"/>
                <w:color w:val="auto"/>
              </w:rPr>
            </w:pPr>
          </w:p>
        </w:tc>
        <w:tc>
          <w:tcPr>
            <w:tcW w:w="440" w:type="dxa"/>
            <w:vAlign w:val="bottom"/>
            <w:tcBorders>
              <w:bottom w:val="single" w:sz="8" w:color="E7E7E8"/>
            </w:tcBorders>
            <w:shd w:val="clear" w:color="auto" w:fill="E7E7E8"/>
          </w:tcPr>
          <w:p>
            <w:pPr>
              <w:spacing w:after="0"/>
              <w:rPr>
                <w:sz w:val="20"/>
                <w:szCs w:val="20"/>
                <w:color w:val="auto"/>
              </w:rPr>
            </w:pPr>
          </w:p>
        </w:tc>
        <w:tc>
          <w:tcPr>
            <w:tcW w:w="10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(22,120)</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15,664</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6"/>
                <w:shd w:val="clear" w:color="auto" w:fill="E7E7E8"/>
              </w:rPr>
              <w:t>Net loss</w:t>
            </w:r>
          </w:p>
        </w:tc>
        <w:tc>
          <w:tcPr>
            <w:tcW w:w="4240" w:type="dxa"/>
            <w:vAlign w:val="bottom"/>
            <w:tcBorders>
              <w:bottom w:val="single" w:sz="8" w:color="E7E7E8"/>
            </w:tcBorders>
            <w:shd w:val="clear" w:color="auto" w:fill="E7E7E8"/>
          </w:tcPr>
          <w:p>
            <w:pPr>
              <w:spacing w:after="0"/>
              <w:rPr>
                <w:sz w:val="20"/>
                <w:szCs w:val="20"/>
                <w:color w:val="auto"/>
              </w:rPr>
            </w:pPr>
          </w:p>
        </w:tc>
        <w:tc>
          <w:tcPr>
            <w:tcW w:w="188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E7E7E8"/>
            </w:tcBorders>
            <w:shd w:val="clear" w:color="auto" w:fill="E7E7E8"/>
          </w:tcPr>
          <w:p>
            <w:pPr>
              <w:spacing w:after="0"/>
              <w:rPr>
                <w:sz w:val="20"/>
                <w:szCs w:val="20"/>
                <w:color w:val="auto"/>
              </w:rPr>
            </w:pPr>
          </w:p>
        </w:tc>
        <w:tc>
          <w:tcPr>
            <w:tcW w:w="440" w:type="dxa"/>
            <w:vAlign w:val="bottom"/>
            <w:tcBorders>
              <w:bottom w:val="single" w:sz="8" w:color="E7E7E8"/>
            </w:tcBorders>
            <w:shd w:val="clear" w:color="auto" w:fill="E7E7E8"/>
          </w:tcPr>
          <w:p>
            <w:pPr>
              <w:spacing w:after="0"/>
              <w:rPr>
                <w:sz w:val="20"/>
                <w:szCs w:val="20"/>
                <w:color w:val="auto"/>
              </w:rPr>
            </w:pPr>
          </w:p>
        </w:tc>
        <w:tc>
          <w:tcPr>
            <w:tcW w:w="10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(16,075)</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9,619</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Net loss attributable to non-controlling interest, net of tax</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2220" w:type="dxa"/>
            <w:vAlign w:val="bottom"/>
            <w:tcBorders>
              <w:bottom w:val="single" w:sz="8" w:color="E7E7E8"/>
            </w:tcBorders>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loss attributable to WSC</w:t>
            </w:r>
          </w:p>
        </w:tc>
        <w:tc>
          <w:tcPr>
            <w:tcW w:w="22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(5,951)</w:t>
            </w:r>
          </w:p>
        </w:tc>
        <w:tc>
          <w:tcPr>
            <w:tcW w:w="100" w:type="dxa"/>
            <w:vAlign w:val="bottom"/>
            <w:tcBorders>
              <w:bottom w:val="single" w:sz="8" w:color="E7E7E8"/>
            </w:tcBorders>
            <w:shd w:val="clear" w:color="auto" w:fill="E7E7E8"/>
          </w:tcPr>
          <w:p>
            <w:pPr>
              <w:spacing w:after="0"/>
              <w:rPr>
                <w:sz w:val="20"/>
                <w:szCs w:val="20"/>
                <w:color w:val="auto"/>
              </w:rPr>
            </w:pPr>
          </w:p>
        </w:tc>
        <w:tc>
          <w:tcPr>
            <w:tcW w:w="440" w:type="dxa"/>
            <w:vAlign w:val="bottom"/>
            <w:tcBorders>
              <w:bottom w:val="single" w:sz="8" w:color="E7E7E8"/>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(16,075)</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0"/>
        </w:trPr>
        <w:tc>
          <w:tcPr>
            <w:tcW w:w="620" w:type="dxa"/>
            <w:vAlign w:val="bottom"/>
            <w:tcBorders>
              <w:top w:val="single" w:sz="8" w:color="E7E7E8"/>
            </w:tcBorders>
          </w:tcPr>
          <w:p>
            <w:pPr>
              <w:spacing w:after="0" w:line="20" w:lineRule="exact"/>
              <w:rPr>
                <w:sz w:val="1"/>
                <w:szCs w:val="1"/>
                <w:color w:val="auto"/>
              </w:rPr>
            </w:pPr>
          </w:p>
        </w:tc>
        <w:tc>
          <w:tcPr>
            <w:tcW w:w="4240" w:type="dxa"/>
            <w:vAlign w:val="bottom"/>
            <w:tcBorders>
              <w:top w:val="single" w:sz="8" w:color="E7E7E8"/>
            </w:tcBorders>
          </w:tcPr>
          <w:p>
            <w:pPr>
              <w:spacing w:after="0" w:line="20" w:lineRule="exact"/>
              <w:rPr>
                <w:sz w:val="1"/>
                <w:szCs w:val="1"/>
                <w:color w:val="auto"/>
              </w:rPr>
            </w:pPr>
          </w:p>
        </w:tc>
        <w:tc>
          <w:tcPr>
            <w:tcW w:w="1880" w:type="dxa"/>
            <w:vAlign w:val="bottom"/>
            <w:tcBorders>
              <w:top w:val="single" w:sz="8" w:color="E7E7E8"/>
              <w:bottom w:val="single" w:sz="8" w:color="E7E7E8"/>
            </w:tcBorders>
            <w:vMerge w:val="restart"/>
          </w:tcPr>
          <w:p>
            <w:pPr>
              <w:jc w:val="right"/>
              <w:ind w:right="859"/>
              <w:spacing w:after="0"/>
              <w:rPr>
                <w:sz w:val="20"/>
                <w:szCs w:val="20"/>
                <w:color w:val="auto"/>
              </w:rPr>
            </w:pPr>
            <w:r>
              <w:rPr>
                <w:rFonts w:ascii="Arial" w:cs="Arial" w:eastAsia="Arial" w:hAnsi="Arial"/>
                <w:sz w:val="16"/>
                <w:szCs w:val="16"/>
                <w:color w:val="auto"/>
              </w:rPr>
              <w:t>34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Six Months Ended June 30, 2018 and 2017</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$65.7 million, or 31.4%, to $275.1 million for the six months ended June 30, 2018 from $209.4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increase was primarily the result of a 39.1% increase in leasing and services revenue driven by improved pricing and volumes. Average modular space monthly rental rates increased 3.6% for the six months ended June 30, 2018, and average modular space units on rent increased 14,022 units, or 34.8%.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37.4%. The increase in leasing and services revenue was partially offset by decreases of $2.2 million, or 14.8% and $4.4 million, or 41.5% in new unit and rental unit sales, respectively, as compared to the same period in 2017. The decrease year over year in new and rental unit sales was as a result of lower volumes of sales opportunities and increased focus on our higher margin modular leasing business.</w:t>
      </w:r>
    </w:p>
    <w:p>
      <w:pPr>
        <w:spacing w:after="0" w:line="2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pro-forma basis, including results of the Company, Acton, and Tyson for all periods presented, total revenues increased $14.1 million, or 5.4%, year-over-year for the six months ended June 30, 2018. Core leasing and services revenues increased $25.8 million, or 11.2%, primarily reflecting a 3.5% increase in average modular space units on rent and a 9.3% increase in average modular space monthly rental rate. The increase in leasing and services revenues was partially offset by a $11.7 million, or 38.2% decrease year over year in new and rental unit sales.</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six months ended June 30, 2018 and 2017 were 68,126 and 53,055, respectively. The increase was due to units acquired as part of the Acton and Tyson acquisitions and organic improvements in modular space average units on rent, with modular space average units on rent increased by 14,022 units, or 34.8% for the six months ended June 30, 2018. Modular space average monthly rental rates increased 3.6% for the six months ended June 30, 2018. Portable storage average units on rent increasing by 1,049 units, or 8.2% for the six months ended June 30, 2018. Average portable storage monthly rental rates increased 4.4% for the six months ended June 30, 2018. The average modular space unit utilization rate during the six months ended June 30, 2018 was 70.3%, as compared to 69.1% during the same period in 2017. The increase in average modular space utilization rate was driven by improvement in the modular space average units on rent in the Modular - Other North America business segment. The average portable storage unit utilization rate during the six months ended June 30, 2018 was 69.4%, as compared to 72.1% during the same period in 2017. The decrease in average portable storage utilization rate was driven by organic declines in the number of portable storage average units on rent in the Modular - US segment.</w:t>
      </w:r>
    </w:p>
    <w:p>
      <w:pPr>
        <w:spacing w:after="0" w:line="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39.3% and 38.1% for the six months ended June 30, 2018 and 2017,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56.0% and 53.0% for the six months ended June 30, 2018 and 2017, respectively.</w:t>
      </w:r>
    </w:p>
    <w:p>
      <w:pPr>
        <w:spacing w:after="0" w:line="41"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Gross profit increased $28.1 million, or 36.3%, to $105.6 million for the six months ended June 30, 2018 from $77.5 million for the six months ended June 30, 2017. The increase in gross profit is a result of a $43.3 million increase in modular leasing gross profit primarily as a result of increased revenues as well as increased margins due to favorable average monthly rental rates on modular space units. These increases were partially offset by increased depreciation of $13.1 million as a result of continued capital investment in rental equipment, including additional depreciation related to the Acton and Tyson acquisitions, and decreased new unit and rental unit gross profit of $2.1 million due to lower revenues.</w:t>
      </w:r>
    </w:p>
    <w:p>
      <w:pPr>
        <w:spacing w:after="0" w:line="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(“SG&amp;A”) increased $28.5 million, or 44.3%, to $92.9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2018, compared to $64.4 million for the six months ended June 30, 2017. $11.8 million of the SG&amp;A increase was driven by discrete items including increased transaction fees of $3.3 million related to the pending ModSpace acquisition, increased integration costs of $7.4 million related to the Acton and Tyson integrations, and increased stock compensation expense of $1.2 million. The remaining increases of $16.7 million are primarily related to $6.2 million of increased public company costs including outside professional fees, and increased headcount, occupancy, and indirect tax costs all of which are partially driven by the Acton and Tyson acquisitions and our expanded employee base and branch network. Cost synergies related to the Acton integration plan are on track. As of June 30, 2018, we had ceased production activities and began exit activities at 90% of the Acton locations in overlapping markets. Exit activities for redundant branch locations, such as preparing units and materials for transport to other locations remain on schedule. These activities are expected to continue through the rest of the year and into early 2019 and we expect additional cost savings as we execute the established integration plan. These increases were partially offset by a reduction of $8.0 million in corporate and other related to Algeco Group costs no longer included in our operations.</w:t>
      </w:r>
    </w:p>
    <w:p>
      <w:pPr>
        <w:spacing w:after="0" w:line="2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$0.2 million, or 5.3%, to $4.0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compared to $3.8 million for the six months ended June 30, 2017. The increase was driven primarily by depreciation on property, plant and equipment acquired as part of the Acton acquisition in the first quarter, partially offset by a reduction in total property, plant and equipment for the six months ended June 30, 2018.</w:t>
      </w:r>
    </w:p>
    <w:p>
      <w:pPr>
        <w:spacing w:after="0" w:line="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$1.1 million for the six months ended June 30, 2018 as compared to $1.0 million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2017. The 2018 restructuring charges relate primarily to employee termination costs related to the Acton and Tyson acquisitions. The 2017 restructuring charges relate primarily to the Algeco Group corporate function and consist of employee termination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41" w:right="239" w:bottom="1440" w:gutter="0" w:footer="0" w:header="0"/>
        </w:sectPr>
      </w:pPr>
    </w:p>
    <w:bookmarkStart w:id="37" w:name="page38"/>
    <w:bookmarkEnd w:id="37"/>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$10.1 million to a $1.6 million loss for the six months ended June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$8.5 million gain for the six months ended June 30, 2017. The decrease in currency losses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was $4.4 million of income for the six months ended June 30, 2018 and $0.6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expense for the six months ended June 30, 2017. The decrease in other (income) expense was driven by income from insurance proceeds related to assets damaged during Hurricane Harvey which contributed $4.8 million to other (income) expense, net, for the six months ended June 30, 2018.</w:t>
      </w:r>
    </w:p>
    <w:p>
      <w:pPr>
        <w:spacing w:after="0" w:line="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$30.7 million, or 56.2%, to $23.9 million for the six months ended June 30, 2018 from $54.6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2017. Upon consummation of the Business Combination in November 2017, we issued the Notes and entered into the ABL Facility to fund our operations as a stand-alone company. The majority of the interest costs incurred during the six months ended June 30, 2017 relate to the previous debt structure of the Company as part of the Algeco Group. The decrease in interest expense is driven by our lower debt balance in 2018 under our new debt structure as compared to the Algeco Group debt structure in place in 2017. See Note 6 to the condensed consolidated financial statements for further discussion of our debt.</w:t>
      </w:r>
    </w:p>
    <w:p>
      <w:pPr>
        <w:spacing w:after="0" w:line="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$6.1 million, or 100.0%, to zero for the six months ended June 30, 2018 from $6.1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This decrease is due to the decrease in the principal balance of notes due from affiliates, which were settled upon consummation of the Business Combination in November 2017.</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$3.0 million to $7.1 million for the six months ended June 30, 2018 compared to $10.1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2017. The decrease in income tax benefit was principally due to a smaller pre-tax loss and the reduction to the corporate tax rate from 35% to 21% under the 2017 Tax Act enacted on December 22, 2017.</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which was considered a single reportable segment, and was transferred to another entity included in the Algeco Group in connection with the Business Combination in November 2017 and is no longer a part of our business. Modular leasing and sales comprises two reportable segments: Modular - US and Modular - Other North America. The Modular - US reportable segment includes the contiguous 48 states and Hawaii, and the Modular - Other North America reportable segment includes Alaska, Canada and Mexico. Corporate and other represents primarily SG&amp;A related to the Algeco Group’s corporate costs, which were not incurred by WSC in 2018.</w:t>
      </w:r>
    </w:p>
    <w:p>
      <w:pPr>
        <w:spacing w:after="0" w:line="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six months ended June 30, 2018 and 2017. Future changes to our organizational structure may result in changes to the segments disclosed.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56"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FFFFFF"/>
        </w:rPr>
        <w:t>Three Months Ended June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60" w:type="dxa"/>
            <w:vAlign w:val="bottom"/>
            <w:shd w:val="clear" w:color="auto" w:fill="008A5F"/>
          </w:tcPr>
          <w:p>
            <w:pPr>
              <w:spacing w:after="0"/>
              <w:rPr>
                <w:sz w:val="17"/>
                <w:szCs w:val="17"/>
                <w:color w:val="auto"/>
              </w:rPr>
            </w:pPr>
          </w:p>
        </w:tc>
        <w:tc>
          <w:tcPr>
            <w:tcW w:w="18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r>
      <w:tr>
        <w:trPr>
          <w:trHeight w:val="215"/>
        </w:trPr>
        <w:tc>
          <w:tcPr>
            <w:tcW w:w="49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1040" w:type="dxa"/>
            <w:vAlign w:val="bottom"/>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400" w:type="dxa"/>
            <w:vAlign w:val="bottom"/>
            <w:shd w:val="clear" w:color="auto" w:fill="008A5F"/>
          </w:tcPr>
          <w:p>
            <w:pPr>
              <w:spacing w:after="0"/>
              <w:rPr>
                <w:sz w:val="18"/>
                <w:szCs w:val="18"/>
                <w:color w:val="auto"/>
              </w:rPr>
            </w:pPr>
          </w:p>
        </w:tc>
        <w:tc>
          <w:tcPr>
            <w:tcW w:w="14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4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124,813</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15,520</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140,333</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49,741</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4,899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54,640</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38,104</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3,812</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41,916</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30,931</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1,748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32,679</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48,997</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5,524</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54,521</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72.2%</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57.1%</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549</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573</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551</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 period)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13,127</w:t>
            </w:r>
          </w:p>
        </w:tc>
        <w:tc>
          <w:tcPr>
            <w:tcW w:w="40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369</w:t>
            </w:r>
          </w:p>
        </w:tc>
        <w:tc>
          <w:tcPr>
            <w:tcW w:w="46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13,496</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57.4%</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119</w:t>
            </w:r>
          </w:p>
        </w:tc>
      </w:tr>
      <w:tr>
        <w:trPr>
          <w:trHeight w:val="540"/>
        </w:trPr>
        <w:tc>
          <w:tcPr>
            <w:tcW w:w="490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5"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560" w:type="dxa"/>
            <w:vAlign w:val="bottom"/>
            <w:shd w:val="clear" w:color="auto" w:fill="008A5F"/>
          </w:tcPr>
          <w:p>
            <w:pPr>
              <w:spacing w:after="0"/>
              <w:rPr>
                <w:sz w:val="20"/>
                <w:szCs w:val="20"/>
                <w:color w:val="auto"/>
              </w:rPr>
            </w:pPr>
          </w:p>
        </w:tc>
        <w:tc>
          <w:tcPr>
            <w:tcW w:w="340" w:type="dxa"/>
            <w:vAlign w:val="bottom"/>
            <w:shd w:val="clear" w:color="auto" w:fill="008A5F"/>
          </w:tcPr>
          <w:p>
            <w:pPr>
              <w:spacing w:after="0"/>
              <w:rPr>
                <w:sz w:val="20"/>
                <w:szCs w:val="20"/>
                <w:color w:val="auto"/>
              </w:rPr>
            </w:pPr>
          </w:p>
        </w:tc>
        <w:tc>
          <w:tcPr>
            <w:tcW w:w="3360" w:type="dxa"/>
            <w:vAlign w:val="bottom"/>
            <w:gridSpan w:val="3"/>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Three Months Ended June 30, 2017</w:t>
            </w:r>
          </w:p>
        </w:tc>
        <w:tc>
          <w:tcPr>
            <w:tcW w:w="460" w:type="dxa"/>
            <w:vAlign w:val="bottom"/>
            <w:shd w:val="clear" w:color="auto" w:fill="008A5F"/>
          </w:tcPr>
          <w:p>
            <w:pPr>
              <w:spacing w:after="0"/>
              <w:rPr>
                <w:sz w:val="20"/>
                <w:szCs w:val="20"/>
                <w:color w:val="auto"/>
              </w:rPr>
            </w:pPr>
          </w:p>
        </w:tc>
        <w:tc>
          <w:tcPr>
            <w:tcW w:w="1360" w:type="dxa"/>
            <w:vAlign w:val="bottom"/>
            <w:shd w:val="clear" w:color="auto" w:fill="008A5F"/>
          </w:tcPr>
          <w:p>
            <w:pPr>
              <w:spacing w:after="0"/>
              <w:rPr>
                <w:sz w:val="20"/>
                <w:szCs w:val="20"/>
                <w:color w:val="auto"/>
              </w:rPr>
            </w:pPr>
          </w:p>
        </w:tc>
      </w:tr>
      <w:tr>
        <w:trPr>
          <w:trHeight w:val="287"/>
        </w:trPr>
        <w:tc>
          <w:tcPr>
            <w:tcW w:w="4100" w:type="dxa"/>
            <w:vAlign w:val="bottom"/>
            <w:shd w:val="clear" w:color="auto" w:fill="008A5F"/>
          </w:tcPr>
          <w:p>
            <w:pPr>
              <w:spacing w:after="0"/>
              <w:rPr>
                <w:sz w:val="24"/>
                <w:szCs w:val="24"/>
                <w:color w:val="auto"/>
              </w:rPr>
            </w:pPr>
          </w:p>
        </w:tc>
        <w:tc>
          <w:tcPr>
            <w:tcW w:w="240" w:type="dxa"/>
            <w:vAlign w:val="bottom"/>
            <w:shd w:val="clear" w:color="auto" w:fill="008A5F"/>
          </w:tcPr>
          <w:p>
            <w:pPr>
              <w:spacing w:after="0"/>
              <w:rPr>
                <w:sz w:val="24"/>
                <w:szCs w:val="24"/>
                <w:color w:val="auto"/>
              </w:rPr>
            </w:pPr>
          </w:p>
        </w:tc>
        <w:tc>
          <w:tcPr>
            <w:tcW w:w="1560" w:type="dxa"/>
            <w:vAlign w:val="bottom"/>
            <w:shd w:val="clear" w:color="auto" w:fill="008A5F"/>
          </w:tcPr>
          <w:p>
            <w:pPr>
              <w:spacing w:after="0"/>
              <w:rPr>
                <w:sz w:val="24"/>
                <w:szCs w:val="24"/>
                <w:color w:val="auto"/>
              </w:rPr>
            </w:pPr>
          </w:p>
        </w:tc>
        <w:tc>
          <w:tcPr>
            <w:tcW w:w="184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200" w:type="dxa"/>
            <w:vAlign w:val="bottom"/>
            <w:shd w:val="clear" w:color="auto" w:fill="008A5F"/>
          </w:tcPr>
          <w:p>
            <w:pPr>
              <w:spacing w:after="0"/>
              <w:rPr>
                <w:sz w:val="24"/>
                <w:szCs w:val="24"/>
                <w:color w:val="auto"/>
              </w:rPr>
            </w:pPr>
          </w:p>
        </w:tc>
        <w:tc>
          <w:tcPr>
            <w:tcW w:w="1660" w:type="dxa"/>
            <w:vAlign w:val="bottom"/>
            <w:shd w:val="clear" w:color="auto" w:fill="008A5F"/>
          </w:tcPr>
          <w:p>
            <w:pPr>
              <w:spacing w:after="0"/>
              <w:rPr>
                <w:sz w:val="24"/>
                <w:szCs w:val="24"/>
                <w:color w:val="auto"/>
              </w:rPr>
            </w:pPr>
          </w:p>
        </w:tc>
        <w:tc>
          <w:tcPr>
            <w:tcW w:w="460" w:type="dxa"/>
            <w:vAlign w:val="bottom"/>
            <w:shd w:val="clear" w:color="auto" w:fill="008A5F"/>
          </w:tcPr>
          <w:p>
            <w:pPr>
              <w:spacing w:after="0"/>
              <w:rPr>
                <w:sz w:val="24"/>
                <w:szCs w:val="24"/>
                <w:color w:val="auto"/>
              </w:rPr>
            </w:pPr>
          </w:p>
        </w:tc>
        <w:tc>
          <w:tcPr>
            <w:tcW w:w="1360" w:type="dxa"/>
            <w:vAlign w:val="bottom"/>
            <w:shd w:val="clear" w:color="auto" w:fill="008A5F"/>
          </w:tcPr>
          <w:p>
            <w:pPr>
              <w:spacing w:after="0"/>
              <w:rPr>
                <w:sz w:val="24"/>
                <w:szCs w:val="24"/>
                <w:color w:val="auto"/>
              </w:rPr>
            </w:pPr>
          </w:p>
        </w:tc>
      </w:tr>
      <w:tr>
        <w:trPr>
          <w:trHeight w:val="215"/>
        </w:trPr>
        <w:tc>
          <w:tcPr>
            <w:tcW w:w="41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8"/>
                <w:szCs w:val="18"/>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340" w:type="dxa"/>
            <w:vAlign w:val="bottom"/>
            <w:shd w:val="clear" w:color="auto" w:fill="008A5F"/>
          </w:tcPr>
          <w:p>
            <w:pPr>
              <w:spacing w:after="0"/>
              <w:rPr>
                <w:sz w:val="18"/>
                <w:szCs w:val="18"/>
                <w:color w:val="auto"/>
              </w:rPr>
            </w:pPr>
          </w:p>
        </w:tc>
        <w:tc>
          <w:tcPr>
            <w:tcW w:w="150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200" w:type="dxa"/>
            <w:vAlign w:val="bottom"/>
            <w:shd w:val="clear" w:color="auto" w:fill="008A5F"/>
          </w:tcPr>
          <w:p>
            <w:pPr>
              <w:spacing w:after="0"/>
              <w:rPr>
                <w:sz w:val="18"/>
                <w:szCs w:val="18"/>
                <w:color w:val="auto"/>
              </w:rPr>
            </w:pPr>
          </w:p>
        </w:tc>
        <w:tc>
          <w:tcPr>
            <w:tcW w:w="166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Corporate &amp; Other</w:t>
            </w:r>
          </w:p>
        </w:tc>
        <w:tc>
          <w:tcPr>
            <w:tcW w:w="46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1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50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6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98,209</w:t>
            </w:r>
          </w:p>
        </w:tc>
        <w:tc>
          <w:tcPr>
            <w:tcW w:w="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12,010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(142)</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110,077</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35,954</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3,769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39,583</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26,329</w:t>
            </w:r>
          </w:p>
        </w:tc>
        <w:tc>
          <w:tcPr>
            <w:tcW w:w="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2,506</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(2,588)</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26,247</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25,909</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1,716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27,625</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35,780</w:t>
            </w:r>
          </w:p>
        </w:tc>
        <w:tc>
          <w:tcPr>
            <w:tcW w:w="3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4,900</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40,680</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73.8%</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535</w:t>
            </w:r>
          </w:p>
        </w:tc>
        <w:tc>
          <w:tcPr>
            <w:tcW w:w="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534</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534</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18"/>
        </w:trPr>
        <w:tc>
          <w:tcPr>
            <w:tcW w:w="41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w:t>
            </w:r>
          </w:p>
        </w:tc>
        <w:tc>
          <w:tcPr>
            <w:tcW w:w="24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11,988</w:t>
            </w:r>
          </w:p>
        </w:tc>
        <w:tc>
          <w:tcPr>
            <w:tcW w:w="3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351</w:t>
            </w:r>
          </w:p>
        </w:tc>
        <w:tc>
          <w:tcPr>
            <w:tcW w:w="200" w:type="dxa"/>
            <w:vAlign w:val="bottom"/>
          </w:tcPr>
          <w:p>
            <w:pPr>
              <w:spacing w:after="0"/>
              <w:rPr>
                <w:sz w:val="18"/>
                <w:szCs w:val="18"/>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12,339</w:t>
            </w:r>
          </w:p>
        </w:tc>
      </w:tr>
      <w:tr>
        <w:trPr>
          <w:trHeight w:val="195"/>
        </w:trPr>
        <w:tc>
          <w:tcPr>
            <w:tcW w:w="4100" w:type="dxa"/>
            <w:vAlign w:val="bottom"/>
          </w:tcPr>
          <w:p>
            <w:pPr>
              <w:ind w:left="40"/>
              <w:spacing w:after="0"/>
              <w:rPr>
                <w:sz w:val="20"/>
                <w:szCs w:val="20"/>
                <w:color w:val="auto"/>
              </w:rPr>
            </w:pPr>
            <w:r>
              <w:rPr>
                <w:rFonts w:ascii="Arial" w:cs="Arial" w:eastAsia="Arial" w:hAnsi="Arial"/>
                <w:sz w:val="16"/>
                <w:szCs w:val="16"/>
                <w:color w:val="auto"/>
              </w:rPr>
              <w:t>period)</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70.7%</w:t>
            </w:r>
          </w:p>
        </w:tc>
        <w:tc>
          <w:tcPr>
            <w:tcW w:w="340" w:type="dxa"/>
            <w:vAlign w:val="bottom"/>
            <w:shd w:val="clear" w:color="auto" w:fill="E7E7E8"/>
          </w:tcPr>
          <w:p>
            <w:pPr>
              <w:spacing w:after="0"/>
              <w:rPr>
                <w:sz w:val="19"/>
                <w:szCs w:val="19"/>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70.0%</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114</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$26.6 million, or 27.1%, to $124.8 million for the three months ended June 30, 2018 from $98.2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2017. Modular leasing revenue increased $26.2 million, or 40.4%, driven by improved pricing and volumes. Average modular space monthly rental rates increased 2.6% for the three months ended June 30, 2018, and average modular space units on rent increased 13,217 units, or 36.9%.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30.5%. The increases in leasing and services revenue were partially offset by decreases in sales revenues. New unit sales revenue decreased $4.5 million, or 52.3% and rental unit sales revenue decreased $1.5 million, or 39.5%. The decrease year over year in new and rental unit sales was as a result of lower volumes of sales opportunities and increased focus on our higher margin modular leasing business.</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 pro-forma basis, including results of the Company, Acton, and Tyson for all periods presented, total revenues decreased $0.6 million, or 0.5% year-over-year driven by a $9.3 million or 58.9% decline in new and rental unit sales, offset by an $8.7 million, or 8.0% increase in our core leasing and services revenue. This increase was driven by continued improved pricing and volumes. Pro-forma average modular space monthly rental rates increased $49, or 9.8% for the three months ended June 30, 2018, and pro-forma average modular space units on rent increased 765 units, or 1.6%. Pro-forma utilization for our modular space units increased to 72.2%, up 170 bps from 70.5% for the three months ended June 30, 2017.</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$13.8 million, or 38.4%, to $49.7 million for the three months ended June 30, 2018 from $35.9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2017. The increase in gross profit was driven by higher modular leasing and service revenues driven both by organic growth and through the Acton and Tyson acquisitions. The increase in gross profit from modular leasing and sales revenues was partially offset by an $5.7 million increase in depreciation of rental equipment primarily related to acquired units in the Acton and Tyson acquisitions, as well as decreased gross profit of $2.0 million related to new and rental unit sales for the three months ended June 30, 2018.</w:t>
      </w:r>
    </w:p>
    <w:p>
      <w:pPr>
        <w:spacing w:after="0" w:line="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$11.8 million, or 44.9%, to $38.1 million for the three months ended June 30, 2018 from $26.3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2017. The increase was driven by higher modular leasing and services gross profits discussed above, partially offset by increases in SG&amp;A, excluding discrete items, of $9.5 million, of which $2.7 was driven by increased public company costs including outside professional fees. The majority of the remaining increase was driven by increased headcount, occupancy, and indirect tax costs all of which are partially driven by the Acton and Tyson acquisitions and our expanded employee base and branch network. Additionally, a gain recognized from the receipt of insurance proceeds related to assets damaged during Hurricane Harvey contributed $1.8 million to Adjusted EBITDA for the three months ended June 30, 2018.</w:t>
      </w:r>
    </w:p>
    <w:p>
      <w:pPr>
        <w:spacing w:after="0" w:line="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$5.1 million, or 19.7%, to $31.0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from $25.9 million for the three months ended June 30, 2017. Net capital expenditures also increased $5.1 million, or 23.1%, to $27.2 million. The increases for both were driven by increased spend for refurbishments, new fleet, and VAPS to drive modular space unit on rent and revenue growth, and maintenance of a larger fleet following our Acton and Tyson acquisitions.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18"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$3.5 million, or 29.2%, to $15.5 million for the three months ended June 30, 2018 from $12.0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Modular leasing revenue increased $2.0 million, or 24.1%, driven by improved pricing and volumes in the quarter. Average modular space monthly rental rates increased 7.3% and average modular space units on rent increased by 624 units, or 12.7% for the period, resulting in a higher modular space utilization which increased by 710 bps. Modular delivery and installation revenues increased $2.0 million, or 100.0%, due primarily to a large camp installation during the quarter. New unit sales revenue increased $0.3 million, or 37.5%. Rental unit sales revenue decreased $0.8 million, or 88.9%.</w:t>
      </w:r>
    </w:p>
    <w:p>
      <w:pPr>
        <w:spacing w:after="0" w:line="2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$1.1 million, or 28.9%, to $4.9 million for the three months ended June 30, 2018 from $3.8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effects of favorable foreign currency movements increased gross profit by $0.1 million related to changes in the Canadian dollar and Mexican peso in relation to the US dollar. The increase in gross profit, excluding the effects of foreign currency, was driven primarily by increased leasing and services revenues. Higher modular volumes and pricing were complimented by higher modular delivery and installation margins. These were slightly offset by increased deprecation of rental equipment of $0.4 million for three months ended June 30, 2018.</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$1.3 million, or 52.0%, to $3.8 million for the three months ended June 30, 2018 from $2.5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2017. This increase was driven by increased leasing and services gross profit as a result of increased modular space volumes and average monthly rental rates.</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of $1.7 million for the three months ended June 30, 2018 were flat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2017. Net capital expenditures increased $0.8 million to $1.6 million driven by the decrease of $0.8 million of proceeds from rental unit sales.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Corporate and Other</w:t>
      </w:r>
    </w:p>
    <w:p>
      <w:pPr>
        <w:spacing w:after="0" w:line="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business segments.</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were a loss of $2.6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2017, compared to no costs for the three months ended June 30, 2018. In 2017, Corporate and other represented primarily SG&amp;A costs related to the Algeco Group’s corporate costs, which were not incurred by the Company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53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56"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FFFFFF"/>
        </w:rPr>
        <w:t>Six Months Ended June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60" w:type="dxa"/>
            <w:vAlign w:val="bottom"/>
            <w:shd w:val="clear" w:color="auto" w:fill="008A5F"/>
          </w:tcPr>
          <w:p>
            <w:pPr>
              <w:spacing w:after="0"/>
              <w:rPr>
                <w:sz w:val="17"/>
                <w:szCs w:val="17"/>
                <w:color w:val="auto"/>
              </w:rPr>
            </w:pPr>
          </w:p>
        </w:tc>
        <w:tc>
          <w:tcPr>
            <w:tcW w:w="18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r>
      <w:tr>
        <w:trPr>
          <w:trHeight w:val="215"/>
        </w:trPr>
        <w:tc>
          <w:tcPr>
            <w:tcW w:w="49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1040" w:type="dxa"/>
            <w:vAlign w:val="bottom"/>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400" w:type="dxa"/>
            <w:vAlign w:val="bottom"/>
            <w:shd w:val="clear" w:color="auto" w:fill="008A5F"/>
          </w:tcPr>
          <w:p>
            <w:pPr>
              <w:spacing w:after="0"/>
              <w:rPr>
                <w:sz w:val="18"/>
                <w:szCs w:val="18"/>
                <w:color w:val="auto"/>
              </w:rPr>
            </w:pPr>
          </w:p>
        </w:tc>
        <w:tc>
          <w:tcPr>
            <w:tcW w:w="14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4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246,900</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28,184</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275,084</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96,549</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9,012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105,561</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70,716</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6,692</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77,408</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61,455</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3,308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64,763</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48,841</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5,487</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54,328</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72.2%</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57.0%</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541</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557</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543</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 period)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13,434</w:t>
            </w:r>
          </w:p>
        </w:tc>
        <w:tc>
          <w:tcPr>
            <w:tcW w:w="40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364</w:t>
            </w:r>
          </w:p>
        </w:tc>
        <w:tc>
          <w:tcPr>
            <w:tcW w:w="46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13,798</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118</w:t>
            </w:r>
          </w:p>
        </w:tc>
      </w:tr>
      <w:tr>
        <w:trPr>
          <w:trHeight w:val="540"/>
        </w:trPr>
        <w:tc>
          <w:tcPr>
            <w:tcW w:w="490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5"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56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3320" w:type="dxa"/>
            <w:vAlign w:val="bottom"/>
            <w:gridSpan w:val="3"/>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Six Months Ended June 30, 2017</w:t>
            </w:r>
          </w:p>
        </w:tc>
        <w:tc>
          <w:tcPr>
            <w:tcW w:w="460" w:type="dxa"/>
            <w:vAlign w:val="bottom"/>
            <w:shd w:val="clear" w:color="auto" w:fill="008A5F"/>
          </w:tcPr>
          <w:p>
            <w:pPr>
              <w:spacing w:after="0"/>
              <w:rPr>
                <w:sz w:val="20"/>
                <w:szCs w:val="20"/>
                <w:color w:val="auto"/>
              </w:rPr>
            </w:pPr>
          </w:p>
        </w:tc>
        <w:tc>
          <w:tcPr>
            <w:tcW w:w="1360" w:type="dxa"/>
            <w:vAlign w:val="bottom"/>
            <w:shd w:val="clear" w:color="auto" w:fill="008A5F"/>
          </w:tcPr>
          <w:p>
            <w:pPr>
              <w:spacing w:after="0"/>
              <w:rPr>
                <w:sz w:val="20"/>
                <w:szCs w:val="20"/>
                <w:color w:val="auto"/>
              </w:rPr>
            </w:pPr>
          </w:p>
        </w:tc>
      </w:tr>
      <w:tr>
        <w:trPr>
          <w:trHeight w:val="287"/>
        </w:trPr>
        <w:tc>
          <w:tcPr>
            <w:tcW w:w="4100" w:type="dxa"/>
            <w:vAlign w:val="bottom"/>
            <w:shd w:val="clear" w:color="auto" w:fill="008A5F"/>
          </w:tcPr>
          <w:p>
            <w:pPr>
              <w:spacing w:after="0"/>
              <w:rPr>
                <w:sz w:val="24"/>
                <w:szCs w:val="24"/>
                <w:color w:val="auto"/>
              </w:rPr>
            </w:pPr>
          </w:p>
        </w:tc>
        <w:tc>
          <w:tcPr>
            <w:tcW w:w="240" w:type="dxa"/>
            <w:vAlign w:val="bottom"/>
            <w:shd w:val="clear" w:color="auto" w:fill="008A5F"/>
          </w:tcPr>
          <w:p>
            <w:pPr>
              <w:spacing w:after="0"/>
              <w:rPr>
                <w:sz w:val="24"/>
                <w:szCs w:val="24"/>
                <w:color w:val="auto"/>
              </w:rPr>
            </w:pPr>
          </w:p>
        </w:tc>
        <w:tc>
          <w:tcPr>
            <w:tcW w:w="1560" w:type="dxa"/>
            <w:vAlign w:val="bottom"/>
            <w:shd w:val="clear" w:color="auto" w:fill="008A5F"/>
          </w:tcPr>
          <w:p>
            <w:pPr>
              <w:spacing w:after="0"/>
              <w:rPr>
                <w:sz w:val="24"/>
                <w:szCs w:val="24"/>
                <w:color w:val="auto"/>
              </w:rPr>
            </w:pPr>
          </w:p>
        </w:tc>
        <w:tc>
          <w:tcPr>
            <w:tcW w:w="184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200" w:type="dxa"/>
            <w:vAlign w:val="bottom"/>
            <w:shd w:val="clear" w:color="auto" w:fill="008A5F"/>
          </w:tcPr>
          <w:p>
            <w:pPr>
              <w:spacing w:after="0"/>
              <w:rPr>
                <w:sz w:val="24"/>
                <w:szCs w:val="24"/>
                <w:color w:val="auto"/>
              </w:rPr>
            </w:pPr>
          </w:p>
        </w:tc>
        <w:tc>
          <w:tcPr>
            <w:tcW w:w="1660" w:type="dxa"/>
            <w:vAlign w:val="bottom"/>
            <w:shd w:val="clear" w:color="auto" w:fill="008A5F"/>
          </w:tcPr>
          <w:p>
            <w:pPr>
              <w:spacing w:after="0"/>
              <w:rPr>
                <w:sz w:val="24"/>
                <w:szCs w:val="24"/>
                <w:color w:val="auto"/>
              </w:rPr>
            </w:pPr>
          </w:p>
        </w:tc>
        <w:tc>
          <w:tcPr>
            <w:tcW w:w="460" w:type="dxa"/>
            <w:vAlign w:val="bottom"/>
            <w:shd w:val="clear" w:color="auto" w:fill="008A5F"/>
          </w:tcPr>
          <w:p>
            <w:pPr>
              <w:spacing w:after="0"/>
              <w:rPr>
                <w:sz w:val="24"/>
                <w:szCs w:val="24"/>
                <w:color w:val="auto"/>
              </w:rPr>
            </w:pPr>
          </w:p>
        </w:tc>
        <w:tc>
          <w:tcPr>
            <w:tcW w:w="1360" w:type="dxa"/>
            <w:vAlign w:val="bottom"/>
            <w:shd w:val="clear" w:color="auto" w:fill="008A5F"/>
          </w:tcPr>
          <w:p>
            <w:pPr>
              <w:spacing w:after="0"/>
              <w:rPr>
                <w:sz w:val="24"/>
                <w:szCs w:val="24"/>
                <w:color w:val="auto"/>
              </w:rPr>
            </w:pPr>
          </w:p>
        </w:tc>
      </w:tr>
      <w:tr>
        <w:trPr>
          <w:trHeight w:val="215"/>
        </w:trPr>
        <w:tc>
          <w:tcPr>
            <w:tcW w:w="41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8"/>
                <w:szCs w:val="18"/>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380" w:type="dxa"/>
            <w:vAlign w:val="bottom"/>
            <w:shd w:val="clear" w:color="auto" w:fill="008A5F"/>
          </w:tcPr>
          <w:p>
            <w:pPr>
              <w:spacing w:after="0"/>
              <w:rPr>
                <w:sz w:val="18"/>
                <w:szCs w:val="18"/>
                <w:color w:val="auto"/>
              </w:rPr>
            </w:pPr>
          </w:p>
        </w:tc>
        <w:tc>
          <w:tcPr>
            <w:tcW w:w="14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200" w:type="dxa"/>
            <w:vAlign w:val="bottom"/>
            <w:shd w:val="clear" w:color="auto" w:fill="008A5F"/>
          </w:tcPr>
          <w:p>
            <w:pPr>
              <w:spacing w:after="0"/>
              <w:rPr>
                <w:sz w:val="18"/>
                <w:szCs w:val="18"/>
                <w:color w:val="auto"/>
              </w:rPr>
            </w:pPr>
          </w:p>
        </w:tc>
        <w:tc>
          <w:tcPr>
            <w:tcW w:w="166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Corporate &amp; Other</w:t>
            </w:r>
          </w:p>
        </w:tc>
        <w:tc>
          <w:tcPr>
            <w:tcW w:w="46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1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46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6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185,624</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24,069</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(295)</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209,398</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69,769</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8,035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(283)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77,521</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50,012</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5,625</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(7,444)</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48,193</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47,958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2,344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50,302</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35,438</w:t>
            </w:r>
          </w:p>
        </w:tc>
        <w:tc>
          <w:tcPr>
            <w:tcW w:w="380" w:type="dxa"/>
            <w:vAlign w:val="bottom"/>
            <w:shd w:val="clear" w:color="auto" w:fill="E7E7E8"/>
          </w:tcPr>
          <w:p>
            <w:pPr>
              <w:spacing w:after="0"/>
              <w:rPr>
                <w:sz w:val="19"/>
                <w:szCs w:val="19"/>
                <w:color w:val="auto"/>
              </w:rPr>
            </w:pP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4,868</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40,306</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73.0%</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524</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531</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524</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18"/>
        </w:trPr>
        <w:tc>
          <w:tcPr>
            <w:tcW w:w="41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w:t>
            </w:r>
          </w:p>
        </w:tc>
        <w:tc>
          <w:tcPr>
            <w:tcW w:w="24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12,394</w:t>
            </w:r>
          </w:p>
        </w:tc>
        <w:tc>
          <w:tcPr>
            <w:tcW w:w="380" w:type="dxa"/>
            <w:vAlign w:val="bottom"/>
          </w:tcPr>
          <w:p>
            <w:pPr>
              <w:spacing w:after="0"/>
              <w:rPr>
                <w:sz w:val="18"/>
                <w:szCs w:val="18"/>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355</w:t>
            </w:r>
          </w:p>
        </w:tc>
        <w:tc>
          <w:tcPr>
            <w:tcW w:w="200" w:type="dxa"/>
            <w:vAlign w:val="bottom"/>
          </w:tcPr>
          <w:p>
            <w:pPr>
              <w:spacing w:after="0"/>
              <w:rPr>
                <w:sz w:val="18"/>
                <w:szCs w:val="18"/>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12,749</w:t>
            </w:r>
          </w:p>
        </w:tc>
      </w:tr>
      <w:tr>
        <w:trPr>
          <w:trHeight w:val="195"/>
        </w:trPr>
        <w:tc>
          <w:tcPr>
            <w:tcW w:w="4100" w:type="dxa"/>
            <w:vAlign w:val="bottom"/>
          </w:tcPr>
          <w:p>
            <w:pPr>
              <w:ind w:left="40"/>
              <w:spacing w:after="0"/>
              <w:rPr>
                <w:sz w:val="20"/>
                <w:szCs w:val="20"/>
                <w:color w:val="auto"/>
              </w:rPr>
            </w:pPr>
            <w:r>
              <w:rPr>
                <w:rFonts w:ascii="Arial" w:cs="Arial" w:eastAsia="Arial" w:hAnsi="Arial"/>
                <w:sz w:val="16"/>
                <w:szCs w:val="16"/>
                <w:color w:val="auto"/>
              </w:rPr>
              <w:t>period)</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01"/>
        </w:trPr>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72.9%</w:t>
            </w:r>
          </w:p>
        </w:tc>
        <w:tc>
          <w:tcPr>
            <w:tcW w:w="380" w:type="dxa"/>
            <w:vAlign w:val="bottom"/>
            <w:shd w:val="clear" w:color="auto" w:fill="E7E7E8"/>
          </w:tcPr>
          <w:p>
            <w:pPr>
              <w:spacing w:after="0"/>
              <w:rPr>
                <w:sz w:val="19"/>
                <w:szCs w:val="19"/>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52.2%</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w:t>
            </w:r>
          </w:p>
        </w:tc>
      </w:tr>
      <w:tr>
        <w:trPr>
          <w:trHeight w:val="101"/>
        </w:trPr>
        <w:tc>
          <w:tcPr>
            <w:tcW w:w="410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113</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113</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$61.3 million, or 33.0%, to $246.9 million for the six months ended June 30, 2018 from $185.6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Modular leasing revenue increased $52.8 million, or 41.9%, driven by improved pricing and volumes. Average modular space monthly rental rates increased 3.2% for the six months ended June 30, 2018, and average modular space units on rent increased 13,403 units, or 37.8%.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34.2%. The increases in leasing and services revenue were partially offset by decreases in sales revenues. New unit sales revenue decreased $1.6 million, or 12.7% and rental unit sales revenue decreased $3.0 million, or 34.5%. The decrease year over year in new and rental unit sales was as a result of lower volumes of sales opportunities and increased focus on our higher margin modular leasing business.</w:t>
      </w:r>
    </w:p>
    <w:p>
      <w:pPr>
        <w:spacing w:after="0" w:line="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 pro-forma basis, including results of Williams Scotsman, Acton, and Tyson for all periods presented, total revenues increased $10.2 million, or 4.3% year-over-year driven by organic growth in leasing and services revenues of $19.8 million, or 9.4%, driven by improved pricing and volumes. Pro-forma average modular space monthly rental rates increased $48, or 9.7% for the six months ended June 30, 2018, and pro-forma average modular space units on rent increased 1,195 units, or 2.5%. Pro-forma utilization for our modular space units increased to 72.2%, up 260 bps from 69.6% for the six months ended June 30, 2018. These increases were partially offset by an $9.6 million, or 36.5% decrease in our new and rental unit sales.</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$26.8 million, or 38.4%, to $96.6 million for the six months ended June 30, 2018 from $69.8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increase in gross profit was driven by higher modular leasing and service revenues driven both by organic growth and through the Acton and Tyson acquisitions. The increases in gross profit from modular leasing and service revenues were partially offset by a $12.5 million increase in depreciation of rental equipment for the six months ended June 30, 2018 as a result of continued capital investment in our fleet, including additional depreciation related to the Acton and Tyson acquisitions.</w:t>
      </w:r>
    </w:p>
    <w:p>
      <w:pPr>
        <w:spacing w:after="0" w:line="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$20.7 million, or 41.4%, to $70.7 million for the six months ended June 30, 2018 from $50.0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2017. The increase was driven by higher modular leasing and services gross profits discussed above, as well as a gain recognized from the receipt of insurance proceeds related to assets damaged during Hurricane Harvey of $4.8 million for the six months ended June 30, 2018. These increases were partially offset by increases in SG&amp;A, excluding discrete items, of $23.1 million, of which $6.2 million was driven by increased public company costs including outside professional fees. The majority of the remaining increase was driven by increased headcount, occupancy, and indirect tax costs all of which are partially driven by the Acton and Tyson acquisitions and our expanded employee base and branch network.</w:t>
      </w:r>
    </w:p>
    <w:p>
      <w:pPr>
        <w:spacing w:after="0" w:line="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$13.5 million, or 28.1%, to $61.5 million for the six months ended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2018 from $48.0 million for the six months ended June 30, 2017. Net capital expenditures increased $10.7 million, or 27.2%, to $50.0 million. The increases for both were driven by increased spend for refurbishments, new fleet, and VAPS to drive modular space unit on rent and revenue growth, and maintenance of a larger fleet following our Acton and Tyson acquisitions.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18"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$4.2 million, or 17.5%, to $28.2 million for the six months ended June 30, 2018 from $24.0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Modular leasing revenue increased $3.4 million, or 21.0%, driven by improved pricing and volumes. Average modular space monthly rental rates increased 4.9% and average modular space units on rent increased by 619 units, or 12.7% for the period, resulting in a higher modular space utilization which increased by 740 bps. Modular delivery and installation revenues increased $2.7 million, or 75.0%, due primarily to a large camp installation during the second quarter. New unit sales revenue decreased $0.6 million, or 26.1% and rental unit sales revenue decreased $1.3 million, or 68.4% associated with decreased sale opportunities.</w:t>
      </w:r>
    </w:p>
    <w:p>
      <w:pPr>
        <w:spacing w:after="0" w:line="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$1.0 million, or 12.5%, to $9.0 million for the six months ended June 30, 2018 from $8.0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2017.The effects of favorable foreign currency movements increased gross profit by $0.3 million related to changes in the Canadian dollar and Mexican peso in relation to the US dollar. The increase in gross profit, excluding the effects of foreign currency, was driven primarily by higher leasing and services gross profits partially offset by lower new and rental unit sales as well as increased depreciation of rental equipment of $0.6 million, or 10.3%.</w:t>
      </w:r>
    </w:p>
    <w:p>
      <w:pPr>
        <w:spacing w:after="0" w:line="2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$1.1 million, or 19.6%, to $6.7 million for the six months ended June 30, 2018 from $5.6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2017. This increase was driven by improved leasing and services gross profit, partially offset by increased SG&amp;A of $0.5 million, or 6.0%.</w:t>
      </w:r>
    </w:p>
    <w:p>
      <w:pPr>
        <w:spacing w:after="0" w:line="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$1.0 million, or 43.5%, to $3.3 million for the six months ended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2018 from $2.3 million for the six months ended June 30, 2017. Net capital expenditures increased $2.3 million to $2.7 million. The increases for both were driven primarily by investments in refurbishments of existing lease fleet and VAPS. A reduction in rental unit sales drove the remaining increase to net capital expenditures.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Corporate and Other</w:t>
      </w:r>
    </w:p>
    <w:p>
      <w:pPr>
        <w:spacing w:after="0" w:line="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business segments.</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were a loss of $7.4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2017, compared to no costs for the six months ended June 30, 2018. In 2017, Corporate and other represented primarily SG&amp;A costs related to the Algeco Group’s corporate costs, which were not incurred by the Company in 2018.</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7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loss to Adjusted EBITDA reconciliation below. We believe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66" w:lineRule="exact"/>
        <w:rPr>
          <w:sz w:val="20"/>
          <w:szCs w:val="20"/>
          <w:color w:val="auto"/>
        </w:rPr>
      </w:pPr>
    </w:p>
    <w:p>
      <w:pPr>
        <w:ind w:left="1300" w:hanging="320"/>
        <w:spacing w:after="0" w:line="246"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ind w:left="1300" w:hanging="320"/>
        <w:spacing w:after="0" w:line="246"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to integrate acquired companies.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65" w:right="239" w:bottom="1440" w:gutter="0" w:footer="0" w:header="0"/>
        </w:sectPr>
      </w:pPr>
    </w:p>
    <w:bookmarkStart w:id="42" w:name="page43"/>
    <w:bookmarkEnd w:id="42"/>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WSC’s results as reported under GAAP. Some of these limitations are:</w:t>
      </w:r>
    </w:p>
    <w:p>
      <w:pPr>
        <w:spacing w:after="0" w:line="6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right="20" w:hanging="320"/>
        <w:spacing w:after="0" w:line="246"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income (loss) to Adjusted EBITDA: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6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1"/>
                <w:szCs w:val="21"/>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290"/>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(16,075)</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6,045</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(22,120)</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(10,138)</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6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(6,266)</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(13,521)</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(32,258)</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48,475</w:t>
            </w: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25,040</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19,364</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51,321</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38,025</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Currency losses (gains), net</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(8,499)</w:t>
            </w: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Integration costs</w:t>
            </w:r>
          </w:p>
        </w:tc>
        <w:tc>
          <w:tcPr>
            <w:tcW w:w="2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4,785</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7,415</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51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E7E7E8"/>
            </w:tcBorders>
            <w:shd w:val="clear" w:color="auto" w:fill="E7E7E8"/>
          </w:tcPr>
          <w:p>
            <w:pPr>
              <w:spacing w:after="0"/>
              <w:rPr>
                <w:sz w:val="23"/>
                <w:szCs w:val="23"/>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E7E7E8"/>
            </w:tcBorders>
            <w:shd w:val="clear" w:color="auto" w:fill="E7E7E8"/>
          </w:tcPr>
          <w:p>
            <w:pPr>
              <w:spacing w:after="0"/>
              <w:rPr>
                <w:sz w:val="23"/>
                <w:szCs w:val="23"/>
                <w:color w:val="auto"/>
              </w:rPr>
            </w:pPr>
          </w:p>
        </w:tc>
        <w:tc>
          <w:tcPr>
            <w:tcW w:w="320" w:type="dxa"/>
            <w:vAlign w:val="bottom"/>
            <w:tcBorders>
              <w:bottom w:val="single" w:sz="8" w:color="E7E7E8"/>
            </w:tcBorders>
            <w:shd w:val="clear" w:color="auto" w:fill="E7E7E8"/>
          </w:tcPr>
          <w:p>
            <w:pPr>
              <w:spacing w:after="0"/>
              <w:rPr>
                <w:sz w:val="23"/>
                <w:szCs w:val="23"/>
                <w:color w:val="auto"/>
              </w:rPr>
            </w:pP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620</w:t>
            </w:r>
          </w:p>
        </w:tc>
      </w:tr>
      <w:tr>
        <w:trPr>
          <w:trHeight w:val="230"/>
        </w:trPr>
        <w:tc>
          <w:tcPr>
            <w:tcW w:w="51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41,916</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26,247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77,408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48,193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is not a measurement of our financial performance under GAAP and should not be considered as an alternative to gross profit or other performance measure derived in accordance with GAAP. In addition, our measurement of Adjusted Gross Profit may not be comparable to similarly titled measures of other companies. Management believes that the presentation of Adjusted Gross Profit provides useful information to investors regarding our results of operations because it assists in analyzing the performance of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6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1"/>
                <w:szCs w:val="21"/>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290"/>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54,640</w:t>
            </w:r>
          </w:p>
        </w:tc>
        <w:tc>
          <w:tcPr>
            <w:tcW w:w="12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39,583</w:t>
            </w:r>
          </w:p>
        </w:tc>
        <w:tc>
          <w:tcPr>
            <w:tcW w:w="10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105,561</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77,521</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Depreciation of rental equipment</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23,470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34,194</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Gross Profit</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78,110</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57,057</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152,876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111,715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8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Net Capex for Rental Equipment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Net Capital Expenditures for Rental Equipment as capital expenditures for purchases and capitalized refurbishments of rental equipment, reduced by proceeds from the sale of rental equipment. Our management believes that the presentation of Net Capital Expenditures for Rental Equipment provides useful information to investors regarding the net capital invested into our rental fleet each year to assist in analyzing the performance of our business.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Capital Expenditures for Rental Equipment: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6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29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320" w:type="dxa"/>
            <w:vAlign w:val="bottom"/>
            <w:shd w:val="clear" w:color="auto" w:fill="008A5F"/>
          </w:tcPr>
          <w:p>
            <w:pPr>
              <w:spacing w:after="0"/>
              <w:rPr>
                <w:sz w:val="21"/>
                <w:szCs w:val="21"/>
                <w:color w:val="auto"/>
              </w:rPr>
            </w:pPr>
          </w:p>
        </w:tc>
        <w:tc>
          <w:tcPr>
            <w:tcW w:w="2740" w:type="dxa"/>
            <w:vAlign w:val="bottom"/>
            <w:gridSpan w:val="4"/>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Six Months Ended June 30,</w:t>
            </w:r>
          </w:p>
        </w:tc>
      </w:tr>
      <w:tr>
        <w:trPr>
          <w:trHeight w:val="290"/>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4"/>
                <w:szCs w:val="24"/>
                <w:color w:val="auto"/>
              </w:rPr>
            </w:pPr>
          </w:p>
        </w:tc>
        <w:tc>
          <w:tcPr>
            <w:tcW w:w="12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320" w:type="dxa"/>
            <w:vAlign w:val="bottom"/>
            <w:shd w:val="clear" w:color="auto" w:fill="008A5F"/>
          </w:tcPr>
          <w:p>
            <w:pPr>
              <w:spacing w:after="0"/>
              <w:rPr>
                <w:sz w:val="24"/>
                <w:szCs w:val="24"/>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340" w:type="dxa"/>
            <w:vAlign w:val="bottom"/>
            <w:shd w:val="clear" w:color="auto" w:fill="008A5F"/>
          </w:tcPr>
          <w:p>
            <w:pPr>
              <w:spacing w:after="0"/>
              <w:rPr>
                <w:sz w:val="24"/>
                <w:szCs w:val="24"/>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70"/>
        </w:trPr>
        <w:tc>
          <w:tcPr>
            <w:tcW w:w="516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purchase of rental equipment and refurbishments</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(32,679)</w:t>
            </w:r>
          </w:p>
        </w:tc>
        <w:tc>
          <w:tcPr>
            <w:tcW w:w="120" w:type="dxa"/>
            <w:vAlign w:val="bottom"/>
            <w:shd w:val="clear" w:color="auto" w:fill="E7E7E8"/>
          </w:tcPr>
          <w:p>
            <w:pPr>
              <w:spacing w:after="0"/>
              <w:rPr>
                <w:sz w:val="23"/>
                <w:szCs w:val="23"/>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(29,326)</w:t>
            </w:r>
          </w:p>
        </w:tc>
        <w:tc>
          <w:tcPr>
            <w:tcW w:w="100" w:type="dxa"/>
            <w:vAlign w:val="bottom"/>
            <w:shd w:val="clear" w:color="auto" w:fill="E7E7E8"/>
          </w:tcPr>
          <w:p>
            <w:pPr>
              <w:spacing w:after="0"/>
              <w:rPr>
                <w:sz w:val="23"/>
                <w:szCs w:val="23"/>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(64,763)</w:t>
            </w: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(54,223)</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Total purchases of rental equipment from discontinued operations</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(3,921)</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purchases of rental equipment from continuing operations</w:t>
            </w:r>
          </w:p>
        </w:tc>
        <w:tc>
          <w:tcPr>
            <w:tcW w:w="26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(32,679)</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(27,625)</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(64,763)</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(50,302)</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Proceeds from sale of rental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12,033</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10,622</w:t>
            </w:r>
          </w:p>
        </w:tc>
      </w:tr>
      <w:tr>
        <w:trPr>
          <w:trHeight w:val="47"/>
        </w:trPr>
        <w:tc>
          <w:tcPr>
            <w:tcW w:w="5160" w:type="dxa"/>
            <w:vAlign w:val="bottom"/>
            <w:tcBorders>
              <w:bottom w:val="single" w:sz="8" w:color="E7E7E8"/>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Capital Expenditures for Rental Equipment</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(28,774)</w:t>
            </w:r>
          </w:p>
        </w:tc>
        <w:tc>
          <w:tcPr>
            <w:tcW w:w="12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(22,847)</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(52,730)</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(39,680)</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less Net CAPEX</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EBITDA less Net CAPEX as Adjusted EBITDA less the gross profit on sale of rental units, less Net Capital Expenditures. Adjusted EBITDA less Net CAPEX is not a measurement of our financial performance under GAAP and should not be considered as an alternative to net income (loss) or other performance measure derived in accordance with GAAP. In addition, our measurement of Adjusted EBITDA less Net CAPEX may not be comparable to similarly titled measures of other companies. Our management believes that the presentation of Adjusted EBITDA less Net CAPEX provides useful information to investors regarding our results of operations because it assists in analyzing the performance of our business.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0" w:right="239" w:bottom="1440" w:gutter="0" w:footer="0" w:header="0"/>
        </w:sectPr>
      </w:pPr>
    </w:p>
    <w:bookmarkStart w:id="44" w:name="page45"/>
    <w:bookmarkEnd w:id="44"/>
    <w:p>
      <w:pPr>
        <w:ind w:firstLine="648"/>
        <w:spacing w:after="0" w:line="260" w:lineRule="auto"/>
        <w:rPr>
          <w:sz w:val="20"/>
          <w:szCs w:val="20"/>
          <w:color w:val="auto"/>
        </w:rPr>
      </w:pPr>
      <w:r>
        <w:rPr>
          <w:rFonts w:ascii="Arial" w:cs="Arial" w:eastAsia="Arial" w:hAnsi="Arial"/>
          <w:sz w:val="16"/>
          <w:szCs w:val="16"/>
          <w:color w:val="auto"/>
        </w:rPr>
        <w:t>The following tables provide unaudited reconciliations of Net (loss) income to Adjusted EBITDA less Net CAPEX on a segment basis for the three and six months ended June 30,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Three Months Ended June 30, 2018</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8"/>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379</w:t>
            </w:r>
          </w:p>
        </w:tc>
      </w:tr>
      <w:tr>
        <w:trPr>
          <w:trHeight w:val="264"/>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2"/>
                <w:szCs w:val="22"/>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20" w:type="dxa"/>
            <w:vAlign w:val="bottom"/>
            <w:tcBorders>
              <w:top w:val="single" w:sz="8" w:color="E7E7E8"/>
            </w:tcBorders>
            <w:shd w:val="clear" w:color="auto" w:fill="E7E7E8"/>
          </w:tcPr>
          <w:p>
            <w:pPr>
              <w:spacing w:after="0"/>
              <w:rPr>
                <w:sz w:val="22"/>
                <w:szCs w:val="22"/>
                <w:color w:val="auto"/>
              </w:rPr>
            </w:pPr>
          </w:p>
        </w:tc>
        <w:tc>
          <w:tcPr>
            <w:tcW w:w="180" w:type="dxa"/>
            <w:vAlign w:val="bottom"/>
            <w:tcBorders>
              <w:top w:val="single" w:sz="8" w:color="auto"/>
            </w:tcBorders>
            <w:shd w:val="clear" w:color="auto" w:fill="E7E7E8"/>
          </w:tcPr>
          <w:p>
            <w:pPr>
              <w:spacing w:after="0"/>
              <w:rPr>
                <w:sz w:val="22"/>
                <w:szCs w:val="22"/>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top w:val="single" w:sz="8" w:color="E7E7E8"/>
            </w:tcBorders>
            <w:shd w:val="clear" w:color="auto" w:fill="E7E7E8"/>
          </w:tcPr>
          <w:p>
            <w:pPr>
              <w:spacing w:after="0"/>
              <w:rPr>
                <w:sz w:val="22"/>
                <w:szCs w:val="22"/>
                <w:color w:val="auto"/>
              </w:rPr>
            </w:pPr>
          </w:p>
        </w:tc>
        <w:tc>
          <w:tcPr>
            <w:tcW w:w="140" w:type="dxa"/>
            <w:vAlign w:val="bottom"/>
            <w:tcBorders>
              <w:top w:val="single" w:sz="8" w:color="auto"/>
            </w:tcBorders>
            <w:shd w:val="clear" w:color="auto" w:fill="E7E7E8"/>
          </w:tcPr>
          <w:p>
            <w:pPr>
              <w:spacing w:after="0"/>
              <w:rPr>
                <w:sz w:val="22"/>
                <w:szCs w:val="22"/>
                <w:color w:val="auto"/>
              </w:rPr>
            </w:pPr>
          </w:p>
        </w:tc>
        <w:tc>
          <w:tcPr>
            <w:tcW w:w="158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6,645</w:t>
            </w:r>
          </w:p>
        </w:tc>
        <w:tc>
          <w:tcPr>
            <w:tcW w:w="100" w:type="dxa"/>
            <w:vAlign w:val="bottom"/>
            <w:tcBorders>
              <w:top w:val="single" w:sz="8" w:color="E7E7E8"/>
            </w:tcBorders>
            <w:shd w:val="clear" w:color="auto" w:fill="E7E7E8"/>
          </w:tcPr>
          <w:p>
            <w:pPr>
              <w:spacing w:after="0"/>
              <w:rPr>
                <w:sz w:val="22"/>
                <w:szCs w:val="22"/>
                <w:color w:val="auto"/>
              </w:rPr>
            </w:pPr>
          </w:p>
        </w:tc>
        <w:tc>
          <w:tcPr>
            <w:tcW w:w="220" w:type="dxa"/>
            <w:vAlign w:val="bottom"/>
            <w:tcBorders>
              <w:top w:val="single" w:sz="8" w:color="auto"/>
            </w:tcBorders>
            <w:shd w:val="clear" w:color="auto" w:fill="E7E7E8"/>
          </w:tcPr>
          <w:p>
            <w:pPr>
              <w:spacing w:after="0"/>
              <w:rPr>
                <w:sz w:val="22"/>
                <w:szCs w:val="22"/>
                <w:color w:val="auto"/>
              </w:rPr>
            </w:pPr>
          </w:p>
        </w:tc>
        <w:tc>
          <w:tcPr>
            <w:tcW w:w="148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379</w:t>
            </w:r>
          </w:p>
        </w:tc>
      </w:tr>
      <w:tr>
        <w:trPr>
          <w:trHeight w:val="270"/>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w:t>
            </w:r>
          </w:p>
        </w:tc>
        <w:tc>
          <w:tcPr>
            <w:tcW w:w="100" w:type="dxa"/>
            <w:vAlign w:val="bottom"/>
            <w:tcBorders>
              <w:bottom w:val="single" w:sz="8" w:color="E7E7E8"/>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w:t>
            </w:r>
          </w:p>
        </w:tc>
      </w:tr>
      <w:tr>
        <w:trPr>
          <w:trHeight w:val="25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(6,266)</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11,663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12,155</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6,130</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5,889</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21,571</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3,469</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25,040</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27,701</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3,228</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30,929</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572</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449</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Integration costs</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4,785</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4,785</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shd w:val="clear" w:color="auto" w:fill="E7E7E8"/>
          </w:tcPr>
          <w:p>
            <w:pPr>
              <w:spacing w:after="0"/>
              <w:rPr>
                <w:sz w:val="8"/>
                <w:szCs w:val="8"/>
                <w:color w:val="auto"/>
              </w:rPr>
            </w:pPr>
          </w:p>
        </w:tc>
        <w:tc>
          <w:tcPr>
            <w:tcW w:w="15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1,054</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500" w:type="dxa"/>
            <w:vAlign w:val="bottom"/>
            <w:tcBorders>
              <w:bottom w:val="single" w:sz="8" w:color="auto"/>
            </w:tcBorders>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152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tcBorders>
              <w:bottom w:val="single" w:sz="8" w:color="auto"/>
            </w:tcBorders>
            <w:shd w:val="clear" w:color="auto" w:fill="E7E7E8"/>
          </w:tcPr>
          <w:p>
            <w:pPr>
              <w:spacing w:after="0"/>
              <w:rPr>
                <w:sz w:val="8"/>
                <w:szCs w:val="8"/>
                <w:color w:val="auto"/>
              </w:rPr>
            </w:pPr>
          </w:p>
        </w:tc>
        <w:tc>
          <w:tcPr>
            <w:tcW w:w="158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1480" w:type="dxa"/>
            <w:vAlign w:val="bottom"/>
            <w:tcBorders>
              <w:bottom w:val="single" w:sz="8" w:color="auto"/>
            </w:tcBorders>
            <w:shd w:val="clear" w:color="auto" w:fill="E7E7E8"/>
          </w:tcPr>
          <w:p>
            <w:pPr>
              <w:spacing w:after="0"/>
              <w:rPr>
                <w:sz w:val="8"/>
                <w:szCs w:val="8"/>
                <w:color w:val="auto"/>
              </w:rPr>
            </w:pPr>
          </w:p>
        </w:tc>
      </w:tr>
      <w:tr>
        <w:trPr>
          <w:trHeight w:val="240"/>
        </w:trPr>
        <w:tc>
          <w:tcPr>
            <w:tcW w:w="4240" w:type="dxa"/>
            <w:vAlign w:val="bottom"/>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41,916</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2,435</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shd w:val="clear" w:color="auto" w:fill="E7E7E8"/>
          </w:tcPr>
          <w:p>
            <w:pPr>
              <w:spacing w:after="0"/>
              <w:rPr>
                <w:sz w:val="23"/>
                <w:szCs w:val="23"/>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1,263</w:t>
            </w:r>
          </w:p>
        </w:tc>
      </w:tr>
      <w:tr>
        <w:trPr>
          <w:trHeight w:val="247"/>
        </w:trPr>
        <w:tc>
          <w:tcPr>
            <w:tcW w:w="4240" w:type="dxa"/>
            <w:vAlign w:val="bottom"/>
          </w:tcPr>
          <w:p>
            <w:pPr>
              <w:ind w:left="50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1,172</w:t>
            </w:r>
          </w:p>
        </w:tc>
      </w:tr>
      <w:tr>
        <w:trPr>
          <w:trHeight w:val="280"/>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Gain on insurance proceeds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1,765</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1,765</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31,438</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33,295</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3,779</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3,905</w:t>
            </w:r>
          </w:p>
        </w:tc>
      </w:tr>
      <w:tr>
        <w:trPr>
          <w:trHeight w:val="250"/>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Net Capital Expenditures</w:t>
            </w: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27,659</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29,390</w:t>
            </w:r>
          </w:p>
        </w:tc>
      </w:tr>
      <w:tr>
        <w:trPr>
          <w:trHeight w:val="240"/>
        </w:trPr>
        <w:tc>
          <w:tcPr>
            <w:tcW w:w="4240" w:type="dxa"/>
            <w:vAlign w:val="bottom"/>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9,589</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84"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Three Months Ended June 30, 2017</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8"/>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E7E7E8"/>
          </w:tcPr>
          <w:p>
            <w:pPr>
              <w:spacing w:after="0"/>
              <w:rPr>
                <w:sz w:val="23"/>
                <w:szCs w:val="23"/>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(4,774)</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spacing w:after="0"/>
              <w:rPr>
                <w:sz w:val="23"/>
                <w:szCs w:val="23"/>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3,840</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(8,614)</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(9,736)</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(5,269)</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(13,883)</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(15,005)</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15,953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9,407</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26,398</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16,273</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(4,476)</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11,393</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15,830</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19,364</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32,103</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2,785</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30,757</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(6,497)</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684</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776</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E7E7E8"/>
          </w:tcPr>
          <w:p>
            <w:pPr>
              <w:spacing w:after="0"/>
              <w:rPr>
                <w:sz w:val="19"/>
                <w:szCs w:val="19"/>
                <w:color w:val="auto"/>
              </w:rPr>
            </w:pP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527</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500" w:type="dxa"/>
            <w:vAlign w:val="bottom"/>
            <w:tcBorders>
              <w:bottom w:val="single" w:sz="8" w:color="auto"/>
            </w:tcBorders>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152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tcBorders>
              <w:bottom w:val="single" w:sz="8" w:color="auto"/>
            </w:tcBorders>
            <w:shd w:val="clear" w:color="auto" w:fill="E7E7E8"/>
          </w:tcPr>
          <w:p>
            <w:pPr>
              <w:spacing w:after="0"/>
              <w:rPr>
                <w:sz w:val="8"/>
                <w:szCs w:val="8"/>
                <w:color w:val="auto"/>
              </w:rPr>
            </w:pPr>
          </w:p>
        </w:tc>
        <w:tc>
          <w:tcPr>
            <w:tcW w:w="158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1480" w:type="dxa"/>
            <w:vAlign w:val="bottom"/>
            <w:tcBorders>
              <w:bottom w:val="single" w:sz="8" w:color="auto"/>
            </w:tcBorders>
            <w:shd w:val="clear" w:color="auto" w:fill="E7E7E8"/>
          </w:tcPr>
          <w:p>
            <w:pPr>
              <w:spacing w:after="0"/>
              <w:rPr>
                <w:sz w:val="8"/>
                <w:szCs w:val="8"/>
                <w:color w:val="auto"/>
              </w:rPr>
            </w:pPr>
          </w:p>
        </w:tc>
      </w:tr>
      <w:tr>
        <w:trPr>
          <w:trHeight w:val="240"/>
        </w:trPr>
        <w:tc>
          <w:tcPr>
            <w:tcW w:w="4240" w:type="dxa"/>
            <w:vAlign w:val="bottom"/>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26,247</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4,778</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shd w:val="clear" w:color="auto" w:fill="E7E7E8"/>
          </w:tcPr>
          <w:p>
            <w:pPr>
              <w:spacing w:after="0"/>
              <w:rPr>
                <w:sz w:val="23"/>
                <w:szCs w:val="23"/>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1,923</w:t>
            </w:r>
          </w:p>
        </w:tc>
        <w:tc>
          <w:tcPr>
            <w:tcW w:w="12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2,575</w:t>
            </w:r>
          </w:p>
        </w:tc>
      </w:tr>
      <w:tr>
        <w:trPr>
          <w:trHeight w:val="247"/>
        </w:trPr>
        <w:tc>
          <w:tcPr>
            <w:tcW w:w="4240" w:type="dxa"/>
            <w:vAlign w:val="bottom"/>
          </w:tcPr>
          <w:p>
            <w:pPr>
              <w:ind w:left="72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2,203</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Total capital expenditures</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30,698</w:t>
            </w:r>
          </w:p>
        </w:tc>
      </w:tr>
      <w:tr>
        <w:trPr>
          <w:trHeight w:val="218"/>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 from discontinued</w:t>
            </w:r>
          </w:p>
        </w:tc>
        <w:tc>
          <w:tcPr>
            <w:tcW w:w="240" w:type="dxa"/>
            <w:vAlign w:val="bottom"/>
            <w:shd w:val="clear" w:color="auto" w:fill="E7E7E8"/>
          </w:tcPr>
          <w:p>
            <w:pPr>
              <w:spacing w:after="0"/>
              <w:rPr>
                <w:sz w:val="18"/>
                <w:szCs w:val="18"/>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(1,992)</w:t>
            </w:r>
          </w:p>
        </w:tc>
      </w:tr>
      <w:tr>
        <w:trPr>
          <w:trHeight w:val="21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spacing w:after="0"/>
              <w:rPr>
                <w:sz w:val="18"/>
                <w:szCs w:val="18"/>
                <w:color w:val="auto"/>
              </w:rPr>
            </w:pPr>
          </w:p>
        </w:tc>
      </w:tr>
      <w:tr>
        <w:trPr>
          <w:trHeight w:val="198"/>
        </w:trPr>
        <w:tc>
          <w:tcPr>
            <w:tcW w:w="4240" w:type="dxa"/>
            <w:vAlign w:val="bottom"/>
          </w:tcPr>
          <w:p>
            <w:pPr>
              <w:ind w:left="500"/>
              <w:spacing w:after="0"/>
              <w:rPr>
                <w:sz w:val="20"/>
                <w:szCs w:val="20"/>
                <w:color w:val="auto"/>
              </w:rPr>
            </w:pPr>
            <w:r>
              <w:rPr>
                <w:rFonts w:ascii="Arial" w:cs="Arial" w:eastAsia="Arial" w:hAnsi="Arial"/>
                <w:sz w:val="16"/>
                <w:szCs w:val="16"/>
                <w:color w:val="auto"/>
              </w:rPr>
              <w:t>Total capital expenditures from continuing</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28,706</w:t>
            </w:r>
          </w:p>
        </w:tc>
      </w:tr>
      <w:tr>
        <w:trPr>
          <w:trHeight w:val="204"/>
        </w:trPr>
        <w:tc>
          <w:tcPr>
            <w:tcW w:w="4240" w:type="dxa"/>
            <w:vAlign w:val="bottom"/>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3,835</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r>
      <w:tr>
        <w:trPr>
          <w:trHeight w:val="218"/>
        </w:trPr>
        <w:tc>
          <w:tcPr>
            <w:tcW w:w="4240" w:type="dxa"/>
            <w:vAlign w:val="bottom"/>
          </w:tcPr>
          <w:p>
            <w:pPr>
              <w:ind w:left="280"/>
              <w:spacing w:after="0"/>
              <w:rPr>
                <w:sz w:val="20"/>
                <w:szCs w:val="20"/>
                <w:color w:val="auto"/>
              </w:rPr>
            </w:pPr>
            <w:r>
              <w:rPr>
                <w:rFonts w:ascii="Arial" w:cs="Arial" w:eastAsia="Arial" w:hAnsi="Arial"/>
                <w:sz w:val="16"/>
                <w:szCs w:val="16"/>
                <w:color w:val="auto"/>
              </w:rPr>
              <w:t>Proceeds from rental unit sales from discontinued</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8"/>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04"/>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Proceeds from rental unit sales from continuing</w:t>
            </w:r>
          </w:p>
        </w:tc>
        <w:tc>
          <w:tcPr>
            <w:tcW w:w="240" w:type="dxa"/>
            <w:vAlign w:val="bottom"/>
            <w:shd w:val="clear" w:color="auto" w:fill="E7E7E8"/>
          </w:tcPr>
          <w:p>
            <w:pPr>
              <w:spacing w:after="0"/>
              <w:rPr>
                <w:sz w:val="17"/>
                <w:szCs w:val="17"/>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3,835</w:t>
            </w: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7"/>
                <w:szCs w:val="17"/>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r>
      <w:tr>
        <w:trPr>
          <w:trHeight w:val="208"/>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spacing w:after="0"/>
              <w:rPr>
                <w:sz w:val="18"/>
                <w:szCs w:val="18"/>
                <w:color w:val="auto"/>
              </w:rPr>
            </w:pPr>
          </w:p>
        </w:tc>
      </w:tr>
      <w:tr>
        <w:trPr>
          <w:trHeight w:val="250"/>
        </w:trPr>
        <w:tc>
          <w:tcPr>
            <w:tcW w:w="4240" w:type="dxa"/>
            <w:vAlign w:val="bottom"/>
          </w:tcPr>
          <w:p>
            <w:pPr>
              <w:ind w:left="720"/>
              <w:spacing w:after="0"/>
              <w:rPr>
                <w:sz w:val="20"/>
                <w:szCs w:val="20"/>
                <w:color w:val="auto"/>
              </w:rPr>
            </w:pPr>
            <w:r>
              <w:rPr>
                <w:rFonts w:ascii="Arial" w:cs="Arial" w:eastAsia="Arial" w:hAnsi="Arial"/>
                <w:sz w:val="16"/>
                <w:szCs w:val="16"/>
                <w:color w:val="auto"/>
              </w:rPr>
              <w:t>Net Capital Expenditures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23,928</w:t>
            </w:r>
          </w:p>
        </w:tc>
      </w:tr>
      <w:tr>
        <w:trPr>
          <w:trHeight w:val="240"/>
        </w:trPr>
        <w:tc>
          <w:tcPr>
            <w:tcW w:w="4240" w:type="dxa"/>
            <w:vAlign w:val="bottom"/>
            <w:tcBorders>
              <w:top w:val="single" w:sz="8" w:color="E7E7E8"/>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1,329</w:t>
            </w:r>
          </w:p>
        </w:tc>
        <w:tc>
          <w:tcPr>
            <w:tcW w:w="120" w:type="dxa"/>
            <w:vAlign w:val="bottom"/>
            <w:tcBorders>
              <w:top w:val="single" w:sz="8" w:color="E7E7E8"/>
              <w:bottom w:val="single" w:sz="8" w:color="E7E7E8"/>
            </w:tcBorders>
            <w:shd w:val="clear" w:color="auto" w:fill="E7E7E8"/>
          </w:tcPr>
          <w:p>
            <w:pPr>
              <w:spacing w:after="0"/>
              <w:rPr>
                <w:sz w:val="20"/>
                <w:szCs w:val="20"/>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2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116</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0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18"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300"/>
              <w:spacing w:after="0"/>
              <w:rPr>
                <w:sz w:val="20"/>
                <w:szCs w:val="20"/>
                <w:color w:val="auto"/>
              </w:rPr>
            </w:pPr>
            <w:r>
              <w:rPr>
                <w:rFonts w:ascii="Arial" w:cs="Arial" w:eastAsia="Arial" w:hAnsi="Arial"/>
                <w:sz w:val="16"/>
                <w:szCs w:val="16"/>
                <w:b w:val="1"/>
                <w:bCs w:val="1"/>
                <w:color w:val="FFFFFF"/>
              </w:rPr>
              <w:t>Six Months Ended June 30, 2018</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8"/>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(10,841)</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7,065</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(6,456)</w:t>
            </w:r>
          </w:p>
        </w:tc>
      </w:tr>
      <w:tr>
        <w:trPr>
          <w:trHeight w:val="264"/>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2"/>
                <w:szCs w:val="22"/>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(10,841)</w:t>
            </w:r>
          </w:p>
        </w:tc>
        <w:tc>
          <w:tcPr>
            <w:tcW w:w="120" w:type="dxa"/>
            <w:vAlign w:val="bottom"/>
            <w:tcBorders>
              <w:top w:val="single" w:sz="8" w:color="E7E7E8"/>
            </w:tcBorders>
            <w:shd w:val="clear" w:color="auto" w:fill="E7E7E8"/>
          </w:tcPr>
          <w:p>
            <w:pPr>
              <w:spacing w:after="0"/>
              <w:rPr>
                <w:sz w:val="22"/>
                <w:szCs w:val="22"/>
                <w:color w:val="auto"/>
              </w:rPr>
            </w:pPr>
          </w:p>
        </w:tc>
        <w:tc>
          <w:tcPr>
            <w:tcW w:w="180" w:type="dxa"/>
            <w:vAlign w:val="bottom"/>
            <w:tcBorders>
              <w:top w:val="single" w:sz="8" w:color="auto"/>
            </w:tcBorders>
            <w:shd w:val="clear" w:color="auto" w:fill="E7E7E8"/>
          </w:tcPr>
          <w:p>
            <w:pPr>
              <w:spacing w:after="0"/>
              <w:rPr>
                <w:sz w:val="22"/>
                <w:szCs w:val="22"/>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Borders>
              <w:top w:val="single" w:sz="8" w:color="E7E7E8"/>
            </w:tcBorders>
            <w:shd w:val="clear" w:color="auto" w:fill="E7E7E8"/>
          </w:tcPr>
          <w:p>
            <w:pPr>
              <w:spacing w:after="0"/>
              <w:rPr>
                <w:sz w:val="22"/>
                <w:szCs w:val="22"/>
                <w:color w:val="auto"/>
              </w:rPr>
            </w:pPr>
          </w:p>
        </w:tc>
        <w:tc>
          <w:tcPr>
            <w:tcW w:w="140" w:type="dxa"/>
            <w:vAlign w:val="bottom"/>
            <w:tcBorders>
              <w:top w:val="single" w:sz="8" w:color="auto"/>
            </w:tcBorders>
            <w:shd w:val="clear" w:color="auto" w:fill="E7E7E8"/>
          </w:tcPr>
          <w:p>
            <w:pPr>
              <w:spacing w:after="0"/>
              <w:rPr>
                <w:sz w:val="22"/>
                <w:szCs w:val="22"/>
                <w:color w:val="auto"/>
              </w:rPr>
            </w:pPr>
          </w:p>
        </w:tc>
        <w:tc>
          <w:tcPr>
            <w:tcW w:w="158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7,065</w:t>
            </w:r>
          </w:p>
        </w:tc>
        <w:tc>
          <w:tcPr>
            <w:tcW w:w="100" w:type="dxa"/>
            <w:vAlign w:val="bottom"/>
            <w:tcBorders>
              <w:top w:val="single" w:sz="8" w:color="E7E7E8"/>
            </w:tcBorders>
            <w:shd w:val="clear" w:color="auto" w:fill="E7E7E8"/>
          </w:tcPr>
          <w:p>
            <w:pPr>
              <w:spacing w:after="0"/>
              <w:rPr>
                <w:sz w:val="22"/>
                <w:szCs w:val="22"/>
                <w:color w:val="auto"/>
              </w:rPr>
            </w:pPr>
          </w:p>
        </w:tc>
        <w:tc>
          <w:tcPr>
            <w:tcW w:w="220" w:type="dxa"/>
            <w:vAlign w:val="bottom"/>
            <w:tcBorders>
              <w:top w:val="single" w:sz="8" w:color="auto"/>
            </w:tcBorders>
            <w:shd w:val="clear" w:color="auto" w:fill="E7E7E8"/>
          </w:tcPr>
          <w:p>
            <w:pPr>
              <w:spacing w:after="0"/>
              <w:rPr>
                <w:sz w:val="22"/>
                <w:szCs w:val="22"/>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(6,456)</w:t>
            </w:r>
          </w:p>
        </w:tc>
      </w:tr>
      <w:tr>
        <w:trPr>
          <w:trHeight w:val="270"/>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Borders>
              <w:bottom w:val="single" w:sz="8" w:color="E7E7E8"/>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(7,065)</w:t>
            </w:r>
          </w:p>
        </w:tc>
      </w:tr>
      <w:tr>
        <w:trPr>
          <w:trHeight w:val="25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(10,841)</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(13,521)</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22,823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23,874</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11,982</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10,353</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44,463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6,858</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51,321</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56,445</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5,229</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61,674</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1,596</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1,077</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Transaction Fees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Integration costs</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7,415</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7,415</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shd w:val="clear" w:color="auto" w:fill="E7E7E8"/>
          </w:tcPr>
          <w:p>
            <w:pPr>
              <w:spacing w:after="0"/>
              <w:rPr>
                <w:sz w:val="8"/>
                <w:szCs w:val="8"/>
                <w:color w:val="auto"/>
              </w:rPr>
            </w:pPr>
          </w:p>
        </w:tc>
        <w:tc>
          <w:tcPr>
            <w:tcW w:w="15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1,175</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353</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500" w:type="dxa"/>
            <w:vAlign w:val="bottom"/>
            <w:tcBorders>
              <w:bottom w:val="single" w:sz="8" w:color="auto"/>
            </w:tcBorders>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152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tcBorders>
              <w:bottom w:val="single" w:sz="8" w:color="auto"/>
            </w:tcBorders>
            <w:shd w:val="clear" w:color="auto" w:fill="E7E7E8"/>
          </w:tcPr>
          <w:p>
            <w:pPr>
              <w:spacing w:after="0"/>
              <w:rPr>
                <w:sz w:val="8"/>
                <w:szCs w:val="8"/>
                <w:color w:val="auto"/>
              </w:rPr>
            </w:pPr>
          </w:p>
        </w:tc>
        <w:tc>
          <w:tcPr>
            <w:tcW w:w="158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1480" w:type="dxa"/>
            <w:vAlign w:val="bottom"/>
            <w:tcBorders>
              <w:bottom w:val="single" w:sz="8" w:color="auto"/>
            </w:tcBorders>
            <w:shd w:val="clear" w:color="auto" w:fill="E7E7E8"/>
          </w:tcPr>
          <w:p>
            <w:pPr>
              <w:spacing w:after="0"/>
              <w:rPr>
                <w:sz w:val="8"/>
                <w:szCs w:val="8"/>
                <w:color w:val="auto"/>
              </w:rPr>
            </w:pPr>
          </w:p>
        </w:tc>
      </w:tr>
      <w:tr>
        <w:trPr>
          <w:trHeight w:val="240"/>
        </w:trPr>
        <w:tc>
          <w:tcPr>
            <w:tcW w:w="4240" w:type="dxa"/>
            <w:vAlign w:val="bottom"/>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77,408</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5,663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6,246</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shd w:val="clear" w:color="auto" w:fill="E7E7E8"/>
          </w:tcPr>
          <w:p>
            <w:pPr>
              <w:spacing w:after="0"/>
              <w:rPr>
                <w:sz w:val="23"/>
                <w:szCs w:val="23"/>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3,193</w:t>
            </w:r>
          </w:p>
        </w:tc>
        <w:tc>
          <w:tcPr>
            <w:tcW w:w="12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3,578</w:t>
            </w:r>
          </w:p>
        </w:tc>
      </w:tr>
      <w:tr>
        <w:trPr>
          <w:trHeight w:val="247"/>
        </w:trPr>
        <w:tc>
          <w:tcPr>
            <w:tcW w:w="4240" w:type="dxa"/>
            <w:vAlign w:val="bottom"/>
          </w:tcPr>
          <w:p>
            <w:pPr>
              <w:ind w:left="50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2,668</w:t>
            </w:r>
          </w:p>
        </w:tc>
      </w:tr>
      <w:tr>
        <w:trPr>
          <w:trHeight w:val="280"/>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Gain on insurance proceeds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4,765</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4,765</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62,947</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3,432</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66,379</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11,450</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12,033</w:t>
            </w:r>
          </w:p>
        </w:tc>
      </w:tr>
      <w:tr>
        <w:trPr>
          <w:trHeight w:val="250"/>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Net Capital Expenditures</w:t>
            </w: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51,497</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54,346</w:t>
            </w:r>
          </w:p>
        </w:tc>
      </w:tr>
      <w:tr>
        <w:trPr>
          <w:trHeight w:val="240"/>
        </w:trPr>
        <w:tc>
          <w:tcPr>
            <w:tcW w:w="4240" w:type="dxa"/>
            <w:vAlign w:val="bottom"/>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11,984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15,629</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18"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300"/>
              <w:spacing w:after="0"/>
              <w:rPr>
                <w:sz w:val="20"/>
                <w:szCs w:val="20"/>
                <w:color w:val="auto"/>
              </w:rPr>
            </w:pPr>
            <w:r>
              <w:rPr>
                <w:rFonts w:ascii="Arial" w:cs="Arial" w:eastAsia="Arial" w:hAnsi="Arial"/>
                <w:sz w:val="16"/>
                <w:szCs w:val="16"/>
                <w:b w:val="1"/>
                <w:bCs w:val="1"/>
                <w:color w:val="FFFFFF"/>
              </w:rPr>
              <w:t>Six Months Ended June 30, 2017</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8"/>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E7E7E8"/>
          </w:tcPr>
          <w:p>
            <w:pPr>
              <w:spacing w:after="0"/>
              <w:rPr>
                <w:sz w:val="23"/>
                <w:szCs w:val="23"/>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(5,210)</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(8,407)</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spacing w:after="0"/>
              <w:rPr>
                <w:sz w:val="23"/>
                <w:szCs w:val="23"/>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(16,075)</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6,045</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(5,210)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(14,452)</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(22,120)</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(10,138)</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(5,210)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(24,590)</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(32,258)</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31,512</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14,747</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48,475</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26,302</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16,217</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30,993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38,025</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57,295</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(9,142)</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54,242</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(8,499)</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968</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E7E7E8"/>
          </w:tcPr>
          <w:p>
            <w:pPr>
              <w:spacing w:after="0"/>
              <w:rPr>
                <w:sz w:val="19"/>
                <w:szCs w:val="19"/>
                <w:color w:val="auto"/>
              </w:rPr>
            </w:pP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620</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500" w:type="dxa"/>
            <w:vAlign w:val="bottom"/>
            <w:tcBorders>
              <w:bottom w:val="single" w:sz="8" w:color="auto"/>
            </w:tcBorders>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152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tcBorders>
              <w:bottom w:val="single" w:sz="8" w:color="auto"/>
            </w:tcBorders>
            <w:shd w:val="clear" w:color="auto" w:fill="E7E7E8"/>
          </w:tcPr>
          <w:p>
            <w:pPr>
              <w:spacing w:after="0"/>
              <w:rPr>
                <w:sz w:val="8"/>
                <w:szCs w:val="8"/>
                <w:color w:val="auto"/>
              </w:rPr>
            </w:pPr>
          </w:p>
        </w:tc>
        <w:tc>
          <w:tcPr>
            <w:tcW w:w="158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tcBorders>
              <w:bottom w:val="single" w:sz="8" w:color="auto"/>
            </w:tcBorders>
            <w:shd w:val="clear" w:color="auto" w:fill="E7E7E8"/>
          </w:tcPr>
          <w:p>
            <w:pPr>
              <w:spacing w:after="0"/>
              <w:rPr>
                <w:sz w:val="8"/>
                <w:szCs w:val="8"/>
                <w:color w:val="auto"/>
              </w:rPr>
            </w:pPr>
          </w:p>
        </w:tc>
        <w:tc>
          <w:tcPr>
            <w:tcW w:w="1480" w:type="dxa"/>
            <w:vAlign w:val="bottom"/>
            <w:tcBorders>
              <w:bottom w:val="single" w:sz="8" w:color="auto"/>
            </w:tcBorders>
            <w:shd w:val="clear" w:color="auto" w:fill="E7E7E8"/>
          </w:tcPr>
          <w:p>
            <w:pPr>
              <w:spacing w:after="0"/>
              <w:rPr>
                <w:sz w:val="8"/>
                <w:szCs w:val="8"/>
                <w:color w:val="auto"/>
              </w:rPr>
            </w:pPr>
          </w:p>
        </w:tc>
      </w:tr>
      <w:tr>
        <w:trPr>
          <w:trHeight w:val="240"/>
        </w:trPr>
        <w:tc>
          <w:tcPr>
            <w:tcW w:w="4240" w:type="dxa"/>
            <w:vAlign w:val="bottom"/>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50,012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48,193</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8,712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10,622</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shd w:val="clear" w:color="auto" w:fill="E7E7E8"/>
          </w:tcPr>
          <w:p>
            <w:pPr>
              <w:spacing w:after="0"/>
              <w:rPr>
                <w:sz w:val="23"/>
                <w:szCs w:val="23"/>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5,036</w:t>
            </w:r>
          </w:p>
        </w:tc>
        <w:tc>
          <w:tcPr>
            <w:tcW w:w="12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6,283</w:t>
            </w:r>
          </w:p>
        </w:tc>
      </w:tr>
      <w:tr>
        <w:trPr>
          <w:trHeight w:val="247"/>
        </w:trPr>
        <w:tc>
          <w:tcPr>
            <w:tcW w:w="4240" w:type="dxa"/>
            <w:vAlign w:val="bottom"/>
          </w:tcPr>
          <w:p>
            <w:pPr>
              <w:ind w:left="72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4,339</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Total capital expenditures</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49,602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56,238</w:t>
            </w:r>
          </w:p>
        </w:tc>
      </w:tr>
      <w:tr>
        <w:trPr>
          <w:trHeight w:val="218"/>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 from discontinued</w:t>
            </w:r>
          </w:p>
        </w:tc>
        <w:tc>
          <w:tcPr>
            <w:tcW w:w="240" w:type="dxa"/>
            <w:vAlign w:val="bottom"/>
            <w:shd w:val="clear" w:color="auto" w:fill="E7E7E8"/>
          </w:tcPr>
          <w:p>
            <w:pPr>
              <w:spacing w:after="0"/>
              <w:rPr>
                <w:sz w:val="18"/>
                <w:szCs w:val="18"/>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(4,212)</w:t>
            </w:r>
          </w:p>
        </w:tc>
        <w:tc>
          <w:tcPr>
            <w:tcW w:w="10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(4,212)</w:t>
            </w:r>
          </w:p>
        </w:tc>
      </w:tr>
      <w:tr>
        <w:trPr>
          <w:trHeight w:val="21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spacing w:after="0"/>
              <w:rPr>
                <w:sz w:val="18"/>
                <w:szCs w:val="18"/>
                <w:color w:val="auto"/>
              </w:rPr>
            </w:pPr>
          </w:p>
        </w:tc>
      </w:tr>
      <w:tr>
        <w:trPr>
          <w:trHeight w:val="198"/>
        </w:trPr>
        <w:tc>
          <w:tcPr>
            <w:tcW w:w="4240" w:type="dxa"/>
            <w:vAlign w:val="bottom"/>
          </w:tcPr>
          <w:p>
            <w:pPr>
              <w:ind w:left="500"/>
              <w:spacing w:after="0"/>
              <w:rPr>
                <w:sz w:val="20"/>
                <w:szCs w:val="20"/>
                <w:color w:val="auto"/>
              </w:rPr>
            </w:pPr>
            <w:r>
              <w:rPr>
                <w:rFonts w:ascii="Arial" w:cs="Arial" w:eastAsia="Arial" w:hAnsi="Arial"/>
                <w:sz w:val="16"/>
                <w:szCs w:val="16"/>
                <w:color w:val="auto"/>
              </w:rPr>
              <w:t>Total capital expenditures from continuing</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49,602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52,026</w:t>
            </w:r>
          </w:p>
        </w:tc>
      </w:tr>
      <w:tr>
        <w:trPr>
          <w:trHeight w:val="204"/>
        </w:trPr>
        <w:tc>
          <w:tcPr>
            <w:tcW w:w="4240" w:type="dxa"/>
            <w:vAlign w:val="bottom"/>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8,712</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r>
      <w:tr>
        <w:trPr>
          <w:trHeight w:val="218"/>
        </w:trPr>
        <w:tc>
          <w:tcPr>
            <w:tcW w:w="4240" w:type="dxa"/>
            <w:vAlign w:val="bottom"/>
          </w:tcPr>
          <w:p>
            <w:pPr>
              <w:ind w:left="280"/>
              <w:spacing w:after="0"/>
              <w:rPr>
                <w:sz w:val="20"/>
                <w:szCs w:val="20"/>
                <w:color w:val="auto"/>
              </w:rPr>
            </w:pPr>
            <w:r>
              <w:rPr>
                <w:rFonts w:ascii="Arial" w:cs="Arial" w:eastAsia="Arial" w:hAnsi="Arial"/>
                <w:sz w:val="16"/>
                <w:szCs w:val="16"/>
                <w:color w:val="auto"/>
              </w:rPr>
              <w:t>Proceeds from rental unit sales from discontinued</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8"/>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04"/>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Proceeds from rental unit sales from continuing</w:t>
            </w:r>
          </w:p>
        </w:tc>
        <w:tc>
          <w:tcPr>
            <w:tcW w:w="240" w:type="dxa"/>
            <w:vAlign w:val="bottom"/>
            <w:shd w:val="clear" w:color="auto" w:fill="E7E7E8"/>
          </w:tcPr>
          <w:p>
            <w:pPr>
              <w:spacing w:after="0"/>
              <w:rPr>
                <w:sz w:val="17"/>
                <w:szCs w:val="17"/>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8,712</w:t>
            </w: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7"/>
                <w:szCs w:val="17"/>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10,622</w:t>
            </w:r>
          </w:p>
        </w:tc>
      </w:tr>
      <w:tr>
        <w:trPr>
          <w:trHeight w:val="208"/>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spacing w:after="0"/>
              <w:rPr>
                <w:sz w:val="18"/>
                <w:szCs w:val="18"/>
                <w:color w:val="auto"/>
              </w:rPr>
            </w:pPr>
          </w:p>
        </w:tc>
      </w:tr>
      <w:tr>
        <w:trPr>
          <w:trHeight w:val="250"/>
        </w:trPr>
        <w:tc>
          <w:tcPr>
            <w:tcW w:w="4240" w:type="dxa"/>
            <w:vAlign w:val="bottom"/>
          </w:tcPr>
          <w:p>
            <w:pPr>
              <w:ind w:left="720"/>
              <w:spacing w:after="0"/>
              <w:rPr>
                <w:sz w:val="20"/>
                <w:szCs w:val="20"/>
                <w:color w:val="auto"/>
              </w:rPr>
            </w:pPr>
            <w:r>
              <w:rPr>
                <w:rFonts w:ascii="Arial" w:cs="Arial" w:eastAsia="Arial" w:hAnsi="Arial"/>
                <w:sz w:val="16"/>
                <w:szCs w:val="16"/>
                <w:color w:val="auto"/>
              </w:rPr>
              <w:t>Net Capital Expenditures</w:t>
            </w:r>
          </w:p>
        </w:tc>
        <w:tc>
          <w:tcPr>
            <w:tcW w:w="24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41,404</w:t>
            </w:r>
          </w:p>
        </w:tc>
      </w:tr>
      <w:tr>
        <w:trPr>
          <w:trHeight w:val="240"/>
        </w:trPr>
        <w:tc>
          <w:tcPr>
            <w:tcW w:w="4240" w:type="dxa"/>
            <w:vAlign w:val="bottom"/>
            <w:tcBorders>
              <w:top w:val="single" w:sz="8" w:color="E7E7E8"/>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5,446</w:t>
            </w:r>
          </w:p>
        </w:tc>
        <w:tc>
          <w:tcPr>
            <w:tcW w:w="120" w:type="dxa"/>
            <w:vAlign w:val="bottom"/>
            <w:tcBorders>
              <w:top w:val="single" w:sz="8" w:color="E7E7E8"/>
              <w:bottom w:val="single" w:sz="8" w:color="E7E7E8"/>
            </w:tcBorders>
            <w:shd w:val="clear" w:color="auto" w:fill="E7E7E8"/>
          </w:tcPr>
          <w:p>
            <w:pPr>
              <w:spacing w:after="0"/>
              <w:rPr>
                <w:sz w:val="20"/>
                <w:szCs w:val="20"/>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4,448</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2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2,450</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does not allocate expenses on a segment level. As such, we have included tax income benefit in Corporate and other for the purpose of this reconciliation.</w:t>
      </w:r>
    </w:p>
    <w:p>
      <w:pPr>
        <w:spacing w:after="0" w:line="55" w:lineRule="exact"/>
        <w:rPr>
          <w:rFonts w:ascii="Arial" w:cs="Arial" w:eastAsia="Arial" w:hAnsi="Arial"/>
          <w:sz w:val="14"/>
          <w:szCs w:val="14"/>
          <w:color w:val="auto"/>
        </w:rPr>
      </w:pPr>
    </w:p>
    <w:p>
      <w:pPr>
        <w:ind w:right="20" w:firstLine="8"/>
        <w:spacing w:after="0" w:line="258" w:lineRule="auto"/>
        <w:tabs>
          <w:tab w:leader="none" w:pos="2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purpose of this reconciliation, the Company has included income and capital expenditures related to discontinued operations in Corporate and other as it all pertained to the Remote Accommodations segment which was discontinued as of November 29, 2017.</w:t>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WSC is a holding company that derives all of its operating cash flow from its operating subsidiaries. Our principal sources of liquidity include cash generated by operating activities from our subsidiaries, credit facilities and sales of equity and debt securities. We believe that our liquidity sources and operating cash flows are sufficient to address our future operating, debt service and capital requirements.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from time to time seek to retire or purchase our warrants through cash purchases and/or exchanges for equity securities, in open market purchases, privately-negotiated transactions, exchange offers or otherwise. Any such transactions will depend on prevailing market conditions, our liquidity requirements, contractual restrictions and other factors.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 The ABL Facility, which matures on May 29, 2022, comprises (i) a $530 million asset-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18" w:right="2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16"/>
          <w:szCs w:val="16"/>
          <w:color w:val="auto"/>
        </w:rPr>
        <w:t>based revolving credit facility for WSII and certain of its domestic subsidiaries and (ii) a $70 million asset-based revolving credit facility for Williams Scotsman of Canada, Inc.</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ABL Facility, at the Borrower’s option, bear interest at either an adjusted LIBOR or a base rate, in each case, plus an applicable margin. The applicable margin is 2.50% for LIBOR borrowings and 1.50% for base rate borrowings. The ABL Facility requires the payment of an annual commitment fee on the unused available borrowings of between 0.375% and 0.5% per annum. At June 30, 2018, the weighted average interest rate for borrowings under the ABL Facility was 4.58%.</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2018, the Borrowers had $219.6 million of available capacity under the ABL Facility, including $153.1 million of available capacity under the US facility and $66.5 million of available capacity under the Canadian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WSII issued the Notes with a $300.0 million aggregate principal amount that bear interest at 7.875% and mature on December 15, 2022. The net proceeds, along with other funding obtained in connection with the Business Combination, were used to repay $669.5 million outstanding under WSII’s former credit facility, to repay $226.3 million of notes due to affiliates and related accrued interest, and to pay $125.7 million of the cash consideration paid for 100% of the outstanding equity of WSII. Interest on the Notes is payable semi-annually on June 15 and December 15 beginning June 15, 2018.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Six Months Ended June 30, 2018 and 2017</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cash flows for the periods presented on an actual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54"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FFFFFF"/>
        </w:rPr>
        <w:t>Six Months Ended June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2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24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2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60" w:type="dxa"/>
            <w:vAlign w:val="bottom"/>
            <w:shd w:val="clear" w:color="auto" w:fill="008A5F"/>
          </w:tcPr>
          <w:p>
            <w:pPr>
              <w:spacing w:after="0"/>
              <w:rPr>
                <w:sz w:val="7"/>
                <w:szCs w:val="7"/>
                <w:color w:val="auto"/>
              </w:rPr>
            </w:pPr>
          </w:p>
        </w:tc>
        <w:tc>
          <w:tcPr>
            <w:tcW w:w="124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80" w:type="dxa"/>
            <w:vAlign w:val="bottom"/>
            <w:shd w:val="clear" w:color="auto" w:fill="008A5F"/>
          </w:tcPr>
          <w:p>
            <w:pPr>
              <w:spacing w:after="0"/>
              <w:rPr>
                <w:sz w:val="7"/>
                <w:szCs w:val="7"/>
                <w:color w:val="auto"/>
              </w:rPr>
            </w:pPr>
          </w:p>
        </w:tc>
        <w:tc>
          <w:tcPr>
            <w:tcW w:w="122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operating activities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18,800</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24,124</w:t>
            </w:r>
          </w:p>
        </w:tc>
        <w:tc>
          <w:tcPr>
            <w:tcW w:w="0" w:type="dxa"/>
            <w:vAlign w:val="bottom"/>
          </w:tcPr>
          <w:p>
            <w:pPr>
              <w:spacing w:after="0"/>
              <w:rPr>
                <w:sz w:val="1"/>
                <w:szCs w:val="1"/>
                <w:color w:val="auto"/>
              </w:rPr>
            </w:pPr>
          </w:p>
        </w:tc>
      </w:tr>
      <w:tr>
        <w:trPr>
          <w:trHeight w:val="101"/>
        </w:trPr>
        <w:tc>
          <w:tcPr>
            <w:tcW w:w="812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Net cash from investing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(111,393)</w:t>
            </w:r>
          </w:p>
        </w:tc>
        <w:tc>
          <w:tcPr>
            <w:tcW w:w="0" w:type="dxa"/>
            <w:vAlign w:val="bottom"/>
          </w:tcPr>
          <w:p>
            <w:pPr>
              <w:spacing w:after="0"/>
              <w:rPr>
                <w:sz w:val="1"/>
                <w:szCs w:val="1"/>
                <w:color w:val="auto"/>
              </w:rPr>
            </w:pPr>
          </w:p>
        </w:tc>
      </w:tr>
      <w:tr>
        <w:trPr>
          <w:trHeight w:val="101"/>
        </w:trPr>
        <w:tc>
          <w:tcPr>
            <w:tcW w:w="8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financing activities</w:t>
            </w:r>
          </w:p>
        </w:tc>
        <w:tc>
          <w:tcPr>
            <w:tcW w:w="36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57,963</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86,845</w:t>
            </w:r>
          </w:p>
        </w:tc>
        <w:tc>
          <w:tcPr>
            <w:tcW w:w="0" w:type="dxa"/>
            <w:vAlign w:val="bottom"/>
          </w:tcPr>
          <w:p>
            <w:pPr>
              <w:spacing w:after="0"/>
              <w:rPr>
                <w:sz w:val="1"/>
                <w:szCs w:val="1"/>
                <w:color w:val="auto"/>
              </w:rPr>
            </w:pPr>
          </w:p>
        </w:tc>
      </w:tr>
      <w:tr>
        <w:trPr>
          <w:trHeight w:val="101"/>
        </w:trPr>
        <w:tc>
          <w:tcPr>
            <w:tcW w:w="812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01"/>
        </w:trPr>
        <w:tc>
          <w:tcPr>
            <w:tcW w:w="8120" w:type="dxa"/>
            <w:vAlign w:val="bottom"/>
            <w:tcBorders>
              <w:bottom w:val="single" w:sz="8" w:color="E7E7E8"/>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01"/>
        </w:trPr>
        <w:tc>
          <w:tcPr>
            <w:tcW w:w="8120" w:type="dxa"/>
            <w:vAlign w:val="bottom"/>
            <w:tcBorders>
              <w:bottom w:val="single" w:sz="8" w:color="E7E7E8"/>
            </w:tcBorders>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40" w:type="dxa"/>
            <w:vAlign w:val="bottom"/>
            <w:tcBorders>
              <w:bottom w:val="single" w:sz="8" w:color="auto"/>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380" w:type="dxa"/>
            <w:vAlign w:val="bottom"/>
            <w:tcBorders>
              <w:bottom w:val="single" w:sz="8" w:color="auto"/>
            </w:tcBorders>
            <w:shd w:val="clear" w:color="auto" w:fill="E7E7E8"/>
          </w:tcPr>
          <w:p>
            <w:pPr>
              <w:spacing w:after="0"/>
              <w:rPr>
                <w:sz w:val="8"/>
                <w:szCs w:val="8"/>
                <w:color w:val="auto"/>
              </w:rPr>
            </w:pPr>
          </w:p>
        </w:tc>
        <w:tc>
          <w:tcPr>
            <w:tcW w:w="122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cash flow data for the six months ended June 30, 2017 includes the activity of the Remote Accommodations Business, which is no longer a part of the company following the Carve-out Transaction, and is presented as discontinued operations in the the condensed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six months ended June 30, 2018 was $18.8 million as compared to $24.1 million for the six months ended June 30, 2017, a decrease of $5.3 million. The reduction in cash provided by operating activities was predominantly due to higher use of cash to pay down accounts payable and accrued liabilities associated both to transaction expenses incurred for the Business Combination as well as normal operating liabilities. Additionally, the cash flow from operating activities for the six months ended June 30, 2017 include cash generated from the Remote Accommodations Business which is no longer a part of the Company following the Carve-out Transaction that occurred in the fourth quarter of 2017.</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six months ended June 30, 2018 was $77.7 million as compared to $111.4 million for the six months ended June 30, 2017, a decrease of $33.7 million. The reduction in cash used in investing activities was principally the result of a $67.9 million decrease in cash used in lending to affiliates, a $1.4 million increase in proceeds from the sale of rental equipment, and a $0.7 million increase in proceeds from the sale of property, plant and equipment, which was partially offset by the $24.0 million purchase of Tyson and an increase of $10.6 million of rental equipment capital expenditures. In 2018, we did not engage in any lending activities as the notes due from affiliates were settled as part of the Business Combination. The increase in proceeds for rental equipment and property, plant and equipment was driven by the receipt of insurance proceeds for assets damaged during Hurricane Harvey. The increase in capital expenditures was driven primarily by strategic investment in refurbishment of existing fleet, purchase of VAPS, and new fleet purchases to maintain and grow units on rent.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provided by financing activities for the six months ended June 30, 2018 was $58.0 million as compared to $86.8 million for the six months ended June 30, 2017, a decrease of $28.8 million. The reduction in cash provided by financing activities is primarily driven by $75.0 million decrease in borrowings from notes due to affiliates. The notes due from affiliates were settled in connection with the Business Combination in the fourth quarter of 2017 and were driven by a centralized cash management strategy utilized by the Algeco Group. The reduction in cash used in financing activities was partially offset by a $34.5 million increase in borrowings, net of repayments, as a result of drawing on the ABL Facility during 2018 to purchase Tyson and $10.9 million in financing cost payments in the first quarter of 2017 associated with an amendment of the revolving credit facility that WSII was party to as part of the Algeco Group, prior to the Business Combination.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85" w:right="239" w:bottom="1440" w:gutter="0" w:footer="0" w:header="0"/>
        </w:sectPr>
      </w:pPr>
    </w:p>
    <w:bookmarkStart w:id="49" w:name="page50"/>
    <w:bookmarkEnd w:id="49"/>
    <w:p>
      <w:pPr>
        <w:spacing w:after="0"/>
        <w:rPr>
          <w:sz w:val="20"/>
          <w:szCs w:val="20"/>
          <w:color w:val="auto"/>
        </w:rPr>
      </w:pPr>
      <w:r>
        <w:rPr>
          <w:rFonts w:ascii="Arial" w:cs="Arial" w:eastAsia="Arial" w:hAnsi="Arial"/>
          <w:sz w:val="23"/>
          <w:szCs w:val="23"/>
          <w:color w:val="008A5F"/>
        </w:rPr>
        <w:t>Contractual Obligations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than changes which occur in the normal course of business, there were no significant changes to the contractual obligations reported in our 2017 Form 10-K as updated in our Form 10-Q for the three and six months ended June 30, 2018.</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significant accounting policies are described in Note 1 of the audited consolidated financial statements included in our 2017 Form 10-K. 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the six months ended June 30, 2018, we have provided an additional disclosure on our stock-based compensation policies as described in Note 11 of this Form 10-Q. For a complete discussion of our critical accounting policies, see the “Critical Accounting Policies and Estimates” section of the MD&amp;A in our 2017 Form 10-K.</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Refer to Note 1 of the notes to our financial statements included in this Form 10-Q for our assessment of recently issued and adopted accounting standards.</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2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87" w:right="239" w:bottom="1440" w:gutter="0" w:footer="0" w:header="0"/>
        </w:sectPr>
      </w:pPr>
    </w:p>
    <w:bookmarkStart w:id="50" w:name="page51"/>
    <w:bookmarkEnd w:id="50"/>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 in Part I, Item 1A of our Annual Report on Form 10-K for the fiscal year ended December 31, 2017.</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28" w:lineRule="exact"/>
        <w:rPr>
          <w:sz w:val="20"/>
          <w:szCs w:val="20"/>
          <w:color w:val="auto"/>
        </w:rPr>
      </w:pPr>
    </w:p>
    <w:p>
      <w:pPr>
        <w:ind w:left="1960" w:right="680" w:hanging="1944"/>
        <w:spacing w:after="0" w:line="281" w:lineRule="auto"/>
        <w:tabs>
          <w:tab w:leader="none" w:pos="1940" w:val="left"/>
        </w:tabs>
        <w:rPr>
          <w:sz w:val="20"/>
          <w:szCs w:val="20"/>
          <w:color w:val="auto"/>
        </w:rPr>
      </w:pPr>
      <w:r>
        <w:rPr>
          <w:rFonts w:ascii="Arial" w:cs="Arial" w:eastAsia="Arial" w:hAnsi="Arial"/>
          <w:sz w:val="40"/>
          <w:szCs w:val="40"/>
          <w:b w:val="1"/>
          <w:bCs w:val="1"/>
          <w:color w:val="auto"/>
        </w:rPr>
        <w:t>ITEM 3.</w:t>
        <w:tab/>
        <w:t>Quantitative and Qualitative Disclosures about Market Risk</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significant changes to our market risk since December 31, 2017. For a discussion of our exposure to market risk, refer to our Annual Report on Form 10-K for the year ended December 31, 2017.</w:t>
      </w:r>
    </w:p>
    <w:p>
      <w:pPr>
        <w:spacing w:after="0" w:line="28"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carried out an evaluation, under the supervision of our Chief Executive Officer and Chief Financial Officer, of the effectiveness of the design and operation of our disclosure controls and procedures (as defined in Rules 13a-15(e) and 15d-15(e) under the Exchange Act) as of June 30, 2018. Based upon their evaluation, our Chief Executive Officer and Chief Financial Officer concluded that our disclosure controls and procedures were not effective as of June 30, 2018, due to the existence of a previously reported material weaknesses in our internal control over financial reporting.</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Notwithstanding a material weakness in internal control over financial reporting, our management concluded that our condensed consolidated financial statements in this quarterly report on Form 10-Q present fairly, in all material respects, the Company’s consolidated financial position, results of operations and cash flows as of the dates, and for the periods presented, in conformity with generally accepted accounting principles.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Description of Material Weakness as of December 31, 2017</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disclosed in further detail in “Part II - Item 9A - Controls and Procedures” of the 2017 Annual Report, we and our independent registered public accounting firm identified material weaknesses in our internal control over financial reporting - specifically, ineffective controls over accounting for income taxes and reverse acquisition accounting. These control deficiencies resulted in numerous adjustments and disclosures that were corrected prior to the issuance of our 2017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Remediation Plans</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our second quarter ended June 30, 2018, we continued to implement a remediation plan that addresses the material weaknesses in internal control over financial reporting through the following actions:</w:t>
      </w:r>
    </w:p>
    <w:p>
      <w:pPr>
        <w:spacing w:after="0" w:line="74" w:lineRule="exact"/>
        <w:rPr>
          <w:sz w:val="20"/>
          <w:szCs w:val="20"/>
          <w:color w:val="auto"/>
        </w:rPr>
      </w:pPr>
    </w:p>
    <w:p>
      <w:pPr>
        <w:ind w:left="66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Increased involvement on a quarterly basis of our third-party consultants dedicated to determining the appropriate accounting for material and complex tax and unique business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Review of the tax accounting process to identify and implement enhanced processes and related internal control review procedures;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Adding additional review controls to approve complex accounting and related calculations.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Under the direction of the Audit Committee, management will continue to review and make necessary changes to the overall design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control environment, as well as policies and procedures to improve the overall effectiveness of internal control over financial reporting.</w:t>
      </w:r>
    </w:p>
    <w:p>
      <w:pPr>
        <w:spacing w:after="0" w:line="11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believe the measures described above will remediate the control deficiencies identified and will strengthen our internal control over financial reporting. As management continues to evaluate and work to improve internal control over financial reporting, we may take additional measures to address control deficiencies or determine to modify, or in appropriate circumstances not to complete, certain of the remediation measures described above. These controls must be in place and operating effectively for a sufficient period of time in order to validate the full remediation of the material weaknesses. We expect that the remediation of the material weaknesses will be complete as of December 31,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9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6"/>
          <w:szCs w:val="16"/>
          <w:color w:val="auto"/>
        </w:rPr>
        <w:t>December 2017 and January 2018 we acquired Acton and Tyson for $237.1 million and $24.0 million, respectively (see Note 2 to the</w:t>
      </w:r>
      <w:r>
        <w:rPr>
          <w:rFonts w:ascii="Arial" w:cs="Arial" w:eastAsia="Arial" w:hAnsi="Arial"/>
          <w:sz w:val="18"/>
          <w:szCs w:val="18"/>
          <w:color w:val="auto"/>
        </w:rPr>
        <w:t xml:space="preserve"> </w:t>
      </w:r>
      <w:r>
        <w:rPr>
          <w:rFonts w:ascii="Arial" w:cs="Arial" w:eastAsia="Arial" w:hAnsi="Arial"/>
          <w:sz w:val="16"/>
          <w:szCs w:val="16"/>
          <w:color w:val="auto"/>
        </w:rPr>
        <w:t>accompanying financial statements). During the second quarter of 2018, we transitioned all the business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85" w:right="23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16"/>
          <w:szCs w:val="16"/>
          <w:color w:val="auto"/>
        </w:rPr>
        <w:t>processes of the acquired companies onto our existing platforms. We are continuing to integrate Acton and Tyson into our existing control procedures, but we do not expect changes to significantly affect our internal control over financial reporting.</w:t>
      </w:r>
    </w:p>
    <w:p>
      <w:pPr>
        <w:spacing w:after="0" w:line="6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Other than the items discussed above, there were no changes in our internal control over financial reporting that occurred during during our quarter ended June 30, 2018 that materially affected or are reasonably likely to materially affect, our internal control over financial reporting.</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384" w:right="259" w:bottom="1440" w:gutter="0" w:footer="0" w:header="0"/>
        </w:sectPr>
      </w:pPr>
    </w:p>
    <w:bookmarkStart w:id="52" w:name="page53"/>
    <w:bookmarkEnd w:id="52"/>
    <w:p>
      <w:pPr>
        <w:ind w:left="5020"/>
        <w:spacing w:after="0"/>
        <w:rPr>
          <w:sz w:val="20"/>
          <w:szCs w:val="20"/>
          <w:color w:val="auto"/>
        </w:rPr>
      </w:pPr>
      <w:r>
        <w:rPr>
          <w:rFonts w:ascii="Arial" w:cs="Arial" w:eastAsia="Arial" w:hAnsi="Arial"/>
          <w:sz w:val="40"/>
          <w:szCs w:val="40"/>
          <w:b w:val="1"/>
          <w:bCs w:val="1"/>
          <w:color w:val="008A5F"/>
        </w:rPr>
        <w:t>PART II</w:t>
      </w:r>
    </w:p>
    <w:p>
      <w:pPr>
        <w:spacing w:after="0" w:line="9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Legal Proceedings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June 30, 2018, there was no material pending legal proceedings in which we or any of our subsidiaries are a party or to which any of our property is subject.</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08A5F"/>
        </w:rPr>
        <w:t>Risks related to the ModSpace Acquisition</w:t>
      </w:r>
    </w:p>
    <w:p>
      <w:pPr>
        <w:spacing w:after="0" w:line="6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The ModSpace Acquisition may not be completed within the expected timeframe, if at all, and the failure to complete the acquisition may negatively affect the price of our common stock and could adversely affect our financial results.</w:t>
      </w:r>
    </w:p>
    <w:p>
      <w:pPr>
        <w:spacing w:after="0" w:line="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ModSpace Acquisition is subject to risks and uncertainties, including: (i) the risk that it may not be completed, or completed within the expected timeframe, including as a result of the possibility that a governmental entity may prohibit, delay or refuse an approval required to complete the acquisition; or</w:t>
      </w:r>
    </w:p>
    <w:p>
      <w:pPr>
        <w:spacing w:after="0" w:line="1" w:lineRule="exact"/>
        <w:rPr>
          <w:sz w:val="20"/>
          <w:szCs w:val="20"/>
          <w:color w:val="auto"/>
        </w:rPr>
      </w:pPr>
    </w:p>
    <w:p>
      <w:pPr>
        <w:jc w:val="both"/>
        <w:ind w:firstLine="8"/>
        <w:spacing w:after="0" w:line="250" w:lineRule="auto"/>
        <w:tabs>
          <w:tab w:leader="none" w:pos="2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costs relating to the acquisition, including the financing thereof, may be greater than expected. If the acquisition is not completed, or there are significant delays in completing it, the trading price of our common stock could be negatively impacted and our business and financial results may be adversely affected. The failure to consummate the acquisition could also result in a negative reaction from the financial markets, particularly if the current market prices reflect market assumptions that the acquisition will be completed, which could cause the value of our common stock to decline. If the ModSpace Acquisition does not close due to the occurrence of certain regulatory events, we may be required to pay to ModSpace a $35.0 million termination fee.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the anticipated cost synergies from the ModSpace Acquisition.</w:t>
      </w:r>
    </w:p>
    <w:p>
      <w:pPr>
        <w:spacing w:after="0" w:line="1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anticipated benefits of the ModSpace Acquisition, including anticipated annual cost savings, will depend on our ability to realize anticipated synergies. Our success in realizing these cost synergies, and the timing thereof, will depend our ability to integrate ModSpace successfully. See "We may fail to realize the anticipated benefits of the ModSpace Acquisition or those benefits may take longer to realize than expected."</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Even if we integrate ModSpace successfully, we may not realize the full benefits of the anticipated cost synergies, and we cannot guarantee that these benefits will be achieved within anticipated timeframes or at all. For example, we may not be able to eliminate duplicative costs. Moreover, we may incur unanticipated expenses in connection with the integration. While it is anticipated that certain expenses will be incurred to achieve cost synergies, such expenses are difficult to estimate accurately and may exceed current estimates. Accordingly, the benefits from the ModSpace Acquisition may be offset by costs incurred to, or delays in, integrating the businesses.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fail to realize the anticipated benefits of the ModSpace Acquisition or those benefits may take longer to realize than expected.</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ability to realize the anticipated benefits of the ModSpace Acquisition (including realizing revenue growth opportunities, annual cost savings and certain tax benefits) will depend on our ability to integrate ModSpace's business with our business, which is a complex, costly and time-consuming process. We will be required to devote significant management attention and resources to integrate the business practices and operations of Williams Scotsman and ModSpace. The integration process may disrupt our business and, if implemented ineffectively, could restrict the realization of the forecast benefits. The failure to meet the challenges involved in the integration process and to realize the anticipated benefits of the ModSpace Acquisition could cause an interruption of, or a loss of momentum in, our operations and could adversely affect our business, financial condition and results of operations.</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integration may also result in material unanticipated problems, expenses, liabilities, competitive responses, loss of customers and other business relationships. Additional integration challenges include:</w:t>
      </w:r>
    </w:p>
    <w:p>
      <w:pPr>
        <w:spacing w:after="0" w:line="3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diversion of management's attention to integration matters;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achieving anticipated cost savings, synergies, business opportunities and growth prospects from the acquisition;</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conforming standards, controls, procedures and accounting and other policies, business cultures and compensation structures;</w:t>
      </w:r>
    </w:p>
    <w:p>
      <w:pPr>
        <w:spacing w:after="0" w:line="60"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6"/>
          <w:szCs w:val="16"/>
          <w:color w:val="auto"/>
        </w:rPr>
        <w:t>difficulties in the assimilation of employees;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duplicate and competing products;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managing the expanded operations of a significantly larger and more complex company;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352" w:right="239" w:bottom="1440" w:gutter="0" w:footer="0" w:header="0"/>
        </w:sectPr>
      </w:pPr>
    </w:p>
    <w:bookmarkStart w:id="53" w:name="page54"/>
    <w:bookmarkEnd w:id="53"/>
    <w:p>
      <w:pPr>
        <w:ind w:left="660" w:right="2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challenges in keeping existing customers and obtaining new customers, including customers that may not consent to the assignment of their contracts or agree to enter into a new contract with us;</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challenges in attracting and retaining key personnel;</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 of potential liabilities we may be inheriting from ModSpace;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coordinating a geographically dispersed organization.</w:t>
      </w:r>
    </w:p>
    <w:p>
      <w:pPr>
        <w:spacing w:after="0" w:line="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Many of these factors will be outside of our control. Any one of them could result in increased costs and decreases in the amount of expected revenues and diversion of management's time and energy (which, in turn, could adversely affect our business, financial condition and results of operations), and they could subject us to litigation. In addition, even if ModSpace is integrated successfully, the anticipated benefits of the acquisition may not be realized, including the sales or growth opportunities that are anticipated. These benefits may not be achieved within the anticipated time frame, if at all. Moreover, additional unanticipated costs may be incurred in the integration process. All of these factors could cause reductions in our earnings per share, decrease or delay the expected accretive effect of the ModSpace Acquisition and negatively impact the price of our common stock. As a result, it cannot be assured that the ModSpace Acquisition will result in the realization of the anticipated benefits, in whole or in part.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ModSpace Acquisition could be subject to review by antitrust authorities in the United States.</w:t>
      </w:r>
    </w:p>
    <w:p>
      <w:pPr>
        <w:spacing w:after="0" w:line="1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 ModSpace Acquisition is exempt from notification under the Hart-Scott-Rodino Antitrust Improvements Act of 1976, as amended, in the United States. However, we cannot provide assurances that the acquisition will not be subject to antitrust review in the United States. To the extent the acquisition is subject to such antitrust review, we can provide no assurances that (i) the review will not delay or render us unable to complete the acquisition or (ii) we would not be subject to asset divestitures or other remedial measures.</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The pendency of the ModSpace Acquisition could adversely affect our business, financial results and operations, and the market price of shares of our Class A common stock.</w:t>
      </w:r>
    </w:p>
    <w:p>
      <w:pPr>
        <w:spacing w:after="0" w:line="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announcement and pendency of the ModSpace Acquisition could cause disruptions and create uncertainty surrounding our business and affect our relationships with our customers and employees. We have also diverted, and will continue to divert, significant management resources to complete the acquisition, which could have a negative impact on our ability to manage existing operations or pursue alternative strategic transactions, which could adversely affect our business, financial condition and results of operations. Until we complete the ModSpace Acquisition, holders of our Class A shares will be exposed to the risks faced by our existing business without any of the potential benefits from the acquisition. As a result of investor perceptions about the terms or benefits of the ModSpace Acquisition, the price of our Class A shares may decline.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ModSpace Acquisition is completed, ModSpace may underperform relative to our expectations.</w:t>
      </w:r>
    </w:p>
    <w:p>
      <w:pPr>
        <w:spacing w:after="0" w:line="1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Following the acquisition, we may not be able to maintain the growth rate, levels of revenue, earnings or operating efficiency that Williams Scotsman and ModSpace have achieved or might achieve separately. The business and financial performance of ModSpace are subject to certain risks and uncertainties. Our failure to do so could have a material adverse effect on our financial condition and results of operations.</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Our credit ratings may be impacted by the additional indebtedness we expect to incur in connection with the ModSpace Acquisition and any negative impact on our credit ratings may impact the cost and availability of future borrowings and, accordingly, our cost of capital.</w:t>
      </w:r>
    </w:p>
    <w:p>
      <w:pPr>
        <w:spacing w:after="0" w:line="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credit ratings at any time will reflect each rating organization's then opinion of our financial strength, operating performance and ability to meet our debt obligations. We anticipate that the additional indebtedness we expect to incur in connection with the ModSpace Acquisition may result in a negative change to our credit ratings, including a potential downgrading. Any reduction in our credit ratings may limit our ability to borrow at interest rates consistent with the interest rates that have been available to us prior to the ModSpace Acquisition and the financing thereof. If our credit ratings are further downgraded or put on watch for a potential downgrade, we may not be able to sell additional debt securities or borrow money in the amounts, at the times or interest rates or upon the more favorable terms and conditions that might be available if our current credit ratings were maintained.</w:t>
      </w:r>
    </w:p>
    <w:p>
      <w:pPr>
        <w:spacing w:after="0" w:line="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We expect to incur significant costs and significant indebtedness in connection with the ModSpace Acquisition and the financing thereof, and the integration of ModSpace into our business, including legal, accounting, financial advisory and other costs.</w:t>
      </w:r>
    </w:p>
    <w:p>
      <w:pPr>
        <w:spacing w:after="0" w:line="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expect to incur significant costs in connection with integrating the operations, products and personnel of ModSpace into our business, and the debt and equity transactions to finance the ModSpace Acquisition. These costs may include costs for, among other things, (i) employee retention, redeployment, relocation or severance; (ii) integration, including of people, technology, operations, marketing, and systems and processes; and (iii) maintenance and management of customers and other assets.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also expect to incur significant non-recurring costs associated with integrating and combining the operations of ModSpace and its subsidiaries, which cannot be estimated accurately at this time. While we expect to incur a significant amount of transaction fees and other one-time costs related to the consummation of the debt and equity transactions undertaken to finance the ModSpace Acquisition. Any expected elimination of duplicative costs, as well as the expected realization of other efficiencies related to the integration of our operations with those of ModSpace, that may offset incremental transaction and transaction-related costs over time, may not be achieved in the near term, or at all.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8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The ModSpace Acquisition will significantly increase our goodwill and other intangible assets.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a significant amount, and following the ModSpace Acquisition will have an additional amount, of goodwill and other intangible assets on our consolidated financial statements that are subject to impairment based upon future adverse changes in our business or prospects. The impairment of any goodwill and other intangible assets may have a negative impact on our consolidated 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ModSpace's net operating loss carryforwards and other tax attributes may be limited.</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June 30, 2018, we had US net operating loss ("NOL") carryforwards of approximately $269.9 million for US federal income tax and state tax purposes available to offset future taxable income, prior to consideration of annual limitations that may be imposed under Section 382 ("Section 382") of the Internal Revenue Code of 1986, as amended (the "Code"). The US NOL carryforwards begin to expire in 2028 if not utilized. In addition, we had foreign NOLs of $9.9 million as a result of our operations in Mexico. The Mexico NOL carryforwards begin to expire in 2020 if not utilized.</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September 30, 2017, ModSpace had US NOL carryforwards of approximately $655.0 million, gross, for US federal income tax and state tax purposes available to offset future taxable income, prior to consideration of annual limitations that may be imposed under Section 382. ModSpace's US NOL carryforwards begin to expire in 2022 if not utilized. As of September 30, 2017, ModSpace also recorded a net of tax amount of $104.9 million of a valuation allowance on its US federal and state NOL carryforwards which does not take into account the impacts of Tax Cuts and Jobs Act of 2017, specifically the impacts of the reduced federal rate of 21%.</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may be unable to fully use ModSpace's NOL carryforwards, if at all. Under Section 382 and corresponding provisions of US state law, if a corporation undergoes an "ownership change," generally defined as a greater than 50% change, by value, in its equity ownership over a three-year period, the corporation's ability to use its pre-change US NOLs and other applicable pre-change tax attributes, such as research and development tax credits, to offset its post-change income may be limited. We have not completed a Section 382 analysis and therefore cannot forecast or otherwise determine our ability to derive any benefit from our various federal or state tax attribute carryforwards at this time. As a result, if we earn net taxable income, our ability to use our pre-change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008A5F"/>
        </w:rPr>
        <w:t>Risks Related to Our Structure</w:t>
      </w:r>
    </w:p>
    <w:p>
      <w:pPr>
        <w:spacing w:after="0" w:line="3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Our principal stockholder controls a majority of our common stock, and it may take actions or have interests that may be adverse to or conflict with those of our other stockholders.</w:t>
      </w:r>
    </w:p>
    <w:p>
      <w:pPr>
        <w:spacing w:after="0" w:line="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August 1, 2018, Sapphire Holding S.à r.l. ("Sapphire"), an entity controlled by TDR Capital, beneficially owned approximately 50.1% of our Class A common stock and 100% of our Class B common stock. Pursuant to earnout and escrow agreements entered into at the time of our Business Combination, Sapphire may receive additional Class A shares upon their release from escrow.</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Sapphire's ownership of our common stock may adversely affect the trading price for our Class A shares to the extent investors perceive disadvantages in owning shares of a company with a majority stockholder, or in the event Sapphire takes any action with its shares that could result in an adverse impact on the price of our Class A common stock, including any pledge or other use of its share of our stock in connection with a loan. In the case of any pledge of its shares of our common stock in connection with a loan, in the event of a default, lenders could foreclose upon any or all of the pledged shares. The sale of a significant amount of shares of our common stock at any given time or the perception that such sales could occur, including sales of any pledged shares that are foreclosed upon, could adversely affect the prevailing market price of our Class A shares. Moreover, the occurrence of a foreclosure, and a subsequent sale of all, or substantially all, of the pledged shares could result in a change of control under our financing arrangements (including the indentures governing our notes and credit agreement), and future agreements that may we enter into, even when such a change may not be in the best interest of our stockholders. Such a sale of the pledged shares of our common stock may also result in another shareholder beneficially owning a significant amount of our common stock and being able to exert a significant degree of influence or actual control over our management and affairs. Such shareholder's interests may be different from or conflict with those of our other shareholders.</w:t>
      </w:r>
    </w:p>
    <w:p>
      <w:pPr>
        <w:spacing w:after="0" w:line="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TDR Capital is in the business of making investments in companies and may, from time to time, acquire interests in businesses that directly or indirectly compete with our business, as well as businesses that are significant existing or potential customers. TDR Capital may acquire or seek to acquire assets that we seek to acquire and, as a result, those acquisition opportunities may not be available to us or may be more expensive for us to pursue, and as a result, the interests of TDR Capital may not coincide and may even conflict with the interests of our other stockholders.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6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526"/>
        </w:trPr>
        <w:tc>
          <w:tcPr>
            <w:tcW w:w="1400" w:type="dxa"/>
            <w:vAlign w:val="bottom"/>
            <w:gridSpan w:val="6"/>
          </w:tcPr>
          <w:p>
            <w:pPr>
              <w:spacing w:after="0"/>
              <w:rPr>
                <w:sz w:val="20"/>
                <w:szCs w:val="20"/>
                <w:color w:val="auto"/>
              </w:rPr>
            </w:pPr>
            <w:r>
              <w:rPr>
                <w:rFonts w:ascii="Arial" w:cs="Arial" w:eastAsia="Arial" w:hAnsi="Arial"/>
                <w:sz w:val="40"/>
                <w:szCs w:val="40"/>
                <w:b w:val="1"/>
                <w:bCs w:val="1"/>
                <w:color w:val="auto"/>
                <w:w w:val="98"/>
              </w:rPr>
              <w:t>ITEM 2.</w:t>
            </w:r>
          </w:p>
        </w:tc>
        <w:tc>
          <w:tcPr>
            <w:tcW w:w="10020" w:type="dxa"/>
            <w:vAlign w:val="bottom"/>
          </w:tcPr>
          <w:p>
            <w:pPr>
              <w:ind w:left="560"/>
              <w:spacing w:after="0"/>
              <w:rPr>
                <w:sz w:val="20"/>
                <w:szCs w:val="20"/>
                <w:color w:val="auto"/>
              </w:rPr>
            </w:pPr>
            <w:r>
              <w:rPr>
                <w:rFonts w:ascii="Arial" w:cs="Arial" w:eastAsia="Arial" w:hAnsi="Arial"/>
                <w:sz w:val="40"/>
                <w:szCs w:val="40"/>
                <w:b w:val="1"/>
                <w:bCs w:val="1"/>
                <w:color w:val="auto"/>
              </w:rPr>
              <w:t>Unregistered Sales of Equity Securities</w:t>
            </w:r>
          </w:p>
        </w:tc>
      </w:tr>
      <w:tr>
        <w:trPr>
          <w:trHeight w:val="227"/>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6"/>
                <w:szCs w:val="16"/>
                <w:color w:val="auto"/>
              </w:rPr>
              <w:t>None.</w:t>
            </w:r>
          </w:p>
        </w:tc>
        <w:tc>
          <w:tcPr>
            <w:tcW w:w="10020" w:type="dxa"/>
            <w:vAlign w:val="bottom"/>
          </w:tcPr>
          <w:p>
            <w:pPr>
              <w:spacing w:after="0"/>
              <w:rPr>
                <w:sz w:val="19"/>
                <w:szCs w:val="19"/>
                <w:color w:val="auto"/>
              </w:rPr>
            </w:pPr>
          </w:p>
        </w:tc>
      </w:tr>
      <w:tr>
        <w:trPr>
          <w:trHeight w:val="543"/>
        </w:trPr>
        <w:tc>
          <w:tcPr>
            <w:tcW w:w="1400" w:type="dxa"/>
            <w:vAlign w:val="bottom"/>
            <w:gridSpan w:val="6"/>
          </w:tcPr>
          <w:p>
            <w:pPr>
              <w:spacing w:after="0"/>
              <w:rPr>
                <w:sz w:val="20"/>
                <w:szCs w:val="20"/>
                <w:color w:val="auto"/>
              </w:rPr>
            </w:pPr>
            <w:r>
              <w:rPr>
                <w:rFonts w:ascii="Arial" w:cs="Arial" w:eastAsia="Arial" w:hAnsi="Arial"/>
                <w:sz w:val="40"/>
                <w:szCs w:val="40"/>
                <w:b w:val="1"/>
                <w:bCs w:val="1"/>
                <w:color w:val="auto"/>
                <w:w w:val="98"/>
              </w:rPr>
              <w:t>ITEM 3.</w:t>
            </w:r>
          </w:p>
        </w:tc>
        <w:tc>
          <w:tcPr>
            <w:tcW w:w="10020" w:type="dxa"/>
            <w:vAlign w:val="bottom"/>
          </w:tcPr>
          <w:p>
            <w:pPr>
              <w:ind w:left="560"/>
              <w:spacing w:after="0"/>
              <w:rPr>
                <w:sz w:val="20"/>
                <w:szCs w:val="20"/>
                <w:color w:val="auto"/>
              </w:rPr>
            </w:pPr>
            <w:r>
              <w:rPr>
                <w:rFonts w:ascii="Arial" w:cs="Arial" w:eastAsia="Arial" w:hAnsi="Arial"/>
                <w:sz w:val="40"/>
                <w:szCs w:val="40"/>
                <w:b w:val="1"/>
                <w:bCs w:val="1"/>
                <w:color w:val="auto"/>
              </w:rPr>
              <w:t>Defaults Upon Senior Securities</w:t>
            </w:r>
          </w:p>
        </w:tc>
      </w:tr>
      <w:tr>
        <w:trPr>
          <w:trHeight w:val="349"/>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Arial" w:cs="Arial" w:eastAsia="Arial" w:hAnsi="Arial"/>
                <w:sz w:val="16"/>
                <w:szCs w:val="16"/>
                <w:color w:val="auto"/>
              </w:rPr>
              <w:t>None.</w:t>
            </w:r>
          </w:p>
        </w:tc>
        <w:tc>
          <w:tcPr>
            <w:tcW w:w="10020" w:type="dxa"/>
            <w:vAlign w:val="bottom"/>
          </w:tcPr>
          <w:p>
            <w:pPr>
              <w:spacing w:after="0"/>
              <w:rPr>
                <w:sz w:val="24"/>
                <w:szCs w:val="24"/>
                <w:color w:val="auto"/>
              </w:rPr>
            </w:pPr>
          </w:p>
        </w:tc>
      </w:tr>
      <w:tr>
        <w:trPr>
          <w:trHeight w:val="570"/>
        </w:trPr>
        <w:tc>
          <w:tcPr>
            <w:tcW w:w="1400" w:type="dxa"/>
            <w:vAlign w:val="bottom"/>
            <w:gridSpan w:val="6"/>
          </w:tcPr>
          <w:p>
            <w:pPr>
              <w:spacing w:after="0"/>
              <w:rPr>
                <w:sz w:val="20"/>
                <w:szCs w:val="20"/>
                <w:color w:val="auto"/>
              </w:rPr>
            </w:pPr>
            <w:r>
              <w:rPr>
                <w:rFonts w:ascii="Arial" w:cs="Arial" w:eastAsia="Arial" w:hAnsi="Arial"/>
                <w:sz w:val="40"/>
                <w:szCs w:val="40"/>
                <w:b w:val="1"/>
                <w:bCs w:val="1"/>
                <w:color w:val="auto"/>
                <w:w w:val="98"/>
              </w:rPr>
              <w:t>ITEM 4.</w:t>
            </w:r>
          </w:p>
        </w:tc>
        <w:tc>
          <w:tcPr>
            <w:tcW w:w="10020" w:type="dxa"/>
            <w:vAlign w:val="bottom"/>
          </w:tcPr>
          <w:p>
            <w:pPr>
              <w:ind w:left="560"/>
              <w:spacing w:after="0"/>
              <w:rPr>
                <w:sz w:val="20"/>
                <w:szCs w:val="20"/>
                <w:color w:val="auto"/>
              </w:rPr>
            </w:pPr>
            <w:r>
              <w:rPr>
                <w:rFonts w:ascii="Arial" w:cs="Arial" w:eastAsia="Arial" w:hAnsi="Arial"/>
                <w:sz w:val="40"/>
                <w:szCs w:val="40"/>
                <w:b w:val="1"/>
                <w:bCs w:val="1"/>
                <w:color w:val="auto"/>
              </w:rPr>
              <w:t>Mine Safety Disclosures</w:t>
            </w:r>
          </w:p>
        </w:tc>
      </w:tr>
      <w:tr>
        <w:trPr>
          <w:trHeight w:val="349"/>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80" w:type="dxa"/>
            <w:vAlign w:val="bottom"/>
            <w:gridSpan w:val="4"/>
          </w:tcPr>
          <w:p>
            <w:pPr>
              <w:ind w:left="20"/>
              <w:spacing w:after="0"/>
              <w:rPr>
                <w:sz w:val="20"/>
                <w:szCs w:val="20"/>
                <w:color w:val="auto"/>
              </w:rPr>
            </w:pPr>
            <w:r>
              <w:rPr>
                <w:rFonts w:ascii="Arial" w:cs="Arial" w:eastAsia="Arial" w:hAnsi="Arial"/>
                <w:sz w:val="16"/>
                <w:szCs w:val="16"/>
                <w:color w:val="auto"/>
              </w:rPr>
              <w:t>Not applicable.</w:t>
            </w:r>
          </w:p>
        </w:tc>
      </w:tr>
      <w:tr>
        <w:trPr>
          <w:trHeight w:val="570"/>
        </w:trPr>
        <w:tc>
          <w:tcPr>
            <w:tcW w:w="1400" w:type="dxa"/>
            <w:vAlign w:val="bottom"/>
            <w:gridSpan w:val="6"/>
          </w:tcPr>
          <w:p>
            <w:pPr>
              <w:spacing w:after="0"/>
              <w:rPr>
                <w:sz w:val="20"/>
                <w:szCs w:val="20"/>
                <w:color w:val="auto"/>
              </w:rPr>
            </w:pPr>
            <w:r>
              <w:rPr>
                <w:rFonts w:ascii="Arial" w:cs="Arial" w:eastAsia="Arial" w:hAnsi="Arial"/>
                <w:sz w:val="40"/>
                <w:szCs w:val="40"/>
                <w:b w:val="1"/>
                <w:bCs w:val="1"/>
                <w:color w:val="auto"/>
                <w:w w:val="98"/>
              </w:rPr>
              <w:t>ITEM 5.</w:t>
            </w:r>
          </w:p>
        </w:tc>
        <w:tc>
          <w:tcPr>
            <w:tcW w:w="10020" w:type="dxa"/>
            <w:vAlign w:val="bottom"/>
          </w:tcPr>
          <w:p>
            <w:pPr>
              <w:ind w:left="560"/>
              <w:spacing w:after="0"/>
              <w:rPr>
                <w:sz w:val="20"/>
                <w:szCs w:val="20"/>
                <w:color w:val="auto"/>
              </w:rPr>
            </w:pPr>
            <w:r>
              <w:rPr>
                <w:rFonts w:ascii="Arial" w:cs="Arial" w:eastAsia="Arial" w:hAnsi="Arial"/>
                <w:sz w:val="40"/>
                <w:szCs w:val="40"/>
                <w:b w:val="1"/>
                <w:bCs w:val="1"/>
                <w:color w:val="auto"/>
              </w:rPr>
              <w:t>Other Information</w:t>
            </w:r>
          </w:p>
        </w:tc>
      </w:tr>
      <w:tr>
        <w:trPr>
          <w:trHeight w:val="349"/>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Arial" w:cs="Arial" w:eastAsia="Arial" w:hAnsi="Arial"/>
                <w:sz w:val="16"/>
                <w:szCs w:val="16"/>
                <w:color w:val="auto"/>
              </w:rPr>
              <w:t>None.</w:t>
            </w:r>
          </w:p>
        </w:tc>
        <w:tc>
          <w:tcPr>
            <w:tcW w:w="10020" w:type="dxa"/>
            <w:vAlign w:val="bottom"/>
          </w:tcPr>
          <w:p>
            <w:pPr>
              <w:spacing w:after="0"/>
              <w:rPr>
                <w:sz w:val="24"/>
                <w:szCs w:val="24"/>
                <w:color w:val="auto"/>
              </w:rPr>
            </w:pPr>
          </w:p>
        </w:tc>
      </w:tr>
      <w:tr>
        <w:trPr>
          <w:trHeight w:val="570"/>
        </w:trPr>
        <w:tc>
          <w:tcPr>
            <w:tcW w:w="1400" w:type="dxa"/>
            <w:vAlign w:val="bottom"/>
            <w:gridSpan w:val="6"/>
          </w:tcPr>
          <w:p>
            <w:pPr>
              <w:spacing w:after="0"/>
              <w:rPr>
                <w:sz w:val="20"/>
                <w:szCs w:val="20"/>
                <w:color w:val="auto"/>
              </w:rPr>
            </w:pPr>
            <w:r>
              <w:rPr>
                <w:rFonts w:ascii="Arial" w:cs="Arial" w:eastAsia="Arial" w:hAnsi="Arial"/>
                <w:sz w:val="40"/>
                <w:szCs w:val="40"/>
                <w:b w:val="1"/>
                <w:bCs w:val="1"/>
                <w:color w:val="auto"/>
                <w:w w:val="98"/>
              </w:rPr>
              <w:t>ITEM 6.</w:t>
            </w:r>
          </w:p>
        </w:tc>
        <w:tc>
          <w:tcPr>
            <w:tcW w:w="10020" w:type="dxa"/>
            <w:vAlign w:val="bottom"/>
          </w:tcPr>
          <w:p>
            <w:pPr>
              <w:ind w:left="560"/>
              <w:spacing w:after="0"/>
              <w:rPr>
                <w:sz w:val="20"/>
                <w:szCs w:val="20"/>
                <w:color w:val="auto"/>
              </w:rPr>
            </w:pPr>
            <w:r>
              <w:rPr>
                <w:rFonts w:ascii="Arial" w:cs="Arial" w:eastAsia="Arial" w:hAnsi="Arial"/>
                <w:sz w:val="40"/>
                <w:szCs w:val="40"/>
                <w:b w:val="1"/>
                <w:bCs w:val="1"/>
                <w:color w:val="auto"/>
              </w:rPr>
              <w:t>Exhibits</w:t>
            </w:r>
          </w:p>
        </w:tc>
      </w:tr>
      <w:tr>
        <w:trPr>
          <w:trHeight w:val="112"/>
        </w:trPr>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20" w:type="dxa"/>
            <w:vAlign w:val="bottom"/>
          </w:tcPr>
          <w:p>
            <w:pPr>
              <w:spacing w:after="0"/>
              <w:rPr>
                <w:sz w:val="9"/>
                <w:szCs w:val="9"/>
                <w:color w:val="auto"/>
              </w:rPr>
            </w:pPr>
          </w:p>
        </w:tc>
      </w:tr>
      <w:tr>
        <w:trPr>
          <w:trHeight w:val="270"/>
        </w:trPr>
        <w:tc>
          <w:tcPr>
            <w:tcW w:w="1020" w:type="dxa"/>
            <w:vAlign w:val="bottom"/>
            <w:gridSpan w:val="5"/>
            <w:shd w:val="clear" w:color="auto" w:fill="008A5F"/>
          </w:tcPr>
          <w:p>
            <w:pPr>
              <w:jc w:val="center"/>
              <w:spacing w:after="0"/>
              <w:rPr>
                <w:sz w:val="20"/>
                <w:szCs w:val="20"/>
                <w:color w:val="auto"/>
              </w:rPr>
            </w:pPr>
            <w:r>
              <w:rPr>
                <w:rFonts w:ascii="Arial" w:cs="Arial" w:eastAsia="Arial" w:hAnsi="Arial"/>
                <w:sz w:val="16"/>
                <w:szCs w:val="16"/>
                <w:b w:val="1"/>
                <w:bCs w:val="1"/>
                <w:color w:val="FFFFFF"/>
              </w:rPr>
              <w:t>Exhibit No.</w:t>
            </w:r>
          </w:p>
        </w:tc>
        <w:tc>
          <w:tcPr>
            <w:tcW w:w="380" w:type="dxa"/>
            <w:vAlign w:val="bottom"/>
            <w:shd w:val="clear" w:color="auto" w:fill="008A5F"/>
          </w:tcPr>
          <w:p>
            <w:pPr>
              <w:spacing w:after="0"/>
              <w:rPr>
                <w:sz w:val="23"/>
                <w:szCs w:val="23"/>
                <w:color w:val="auto"/>
              </w:rPr>
            </w:pPr>
          </w:p>
        </w:tc>
        <w:tc>
          <w:tcPr>
            <w:tcW w:w="10020" w:type="dxa"/>
            <w:vAlign w:val="bottom"/>
            <w:shd w:val="clear" w:color="auto" w:fill="008A5F"/>
          </w:tcPr>
          <w:p>
            <w:pPr>
              <w:ind w:left="4260"/>
              <w:spacing w:after="0"/>
              <w:rPr>
                <w:sz w:val="20"/>
                <w:szCs w:val="20"/>
                <w:color w:val="auto"/>
              </w:rPr>
            </w:pPr>
            <w:r>
              <w:rPr>
                <w:rFonts w:ascii="Arial" w:cs="Arial" w:eastAsia="Arial" w:hAnsi="Arial"/>
                <w:sz w:val="16"/>
                <w:szCs w:val="16"/>
                <w:b w:val="1"/>
                <w:bCs w:val="1"/>
                <w:color w:val="FFFFFF"/>
              </w:rPr>
              <w:t>Exhibit Description</w:t>
            </w:r>
          </w:p>
        </w:tc>
      </w:tr>
      <w:tr>
        <w:trPr>
          <w:trHeight w:val="189"/>
        </w:trPr>
        <w:tc>
          <w:tcPr>
            <w:tcW w:w="1020" w:type="dxa"/>
            <w:vAlign w:val="bottom"/>
            <w:gridSpan w:val="5"/>
          </w:tcPr>
          <w:p>
            <w:pPr>
              <w:jc w:val="center"/>
              <w:spacing w:after="0"/>
              <w:rPr>
                <w:rFonts w:ascii="Arial" w:cs="Arial" w:eastAsia="Arial" w:hAnsi="Arial"/>
                <w:sz w:val="16"/>
                <w:szCs w:val="16"/>
                <w:color w:val="0000FF"/>
                <w:w w:val="96"/>
              </w:rPr>
            </w:pPr>
            <w:hyperlink w:anchor="page117">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0020" w:type="dxa"/>
            <w:vAlign w:val="bottom"/>
          </w:tcPr>
          <w:p>
            <w:pPr>
              <w:ind w:left="2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34"/>
        </w:trPr>
        <w:tc>
          <w:tcPr>
            <w:tcW w:w="3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20" w:type="dxa"/>
            <w:vAlign w:val="bottom"/>
          </w:tcPr>
          <w:p>
            <w:pPr>
              <w:spacing w:after="0"/>
              <w:rPr>
                <w:sz w:val="2"/>
                <w:szCs w:val="2"/>
                <w:color w:val="auto"/>
              </w:rPr>
            </w:pPr>
          </w:p>
        </w:tc>
      </w:tr>
      <w:tr>
        <w:trPr>
          <w:trHeight w:val="189"/>
        </w:trPr>
        <w:tc>
          <w:tcPr>
            <w:tcW w:w="1020" w:type="dxa"/>
            <w:vAlign w:val="bottom"/>
            <w:gridSpan w:val="5"/>
            <w:shd w:val="clear" w:color="auto" w:fill="E7E7E8"/>
          </w:tcPr>
          <w:p>
            <w:pPr>
              <w:jc w:val="center"/>
              <w:spacing w:after="0"/>
              <w:rPr>
                <w:rFonts w:ascii="Arial" w:cs="Arial" w:eastAsia="Arial" w:hAnsi="Arial"/>
                <w:sz w:val="16"/>
                <w:szCs w:val="16"/>
                <w:color w:val="0000FF"/>
                <w:w w:val="96"/>
              </w:rPr>
            </w:pPr>
            <w:hyperlink w:anchor="page118">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34"/>
        </w:trPr>
        <w:tc>
          <w:tcPr>
            <w:tcW w:w="380" w:type="dxa"/>
            <w:vAlign w:val="bottom"/>
            <w:tcBorders>
              <w:top w:val="single" w:sz="8" w:color="E7E7E8"/>
            </w:tcBorders>
            <w:shd w:val="clear" w:color="auto" w:fill="E7E7E8"/>
          </w:tcPr>
          <w:p>
            <w:pPr>
              <w:spacing w:after="0"/>
              <w:rPr>
                <w:sz w:val="2"/>
                <w:szCs w:val="2"/>
                <w:color w:val="auto"/>
              </w:rPr>
            </w:pPr>
          </w:p>
        </w:tc>
        <w:tc>
          <w:tcPr>
            <w:tcW w:w="40" w:type="dxa"/>
            <w:vAlign w:val="bottom"/>
            <w:tcBorders>
              <w:top w:val="single" w:sz="8" w:color="0000FF"/>
            </w:tcBorders>
            <w:shd w:val="clear" w:color="auto" w:fill="E7E7E8"/>
          </w:tcPr>
          <w:p>
            <w:pPr>
              <w:spacing w:after="0"/>
              <w:rPr>
                <w:sz w:val="2"/>
                <w:szCs w:val="2"/>
                <w:color w:val="auto"/>
              </w:rPr>
            </w:pPr>
          </w:p>
        </w:tc>
        <w:tc>
          <w:tcPr>
            <w:tcW w:w="220" w:type="dxa"/>
            <w:vAlign w:val="bottom"/>
            <w:tcBorders>
              <w:top w:val="single" w:sz="8" w:color="0000FF"/>
            </w:tcBorders>
            <w:shd w:val="clear" w:color="auto" w:fill="E7E7E8"/>
          </w:tcPr>
          <w:p>
            <w:pPr>
              <w:spacing w:after="0"/>
              <w:rPr>
                <w:sz w:val="2"/>
                <w:szCs w:val="2"/>
                <w:color w:val="auto"/>
              </w:rPr>
            </w:pPr>
          </w:p>
        </w:tc>
        <w:tc>
          <w:tcPr>
            <w:tcW w:w="40" w:type="dxa"/>
            <w:vAlign w:val="bottom"/>
            <w:tcBorders>
              <w:top w:val="single" w:sz="8" w:color="0000FF"/>
            </w:tcBorders>
            <w:shd w:val="clear" w:color="auto" w:fill="E7E7E8"/>
          </w:tcPr>
          <w:p>
            <w:pPr>
              <w:spacing w:after="0"/>
              <w:rPr>
                <w:sz w:val="2"/>
                <w:szCs w:val="2"/>
                <w:color w:val="auto"/>
              </w:rPr>
            </w:pPr>
          </w:p>
        </w:tc>
        <w:tc>
          <w:tcPr>
            <w:tcW w:w="340" w:type="dxa"/>
            <w:vAlign w:val="bottom"/>
            <w:tcBorders>
              <w:top w:val="single" w:sz="8" w:color="E7E7E8"/>
            </w:tcBorders>
            <w:shd w:val="clear" w:color="auto" w:fill="E7E7E8"/>
          </w:tcPr>
          <w:p>
            <w:pPr>
              <w:spacing w:after="0"/>
              <w:rPr>
                <w:sz w:val="2"/>
                <w:szCs w:val="2"/>
                <w:color w:val="auto"/>
              </w:rPr>
            </w:pPr>
          </w:p>
        </w:tc>
        <w:tc>
          <w:tcPr>
            <w:tcW w:w="380" w:type="dxa"/>
            <w:vAlign w:val="bottom"/>
            <w:tcBorders>
              <w:top w:val="single" w:sz="8" w:color="E7E7E8"/>
            </w:tcBorders>
            <w:shd w:val="clear" w:color="auto" w:fill="E7E7E8"/>
          </w:tcPr>
          <w:p>
            <w:pPr>
              <w:spacing w:after="0"/>
              <w:rPr>
                <w:sz w:val="2"/>
                <w:szCs w:val="2"/>
                <w:color w:val="auto"/>
              </w:rPr>
            </w:pPr>
          </w:p>
        </w:tc>
        <w:tc>
          <w:tcPr>
            <w:tcW w:w="10020" w:type="dxa"/>
            <w:vAlign w:val="bottom"/>
            <w:tcBorders>
              <w:top w:val="single" w:sz="8" w:color="E7E7E8"/>
            </w:tcBorders>
            <w:shd w:val="clear" w:color="auto" w:fill="E7E7E8"/>
          </w:tcPr>
          <w:p>
            <w:pPr>
              <w:spacing w:after="0"/>
              <w:rPr>
                <w:sz w:val="2"/>
                <w:szCs w:val="2"/>
                <w:color w:val="auto"/>
              </w:rPr>
            </w:pPr>
          </w:p>
        </w:tc>
      </w:tr>
      <w:tr>
        <w:trPr>
          <w:trHeight w:val="189"/>
        </w:trPr>
        <w:tc>
          <w:tcPr>
            <w:tcW w:w="1020" w:type="dxa"/>
            <w:vAlign w:val="bottom"/>
            <w:gridSpan w:val="5"/>
          </w:tcPr>
          <w:p>
            <w:pPr>
              <w:jc w:val="center"/>
              <w:spacing w:after="0"/>
              <w:rPr>
                <w:rFonts w:ascii="Arial" w:cs="Arial" w:eastAsia="Arial" w:hAnsi="Arial"/>
                <w:sz w:val="16"/>
                <w:szCs w:val="16"/>
                <w:color w:val="0000FF"/>
                <w:w w:val="96"/>
              </w:rPr>
            </w:pPr>
            <w:hyperlink w:anchor="page119">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0020" w:type="dxa"/>
            <w:vAlign w:val="bottom"/>
          </w:tcPr>
          <w:p>
            <w:pPr>
              <w:ind w:left="2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34"/>
        </w:trPr>
        <w:tc>
          <w:tcPr>
            <w:tcW w:w="3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20" w:type="dxa"/>
            <w:vAlign w:val="bottom"/>
          </w:tcPr>
          <w:p>
            <w:pPr>
              <w:spacing w:after="0"/>
              <w:rPr>
                <w:sz w:val="2"/>
                <w:szCs w:val="2"/>
                <w:color w:val="auto"/>
              </w:rPr>
            </w:pPr>
          </w:p>
        </w:tc>
      </w:tr>
      <w:tr>
        <w:trPr>
          <w:trHeight w:val="223"/>
        </w:trPr>
        <w:tc>
          <w:tcPr>
            <w:tcW w:w="1020" w:type="dxa"/>
            <w:vAlign w:val="bottom"/>
            <w:gridSpan w:val="5"/>
            <w:shd w:val="clear" w:color="auto" w:fill="E7E7E8"/>
          </w:tcPr>
          <w:p>
            <w:pPr>
              <w:jc w:val="center"/>
              <w:spacing w:after="0"/>
              <w:rPr>
                <w:rFonts w:ascii="Arial" w:cs="Arial" w:eastAsia="Arial" w:hAnsi="Arial"/>
                <w:sz w:val="16"/>
                <w:szCs w:val="16"/>
                <w:color w:val="0000FF"/>
                <w:w w:val="96"/>
              </w:rPr>
            </w:pPr>
            <w:hyperlink w:anchor="page120">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89"/>
        </w:trPr>
        <w:tc>
          <w:tcPr>
            <w:tcW w:w="380" w:type="dxa"/>
            <w:vAlign w:val="bottom"/>
            <w:tcBorders>
              <w:top w:val="single" w:sz="8" w:color="E7E7E8"/>
            </w:tcBorders>
          </w:tcPr>
          <w:p>
            <w:pPr>
              <w:spacing w:after="0"/>
              <w:rPr>
                <w:sz w:val="16"/>
                <w:szCs w:val="16"/>
                <w:color w:val="auto"/>
              </w:rPr>
            </w:pPr>
          </w:p>
        </w:tc>
        <w:tc>
          <w:tcPr>
            <w:tcW w:w="300" w:type="dxa"/>
            <w:vAlign w:val="bottom"/>
            <w:tcBorders>
              <w:top w:val="single" w:sz="8" w:color="0000FF"/>
            </w:tcBorders>
            <w:gridSpan w:val="3"/>
          </w:tcPr>
          <w:p>
            <w:pPr>
              <w:jc w:val="center"/>
              <w:spacing w:after="0"/>
              <w:rPr>
                <w:rFonts w:ascii="Arial" w:cs="Arial" w:eastAsia="Arial" w:hAnsi="Arial"/>
                <w:sz w:val="16"/>
                <w:szCs w:val="16"/>
                <w:color w:val="0000FF"/>
                <w:w w:val="98"/>
              </w:rPr>
            </w:pPr>
            <w:hyperlink r:id="rId43">
              <w:r>
                <w:rPr>
                  <w:rFonts w:ascii="Arial" w:cs="Arial" w:eastAsia="Arial" w:hAnsi="Arial"/>
                  <w:sz w:val="16"/>
                  <w:szCs w:val="16"/>
                  <w:color w:val="0000FF"/>
                  <w:w w:val="98"/>
                </w:rPr>
                <w:t>1.</w:t>
              </w:r>
              <w:r>
                <w:rPr>
                  <w:rFonts w:ascii="Arial" w:cs="Arial" w:eastAsia="Arial" w:hAnsi="Arial"/>
                  <w:sz w:val="16"/>
                  <w:szCs w:val="16"/>
                  <w:u w:val="single" w:color="auto"/>
                  <w:color w:val="0000FF"/>
                  <w:w w:val="98"/>
                </w:rPr>
                <w:t>1</w:t>
              </w:r>
            </w:hyperlink>
          </w:p>
        </w:tc>
        <w:tc>
          <w:tcPr>
            <w:tcW w:w="340" w:type="dxa"/>
            <w:vAlign w:val="bottom"/>
            <w:tcBorders>
              <w:top w:val="single" w:sz="8" w:color="E7E7E8"/>
            </w:tcBorders>
          </w:tcPr>
          <w:p>
            <w:pPr>
              <w:spacing w:after="0"/>
              <w:rPr>
                <w:sz w:val="16"/>
                <w:szCs w:val="16"/>
                <w:color w:val="auto"/>
              </w:rPr>
            </w:pPr>
          </w:p>
        </w:tc>
        <w:tc>
          <w:tcPr>
            <w:tcW w:w="380" w:type="dxa"/>
            <w:vAlign w:val="bottom"/>
            <w:tcBorders>
              <w:top w:val="single" w:sz="8" w:color="E7E7E8"/>
            </w:tcBorders>
          </w:tcPr>
          <w:p>
            <w:pPr>
              <w:spacing w:after="0"/>
              <w:rPr>
                <w:sz w:val="16"/>
                <w:szCs w:val="16"/>
                <w:color w:val="auto"/>
              </w:rPr>
            </w:pPr>
          </w:p>
        </w:tc>
        <w:tc>
          <w:tcPr>
            <w:tcW w:w="10020" w:type="dxa"/>
            <w:vAlign w:val="bottom"/>
            <w:tcBorders>
              <w:top w:val="single" w:sz="8" w:color="E7E7E8"/>
            </w:tcBorders>
          </w:tcPr>
          <w:p>
            <w:pPr>
              <w:ind w:left="20"/>
              <w:spacing w:after="0"/>
              <w:rPr>
                <w:sz w:val="20"/>
                <w:szCs w:val="20"/>
                <w:color w:val="auto"/>
              </w:rPr>
            </w:pPr>
            <w:r>
              <w:rPr>
                <w:rFonts w:ascii="Arial" w:cs="Arial" w:eastAsia="Arial" w:hAnsi="Arial"/>
                <w:sz w:val="16"/>
                <w:szCs w:val="16"/>
                <w:color w:val="auto"/>
              </w:rPr>
              <w:t>Underwriting Agreement, dated July 25, 2018, by and among WillScot Corporation, Barclays Capital Inc., Deutsche Bank Securities Inc.,</w:t>
            </w:r>
          </w:p>
        </w:tc>
      </w:tr>
      <w:tr>
        <w:trPr>
          <w:trHeight w:val="198"/>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Morgan Stanley &amp; Co. LLC, and Merrill Lynch, Pierce, Fenner &amp; Smith Incorporated, as representatives of the several underwriters named</w:t>
            </w:r>
          </w:p>
        </w:tc>
      </w:tr>
      <w:tr>
        <w:trPr>
          <w:trHeight w:val="204"/>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in Schedule I thereto (incorporated by reference to Exhibit 1.1 to the Company’s Form 8-K filed July 30, 2018)</w:t>
            </w:r>
          </w:p>
        </w:tc>
      </w:tr>
      <w:tr>
        <w:trPr>
          <w:trHeight w:val="199"/>
        </w:trPr>
        <w:tc>
          <w:tcPr>
            <w:tcW w:w="1020" w:type="dxa"/>
            <w:vAlign w:val="bottom"/>
            <w:gridSpan w:val="5"/>
            <w:shd w:val="clear" w:color="auto" w:fill="E7E7E8"/>
          </w:tcPr>
          <w:p>
            <w:pPr>
              <w:jc w:val="center"/>
              <w:spacing w:after="0"/>
              <w:rPr>
                <w:rFonts w:ascii="Arial" w:cs="Arial" w:eastAsia="Arial" w:hAnsi="Arial"/>
                <w:sz w:val="16"/>
                <w:szCs w:val="16"/>
                <w:color w:val="0000FF"/>
                <w:w w:val="96"/>
              </w:rPr>
            </w:pPr>
            <w:hyperlink w:anchor="page5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First Amendment to the ABL Credit Agreement, dated as of July 9, 2018, by and among Williams Scotsman International, Inc. (“WSII”),</w:t>
            </w:r>
          </w:p>
        </w:tc>
      </w:tr>
      <w:tr>
        <w:trPr>
          <w:trHeight w:val="198"/>
        </w:trPr>
        <w:tc>
          <w:tcPr>
            <w:tcW w:w="38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22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34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E7E7E8"/>
            </w:tcBorders>
            <w:shd w:val="clear" w:color="auto" w:fill="E7E7E8"/>
          </w:tcPr>
          <w:p>
            <w:pPr>
              <w:spacing w:after="0"/>
              <w:rPr>
                <w:sz w:val="17"/>
                <w:szCs w:val="17"/>
                <w:color w:val="auto"/>
              </w:rPr>
            </w:pPr>
          </w:p>
        </w:tc>
        <w:tc>
          <w:tcPr>
            <w:tcW w:w="100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certain subsidiaries of WSII, Williams Scotsman Holdings Corp. (“Holdings”), the lenders party thereto, and Bank of America, N.A., as</w:t>
            </w:r>
          </w:p>
        </w:tc>
      </w:tr>
      <w:tr>
        <w:trPr>
          <w:trHeight w:val="214"/>
        </w:trPr>
        <w:tc>
          <w:tcPr>
            <w:tcW w:w="38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administrative agent and collateral agent</w:t>
            </w:r>
          </w:p>
        </w:tc>
      </w:tr>
      <w:tr>
        <w:trPr>
          <w:trHeight w:val="189"/>
        </w:trPr>
        <w:tc>
          <w:tcPr>
            <w:tcW w:w="1020" w:type="dxa"/>
            <w:vAlign w:val="bottom"/>
            <w:gridSpan w:val="5"/>
          </w:tcPr>
          <w:p>
            <w:pPr>
              <w:jc w:val="center"/>
              <w:spacing w:after="0"/>
              <w:rPr>
                <w:rFonts w:ascii="Arial" w:cs="Arial" w:eastAsia="Arial" w:hAnsi="Arial"/>
                <w:sz w:val="16"/>
                <w:szCs w:val="16"/>
                <w:color w:val="0000FF"/>
                <w:w w:val="96"/>
              </w:rPr>
            </w:pPr>
            <w:hyperlink w:anchor="page9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0020" w:type="dxa"/>
            <w:vAlign w:val="bottom"/>
          </w:tcPr>
          <w:p>
            <w:pPr>
              <w:ind w:left="20"/>
              <w:spacing w:after="0"/>
              <w:rPr>
                <w:sz w:val="20"/>
                <w:szCs w:val="20"/>
                <w:color w:val="auto"/>
              </w:rPr>
            </w:pPr>
            <w:r>
              <w:rPr>
                <w:rFonts w:ascii="Arial" w:cs="Arial" w:eastAsia="Arial" w:hAnsi="Arial"/>
                <w:sz w:val="16"/>
                <w:szCs w:val="16"/>
                <w:color w:val="auto"/>
              </w:rPr>
              <w:t>Second Amendment to the ABL Agreement, dated as of July 24, 2018, by and among WSII, certain subsidiaries of WSII, Holdings., the</w:t>
            </w:r>
          </w:p>
        </w:tc>
      </w:tr>
      <w:tr>
        <w:trPr>
          <w:trHeight w:val="213"/>
        </w:trPr>
        <w:tc>
          <w:tcPr>
            <w:tcW w:w="3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lenders party thereto, and Bank of America, N.A., as administrative and collateral agent</w:t>
            </w:r>
          </w:p>
        </w:tc>
      </w:tr>
      <w:tr>
        <w:trPr>
          <w:trHeight w:val="199"/>
        </w:trPr>
        <w:tc>
          <w:tcPr>
            <w:tcW w:w="1020" w:type="dxa"/>
            <w:vAlign w:val="bottom"/>
            <w:gridSpan w:val="5"/>
            <w:shd w:val="clear" w:color="auto" w:fill="E7E7E8"/>
          </w:tcPr>
          <w:p>
            <w:pPr>
              <w:jc w:val="center"/>
              <w:spacing w:after="0"/>
              <w:rPr>
                <w:rFonts w:ascii="Arial" w:cs="Arial" w:eastAsia="Arial" w:hAnsi="Arial"/>
                <w:sz w:val="16"/>
                <w:szCs w:val="16"/>
                <w:color w:val="0000FF"/>
                <w:w w:val="96"/>
              </w:rPr>
            </w:pPr>
            <w:hyperlink w:anchor="page11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Supplemental Indenture dated August 3, 2018, to the Indenture, dated November 29, 2017, by and among WSII, the Guarantors party</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2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40" w:type="dxa"/>
            <w:vAlign w:val="bottom"/>
            <w:tcBorders>
              <w:top w:val="single" w:sz="8" w:color="E7E7E8"/>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0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thereto, and Deutsche Bank Trust Company Americas, as Trustee and Collateral Agent</w:t>
            </w:r>
          </w:p>
        </w:tc>
      </w:tr>
      <w:tr>
        <w:trPr>
          <w:trHeight w:val="189"/>
        </w:trPr>
        <w:tc>
          <w:tcPr>
            <w:tcW w:w="1020" w:type="dxa"/>
            <w:vAlign w:val="bottom"/>
            <w:gridSpan w:val="5"/>
          </w:tcPr>
          <w:p>
            <w:pPr>
              <w:jc w:val="center"/>
              <w:spacing w:after="0"/>
              <w:rPr>
                <w:rFonts w:ascii="Arial" w:cs="Arial" w:eastAsia="Arial" w:hAnsi="Arial"/>
                <w:sz w:val="16"/>
                <w:szCs w:val="16"/>
                <w:color w:val="0000FF"/>
                <w:w w:val="96"/>
              </w:rPr>
            </w:pPr>
            <w:hyperlink r:id="rId4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380" w:type="dxa"/>
            <w:vAlign w:val="bottom"/>
          </w:tcPr>
          <w:p>
            <w:pPr>
              <w:spacing w:after="0"/>
              <w:rPr>
                <w:sz w:val="16"/>
                <w:szCs w:val="16"/>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Indenture dated August 3, by and among Mason Finance Sub, Inc., the Guarantors party thereto, and Deutsche Bank Trust Company</w:t>
            </w:r>
          </w:p>
        </w:tc>
      </w:tr>
      <w:tr>
        <w:trPr>
          <w:trHeight w:val="213"/>
        </w:trPr>
        <w:tc>
          <w:tcPr>
            <w:tcW w:w="3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Americas, as Trustee (incorporated by reference to Exhibit 1.1 to the Company’s Form 8-K filed August 7, 2018)</w:t>
            </w:r>
          </w:p>
        </w:tc>
      </w:tr>
      <w:tr>
        <w:trPr>
          <w:trHeight w:val="199"/>
        </w:trPr>
        <w:tc>
          <w:tcPr>
            <w:tcW w:w="1020" w:type="dxa"/>
            <w:vAlign w:val="bottom"/>
            <w:gridSpan w:val="5"/>
            <w:shd w:val="clear" w:color="auto" w:fill="E7E7E8"/>
          </w:tcPr>
          <w:p>
            <w:pPr>
              <w:jc w:val="center"/>
              <w:spacing w:after="0"/>
              <w:rPr>
                <w:rFonts w:ascii="Arial" w:cs="Arial" w:eastAsia="Arial" w:hAnsi="Arial"/>
                <w:sz w:val="16"/>
                <w:szCs w:val="16"/>
                <w:color w:val="0000FF"/>
                <w:w w:val="96"/>
              </w:rPr>
            </w:pPr>
            <w:hyperlink r:id="rId4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380" w:type="dxa"/>
            <w:vAlign w:val="bottom"/>
            <w:shd w:val="clear" w:color="auto" w:fill="E7E7E8"/>
          </w:tcPr>
          <w:p>
            <w:pPr>
              <w:spacing w:after="0"/>
              <w:rPr>
                <w:sz w:val="17"/>
                <w:szCs w:val="17"/>
                <w:color w:val="auto"/>
              </w:rPr>
            </w:pP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Indenture dated August 6, by and among Mason Finance Sub, Inc., the Guarantors party thereto, and Deutsche Bank Trust Company</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2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40" w:type="dxa"/>
            <w:vAlign w:val="bottom"/>
            <w:tcBorders>
              <w:top w:val="single" w:sz="8" w:color="E7E7E8"/>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0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Americas, as Trustee (incorporated by reference to Exhibit 1.2 to the Company’s Form 8-K filed August 7, 2018)</w:t>
            </w:r>
          </w:p>
        </w:tc>
      </w:tr>
      <w:tr>
        <w:trPr>
          <w:trHeight w:val="224"/>
        </w:trPr>
        <w:tc>
          <w:tcPr>
            <w:tcW w:w="1020" w:type="dxa"/>
            <w:vAlign w:val="bottom"/>
            <w:gridSpan w:val="5"/>
          </w:tcPr>
          <w:p>
            <w:pPr>
              <w:jc w:val="center"/>
              <w:spacing w:after="0"/>
              <w:rPr>
                <w:sz w:val="20"/>
                <w:szCs w:val="20"/>
                <w:color w:val="auto"/>
              </w:rPr>
            </w:pPr>
            <w:r>
              <w:rPr>
                <w:rFonts w:ascii="Arial" w:cs="Arial" w:eastAsia="Arial" w:hAnsi="Arial"/>
                <w:sz w:val="16"/>
                <w:szCs w:val="16"/>
                <w:color w:val="auto"/>
              </w:rPr>
              <w:t>101.INS</w:t>
            </w:r>
          </w:p>
        </w:tc>
        <w:tc>
          <w:tcPr>
            <w:tcW w:w="380" w:type="dxa"/>
            <w:vAlign w:val="bottom"/>
          </w:tcPr>
          <w:p>
            <w:pPr>
              <w:spacing w:after="0"/>
              <w:rPr>
                <w:sz w:val="19"/>
                <w:szCs w:val="19"/>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XBRL Instance Document</w:t>
            </w:r>
          </w:p>
        </w:tc>
      </w:tr>
      <w:tr>
        <w:trPr>
          <w:trHeight w:val="47"/>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20" w:type="dxa"/>
            <w:vAlign w:val="bottom"/>
          </w:tcPr>
          <w:p>
            <w:pPr>
              <w:spacing w:after="0"/>
              <w:rPr>
                <w:sz w:val="4"/>
                <w:szCs w:val="4"/>
                <w:color w:val="auto"/>
              </w:rPr>
            </w:pPr>
          </w:p>
        </w:tc>
      </w:tr>
      <w:tr>
        <w:trPr>
          <w:trHeight w:val="250"/>
        </w:trPr>
        <w:tc>
          <w:tcPr>
            <w:tcW w:w="1020" w:type="dxa"/>
            <w:vAlign w:val="bottom"/>
            <w:tcBorders>
              <w:bottom w:val="single" w:sz="8" w:color="E7E7E8"/>
            </w:tcBorders>
            <w:gridSpan w:val="5"/>
            <w:shd w:val="clear" w:color="auto" w:fill="E7E7E8"/>
          </w:tcPr>
          <w:p>
            <w:pPr>
              <w:jc w:val="center"/>
              <w:spacing w:after="0"/>
              <w:rPr>
                <w:sz w:val="20"/>
                <w:szCs w:val="20"/>
                <w:color w:val="auto"/>
              </w:rPr>
            </w:pPr>
            <w:r>
              <w:rPr>
                <w:rFonts w:ascii="Arial" w:cs="Arial" w:eastAsia="Arial" w:hAnsi="Arial"/>
                <w:sz w:val="16"/>
                <w:szCs w:val="16"/>
                <w:color w:val="auto"/>
              </w:rPr>
              <w:t>101.SCH</w:t>
            </w:r>
          </w:p>
        </w:tc>
        <w:tc>
          <w:tcPr>
            <w:tcW w:w="380" w:type="dxa"/>
            <w:vAlign w:val="bottom"/>
            <w:tcBorders>
              <w:bottom w:val="single" w:sz="8" w:color="E7E7E8"/>
            </w:tcBorders>
            <w:shd w:val="clear" w:color="auto" w:fill="E7E7E8"/>
          </w:tcPr>
          <w:p>
            <w:pPr>
              <w:spacing w:after="0"/>
              <w:rPr>
                <w:sz w:val="21"/>
                <w:szCs w:val="21"/>
                <w:color w:val="auto"/>
              </w:rPr>
            </w:pPr>
          </w:p>
        </w:tc>
        <w:tc>
          <w:tcPr>
            <w:tcW w:w="100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020" w:type="dxa"/>
            <w:vAlign w:val="bottom"/>
            <w:gridSpan w:val="5"/>
          </w:tcPr>
          <w:p>
            <w:pPr>
              <w:jc w:val="center"/>
              <w:spacing w:after="0"/>
              <w:rPr>
                <w:sz w:val="20"/>
                <w:szCs w:val="20"/>
                <w:color w:val="auto"/>
              </w:rPr>
            </w:pPr>
            <w:r>
              <w:rPr>
                <w:rFonts w:ascii="Arial" w:cs="Arial" w:eastAsia="Arial" w:hAnsi="Arial"/>
                <w:sz w:val="16"/>
                <w:szCs w:val="16"/>
                <w:color w:val="auto"/>
                <w:w w:val="99"/>
              </w:rPr>
              <w:t>101.CAL</w:t>
            </w:r>
          </w:p>
        </w:tc>
        <w:tc>
          <w:tcPr>
            <w:tcW w:w="380" w:type="dxa"/>
            <w:vAlign w:val="bottom"/>
          </w:tcPr>
          <w:p>
            <w:pPr>
              <w:spacing w:after="0"/>
              <w:rPr>
                <w:sz w:val="19"/>
                <w:szCs w:val="19"/>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20" w:type="dxa"/>
            <w:vAlign w:val="bottom"/>
          </w:tcPr>
          <w:p>
            <w:pPr>
              <w:spacing w:after="0"/>
              <w:rPr>
                <w:sz w:val="4"/>
                <w:szCs w:val="4"/>
                <w:color w:val="auto"/>
              </w:rPr>
            </w:pPr>
          </w:p>
        </w:tc>
      </w:tr>
      <w:tr>
        <w:trPr>
          <w:trHeight w:val="250"/>
        </w:trPr>
        <w:tc>
          <w:tcPr>
            <w:tcW w:w="1020" w:type="dxa"/>
            <w:vAlign w:val="bottom"/>
            <w:tcBorders>
              <w:bottom w:val="single" w:sz="8" w:color="E7E7E8"/>
            </w:tcBorders>
            <w:gridSpan w:val="5"/>
            <w:shd w:val="clear" w:color="auto" w:fill="E7E7E8"/>
          </w:tcPr>
          <w:p>
            <w:pPr>
              <w:jc w:val="center"/>
              <w:spacing w:after="0"/>
              <w:rPr>
                <w:sz w:val="20"/>
                <w:szCs w:val="20"/>
                <w:color w:val="auto"/>
              </w:rPr>
            </w:pPr>
            <w:r>
              <w:rPr>
                <w:rFonts w:ascii="Arial" w:cs="Arial" w:eastAsia="Arial" w:hAnsi="Arial"/>
                <w:sz w:val="16"/>
                <w:szCs w:val="16"/>
                <w:color w:val="auto"/>
              </w:rPr>
              <w:t>101.DEF</w:t>
            </w:r>
          </w:p>
        </w:tc>
        <w:tc>
          <w:tcPr>
            <w:tcW w:w="380" w:type="dxa"/>
            <w:vAlign w:val="bottom"/>
            <w:tcBorders>
              <w:bottom w:val="single" w:sz="8" w:color="E7E7E8"/>
            </w:tcBorders>
            <w:shd w:val="clear" w:color="auto" w:fill="E7E7E8"/>
          </w:tcPr>
          <w:p>
            <w:pPr>
              <w:spacing w:after="0"/>
              <w:rPr>
                <w:sz w:val="21"/>
                <w:szCs w:val="21"/>
                <w:color w:val="auto"/>
              </w:rPr>
            </w:pPr>
          </w:p>
        </w:tc>
        <w:tc>
          <w:tcPr>
            <w:tcW w:w="100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24"/>
        </w:trPr>
        <w:tc>
          <w:tcPr>
            <w:tcW w:w="1020" w:type="dxa"/>
            <w:vAlign w:val="bottom"/>
            <w:gridSpan w:val="5"/>
          </w:tcPr>
          <w:p>
            <w:pPr>
              <w:jc w:val="center"/>
              <w:spacing w:after="0"/>
              <w:rPr>
                <w:sz w:val="20"/>
                <w:szCs w:val="20"/>
                <w:color w:val="auto"/>
              </w:rPr>
            </w:pPr>
            <w:r>
              <w:rPr>
                <w:rFonts w:ascii="Arial" w:cs="Arial" w:eastAsia="Arial" w:hAnsi="Arial"/>
                <w:sz w:val="16"/>
                <w:szCs w:val="16"/>
                <w:color w:val="auto"/>
              </w:rPr>
              <w:t>101.LAB</w:t>
            </w:r>
          </w:p>
        </w:tc>
        <w:tc>
          <w:tcPr>
            <w:tcW w:w="380" w:type="dxa"/>
            <w:vAlign w:val="bottom"/>
          </w:tcPr>
          <w:p>
            <w:pPr>
              <w:spacing w:after="0"/>
              <w:rPr>
                <w:sz w:val="19"/>
                <w:szCs w:val="19"/>
                <w:color w:val="auto"/>
              </w:rPr>
            </w:pPr>
          </w:p>
        </w:tc>
        <w:tc>
          <w:tcPr>
            <w:tcW w:w="1002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47"/>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20" w:type="dxa"/>
            <w:vAlign w:val="bottom"/>
          </w:tcPr>
          <w:p>
            <w:pPr>
              <w:spacing w:after="0"/>
              <w:rPr>
                <w:sz w:val="4"/>
                <w:szCs w:val="4"/>
                <w:color w:val="auto"/>
              </w:rPr>
            </w:pPr>
          </w:p>
        </w:tc>
      </w:tr>
      <w:tr>
        <w:trPr>
          <w:trHeight w:val="224"/>
        </w:trPr>
        <w:tc>
          <w:tcPr>
            <w:tcW w:w="1020" w:type="dxa"/>
            <w:vAlign w:val="bottom"/>
            <w:gridSpan w:val="5"/>
            <w:shd w:val="clear" w:color="auto" w:fill="E7E7E8"/>
          </w:tcPr>
          <w:p>
            <w:pPr>
              <w:jc w:val="center"/>
              <w:spacing w:after="0"/>
              <w:rPr>
                <w:sz w:val="20"/>
                <w:szCs w:val="20"/>
                <w:color w:val="auto"/>
              </w:rPr>
            </w:pPr>
            <w:r>
              <w:rPr>
                <w:rFonts w:ascii="Arial" w:cs="Arial" w:eastAsia="Arial" w:hAnsi="Arial"/>
                <w:sz w:val="16"/>
                <w:szCs w:val="16"/>
                <w:color w:val="auto"/>
              </w:rPr>
              <w:t>101.PRE</w:t>
            </w:r>
          </w:p>
        </w:tc>
        <w:tc>
          <w:tcPr>
            <w:tcW w:w="380" w:type="dxa"/>
            <w:vAlign w:val="bottom"/>
            <w:shd w:val="clear" w:color="auto" w:fill="E7E7E8"/>
          </w:tcPr>
          <w:p>
            <w:pPr>
              <w:spacing w:after="0"/>
              <w:rPr>
                <w:sz w:val="19"/>
                <w:szCs w:val="19"/>
                <w:color w:val="auto"/>
              </w:rPr>
            </w:pPr>
          </w:p>
        </w:tc>
        <w:tc>
          <w:tcPr>
            <w:tcW w:w="10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380" w:type="dxa"/>
            <w:vAlign w:val="bottom"/>
            <w:shd w:val="clear" w:color="auto" w:fill="E7E7E8"/>
          </w:tcPr>
          <w:p>
            <w:pPr>
              <w:spacing w:after="0"/>
              <w:rPr>
                <w:sz w:val="4"/>
                <w:szCs w:val="4"/>
                <w:color w:val="auto"/>
              </w:rPr>
            </w:pPr>
          </w:p>
        </w:tc>
        <w:tc>
          <w:tcPr>
            <w:tcW w:w="40" w:type="dxa"/>
            <w:vAlign w:val="bottom"/>
            <w:shd w:val="clear" w:color="auto" w:fill="E7E7E8"/>
          </w:tcPr>
          <w:p>
            <w:pPr>
              <w:spacing w:after="0"/>
              <w:rPr>
                <w:sz w:val="4"/>
                <w:szCs w:val="4"/>
                <w:color w:val="auto"/>
              </w:rPr>
            </w:pPr>
          </w:p>
        </w:tc>
        <w:tc>
          <w:tcPr>
            <w:tcW w:w="220" w:type="dxa"/>
            <w:vAlign w:val="bottom"/>
            <w:shd w:val="clear" w:color="auto" w:fill="E7E7E8"/>
          </w:tcPr>
          <w:p>
            <w:pPr>
              <w:spacing w:after="0"/>
              <w:rPr>
                <w:sz w:val="4"/>
                <w:szCs w:val="4"/>
                <w:color w:val="auto"/>
              </w:rPr>
            </w:pPr>
          </w:p>
        </w:tc>
        <w:tc>
          <w:tcPr>
            <w:tcW w:w="40" w:type="dxa"/>
            <w:vAlign w:val="bottom"/>
            <w:shd w:val="clear" w:color="auto" w:fill="E7E7E8"/>
          </w:tcPr>
          <w:p>
            <w:pPr>
              <w:spacing w:after="0"/>
              <w:rPr>
                <w:sz w:val="4"/>
                <w:szCs w:val="4"/>
                <w:color w:val="auto"/>
              </w:rPr>
            </w:pPr>
          </w:p>
        </w:tc>
        <w:tc>
          <w:tcPr>
            <w:tcW w:w="340" w:type="dxa"/>
            <w:vAlign w:val="bottom"/>
            <w:shd w:val="clear" w:color="auto" w:fill="E7E7E8"/>
          </w:tcPr>
          <w:p>
            <w:pPr>
              <w:spacing w:after="0"/>
              <w:rPr>
                <w:sz w:val="4"/>
                <w:szCs w:val="4"/>
                <w:color w:val="auto"/>
              </w:rPr>
            </w:pPr>
          </w:p>
        </w:tc>
        <w:tc>
          <w:tcPr>
            <w:tcW w:w="380" w:type="dxa"/>
            <w:vAlign w:val="bottom"/>
            <w:shd w:val="clear" w:color="auto" w:fill="E7E7E8"/>
          </w:tcPr>
          <w:p>
            <w:pPr>
              <w:spacing w:after="0"/>
              <w:rPr>
                <w:sz w:val="4"/>
                <w:szCs w:val="4"/>
                <w:color w:val="auto"/>
              </w:rPr>
            </w:pPr>
          </w:p>
        </w:tc>
        <w:tc>
          <w:tcPr>
            <w:tcW w:w="10020" w:type="dxa"/>
            <w:vAlign w:val="bottom"/>
            <w:shd w:val="clear" w:color="auto" w:fill="E7E7E8"/>
          </w:tcPr>
          <w:p>
            <w:pPr>
              <w:spacing w:after="0"/>
              <w:rPr>
                <w:sz w:val="4"/>
                <w:szCs w:val="4"/>
                <w:color w:val="auto"/>
              </w:rPr>
            </w:pPr>
          </w:p>
        </w:tc>
      </w:tr>
    </w:tbl>
    <w:p>
      <w:pPr>
        <w:spacing w:after="0" w:line="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5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color w:val="008A5F"/>
        </w:rPr>
        <w:t>Signature</w:t>
      </w:r>
    </w:p>
    <w:p>
      <w:pPr>
        <w:spacing w:after="0" w:line="8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WillScot Corporation</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5660" w:type="dxa"/>
            <w:vAlign w:val="bottom"/>
          </w:tcPr>
          <w:p>
            <w:pPr>
              <w:ind w:left="51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37"/>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660" w:type="dxa"/>
            <w:vAlign w:val="bottom"/>
          </w:tcPr>
          <w:p>
            <w:pPr>
              <w:ind w:left="220"/>
              <w:spacing w:after="0"/>
              <w:rPr>
                <w:sz w:val="20"/>
                <w:szCs w:val="20"/>
                <w:color w:val="auto"/>
              </w:rPr>
            </w:pPr>
            <w:r>
              <w:rPr>
                <w:rFonts w:ascii="Arial" w:cs="Arial" w:eastAsia="Arial" w:hAnsi="Arial"/>
                <w:sz w:val="16"/>
                <w:szCs w:val="16"/>
                <w:color w:val="auto"/>
              </w:rPr>
              <w:t>August 8, 2018</w:t>
            </w:r>
          </w:p>
        </w:tc>
        <w:tc>
          <w:tcPr>
            <w:tcW w:w="5020" w:type="dxa"/>
            <w:vAlign w:val="bottom"/>
          </w:tcPr>
          <w:p>
            <w:pPr>
              <w:ind w:left="380"/>
              <w:spacing w:after="0"/>
              <w:rPr>
                <w:sz w:val="20"/>
                <w:szCs w:val="20"/>
                <w:color w:val="auto"/>
              </w:rPr>
            </w:pPr>
            <w:r>
              <w:rPr>
                <w:rFonts w:ascii="Arial" w:cs="Arial" w:eastAsia="Arial" w:hAnsi="Arial"/>
                <w:sz w:val="16"/>
                <w:szCs w:val="16"/>
                <w:color w:val="auto"/>
              </w:rPr>
              <w:t>Timothy D. Boswell</w:t>
            </w:r>
          </w:p>
        </w:tc>
      </w:tr>
      <w:tr>
        <w:trPr>
          <w:trHeight w:val="270"/>
        </w:trPr>
        <w:tc>
          <w:tcPr>
            <w:tcW w:w="7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5020" w:type="dxa"/>
            <w:vAlign w:val="bottom"/>
          </w:tcPr>
          <w:p>
            <w:pPr>
              <w:ind w:left="380"/>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8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ABL CREDIT AGREEMENT</w:t>
      </w:r>
    </w:p>
    <w:p>
      <w:pPr>
        <w:spacing w:after="0" w:line="23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This First Amendment (this “</w:t>
      </w:r>
      <w:r>
        <w:rPr>
          <w:rFonts w:ascii="Arial" w:cs="Arial" w:eastAsia="Arial" w:hAnsi="Arial"/>
          <w:sz w:val="19"/>
          <w:szCs w:val="19"/>
          <w:b w:val="1"/>
          <w:bCs w:val="1"/>
          <w:color w:val="auto"/>
        </w:rPr>
        <w:t>Amendment</w:t>
      </w:r>
      <w:r>
        <w:rPr>
          <w:rFonts w:ascii="Arial" w:cs="Arial" w:eastAsia="Arial" w:hAnsi="Arial"/>
          <w:sz w:val="19"/>
          <w:szCs w:val="19"/>
          <w:color w:val="auto"/>
        </w:rPr>
        <w:t>”) to the ABL Credit Agreement referred to below is dated as of July 9, 2018 and is entered into by and among Williams Scotsman International, Inc., a Delaware corporation (“</w:t>
      </w:r>
      <w:r>
        <w:rPr>
          <w:rFonts w:ascii="Arial" w:cs="Arial" w:eastAsia="Arial" w:hAnsi="Arial"/>
          <w:sz w:val="19"/>
          <w:szCs w:val="19"/>
          <w:b w:val="1"/>
          <w:bCs w:val="1"/>
          <w:color w:val="auto"/>
        </w:rPr>
        <w:t>WS International</w:t>
      </w:r>
      <w:r>
        <w:rPr>
          <w:rFonts w:ascii="Arial" w:cs="Arial" w:eastAsia="Arial" w:hAnsi="Arial"/>
          <w:sz w:val="19"/>
          <w:szCs w:val="19"/>
          <w:color w:val="auto"/>
        </w:rPr>
        <w:t>” or “</w:t>
      </w:r>
      <w:r>
        <w:rPr>
          <w:rFonts w:ascii="Arial" w:cs="Arial" w:eastAsia="Arial" w:hAnsi="Arial"/>
          <w:sz w:val="19"/>
          <w:szCs w:val="19"/>
          <w:b w:val="1"/>
          <w:bCs w:val="1"/>
          <w:color w:val="auto"/>
        </w:rPr>
        <w:t>Administrative Borrower</w:t>
      </w:r>
      <w:r>
        <w:rPr>
          <w:rFonts w:ascii="Arial" w:cs="Arial" w:eastAsia="Arial" w:hAnsi="Arial"/>
          <w:sz w:val="19"/>
          <w:szCs w:val="19"/>
          <w:color w:val="auto"/>
        </w:rPr>
        <w:t>”), Williams Scotsman, Inc., a Maryland corporation (“</w:t>
      </w:r>
      <w:r>
        <w:rPr>
          <w:rFonts w:ascii="Arial" w:cs="Arial" w:eastAsia="Arial" w:hAnsi="Arial"/>
          <w:sz w:val="19"/>
          <w:szCs w:val="19"/>
          <w:b w:val="1"/>
          <w:bCs w:val="1"/>
          <w:color w:val="auto"/>
        </w:rPr>
        <w:t>WSI</w:t>
      </w:r>
      <w:r>
        <w:rPr>
          <w:rFonts w:ascii="Arial" w:cs="Arial" w:eastAsia="Arial" w:hAnsi="Arial"/>
          <w:sz w:val="19"/>
          <w:szCs w:val="19"/>
          <w:color w:val="auto"/>
        </w:rPr>
        <w:t>”), WillScot Equipment II, LLC, a Delaware limited liability company (“</w:t>
      </w:r>
      <w:r>
        <w:rPr>
          <w:rFonts w:ascii="Arial" w:cs="Arial" w:eastAsia="Arial" w:hAnsi="Arial"/>
          <w:sz w:val="19"/>
          <w:szCs w:val="19"/>
          <w:b w:val="1"/>
          <w:bCs w:val="1"/>
          <w:color w:val="auto"/>
        </w:rPr>
        <w:t>WillScot</w:t>
      </w:r>
      <w:r>
        <w:rPr>
          <w:rFonts w:ascii="Arial" w:cs="Arial" w:eastAsia="Arial" w:hAnsi="Arial"/>
          <w:sz w:val="19"/>
          <w:szCs w:val="19"/>
          <w:color w:val="auto"/>
        </w:rPr>
        <w:t>”), Acton Mobile Holdings, LLC, a Delaware limited liability company (“</w:t>
      </w:r>
      <w:r>
        <w:rPr>
          <w:rFonts w:ascii="Arial" w:cs="Arial" w:eastAsia="Arial" w:hAnsi="Arial"/>
          <w:sz w:val="19"/>
          <w:szCs w:val="19"/>
          <w:b w:val="1"/>
          <w:bCs w:val="1"/>
          <w:color w:val="auto"/>
        </w:rPr>
        <w:t>Acton</w:t>
      </w:r>
      <w:r>
        <w:rPr>
          <w:rFonts w:ascii="Arial" w:cs="Arial" w:eastAsia="Arial" w:hAnsi="Arial"/>
          <w:sz w:val="19"/>
          <w:szCs w:val="19"/>
          <w:color w:val="auto"/>
        </w:rPr>
        <w:t xml:space="preserve"> </w:t>
      </w:r>
      <w:r>
        <w:rPr>
          <w:rFonts w:ascii="Arial" w:cs="Arial" w:eastAsia="Arial" w:hAnsi="Arial"/>
          <w:sz w:val="19"/>
          <w:szCs w:val="19"/>
          <w:b w:val="1"/>
          <w:bCs w:val="1"/>
          <w:color w:val="auto"/>
        </w:rPr>
        <w:t>Mobile</w:t>
      </w:r>
      <w:r>
        <w:rPr>
          <w:rFonts w:ascii="Arial" w:cs="Arial" w:eastAsia="Arial" w:hAnsi="Arial"/>
          <w:sz w:val="19"/>
          <w:szCs w:val="19"/>
          <w:color w:val="auto"/>
        </w:rPr>
        <w:t>”), New Acton Mobile Industries LLC, a Delaware limited liability company (“</w:t>
      </w:r>
      <w:r>
        <w:rPr>
          <w:rFonts w:ascii="Arial" w:cs="Arial" w:eastAsia="Arial" w:hAnsi="Arial"/>
          <w:sz w:val="19"/>
          <w:szCs w:val="19"/>
          <w:b w:val="1"/>
          <w:bCs w:val="1"/>
          <w:color w:val="auto"/>
        </w:rPr>
        <w:t>New Acton</w:t>
      </w:r>
      <w:r>
        <w:rPr>
          <w:rFonts w:ascii="Arial" w:cs="Arial" w:eastAsia="Arial" w:hAnsi="Arial"/>
          <w:sz w:val="19"/>
          <w:szCs w:val="19"/>
          <w:color w:val="auto"/>
        </w:rPr>
        <w:t>”), Onsite Space LLC, an Indiana</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liability company (“</w:t>
      </w:r>
      <w:r>
        <w:rPr>
          <w:rFonts w:ascii="Arial" w:cs="Arial" w:eastAsia="Arial" w:hAnsi="Arial"/>
          <w:sz w:val="19"/>
          <w:szCs w:val="19"/>
          <w:b w:val="1"/>
          <w:bCs w:val="1"/>
          <w:color w:val="auto"/>
        </w:rPr>
        <w:t>Onsite Space</w:t>
      </w:r>
      <w:r>
        <w:rPr>
          <w:rFonts w:ascii="Arial" w:cs="Arial" w:eastAsia="Arial" w:hAnsi="Arial"/>
          <w:sz w:val="19"/>
          <w:szCs w:val="19"/>
          <w:color w:val="auto"/>
        </w:rPr>
        <w:t>” and, together with WS International and WSI, WillScot, Acton Mobile and New Acton, each, a “</w:t>
      </w:r>
      <w:r>
        <w:rPr>
          <w:rFonts w:ascii="Arial" w:cs="Arial" w:eastAsia="Arial" w:hAnsi="Arial"/>
          <w:sz w:val="19"/>
          <w:szCs w:val="19"/>
          <w:b w:val="1"/>
          <w:bCs w:val="1"/>
          <w:color w:val="auto"/>
        </w:rPr>
        <w:t>U.S. Borrower</w:t>
      </w:r>
      <w:r>
        <w:rPr>
          <w:rFonts w:ascii="Arial" w:cs="Arial" w:eastAsia="Arial" w:hAnsi="Arial"/>
          <w:sz w:val="19"/>
          <w:szCs w:val="19"/>
          <w:color w:val="auto"/>
        </w:rPr>
        <w:t>” and, collectively, the “</w:t>
      </w:r>
      <w:r>
        <w:rPr>
          <w:rFonts w:ascii="Arial" w:cs="Arial" w:eastAsia="Arial" w:hAnsi="Arial"/>
          <w:sz w:val="19"/>
          <w:szCs w:val="19"/>
          <w:b w:val="1"/>
          <w:bCs w:val="1"/>
          <w:color w:val="auto"/>
        </w:rPr>
        <w:t>U.S. Borrowers</w:t>
      </w:r>
      <w:r>
        <w:rPr>
          <w:rFonts w:ascii="Arial" w:cs="Arial" w:eastAsia="Arial" w:hAnsi="Arial"/>
          <w:sz w:val="19"/>
          <w:szCs w:val="19"/>
          <w:color w:val="auto"/>
        </w:rPr>
        <w:t>”), Williams Scotsman of Canada, Inc., a corporation incorporated under the Business Corporations Act (Ontario) (the “</w:t>
      </w:r>
      <w:r>
        <w:rPr>
          <w:rFonts w:ascii="Arial" w:cs="Arial" w:eastAsia="Arial" w:hAnsi="Arial"/>
          <w:sz w:val="19"/>
          <w:szCs w:val="19"/>
          <w:b w:val="1"/>
          <w:bCs w:val="1"/>
          <w:color w:val="auto"/>
        </w:rPr>
        <w:t>Canadian Borrower</w:t>
      </w:r>
      <w:r>
        <w:rPr>
          <w:rFonts w:ascii="Arial" w:cs="Arial" w:eastAsia="Arial" w:hAnsi="Arial"/>
          <w:sz w:val="19"/>
          <w:szCs w:val="19"/>
          <w:color w:val="auto"/>
        </w:rPr>
        <w:t>” and, together with the U.S. Borrowers, the “</w:t>
      </w:r>
      <w:r>
        <w:rPr>
          <w:rFonts w:ascii="Arial" w:cs="Arial" w:eastAsia="Arial" w:hAnsi="Arial"/>
          <w:sz w:val="19"/>
          <w:szCs w:val="19"/>
          <w:b w:val="1"/>
          <w:bCs w:val="1"/>
          <w:color w:val="auto"/>
        </w:rPr>
        <w:t>Borrowers</w:t>
      </w:r>
      <w:r>
        <w:rPr>
          <w:rFonts w:ascii="Arial" w:cs="Arial" w:eastAsia="Arial" w:hAnsi="Arial"/>
          <w:sz w:val="19"/>
          <w:szCs w:val="19"/>
          <w:color w:val="auto"/>
        </w:rPr>
        <w:t>” and each, a “</w:t>
      </w:r>
      <w:r>
        <w:rPr>
          <w:rFonts w:ascii="Arial" w:cs="Arial" w:eastAsia="Arial" w:hAnsi="Arial"/>
          <w:sz w:val="19"/>
          <w:szCs w:val="19"/>
          <w:b w:val="1"/>
          <w:bCs w:val="1"/>
          <w:color w:val="auto"/>
        </w:rPr>
        <w:t>Borrower</w:t>
      </w:r>
      <w:r>
        <w:rPr>
          <w:rFonts w:ascii="Arial" w:cs="Arial" w:eastAsia="Arial" w:hAnsi="Arial"/>
          <w:sz w:val="19"/>
          <w:szCs w:val="19"/>
          <w:color w:val="auto"/>
        </w:rPr>
        <w:t>”), William Scotsman Holdings Corp., a Delaware corporation (“</w:t>
      </w:r>
      <w:r>
        <w:rPr>
          <w:rFonts w:ascii="Arial" w:cs="Arial" w:eastAsia="Arial" w:hAnsi="Arial"/>
          <w:sz w:val="19"/>
          <w:szCs w:val="19"/>
          <w:b w:val="1"/>
          <w:bCs w:val="1"/>
          <w:color w:val="auto"/>
        </w:rPr>
        <w:t>Holdings</w:t>
      </w:r>
      <w:r>
        <w:rPr>
          <w:rFonts w:ascii="Arial" w:cs="Arial" w:eastAsia="Arial" w:hAnsi="Arial"/>
          <w:sz w:val="19"/>
          <w:szCs w:val="19"/>
          <w:color w:val="auto"/>
        </w:rPr>
        <w:t>”), as Holdings and a Guarantor, each of the other Guarantors listed on the signature pages hereto, each Lender (including the Swingline Lenders) and Fronting Bank party hereto, and Bank of America, N.A., as administrative agent and collateral agent for itself and the other Secured Parties (collectively, in such capacities, the “</w:t>
      </w:r>
      <w:r>
        <w:rPr>
          <w:rFonts w:ascii="Arial" w:cs="Arial" w:eastAsia="Arial" w:hAnsi="Arial"/>
          <w:sz w:val="19"/>
          <w:szCs w:val="19"/>
          <w:b w:val="1"/>
          <w:bCs w:val="1"/>
          <w:color w:val="auto"/>
        </w:rPr>
        <w:t>Agent</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ABL Credit Agreement, dated as of November 29, 2017 (as amended,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supplemented or otherwise modified from time to time prior to the date hereof, the “</w:t>
      </w:r>
      <w:r>
        <w:rPr>
          <w:rFonts w:ascii="Arial" w:cs="Arial" w:eastAsia="Arial" w:hAnsi="Arial"/>
          <w:sz w:val="22"/>
          <w:szCs w:val="22"/>
          <w:b w:val="1"/>
          <w:bCs w:val="1"/>
          <w:color w:val="auto"/>
        </w:rPr>
        <w:t>Existing ABL Credit Agreement</w:t>
      </w:r>
      <w:r>
        <w:rPr>
          <w:rFonts w:ascii="Arial" w:cs="Arial" w:eastAsia="Arial" w:hAnsi="Arial"/>
          <w:sz w:val="22"/>
          <w:szCs w:val="22"/>
          <w:color w:val="auto"/>
        </w:rPr>
        <w:t>” and, as amended by this Amendment, the “</w:t>
      </w:r>
      <w:r>
        <w:rPr>
          <w:rFonts w:ascii="Arial" w:cs="Arial" w:eastAsia="Arial" w:hAnsi="Arial"/>
          <w:sz w:val="22"/>
          <w:szCs w:val="22"/>
          <w:b w:val="1"/>
          <w:bCs w:val="1"/>
          <w:color w:val="auto"/>
        </w:rPr>
        <w:t>Amended ABL Credit Agreement</w:t>
      </w:r>
      <w:r>
        <w:rPr>
          <w:rFonts w:ascii="Arial" w:cs="Arial" w:eastAsia="Arial" w:hAnsi="Arial"/>
          <w:sz w:val="22"/>
          <w:szCs w:val="22"/>
          <w:color w:val="auto"/>
        </w:rPr>
        <w:t>”), among the Borrowers, Holdings, the Lenders party thereto from time to time and Bank of America, N.A. as Agent, the Lenders have agreed to extend credit in the form of revolving credit facilities to the Borrowers;</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 the Administrative Borrower (or one of its wholly-owned subsidiaries) intends to acquire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ModSpace Acquisition</w:t>
      </w:r>
      <w:r>
        <w:rPr>
          <w:rFonts w:ascii="Arial" w:cs="Arial" w:eastAsia="Arial" w:hAnsi="Arial"/>
          <w:sz w:val="19"/>
          <w:szCs w:val="19"/>
          <w:color w:val="auto"/>
        </w:rPr>
        <w:t>”) Modular Space Holdings, Inc., a Delaware corporation (“</w:t>
      </w:r>
      <w:r>
        <w:rPr>
          <w:rFonts w:ascii="Arial" w:cs="Arial" w:eastAsia="Arial" w:hAnsi="Arial"/>
          <w:sz w:val="19"/>
          <w:szCs w:val="19"/>
          <w:b w:val="1"/>
          <w:bCs w:val="1"/>
          <w:color w:val="auto"/>
        </w:rPr>
        <w:t>ModSpace</w:t>
      </w:r>
      <w:r>
        <w:rPr>
          <w:rFonts w:ascii="Arial" w:cs="Arial" w:eastAsia="Arial" w:hAnsi="Arial"/>
          <w:sz w:val="19"/>
          <w:szCs w:val="19"/>
          <w:color w:val="auto"/>
        </w:rPr>
        <w:t>”), pursuant to that certain Agreement and Plan of Merger dated as of June 21, 2018 (together with the exhibits, annexes, schedules and other disclosure letters thereto, the “</w:t>
      </w:r>
      <w:r>
        <w:rPr>
          <w:rFonts w:ascii="Arial" w:cs="Arial" w:eastAsia="Arial" w:hAnsi="Arial"/>
          <w:sz w:val="19"/>
          <w:szCs w:val="19"/>
          <w:b w:val="1"/>
          <w:bCs w:val="1"/>
          <w:color w:val="auto"/>
        </w:rPr>
        <w:t>ModSpace Acquisition Agreement</w:t>
      </w:r>
      <w:r>
        <w:rPr>
          <w:rFonts w:ascii="Arial" w:cs="Arial" w:eastAsia="Arial" w:hAnsi="Arial"/>
          <w:sz w:val="19"/>
          <w:szCs w:val="19"/>
          <w:color w:val="auto"/>
        </w:rPr>
        <w:t>”), by and among ModSpace, WillScot Corporation, a Delaware corporation (“</w:t>
      </w:r>
      <w:r>
        <w:rPr>
          <w:rFonts w:ascii="Arial" w:cs="Arial" w:eastAsia="Arial" w:hAnsi="Arial"/>
          <w:sz w:val="19"/>
          <w:szCs w:val="19"/>
          <w:b w:val="1"/>
          <w:bCs w:val="1"/>
          <w:color w:val="auto"/>
        </w:rPr>
        <w:t>Parent</w:t>
      </w:r>
      <w:r>
        <w:rPr>
          <w:rFonts w:ascii="Arial" w:cs="Arial" w:eastAsia="Arial" w:hAnsi="Arial"/>
          <w:sz w:val="19"/>
          <w:szCs w:val="19"/>
          <w:color w:val="auto"/>
        </w:rPr>
        <w:t>”), Mason Merger Sub, Inc., a Delaware corporation (“</w:t>
      </w:r>
      <w:r>
        <w:rPr>
          <w:rFonts w:ascii="Arial" w:cs="Arial" w:eastAsia="Arial" w:hAnsi="Arial"/>
          <w:sz w:val="19"/>
          <w:szCs w:val="19"/>
          <w:b w:val="1"/>
          <w:bCs w:val="1"/>
          <w:color w:val="auto"/>
        </w:rPr>
        <w:t>Merger Sub</w:t>
      </w:r>
      <w:r>
        <w:rPr>
          <w:rFonts w:ascii="Arial" w:cs="Arial" w:eastAsia="Arial" w:hAnsi="Arial"/>
          <w:sz w:val="19"/>
          <w:szCs w:val="19"/>
          <w:color w:val="auto"/>
        </w:rPr>
        <w:t>”), and Nanoma LLC, solely in its capacity as the representative of the Holders (as defined in the ModSpace Acquisition Agreement), and as a result of which Merger Sub will merge with and into ModSpace, with ModSpace being the surviving corporation of the merger and, upon consummation of the merger, becoming a wholly-owned subsidiary of the Administrative Borrower, (ii) all indebtedness and other amounts owed under ModSpace’s Fourth Amended and Restated Loan and Security Agreement dated as of March 2, 2017 will be repaid or otherwise satisfied and discharged and any related liens and guarantees will be terminated (the “</w:t>
      </w:r>
      <w:r>
        <w:rPr>
          <w:rFonts w:ascii="Arial" w:cs="Arial" w:eastAsia="Arial" w:hAnsi="Arial"/>
          <w:sz w:val="19"/>
          <w:szCs w:val="19"/>
          <w:b w:val="1"/>
          <w:bCs w:val="1"/>
          <w:color w:val="auto"/>
        </w:rPr>
        <w:t>Debt Repayment</w:t>
      </w:r>
      <w:r>
        <w:rPr>
          <w:rFonts w:ascii="Arial" w:cs="Arial" w:eastAsia="Arial" w:hAnsi="Arial"/>
          <w:sz w:val="19"/>
          <w:szCs w:val="19"/>
          <w:color w:val="auto"/>
        </w:rPr>
        <w:t>”) and (iii) fees and expenses incurred in connection with the ModSpace Transactions (as defined below) will be paid; and</w:t>
      </w:r>
    </w:p>
    <w:p>
      <w:pPr>
        <w:spacing w:after="0" w:line="155"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Administrative Borrower has requested that the Agent, the Required Lenders, the Swingline</w:t>
      </w:r>
      <w:r>
        <w:rPr>
          <w:rFonts w:ascii="Arial" w:cs="Arial" w:eastAsia="Arial" w:hAnsi="Arial"/>
          <w:sz w:val="21"/>
          <w:szCs w:val="21"/>
          <w:b w:val="1"/>
          <w:bCs w:val="1"/>
          <w:color w:val="auto"/>
        </w:rPr>
        <w:t xml:space="preserve"> </w:t>
      </w:r>
      <w:r>
        <w:rPr>
          <w:rFonts w:ascii="Arial" w:cs="Arial" w:eastAsia="Arial" w:hAnsi="Arial"/>
          <w:sz w:val="21"/>
          <w:szCs w:val="21"/>
          <w:color w:val="auto"/>
        </w:rPr>
        <w:t>Lenders and the Fronting Banks party hereto agree to the amendments as described, and on the terms set forth, herein.</w:t>
      </w:r>
    </w:p>
    <w:p>
      <w:pPr>
        <w:sectPr>
          <w:pgSz w:w="11900" w:h="16838" w:orient="portrait"/>
          <w:cols w:equalWidth="0" w:num="1">
            <w:col w:w="11420"/>
          </w:cols>
          <w:pgMar w:left="240" w:top="847" w:right="239" w:bottom="1440" w:gutter="0" w:footer="0" w:header="0"/>
        </w:sectPr>
      </w:pPr>
    </w:p>
    <w:bookmarkStart w:id="58" w:name="page59"/>
    <w:bookmarkEnd w:id="58"/>
    <w:p>
      <w:pPr>
        <w:jc w:val="both"/>
        <w:ind w:right="20" w:firstLine="1297"/>
        <w:spacing w:after="0" w:line="350"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covenants and agreements contained herein, as well as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98"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Section 1. Defined Terms</w:t>
      </w:r>
      <w:r>
        <w:rPr>
          <w:rFonts w:ascii="Arial" w:cs="Arial" w:eastAsia="Arial" w:hAnsi="Arial"/>
          <w:sz w:val="22"/>
          <w:szCs w:val="22"/>
          <w:color w:val="auto"/>
        </w:rPr>
        <w:t>. Capitalized terms used but not defined herein (including in the introductory paragraph hereof and the recitals hereto) shall have the meanings assigned to such terms in the Amended ABL Credit Agreement (for such purpose, as if the First Amendment Effective Date had occurred).</w:t>
      </w:r>
    </w:p>
    <w:p>
      <w:pPr>
        <w:spacing w:after="0" w:line="22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Amended ABL Credit Agreement</w:t>
      </w:r>
      <w:r>
        <w:rPr>
          <w:rFonts w:ascii="Arial" w:cs="Arial" w:eastAsia="Arial" w:hAnsi="Arial"/>
          <w:sz w:val="19"/>
          <w:szCs w:val="19"/>
          <w:color w:val="auto"/>
        </w:rPr>
        <w:t>.</w:t>
      </w:r>
    </w:p>
    <w:p>
      <w:pPr>
        <w:spacing w:after="0" w:line="2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Subject to the occurrence of the First Amendment Effective Date, each of the Loan Parties, the Agent, the Fronting Banks and the Lenders party hereto (collectively constituting the Required Lenders) agree that the Existing ABL Credit Agreement is hereby amended as follows:</w:t>
      </w:r>
    </w:p>
    <w:p>
      <w:pPr>
        <w:spacing w:after="0" w:line="193" w:lineRule="exact"/>
        <w:rPr>
          <w:sz w:val="20"/>
          <w:szCs w:val="20"/>
          <w:color w:val="auto"/>
        </w:rPr>
      </w:pPr>
    </w:p>
    <w:p>
      <w:pPr>
        <w:ind w:left="660" w:firstLine="1293"/>
        <w:spacing w:after="0" w:line="263" w:lineRule="auto"/>
        <w:tabs>
          <w:tab w:leader="none" w:pos="2845"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to add the following defined terms in appropriate alphabetical order:</w:t>
      </w:r>
    </w:p>
    <w:p>
      <w:pPr>
        <w:spacing w:after="0" w:line="215" w:lineRule="exact"/>
        <w:rPr>
          <w:sz w:val="20"/>
          <w:szCs w:val="20"/>
          <w:color w:val="auto"/>
        </w:rPr>
      </w:pPr>
    </w:p>
    <w:p>
      <w:pPr>
        <w:jc w:val="both"/>
        <w:ind w:left="1960"/>
        <w:spacing w:after="0" w:line="265" w:lineRule="auto"/>
        <w:rPr>
          <w:sz w:val="20"/>
          <w:szCs w:val="20"/>
          <w:color w:val="auto"/>
        </w:rPr>
      </w:pPr>
      <w:r>
        <w:rPr>
          <w:rFonts w:ascii="Arial" w:cs="Arial" w:eastAsia="Arial" w:hAnsi="Arial"/>
          <w:sz w:val="21"/>
          <w:szCs w:val="21"/>
          <w:u w:val="single" w:color="auto"/>
          <w:color w:val="auto"/>
        </w:rPr>
        <w:t>2018 Senior Secured Bridge Credit Agreement</w:t>
      </w:r>
      <w:r>
        <w:rPr>
          <w:rFonts w:ascii="Arial" w:cs="Arial" w:eastAsia="Arial" w:hAnsi="Arial"/>
          <w:sz w:val="21"/>
          <w:szCs w:val="21"/>
          <w:color w:val="auto"/>
        </w:rPr>
        <w:t>: the Senior Secured Bridge Credit Agreement which, if executed and delivered, will be dated as of the First Amendment Effective Date among the Administrative Borrower, any guarantors party thereto, the lenders party thereto and Deutsche Bank AG Cayman Islands Branch (or an affiliate thereof), as administrative agent and as collateral agent.</w:t>
      </w:r>
    </w:p>
    <w:p>
      <w:pPr>
        <w:spacing w:after="0" w:line="176" w:lineRule="exact"/>
        <w:rPr>
          <w:sz w:val="20"/>
          <w:szCs w:val="20"/>
          <w:color w:val="auto"/>
        </w:rPr>
      </w:pPr>
    </w:p>
    <w:p>
      <w:pPr>
        <w:jc w:val="both"/>
        <w:ind w:left="1960"/>
        <w:spacing w:after="0" w:line="263" w:lineRule="auto"/>
        <w:rPr>
          <w:sz w:val="20"/>
          <w:szCs w:val="20"/>
          <w:color w:val="auto"/>
        </w:rPr>
      </w:pPr>
      <w:r>
        <w:rPr>
          <w:rFonts w:ascii="Arial" w:cs="Arial" w:eastAsia="Arial" w:hAnsi="Arial"/>
          <w:sz w:val="22"/>
          <w:szCs w:val="22"/>
          <w:u w:val="single" w:color="auto"/>
          <w:color w:val="auto"/>
        </w:rPr>
        <w:t>2018 Senior Secured Bridge Documents</w:t>
      </w:r>
      <w:r>
        <w:rPr>
          <w:rFonts w:ascii="Arial" w:cs="Arial" w:eastAsia="Arial" w:hAnsi="Arial"/>
          <w:sz w:val="22"/>
          <w:szCs w:val="22"/>
          <w:color w:val="auto"/>
        </w:rPr>
        <w:t>: the 2018 Senior Secured Bridge Credit Agreement and the “Loan Documents” (or similar term) as defined therein.</w:t>
      </w:r>
    </w:p>
    <w:p>
      <w:pPr>
        <w:spacing w:after="0" w:line="175" w:lineRule="exact"/>
        <w:rPr>
          <w:sz w:val="20"/>
          <w:szCs w:val="20"/>
          <w:color w:val="auto"/>
        </w:rPr>
      </w:pPr>
    </w:p>
    <w:p>
      <w:pPr>
        <w:jc w:val="both"/>
        <w:ind w:left="1960"/>
        <w:spacing w:after="0" w:line="247" w:lineRule="auto"/>
        <w:rPr>
          <w:sz w:val="20"/>
          <w:szCs w:val="20"/>
          <w:color w:val="auto"/>
        </w:rPr>
      </w:pPr>
      <w:r>
        <w:rPr>
          <w:rFonts w:ascii="Arial" w:cs="Arial" w:eastAsia="Arial" w:hAnsi="Arial"/>
          <w:sz w:val="22"/>
          <w:szCs w:val="22"/>
          <w:u w:val="single" w:color="auto"/>
          <w:color w:val="auto"/>
        </w:rPr>
        <w:t>2018 Senior Secured Bridge Facility</w:t>
      </w:r>
      <w:r>
        <w:rPr>
          <w:rFonts w:ascii="Arial" w:cs="Arial" w:eastAsia="Arial" w:hAnsi="Arial"/>
          <w:sz w:val="22"/>
          <w:szCs w:val="22"/>
          <w:color w:val="auto"/>
        </w:rPr>
        <w:t>: the second lien senior secured credit facility of the Administrative Borrower in an aggregate principal amount of up to $285,600,000 (or such lesser amount actually incurred thereunder on the First Amendment Effective Date) which, if incurred, will be incurred pursuant to the 2018 Senior Secured Bridge Credit Agreement and the proceeds of which will be used to finance the purchase price of the ModSpace Acquisition, to effect the Debt Repayment and to pay the ModSpace Transaction Costs.</w:t>
      </w:r>
    </w:p>
    <w:p>
      <w:pPr>
        <w:spacing w:after="0" w:line="194" w:lineRule="exact"/>
        <w:rPr>
          <w:sz w:val="20"/>
          <w:szCs w:val="20"/>
          <w:color w:val="auto"/>
        </w:rPr>
      </w:pPr>
    </w:p>
    <w:p>
      <w:pPr>
        <w:jc w:val="both"/>
        <w:ind w:left="1960"/>
        <w:spacing w:after="0" w:line="294" w:lineRule="auto"/>
        <w:rPr>
          <w:sz w:val="20"/>
          <w:szCs w:val="20"/>
          <w:color w:val="auto"/>
        </w:rPr>
      </w:pPr>
      <w:r>
        <w:rPr>
          <w:rFonts w:ascii="Arial" w:cs="Arial" w:eastAsia="Arial" w:hAnsi="Arial"/>
          <w:sz w:val="19"/>
          <w:szCs w:val="19"/>
          <w:u w:val="single" w:color="auto"/>
          <w:color w:val="auto"/>
        </w:rPr>
        <w:t>2018 Senior Secured Notes</w:t>
      </w:r>
      <w:r>
        <w:rPr>
          <w:rFonts w:ascii="Arial" w:cs="Arial" w:eastAsia="Arial" w:hAnsi="Arial"/>
          <w:sz w:val="19"/>
          <w:szCs w:val="19"/>
          <w:color w:val="auto"/>
        </w:rPr>
        <w:t>: the up to $300,000,000 (or such lesser amount actually issued on the First Amendment Effective Date (or earlier pursuant to escrow arrangements to be agreed among the parties to the 2018 Senior Secured Notes Indenture)) in aggregate principal amount of second lien senior secured notes due 2023 of the Administrative Borrower which, if issued, will be issued pursuant to the 2018 Senior Secured Notes Indenture and the proceeds of which will be used to finance the purchase price of the ModSpace Acquisition, to effect the Debt Repayment and to pay the ModSpace Transaction Costs.</w:t>
      </w:r>
    </w:p>
    <w:p>
      <w:pPr>
        <w:spacing w:after="0" w:line="150" w:lineRule="exact"/>
        <w:rPr>
          <w:sz w:val="20"/>
          <w:szCs w:val="20"/>
          <w:color w:val="auto"/>
        </w:rPr>
      </w:pPr>
    </w:p>
    <w:p>
      <w:pPr>
        <w:jc w:val="both"/>
        <w:ind w:left="1960"/>
        <w:spacing w:after="0" w:line="263" w:lineRule="auto"/>
        <w:rPr>
          <w:sz w:val="20"/>
          <w:szCs w:val="20"/>
          <w:color w:val="auto"/>
        </w:rPr>
      </w:pPr>
      <w:r>
        <w:rPr>
          <w:rFonts w:ascii="Arial" w:cs="Arial" w:eastAsia="Arial" w:hAnsi="Arial"/>
          <w:sz w:val="22"/>
          <w:szCs w:val="22"/>
          <w:u w:val="single" w:color="auto"/>
          <w:color w:val="auto"/>
        </w:rPr>
        <w:t>2018 Senior Secured Notes Collateral Agent</w:t>
      </w:r>
      <w:r>
        <w:rPr>
          <w:rFonts w:ascii="Arial" w:cs="Arial" w:eastAsia="Arial" w:hAnsi="Arial"/>
          <w:sz w:val="22"/>
          <w:szCs w:val="22"/>
          <w:color w:val="auto"/>
        </w:rPr>
        <w:t>: the collateral agent named under the 2018 Senior Secured Notes Indenture and its successors and assigns.</w:t>
      </w:r>
    </w:p>
    <w:p>
      <w:pPr>
        <w:spacing w:after="0" w:line="175" w:lineRule="exact"/>
        <w:rPr>
          <w:sz w:val="20"/>
          <w:szCs w:val="20"/>
          <w:color w:val="auto"/>
        </w:rPr>
      </w:pPr>
    </w:p>
    <w:p>
      <w:pPr>
        <w:jc w:val="both"/>
        <w:ind w:left="1960"/>
        <w:spacing w:after="0" w:line="263" w:lineRule="auto"/>
        <w:rPr>
          <w:sz w:val="20"/>
          <w:szCs w:val="20"/>
          <w:color w:val="auto"/>
        </w:rPr>
      </w:pPr>
      <w:r>
        <w:rPr>
          <w:rFonts w:ascii="Arial" w:cs="Arial" w:eastAsia="Arial" w:hAnsi="Arial"/>
          <w:sz w:val="22"/>
          <w:szCs w:val="22"/>
          <w:u w:val="single" w:color="auto"/>
          <w:color w:val="auto"/>
        </w:rPr>
        <w:t>2018 Senior Secured Notes Documents</w:t>
      </w:r>
      <w:r>
        <w:rPr>
          <w:rFonts w:ascii="Arial" w:cs="Arial" w:eastAsia="Arial" w:hAnsi="Arial"/>
          <w:sz w:val="22"/>
          <w:szCs w:val="22"/>
          <w:color w:val="auto"/>
        </w:rPr>
        <w:t>: the 2018 Senior Secured Notes Indenture, the 2018 Senior Secured Notes and the 2018 Senior Secured Notes Security Documents.</w:t>
      </w:r>
    </w:p>
    <w:p>
      <w:pPr>
        <w:sectPr>
          <w:pgSz w:w="11900" w:h="16838" w:orient="portrait"/>
          <w:cols w:equalWidth="0" w:num="1">
            <w:col w:w="11420"/>
          </w:cols>
          <w:pgMar w:left="240" w:top="585" w:right="239" w:bottom="1440" w:gutter="0" w:footer="0" w:header="0"/>
        </w:sectPr>
      </w:pPr>
    </w:p>
    <w:bookmarkStart w:id="59" w:name="page60"/>
    <w:bookmarkEnd w:id="59"/>
    <w:p>
      <w:pPr>
        <w:jc w:val="both"/>
        <w:ind w:left="760"/>
        <w:spacing w:after="0" w:line="263" w:lineRule="auto"/>
        <w:rPr>
          <w:sz w:val="20"/>
          <w:szCs w:val="20"/>
          <w:color w:val="auto"/>
        </w:rPr>
      </w:pPr>
      <w:r>
        <w:rPr>
          <w:rFonts w:ascii="Arial" w:cs="Arial" w:eastAsia="Arial" w:hAnsi="Arial"/>
          <w:sz w:val="22"/>
          <w:szCs w:val="22"/>
          <w:u w:val="single" w:color="auto"/>
          <w:color w:val="auto"/>
        </w:rPr>
        <w:t>2018 Senior Secured Notes Guarantors</w:t>
      </w:r>
      <w:r>
        <w:rPr>
          <w:rFonts w:ascii="Arial" w:cs="Arial" w:eastAsia="Arial" w:hAnsi="Arial"/>
          <w:sz w:val="22"/>
          <w:szCs w:val="22"/>
          <w:color w:val="auto"/>
        </w:rPr>
        <w:t>: the guarantors from time to time party to the 2018 Senior Secured Notes Indenture or any other 2018 Senior Secured Notes Document.</w:t>
      </w:r>
    </w:p>
    <w:p>
      <w:pPr>
        <w:spacing w:after="0" w:line="175" w:lineRule="exact"/>
        <w:rPr>
          <w:sz w:val="20"/>
          <w:szCs w:val="20"/>
          <w:color w:val="auto"/>
        </w:rPr>
      </w:pPr>
    </w:p>
    <w:p>
      <w:pPr>
        <w:jc w:val="both"/>
        <w:ind w:left="760"/>
        <w:spacing w:after="0" w:line="302" w:lineRule="auto"/>
        <w:rPr>
          <w:sz w:val="20"/>
          <w:szCs w:val="20"/>
          <w:color w:val="auto"/>
        </w:rPr>
      </w:pPr>
      <w:r>
        <w:rPr>
          <w:rFonts w:ascii="Arial" w:cs="Arial" w:eastAsia="Arial" w:hAnsi="Arial"/>
          <w:sz w:val="19"/>
          <w:szCs w:val="19"/>
          <w:u w:val="single" w:color="auto"/>
          <w:color w:val="auto"/>
        </w:rPr>
        <w:t>2018 Senior Secured Notes Indenture</w:t>
      </w:r>
      <w:r>
        <w:rPr>
          <w:rFonts w:ascii="Arial" w:cs="Arial" w:eastAsia="Arial" w:hAnsi="Arial"/>
          <w:sz w:val="19"/>
          <w:szCs w:val="19"/>
          <w:color w:val="auto"/>
        </w:rPr>
        <w:t>: the Indenture which, if executed and delivered, will be dated as of the First Amendment Effective Date (or earlier pursuant to escrow arrangements to be agreed among the parties thereto) among the Administrative Borrower, the 2018 Senior Secured Notes Trustee thereunder, the 2018 Senior Secured Notes Collateral Agent thereunder and the 2018 Senior Secured Notes Guarantors.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2018 Senior Secured Notes Security Documents</w:t>
      </w:r>
      <w:r>
        <w:rPr>
          <w:rFonts w:ascii="Arial" w:cs="Arial" w:eastAsia="Arial" w:hAnsi="Arial"/>
          <w:sz w:val="22"/>
          <w:szCs w:val="22"/>
          <w:color w:val="auto"/>
        </w:rPr>
        <w:t>: the “Security Documents” (or similar term) as defined in the 2018 Senior Secured Notes Indenture.</w:t>
      </w:r>
    </w:p>
    <w:p>
      <w:pPr>
        <w:spacing w:after="0" w:line="175"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22"/>
          <w:szCs w:val="22"/>
          <w:u w:val="single" w:color="auto"/>
          <w:color w:val="auto"/>
        </w:rPr>
        <w:t>2018 Senior Secured Notes Trustee</w:t>
      </w:r>
      <w:r>
        <w:rPr>
          <w:rFonts w:ascii="Arial" w:cs="Arial" w:eastAsia="Arial" w:hAnsi="Arial"/>
          <w:sz w:val="22"/>
          <w:szCs w:val="22"/>
          <w:color w:val="auto"/>
        </w:rPr>
        <w:t>: the trustee named under the 2018 Senior Secured Note Indenture and its successors and assigns.</w:t>
      </w:r>
    </w:p>
    <w:p>
      <w:pPr>
        <w:spacing w:after="0" w:line="175" w:lineRule="exact"/>
        <w:rPr>
          <w:sz w:val="20"/>
          <w:szCs w:val="20"/>
          <w:color w:val="auto"/>
        </w:rPr>
      </w:pPr>
    </w:p>
    <w:p>
      <w:pPr>
        <w:jc w:val="both"/>
        <w:ind w:left="760"/>
        <w:spacing w:after="0" w:line="250" w:lineRule="auto"/>
        <w:rPr>
          <w:sz w:val="20"/>
          <w:szCs w:val="20"/>
          <w:color w:val="auto"/>
        </w:rPr>
      </w:pPr>
      <w:r>
        <w:rPr>
          <w:rFonts w:ascii="Arial" w:cs="Arial" w:eastAsia="Arial" w:hAnsi="Arial"/>
          <w:sz w:val="22"/>
          <w:szCs w:val="22"/>
          <w:u w:val="single" w:color="auto"/>
          <w:color w:val="auto"/>
        </w:rPr>
        <w:t>2018 Senior Unsecured Bridge Credit Agreement</w:t>
      </w:r>
      <w:r>
        <w:rPr>
          <w:rFonts w:ascii="Arial" w:cs="Arial" w:eastAsia="Arial" w:hAnsi="Arial"/>
          <w:sz w:val="22"/>
          <w:szCs w:val="22"/>
          <w:color w:val="auto"/>
        </w:rPr>
        <w:t>: the Senior Bridge Credit Agreement which, if executed and delivered, will be dated as of the First Amendment Effective Date among the Administrative Borrower, any guarantors party thereto, the lenders party thereto and Deutsche Bank AG Cayman Islands Branch (or an affiliate thereof) as administrative agent.</w:t>
      </w:r>
    </w:p>
    <w:p>
      <w:pPr>
        <w:spacing w:after="0" w:line="188"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22"/>
          <w:szCs w:val="22"/>
          <w:u w:val="single" w:color="auto"/>
          <w:color w:val="auto"/>
        </w:rPr>
        <w:t>2018 Senior Unsecured Bridge Documents</w:t>
      </w:r>
      <w:r>
        <w:rPr>
          <w:rFonts w:ascii="Arial" w:cs="Arial" w:eastAsia="Arial" w:hAnsi="Arial"/>
          <w:sz w:val="22"/>
          <w:szCs w:val="22"/>
          <w:color w:val="auto"/>
        </w:rPr>
        <w:t>: the 2018 Senior Unsecured Bridge Credit Agreement and the “Loan Documents” (or similar term) as defined therein.</w:t>
      </w:r>
    </w:p>
    <w:p>
      <w:pPr>
        <w:spacing w:after="0" w:line="175" w:lineRule="exact"/>
        <w:rPr>
          <w:sz w:val="20"/>
          <w:szCs w:val="20"/>
          <w:color w:val="auto"/>
        </w:rPr>
      </w:pPr>
    </w:p>
    <w:p>
      <w:pPr>
        <w:jc w:val="both"/>
        <w:ind w:left="760"/>
        <w:spacing w:after="0" w:line="297" w:lineRule="auto"/>
        <w:rPr>
          <w:sz w:val="20"/>
          <w:szCs w:val="20"/>
          <w:color w:val="auto"/>
        </w:rPr>
      </w:pPr>
      <w:r>
        <w:rPr>
          <w:rFonts w:ascii="Arial" w:cs="Arial" w:eastAsia="Arial" w:hAnsi="Arial"/>
          <w:sz w:val="19"/>
          <w:szCs w:val="19"/>
          <w:u w:val="single" w:color="auto"/>
          <w:color w:val="auto"/>
        </w:rPr>
        <w:t>2018 Senior Unsecured Bridge Facility</w:t>
      </w:r>
      <w:r>
        <w:rPr>
          <w:rFonts w:ascii="Arial" w:cs="Arial" w:eastAsia="Arial" w:hAnsi="Arial"/>
          <w:sz w:val="19"/>
          <w:szCs w:val="19"/>
          <w:color w:val="auto"/>
        </w:rPr>
        <w:t>: the senior unsecured credit facility of the Administrative Borrower in an aggregate principal amount of up to $326,400,000 (or such lesser amount actually incurred thereunder on the First Amendment Effective Date) which, if incurred, will be incurred pursuant to the 2018 Senior Unsecured Bridge Credit Agreement and the proceeds of which will be used to finance the purchase price of the ModSpace Acquisition, to effect the Debt Repayment and to pay the ModSpace Transaction Costs.</w:t>
      </w:r>
    </w:p>
    <w:p>
      <w:pPr>
        <w:spacing w:after="0" w:line="147" w:lineRule="exact"/>
        <w:rPr>
          <w:sz w:val="20"/>
          <w:szCs w:val="20"/>
          <w:color w:val="auto"/>
        </w:rPr>
      </w:pPr>
    </w:p>
    <w:p>
      <w:pPr>
        <w:jc w:val="both"/>
        <w:ind w:left="760"/>
        <w:spacing w:after="0" w:line="294" w:lineRule="auto"/>
        <w:rPr>
          <w:sz w:val="20"/>
          <w:szCs w:val="20"/>
          <w:color w:val="auto"/>
        </w:rPr>
      </w:pPr>
      <w:r>
        <w:rPr>
          <w:rFonts w:ascii="Arial" w:cs="Arial" w:eastAsia="Arial" w:hAnsi="Arial"/>
          <w:sz w:val="19"/>
          <w:szCs w:val="19"/>
          <w:u w:val="single" w:color="auto"/>
          <w:color w:val="auto"/>
        </w:rPr>
        <w:t>2018 Senior Unsecured Notes</w:t>
      </w:r>
      <w:r>
        <w:rPr>
          <w:rFonts w:ascii="Arial" w:cs="Arial" w:eastAsia="Arial" w:hAnsi="Arial"/>
          <w:sz w:val="19"/>
          <w:szCs w:val="19"/>
          <w:color w:val="auto"/>
        </w:rPr>
        <w:t>: the up to $326,400,000 (or such lesser amount actually issued on the First Amendment Effective Date (or earlier pursuant to escrow arrangements to be agreed among the parties to the 2018 Senior Unsecured Notes Indenture)) in aggregate principal amount of senior unsecured notes due 2026 of the Administrative Borrower which, if issued, will be issued pursuant to the 2018 Senior Unsecured Notes Indenture and the proceeds of which will be used to finance the purchase price of the ModSpace Acquisition, to effect the Debt Repayment and to pay the ModSpace Transaction Costs.</w:t>
      </w:r>
    </w:p>
    <w:p>
      <w:pPr>
        <w:spacing w:after="0" w:line="150"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2018 Senior Unsecured Notes Documents</w:t>
      </w:r>
      <w:r>
        <w:rPr>
          <w:rFonts w:ascii="Arial" w:cs="Arial" w:eastAsia="Arial" w:hAnsi="Arial"/>
          <w:sz w:val="22"/>
          <w:szCs w:val="22"/>
          <w:color w:val="auto"/>
        </w:rPr>
        <w:t>: the 2018 Senior Unsecured Notes Indenture and the 2018 Senior Unsecured Notes.</w:t>
      </w:r>
    </w:p>
    <w:p>
      <w:pPr>
        <w:spacing w:after="0" w:line="175"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22"/>
          <w:szCs w:val="22"/>
          <w:u w:val="single" w:color="auto"/>
          <w:color w:val="auto"/>
        </w:rPr>
        <w:t>2018 Senior Unsecured Notes Guarantors</w:t>
      </w:r>
      <w:r>
        <w:rPr>
          <w:rFonts w:ascii="Arial" w:cs="Arial" w:eastAsia="Arial" w:hAnsi="Arial"/>
          <w:sz w:val="22"/>
          <w:szCs w:val="22"/>
          <w:color w:val="auto"/>
        </w:rPr>
        <w:t>: the guarantors from time to time party to the 2018 Senior Unsecured Notes Indenture or any other 2018 Senior Secured Notes Document.</w:t>
      </w:r>
    </w:p>
    <w:p>
      <w:pPr>
        <w:spacing w:after="0" w:line="175"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2018 Senior Unsecured Notes Indenture</w:t>
      </w:r>
      <w:r>
        <w:rPr>
          <w:rFonts w:ascii="Arial" w:cs="Arial" w:eastAsia="Arial" w:hAnsi="Arial"/>
          <w:sz w:val="22"/>
          <w:szCs w:val="22"/>
          <w:color w:val="auto"/>
        </w:rPr>
        <w:t>: the Indenture which, if executed and delivered, will be dated as of the First Amendment Effective Date (or earlier pursuant</w:t>
      </w:r>
    </w:p>
    <w:p>
      <w:pPr>
        <w:sectPr>
          <w:pgSz w:w="11900" w:h="16838" w:orient="portrait"/>
          <w:cols w:equalWidth="0" w:num="1">
            <w:col w:w="10220"/>
          </w:cols>
          <w:pgMar w:left="1440" w:top="591" w:right="239" w:bottom="1440" w:gutter="0" w:footer="0" w:header="0"/>
        </w:sectPr>
      </w:pPr>
    </w:p>
    <w:bookmarkStart w:id="60" w:name="page61"/>
    <w:bookmarkEnd w:id="60"/>
    <w:p>
      <w:pPr>
        <w:jc w:val="both"/>
        <w:ind w:left="760"/>
        <w:spacing w:after="0" w:line="287" w:lineRule="auto"/>
        <w:rPr>
          <w:sz w:val="20"/>
          <w:szCs w:val="20"/>
          <w:color w:val="auto"/>
        </w:rPr>
      </w:pPr>
      <w:r>
        <w:rPr>
          <w:rFonts w:ascii="Arial" w:cs="Arial" w:eastAsia="Arial" w:hAnsi="Arial"/>
          <w:sz w:val="21"/>
          <w:szCs w:val="21"/>
          <w:color w:val="auto"/>
        </w:rPr>
        <w:t>to escrow arrangements to be agreed among the parties thereto) among the Administrative Borrower, the 2018 Senior Unsecured Notes Trustee and the 2018 Senior Unsecured Notes Guarantors.</w:t>
      </w:r>
    </w:p>
    <w:p>
      <w:pPr>
        <w:spacing w:after="0" w:line="152"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2018 Senior Unsecured Notes Trustee</w:t>
      </w:r>
      <w:r>
        <w:rPr>
          <w:rFonts w:ascii="Arial" w:cs="Arial" w:eastAsia="Arial" w:hAnsi="Arial"/>
          <w:sz w:val="22"/>
          <w:szCs w:val="22"/>
          <w:color w:val="auto"/>
        </w:rPr>
        <w:t>: the trustee named under the 2018 Senior Unsecured Notes Indenture and its successors and assigns.</w:t>
      </w:r>
    </w:p>
    <w:p>
      <w:pPr>
        <w:spacing w:after="0" w:line="175"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required by the Beneficial Ownership Regulation.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220" w:lineRule="exact"/>
        <w:rPr>
          <w:sz w:val="20"/>
          <w:szCs w:val="20"/>
          <w:color w:val="auto"/>
        </w:rPr>
      </w:pPr>
    </w:p>
    <w:p>
      <w:pPr>
        <w:jc w:val="both"/>
        <w:ind w:left="760"/>
        <w:spacing w:after="0" w:line="253" w:lineRule="auto"/>
        <w:rPr>
          <w:sz w:val="20"/>
          <w:szCs w:val="20"/>
          <w:color w:val="auto"/>
        </w:rPr>
      </w:pPr>
      <w:r>
        <w:rPr>
          <w:rFonts w:ascii="Arial" w:cs="Arial" w:eastAsia="Arial" w:hAnsi="Arial"/>
          <w:sz w:val="22"/>
          <w:szCs w:val="22"/>
          <w:u w:val="single" w:color="auto"/>
          <w:color w:val="auto"/>
        </w:rPr>
        <w:t>Debt Repayment</w:t>
      </w:r>
      <w:r>
        <w:rPr>
          <w:rFonts w:ascii="Arial" w:cs="Arial" w:eastAsia="Arial" w:hAnsi="Arial"/>
          <w:sz w:val="22"/>
          <w:szCs w:val="22"/>
          <w:color w:val="auto"/>
        </w:rPr>
        <w:t>: the repayment or other satisfaction and discharge of all indebtedness and other amounts owed under ModSpace’s Fourth Amended and Restated Loan and Security Agreement dated as of March 2, 2017 and the termination of any related liens and guarantees.</w:t>
      </w:r>
    </w:p>
    <w:p>
      <w:pPr>
        <w:spacing w:after="0" w:line="186" w:lineRule="exact"/>
        <w:rPr>
          <w:sz w:val="20"/>
          <w:szCs w:val="20"/>
          <w:color w:val="auto"/>
        </w:rPr>
      </w:pPr>
    </w:p>
    <w:p>
      <w:pPr>
        <w:jc w:val="both"/>
        <w:ind w:left="760"/>
        <w:spacing w:after="0" w:line="253" w:lineRule="auto"/>
        <w:rPr>
          <w:sz w:val="20"/>
          <w:szCs w:val="20"/>
          <w:color w:val="auto"/>
        </w:rPr>
      </w:pPr>
      <w:r>
        <w:rPr>
          <w:rFonts w:ascii="Arial" w:cs="Arial" w:eastAsia="Arial" w:hAnsi="Arial"/>
          <w:sz w:val="22"/>
          <w:szCs w:val="22"/>
          <w:u w:val="single" w:color="auto"/>
          <w:color w:val="auto"/>
        </w:rPr>
        <w:t>First Amendment Agreement</w:t>
      </w:r>
      <w:r>
        <w:rPr>
          <w:rFonts w:ascii="Arial" w:cs="Arial" w:eastAsia="Arial" w:hAnsi="Arial"/>
          <w:sz w:val="22"/>
          <w:szCs w:val="22"/>
          <w:color w:val="auto"/>
        </w:rPr>
        <w:t>: the First Amendment to this Agreement dated as of July 9, 2018 among the Borrowers, Holdings, the other Loan Parties party thereto, the Lenders party thereto and Bank of America, N.A., as administrative agent and collateral agent.</w:t>
      </w:r>
    </w:p>
    <w:p>
      <w:pPr>
        <w:spacing w:after="0" w:line="186" w:lineRule="exact"/>
        <w:rPr>
          <w:sz w:val="20"/>
          <w:szCs w:val="20"/>
          <w:color w:val="auto"/>
        </w:rPr>
      </w:pPr>
    </w:p>
    <w:p>
      <w:pPr>
        <w:jc w:val="both"/>
        <w:ind w:left="760"/>
        <w:spacing w:after="0" w:line="263" w:lineRule="auto"/>
        <w:rPr>
          <w:sz w:val="20"/>
          <w:szCs w:val="20"/>
          <w:color w:val="auto"/>
        </w:rPr>
      </w:pP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the First Amendment Effective Date (as defined in the First Amendment Agreement).</w:t>
      </w:r>
    </w:p>
    <w:p>
      <w:pPr>
        <w:spacing w:after="0" w:line="169" w:lineRule="exact"/>
        <w:rPr>
          <w:sz w:val="20"/>
          <w:szCs w:val="20"/>
          <w:color w:val="auto"/>
        </w:rPr>
      </w:pPr>
    </w:p>
    <w:p>
      <w:pPr>
        <w:jc w:val="both"/>
        <w:ind w:left="760"/>
        <w:spacing w:after="0" w:line="256" w:lineRule="auto"/>
        <w:rPr>
          <w:sz w:val="20"/>
          <w:szCs w:val="20"/>
          <w:color w:val="auto"/>
        </w:rPr>
      </w:pPr>
      <w:r>
        <w:rPr>
          <w:rFonts w:ascii="Arial" w:cs="Arial" w:eastAsia="Arial" w:hAnsi="Arial"/>
          <w:sz w:val="22"/>
          <w:szCs w:val="22"/>
          <w:b w:val="1"/>
          <w:bCs w:val="1"/>
          <w:u w:val="single" w:color="auto"/>
          <w:color w:val="auto"/>
        </w:rPr>
        <w:t>Interest Coverage Ratio</w:t>
      </w:r>
      <w:r>
        <w:rPr>
          <w:rFonts w:ascii="Arial" w:cs="Arial" w:eastAsia="Arial" w:hAnsi="Arial"/>
          <w:sz w:val="22"/>
          <w:szCs w:val="22"/>
          <w:color w:val="auto"/>
        </w:rPr>
        <w:t>: for any Test Period, and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color w:val="auto"/>
        </w:rPr>
        <w:t>, the ratio of (a)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EBITDA for such Test Period to (b) to the extent paid in cash during such Test Period, Consolidated Interest Expense for such Test Period.</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ModSpace</w:t>
      </w:r>
      <w:r>
        <w:rPr>
          <w:rFonts w:ascii="Arial" w:cs="Arial" w:eastAsia="Arial" w:hAnsi="Arial"/>
          <w:sz w:val="22"/>
          <w:szCs w:val="22"/>
          <w:color w:val="auto"/>
        </w:rPr>
        <w:t>: Modular Space Holdings, Inc., a Delaware corporation.</w:t>
      </w:r>
    </w:p>
    <w:p>
      <w:pPr>
        <w:spacing w:after="0" w:line="220" w:lineRule="exact"/>
        <w:rPr>
          <w:sz w:val="20"/>
          <w:szCs w:val="20"/>
          <w:color w:val="auto"/>
        </w:rPr>
      </w:pPr>
    </w:p>
    <w:p>
      <w:pPr>
        <w:jc w:val="both"/>
        <w:ind w:left="760"/>
        <w:spacing w:after="0" w:line="302" w:lineRule="auto"/>
        <w:rPr>
          <w:sz w:val="20"/>
          <w:szCs w:val="20"/>
          <w:color w:val="auto"/>
        </w:rPr>
      </w:pPr>
      <w:r>
        <w:rPr>
          <w:rFonts w:ascii="Arial" w:cs="Arial" w:eastAsia="Arial" w:hAnsi="Arial"/>
          <w:sz w:val="19"/>
          <w:szCs w:val="19"/>
          <w:u w:val="single" w:color="auto"/>
          <w:color w:val="auto"/>
        </w:rPr>
        <w:t>ModSpace Acquisition</w:t>
      </w:r>
      <w:r>
        <w:rPr>
          <w:rFonts w:ascii="Arial" w:cs="Arial" w:eastAsia="Arial" w:hAnsi="Arial"/>
          <w:sz w:val="19"/>
          <w:szCs w:val="19"/>
          <w:color w:val="auto"/>
        </w:rPr>
        <w:t>: the acquisition of ModSpace by the Administrative Borrower pursuant to the ModSpace Acquisition Agreement, as a result of which Mason Merger Sub, Inc., a Delaware corporation, will merge with and into ModSpace, with ModSpace being the surviving corporation of the merger and, upon consummation of the merger, a wholly-owned subsidiary of the Administrative Borrower.</w:t>
      </w:r>
    </w:p>
    <w:p>
      <w:pPr>
        <w:spacing w:after="0" w:line="143" w:lineRule="exact"/>
        <w:rPr>
          <w:sz w:val="20"/>
          <w:szCs w:val="20"/>
          <w:color w:val="auto"/>
        </w:rPr>
      </w:pPr>
    </w:p>
    <w:p>
      <w:pPr>
        <w:jc w:val="both"/>
        <w:ind w:left="760"/>
        <w:spacing w:after="0" w:line="250" w:lineRule="auto"/>
        <w:rPr>
          <w:sz w:val="20"/>
          <w:szCs w:val="20"/>
          <w:color w:val="auto"/>
        </w:rPr>
      </w:pPr>
      <w:r>
        <w:rPr>
          <w:rFonts w:ascii="Arial" w:cs="Arial" w:eastAsia="Arial" w:hAnsi="Arial"/>
          <w:sz w:val="22"/>
          <w:szCs w:val="22"/>
          <w:u w:val="single" w:color="auto"/>
          <w:color w:val="auto"/>
        </w:rPr>
        <w:t>ModSpace Acquisition Agreement</w:t>
      </w:r>
      <w:r>
        <w:rPr>
          <w:rFonts w:ascii="Arial" w:cs="Arial" w:eastAsia="Arial" w:hAnsi="Arial"/>
          <w:sz w:val="22"/>
          <w:szCs w:val="22"/>
          <w:color w:val="auto"/>
        </w:rPr>
        <w:t>: that certain Agreement and Plan of Merger dated as of June 21, 2018 (together with the exhibits, annexes, schedules and other disclosure letters thereto) by and among ModSpace, the Parent, Mason Merger Sub, Inc., and Nanoma LLC, solely in its capacity as the representative of the Holders (as defined therein).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ModSpace Transaction Costs</w:t>
      </w:r>
      <w:r>
        <w:rPr>
          <w:rFonts w:ascii="Arial" w:cs="Arial" w:eastAsia="Arial" w:hAnsi="Arial"/>
          <w:sz w:val="22"/>
          <w:szCs w:val="22"/>
          <w:color w:val="auto"/>
        </w:rPr>
        <w:t>: as defined in the definition of ModSpace Transactions.</w:t>
      </w:r>
    </w:p>
    <w:p>
      <w:pPr>
        <w:spacing w:after="0" w:line="220" w:lineRule="exact"/>
        <w:rPr>
          <w:sz w:val="20"/>
          <w:szCs w:val="20"/>
          <w:color w:val="auto"/>
        </w:rPr>
      </w:pPr>
    </w:p>
    <w:p>
      <w:pPr>
        <w:jc w:val="both"/>
        <w:ind w:left="760"/>
        <w:spacing w:after="0" w:line="297" w:lineRule="auto"/>
        <w:rPr>
          <w:sz w:val="20"/>
          <w:szCs w:val="20"/>
          <w:color w:val="auto"/>
        </w:rPr>
      </w:pPr>
      <w:r>
        <w:rPr>
          <w:rFonts w:ascii="Arial" w:cs="Arial" w:eastAsia="Arial" w:hAnsi="Arial"/>
          <w:sz w:val="19"/>
          <w:szCs w:val="19"/>
          <w:u w:val="single" w:color="auto"/>
          <w:color w:val="auto"/>
        </w:rPr>
        <w:t>ModSpace Transactions</w:t>
      </w:r>
      <w:r>
        <w:rPr>
          <w:rFonts w:ascii="Arial" w:cs="Arial" w:eastAsia="Arial" w:hAnsi="Arial"/>
          <w:sz w:val="19"/>
          <w:szCs w:val="19"/>
          <w:color w:val="auto"/>
        </w:rPr>
        <w:t>: collectively, (i) the ModSpace Acquisition, (ii) the Debt Repayment, (iii) the execution, delivery and performance of the First Amendment Agreement, (iv) the execution, delivery and performance of the 2018 Senior Secured Note Documents, the issuance of the 2018 Senior Secured Notes thereunder and the use of the proceeds thereof, (v) the execution, delivery and performance of the 2018 Senior Secured Bridge Documents, the issuance of the 2018 Senior Secured Bridge</w:t>
      </w:r>
    </w:p>
    <w:p>
      <w:pPr>
        <w:sectPr>
          <w:pgSz w:w="11900" w:h="16838" w:orient="portrait"/>
          <w:cols w:equalWidth="0" w:num="1">
            <w:col w:w="10220"/>
          </w:cols>
          <w:pgMar w:left="1440" w:top="591" w:right="239" w:bottom="1440" w:gutter="0" w:footer="0" w:header="0"/>
        </w:sectPr>
      </w:pPr>
    </w:p>
    <w:bookmarkStart w:id="61" w:name="page62"/>
    <w:bookmarkEnd w:id="61"/>
    <w:p>
      <w:pPr>
        <w:jc w:val="both"/>
        <w:ind w:left="1300"/>
        <w:spacing w:after="0" w:line="289" w:lineRule="auto"/>
        <w:rPr>
          <w:sz w:val="20"/>
          <w:szCs w:val="20"/>
          <w:color w:val="auto"/>
        </w:rPr>
      </w:pPr>
      <w:r>
        <w:rPr>
          <w:rFonts w:ascii="Arial" w:cs="Arial" w:eastAsia="Arial" w:hAnsi="Arial"/>
          <w:sz w:val="19"/>
          <w:szCs w:val="19"/>
          <w:color w:val="auto"/>
        </w:rPr>
        <w:t>Facility thereunder and the use of the proceeds thereof, (vi) the execution, delivery and performance of the 2018 Senior Unsecured Note Documents, the issuance of the 2018 Senior Unsecured Notes thereunder and the use of the proceeds thereof, (vii) the execution, delivery and performance of the 2018 Senior Unsecured Bridge Documents, the issuance of the 2018 Senior Unsecured Bridge Facility thereunder and the use of the proceeds thereof, (viii) the issuance of any Equity Interests (including securities convertible into Equity Interests) of Parent in connection with the foregoing and the use of proceeds thereof, (ix) the establishment of any Canadian Revolver Commitment Increase and any U.S. Revolver Commitment Increase in connection with the foregoing and the use of the proceeds thereof and (x) the payment of fees and expense incurred in connection with the foregoing (“</w:t>
      </w:r>
      <w:r>
        <w:rPr>
          <w:rFonts w:ascii="Arial" w:cs="Arial" w:eastAsia="Arial" w:hAnsi="Arial"/>
          <w:sz w:val="19"/>
          <w:szCs w:val="19"/>
          <w:u w:val="single" w:color="auto"/>
          <w:color w:val="auto"/>
        </w:rPr>
        <w:t>ModSpace Transaction Costs</w:t>
      </w:r>
      <w:r>
        <w:rPr>
          <w:rFonts w:ascii="Arial" w:cs="Arial" w:eastAsia="Arial" w:hAnsi="Arial"/>
          <w:sz w:val="19"/>
          <w:szCs w:val="19"/>
          <w:color w:val="auto"/>
        </w:rPr>
        <w:t>”).</w:t>
      </w:r>
    </w:p>
    <w:p>
      <w:pPr>
        <w:spacing w:after="0" w:line="158" w:lineRule="exact"/>
        <w:rPr>
          <w:sz w:val="20"/>
          <w:szCs w:val="20"/>
          <w:color w:val="auto"/>
        </w:rPr>
      </w:pPr>
    </w:p>
    <w:p>
      <w:pPr>
        <w:jc w:val="both"/>
        <w:ind w:firstLine="1293"/>
        <w:spacing w:after="0" w:line="253" w:lineRule="auto"/>
        <w:tabs>
          <w:tab w:leader="none" w:pos="21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definition of “Borrowing Base Test Event”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each reference to the amount “$50,000,000” therein with the amount “$135,000,000”.</w:t>
      </w:r>
    </w:p>
    <w:p>
      <w:pPr>
        <w:spacing w:after="0" w:line="226" w:lineRule="exact"/>
        <w:rPr>
          <w:rFonts w:ascii="Arial" w:cs="Arial" w:eastAsia="Arial" w:hAnsi="Arial"/>
          <w:sz w:val="22"/>
          <w:szCs w:val="22"/>
          <w:color w:val="auto"/>
        </w:rPr>
      </w:pPr>
    </w:p>
    <w:p>
      <w:pPr>
        <w:ind w:right="20" w:firstLine="1293"/>
        <w:spacing w:after="0" w:line="263" w:lineRule="auto"/>
        <w:tabs>
          <w:tab w:leader="none" w:pos="2185"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Clauses (h)</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(n)</w:t>
      </w:r>
      <w:r>
        <w:rPr>
          <w:rFonts w:ascii="Arial" w:cs="Arial" w:eastAsia="Arial" w:hAnsi="Arial"/>
          <w:sz w:val="22"/>
          <w:szCs w:val="22"/>
          <w:color w:val="auto"/>
        </w:rPr>
        <w:t xml:space="preserve"> of the definition of “Canadian LC Conditions”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are hereby amended and restated as follows: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“(h) Bank of America (Canada) and its Affiliates and branches shall not be required to issue any Canadian Letter of Credit if, after giving effect thereto, the aggregate amount of issued and outstanding Canadian Letters of Credit issued by Bank of America (Canada) and its Affiliates and branches would exceed the amount set forth opposite Bank of America (Canada)’s name on Schedule II to the First Amendment Agreement, unless otherwise agreed by Bank of America (Canada) in its sole discretion; (i) Deutsche Bank AG, Canada Branch and its Affiliates and branches shall not be required to issue any Canadian Letter of Credit if, after giving effect thereto, the aggregate amount of issued and outstanding Canadian Letters of Credit issued by Deutsche Bank AG, Canada Branch and its Affiliates and branches would exceed the amount set forth opposite Deutsche Bank AG, Canada Branch’s name on Schedule II to the First Amendment Agreement, unless otherwise agreed by Deutsche Bank AG, Canada Branch in its sole discretion; (j) Morgan Stanley Bank, N.A. and its Affiliates and branches shall not be required to issue any Canadian Letter of Credit if, after giving effect thereto, the aggregate amount of issued and outstanding Canadian Letters of Credit issued by Morgan Stanley Bank, N.A. and its Affiliates and branches would exceed the amount set forth opposite Morgan Stanley Bank, N.A.’s name on Schedule II to the First Amendment Agreement, unless otherwise agreed by Morgan Stanley Bank, N.A. in its sole discretion; (k) Credit Suisse AG, Cayman Islands Branch and its Affiliates and branches shall not be required to issue any Canadian Letter of Credit if, after giving effect thereto, the aggregate amount of issued and outstanding Canadian Letters of Credit issued by Credit Suisse AG, Cayman Islands Branch and its Affiliates and branches would exceed the amount set forth opposite Credit Suisse AG, Cayman Islands Branch’s name on Schedule II to the First Amendment Agreement, unless otherwise agreed by Credit Suisse AG, Cayman Islands Branch in its sole discretion; (l) ING Capital LLC and its Affiliates and branches shall not be required to issue any Canadian Letter of Credit if, after giving effect thereto, the aggregate amount of issued and outstanding Canadian Letters of Credit issued by ING Capital LLC and its Affiliates and branches would exceed the amount set forth opposite ING Capital LLC’s name on Schedule II to the First Amendment Agreement, unless otherwise agreed by ING Capital LLC in its sole discretion; (m) Barclays Bank PLC and its Affiliates and branches shall not be required to issue any Canadian Letter of Credit if, after giving effect thereto, the aggregate amount of issued and outstanding Canadian Letters of Credit issued by Barclays Bank PLC and its Affiliates and branches would exceed the amount set forth opposite Barclays Bank PLC’s name on Schedule II to the First Amendment</w:t>
      </w:r>
    </w:p>
    <w:p>
      <w:pPr>
        <w:sectPr>
          <w:pgSz w:w="11900" w:h="16838" w:orient="portrait"/>
          <w:cols w:equalWidth="0" w:num="1">
            <w:col w:w="10760"/>
          </w:cols>
          <w:pgMar w:left="900" w:top="591" w:right="239" w:bottom="1440" w:gutter="0" w:footer="0" w:header="0"/>
        </w:sectPr>
      </w:pPr>
    </w:p>
    <w:bookmarkStart w:id="62" w:name="page63"/>
    <w:bookmarkEnd w:id="62"/>
    <w:p>
      <w:pPr>
        <w:jc w:val="both"/>
        <w:ind w:left="4"/>
        <w:spacing w:after="0" w:line="302" w:lineRule="auto"/>
        <w:rPr>
          <w:sz w:val="20"/>
          <w:szCs w:val="20"/>
          <w:color w:val="auto"/>
        </w:rPr>
      </w:pPr>
      <w:r>
        <w:rPr>
          <w:rFonts w:ascii="Arial" w:cs="Arial" w:eastAsia="Arial" w:hAnsi="Arial"/>
          <w:sz w:val="19"/>
          <w:szCs w:val="19"/>
          <w:color w:val="auto"/>
        </w:rPr>
        <w:t>Agreement, unless otherwise agreed by Barclays Bank PLC in its sole discretion; (n) no Canadian Fronting Bank other than Bank of America (Canada) shall be required to issue any Canadian Letters of Credit that are time (usance) or documentary letters of credit and (o) the aggregate amount of issued and outstanding Canadian Letters of Credit that are time (usance) or documentary letters of credit shall not exceed the amount specified in clause (h) above.”.</w:t>
      </w:r>
    </w:p>
    <w:p>
      <w:pPr>
        <w:spacing w:after="0" w:line="143" w:lineRule="exact"/>
        <w:rPr>
          <w:sz w:val="20"/>
          <w:szCs w:val="20"/>
          <w:color w:val="auto"/>
        </w:rPr>
      </w:pPr>
    </w:p>
    <w:p>
      <w:pPr>
        <w:jc w:val="both"/>
        <w:ind w:left="4" w:right="20" w:firstLine="1293"/>
        <w:spacing w:after="0" w:line="253" w:lineRule="auto"/>
        <w:tabs>
          <w:tab w:leader="none" w:pos="2201"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The definition of “Canadian Letter of Credit Sublimit”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“$30,000,000” therein with the amount “$60,000,000”.</w:t>
      </w:r>
    </w:p>
    <w:p>
      <w:pPr>
        <w:spacing w:after="0" w:line="226" w:lineRule="exact"/>
        <w:rPr>
          <w:rFonts w:ascii="Arial" w:cs="Arial" w:eastAsia="Arial" w:hAnsi="Arial"/>
          <w:sz w:val="22"/>
          <w:szCs w:val="22"/>
          <w:color w:val="auto"/>
        </w:rPr>
      </w:pPr>
    </w:p>
    <w:p>
      <w:pPr>
        <w:ind w:left="4" w:firstLine="1293"/>
        <w:spacing w:after="0" w:line="343" w:lineRule="auto"/>
        <w:tabs>
          <w:tab w:leader="none" w:pos="218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The definition of “Canadian Swingline Commitment”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 is hereby amended by replacing the amount “$25,000,000” therein with the amount “$50,000,000”.</w:t>
      </w:r>
    </w:p>
    <w:p>
      <w:pPr>
        <w:spacing w:after="0" w:line="145" w:lineRule="exact"/>
        <w:rPr>
          <w:rFonts w:ascii="Arial" w:cs="Arial" w:eastAsia="Arial" w:hAnsi="Arial"/>
          <w:sz w:val="19"/>
          <w:szCs w:val="19"/>
          <w:color w:val="auto"/>
        </w:rPr>
      </w:pPr>
    </w:p>
    <w:p>
      <w:pPr>
        <w:jc w:val="both"/>
        <w:ind w:left="4" w:firstLine="1293"/>
        <w:spacing w:after="0" w:line="253" w:lineRule="auto"/>
        <w:tabs>
          <w:tab w:leader="none" w:pos="2165"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The definition of “Cash Dominion Event”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each reference to the amount “$50,000,000” therein with the amount “$135,000,000”.</w:t>
      </w:r>
    </w:p>
    <w:p>
      <w:pPr>
        <w:spacing w:after="0" w:line="226" w:lineRule="exact"/>
        <w:rPr>
          <w:rFonts w:ascii="Arial" w:cs="Arial" w:eastAsia="Arial" w:hAnsi="Arial"/>
          <w:sz w:val="22"/>
          <w:szCs w:val="22"/>
          <w:color w:val="auto"/>
        </w:rPr>
      </w:pPr>
    </w:p>
    <w:p>
      <w:pPr>
        <w:ind w:left="4" w:firstLine="1293"/>
        <w:spacing w:after="0" w:line="251" w:lineRule="auto"/>
        <w:tabs>
          <w:tab w:leader="none" w:pos="2201"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of the definition of “Change of Control”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 w:lineRule="exact"/>
        <w:rPr>
          <w:rFonts w:ascii="Arial" w:cs="Arial" w:eastAsia="Arial" w:hAnsi="Arial"/>
          <w:sz w:val="22"/>
          <w:szCs w:val="22"/>
          <w:color w:val="auto"/>
        </w:rPr>
      </w:pPr>
    </w:p>
    <w:p>
      <w:pPr>
        <w:jc w:val="both"/>
        <w:ind w:left="4"/>
        <w:spacing w:after="0" w:line="295" w:lineRule="auto"/>
        <w:rPr>
          <w:rFonts w:ascii="Arial" w:cs="Arial" w:eastAsia="Arial" w:hAnsi="Arial"/>
          <w:sz w:val="22"/>
          <w:szCs w:val="22"/>
          <w:color w:val="auto"/>
        </w:rPr>
      </w:pPr>
      <w:r>
        <w:rPr>
          <w:rFonts w:ascii="Arial" w:cs="Arial" w:eastAsia="Arial" w:hAnsi="Arial"/>
          <w:sz w:val="19"/>
          <w:szCs w:val="19"/>
          <w:color w:val="auto"/>
        </w:rPr>
        <w:t>“(d) a “change of control”, “change in control” or similar term as defined in any of the Senior Secured Notes Indenture, the 2018 Senior Secured Notes Indenture, the 2018 Senior Secured Bridge Credit Agreement, the 2018 Senior Unsecured Notes Indenture, the 2018 Senior Unsecured Bridge Credit Agreement or any other document, instrument or agreement evidencing or governing Indebtedness of a Loan Party or any Restricted Subsidiary in a principal amount in excess of $40,000,000”.</w:t>
      </w:r>
    </w:p>
    <w:p>
      <w:pPr>
        <w:spacing w:after="0" w:line="150" w:lineRule="exact"/>
        <w:rPr>
          <w:rFonts w:ascii="Arial" w:cs="Arial" w:eastAsia="Arial" w:hAnsi="Arial"/>
          <w:sz w:val="22"/>
          <w:szCs w:val="22"/>
          <w:color w:val="auto"/>
        </w:rPr>
      </w:pPr>
    </w:p>
    <w:p>
      <w:pPr>
        <w:ind w:left="4" w:firstLine="1293"/>
        <w:spacing w:after="0" w:line="251" w:lineRule="auto"/>
        <w:tabs>
          <w:tab w:leader="none" w:pos="2201"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Clause (h)</w:t>
      </w:r>
      <w:r>
        <w:rPr>
          <w:rFonts w:ascii="Arial" w:cs="Arial" w:eastAsia="Arial" w:hAnsi="Arial"/>
          <w:sz w:val="22"/>
          <w:szCs w:val="22"/>
          <w:color w:val="auto"/>
        </w:rPr>
        <w:t xml:space="preserve"> of the definition of “Consolidated EBITDA”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 w:lineRule="exact"/>
        <w:rPr>
          <w:sz w:val="20"/>
          <w:szCs w:val="20"/>
          <w:color w:val="auto"/>
        </w:rPr>
      </w:pPr>
    </w:p>
    <w:p>
      <w:pPr>
        <w:jc w:val="both"/>
        <w:ind w:left="4"/>
        <w:spacing w:after="0" w:line="281" w:lineRule="auto"/>
        <w:rPr>
          <w:sz w:val="20"/>
          <w:szCs w:val="20"/>
          <w:color w:val="auto"/>
        </w:rPr>
      </w:pPr>
      <w:r>
        <w:rPr>
          <w:rFonts w:ascii="Arial" w:cs="Arial" w:eastAsia="Arial" w:hAnsi="Arial"/>
          <w:sz w:val="19"/>
          <w:szCs w:val="19"/>
          <w:color w:val="auto"/>
        </w:rPr>
        <w:t xml:space="preserve">“(h) the amount of net cost savings, operating expense reductions, charges attributable to the undertaking and/or implementation of cost savings initiatives and improvements, business optimization and other restructuring and integration charges, and other synergies set forth in the model delivered to the Agent on June 5, 2018 (without duplication of any amounts added back pursuant to </w:t>
      </w:r>
      <w:r>
        <w:rPr>
          <w:rFonts w:ascii="Arial" w:cs="Arial" w:eastAsia="Arial" w:hAnsi="Arial"/>
          <w:sz w:val="19"/>
          <w:szCs w:val="19"/>
          <w:u w:val="single" w:color="auto"/>
          <w:color w:val="auto"/>
        </w:rPr>
        <w:t>Section 1.7(b)</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below or </w:t>
      </w:r>
      <w:r>
        <w:rPr>
          <w:rFonts w:ascii="Arial" w:cs="Arial" w:eastAsia="Arial" w:hAnsi="Arial"/>
          <w:sz w:val="19"/>
          <w:szCs w:val="19"/>
          <w:u w:val="single" w:color="auto"/>
          <w:color w:val="auto"/>
        </w:rPr>
        <w:t>clause (p)</w:t>
      </w:r>
      <w:r>
        <w:rPr>
          <w:rFonts w:ascii="Arial" w:cs="Arial" w:eastAsia="Arial" w:hAnsi="Arial"/>
          <w:sz w:val="19"/>
          <w:szCs w:val="19"/>
          <w:color w:val="auto"/>
        </w:rPr>
        <w:t xml:space="preserve"> below) projected by WS International in good faith to result from actions taken or expected to be taken within twenty-four (24) months following the First Amendment Effective Date (calculated on a pro forma basis as though such net cost savings, operating expense reductions, charges and other synergies had been realized on the first day of such period), net of the amount of actual benefits realized during such period from such actions (including, without limitation, business optimization costs, charges and expenses, costs and expenses incurred in connection with new product design, development and introductions, costs and expenses incurred in connection with intellectual property development and new systems design, and costs and expenses incurred in connection with the implementation, replacement, development or upgrade of operational, reporting and information technology systems and technology initiatives);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such net cost savings, operating expense reductions, charges or other synergies are reasonably identifiable (in the good faith determination of the Administrative Borrower) and quantifiable and reflected in each Compliance Certificate delivered to Agent for any Test Period in which such net cost savings, operating expense reductions, charges or other synergies are reflected in Consolidated EBITDA, and</w:t>
      </w:r>
    </w:p>
    <w:p>
      <w:pPr>
        <w:spacing w:after="0" w:line="12" w:lineRule="exact"/>
        <w:rPr>
          <w:sz w:val="20"/>
          <w:szCs w:val="20"/>
          <w:color w:val="auto"/>
        </w:rPr>
      </w:pPr>
    </w:p>
    <w:p>
      <w:pPr>
        <w:jc w:val="both"/>
        <w:ind w:left="4" w:hanging="4"/>
        <w:spacing w:after="0" w:line="245" w:lineRule="auto"/>
        <w:tabs>
          <w:tab w:leader="none" w:pos="311"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no net cost savings, operating expense reductions, charges or other synergies shall be added pursuant to this </w:t>
      </w:r>
      <w:r>
        <w:rPr>
          <w:rFonts w:ascii="Arial" w:cs="Arial" w:eastAsia="Arial" w:hAnsi="Arial"/>
          <w:sz w:val="22"/>
          <w:szCs w:val="22"/>
          <w:u w:val="single" w:color="auto"/>
          <w:color w:val="auto"/>
        </w:rPr>
        <w:t>clause (h)</w:t>
      </w:r>
      <w:r>
        <w:rPr>
          <w:rFonts w:ascii="Arial" w:cs="Arial" w:eastAsia="Arial" w:hAnsi="Arial"/>
          <w:sz w:val="22"/>
          <w:szCs w:val="22"/>
          <w:color w:val="auto"/>
        </w:rPr>
        <w:t xml:space="preserve"> to the extent duplicative of any expenses or charges relating to such net cost savings and operating improvements or synergies that are included pursuant to </w:t>
      </w:r>
      <w:r>
        <w:rPr>
          <w:rFonts w:ascii="Arial" w:cs="Arial" w:eastAsia="Arial" w:hAnsi="Arial"/>
          <w:sz w:val="22"/>
          <w:szCs w:val="22"/>
          <w:u w:val="single" w:color="auto"/>
          <w:color w:val="auto"/>
        </w:rPr>
        <w:t>Section</w:t>
      </w:r>
    </w:p>
    <w:p>
      <w:pPr>
        <w:sectPr>
          <w:pgSz w:w="11900" w:h="16838" w:orient="portrait"/>
          <w:cols w:equalWidth="0" w:num="1">
            <w:col w:w="10764"/>
          </w:cols>
          <w:pgMar w:left="896" w:top="591" w:right="239" w:bottom="1440" w:gutter="0" w:footer="0" w:header="0"/>
        </w:sectPr>
      </w:pPr>
    </w:p>
    <w:bookmarkStart w:id="63" w:name="page64"/>
    <w:bookmarkEnd w:id="63"/>
    <w:p>
      <w:pPr>
        <w:spacing w:after="0"/>
        <w:rPr>
          <w:sz w:val="20"/>
          <w:szCs w:val="20"/>
          <w:color w:val="auto"/>
        </w:rPr>
      </w:pPr>
      <w:r>
        <w:rPr>
          <w:rFonts w:ascii="Arial" w:cs="Arial" w:eastAsia="Arial" w:hAnsi="Arial"/>
          <w:sz w:val="19"/>
          <w:szCs w:val="19"/>
          <w:u w:val="single" w:color="auto"/>
          <w:color w:val="auto"/>
        </w:rPr>
        <w:t>1.7(b)</w:t>
      </w:r>
      <w:r>
        <w:rPr>
          <w:rFonts w:ascii="Arial" w:cs="Arial" w:eastAsia="Arial" w:hAnsi="Arial"/>
          <w:sz w:val="19"/>
          <w:szCs w:val="19"/>
          <w:color w:val="auto"/>
        </w:rPr>
        <w:t xml:space="preserve"> or added back to Consolidated EBITDA pursuant to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below or </w:t>
      </w:r>
      <w:r>
        <w:rPr>
          <w:rFonts w:ascii="Arial" w:cs="Arial" w:eastAsia="Arial" w:hAnsi="Arial"/>
          <w:sz w:val="19"/>
          <w:szCs w:val="19"/>
          <w:u w:val="single" w:color="auto"/>
          <w:color w:val="auto"/>
        </w:rPr>
        <w:t>clause (p)</w:t>
      </w:r>
      <w:r>
        <w:rPr>
          <w:rFonts w:ascii="Arial" w:cs="Arial" w:eastAsia="Arial" w:hAnsi="Arial"/>
          <w:sz w:val="19"/>
          <w:szCs w:val="19"/>
          <w:color w:val="auto"/>
        </w:rPr>
        <w:t xml:space="preserve"> below; plus”.</w:t>
      </w:r>
    </w:p>
    <w:p>
      <w:pPr>
        <w:spacing w:after="0" w:line="254" w:lineRule="exact"/>
        <w:rPr>
          <w:sz w:val="20"/>
          <w:szCs w:val="20"/>
          <w:color w:val="auto"/>
        </w:rPr>
      </w:pPr>
    </w:p>
    <w:p>
      <w:pPr>
        <w:ind w:right="140" w:firstLine="1293"/>
        <w:spacing w:after="0" w:line="271" w:lineRule="auto"/>
        <w:tabs>
          <w:tab w:leader="none" w:pos="2149"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the definition of “Consolidated EBITDA” appearing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Existing ABL Credit Agreement is hereby amended by replacing the words “the Transactions” therein and replacing them with “the Transactions but excluding, to the extent applicable, from the ModSpace Transactions”.</w:t>
      </w:r>
    </w:p>
    <w:p>
      <w:pPr>
        <w:spacing w:after="0" w:line="208" w:lineRule="exact"/>
        <w:rPr>
          <w:rFonts w:ascii="Arial" w:cs="Arial" w:eastAsia="Arial" w:hAnsi="Arial"/>
          <w:sz w:val="21"/>
          <w:szCs w:val="21"/>
          <w:color w:val="auto"/>
        </w:rPr>
      </w:pPr>
    </w:p>
    <w:p>
      <w:pPr>
        <w:jc w:val="both"/>
        <w:ind w:right="20" w:firstLine="1293"/>
        <w:spacing w:after="0" w:line="253" w:lineRule="auto"/>
        <w:tabs>
          <w:tab w:leader="none" w:pos="2149"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“Excluded Deposit Accounts”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“$1,000,000” in </w:t>
      </w:r>
      <w:r>
        <w:rPr>
          <w:rFonts w:ascii="Arial" w:cs="Arial" w:eastAsia="Arial" w:hAnsi="Arial"/>
          <w:sz w:val="22"/>
          <w:szCs w:val="22"/>
          <w:u w:val="single" w:color="auto"/>
          <w:color w:val="auto"/>
        </w:rPr>
        <w:t>clause (v)</w:t>
      </w:r>
      <w:r>
        <w:rPr>
          <w:rFonts w:ascii="Arial" w:cs="Arial" w:eastAsia="Arial" w:hAnsi="Arial"/>
          <w:sz w:val="22"/>
          <w:szCs w:val="22"/>
          <w:color w:val="auto"/>
        </w:rPr>
        <w:t xml:space="preserve"> thereof with the amount “$2,500,000”.</w:t>
      </w:r>
    </w:p>
    <w:p>
      <w:pPr>
        <w:spacing w:after="0" w:line="226" w:lineRule="exact"/>
        <w:rPr>
          <w:rFonts w:ascii="Arial" w:cs="Arial" w:eastAsia="Arial" w:hAnsi="Arial"/>
          <w:sz w:val="22"/>
          <w:szCs w:val="22"/>
          <w:color w:val="auto"/>
        </w:rPr>
      </w:pPr>
    </w:p>
    <w:p>
      <w:pPr>
        <w:ind w:firstLine="1293"/>
        <w:spacing w:after="0" w:line="251"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final proviso in the definition of “Excluded Subsidiary”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 w:lineRule="exact"/>
        <w:rPr>
          <w:rFonts w:ascii="Arial" w:cs="Arial" w:eastAsia="Arial" w:hAnsi="Arial"/>
          <w:sz w:val="22"/>
          <w:szCs w:val="22"/>
          <w:color w:val="auto"/>
        </w:rPr>
      </w:pPr>
    </w:p>
    <w:p>
      <w:pPr>
        <w:jc w:val="both"/>
        <w:spacing w:after="0" w:line="257"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i w:val="1"/>
          <w:iCs w:val="1"/>
          <w:color w:val="auto"/>
        </w:rPr>
        <w:t>provided</w:t>
      </w:r>
      <w:r>
        <w:rPr>
          <w:rFonts w:ascii="Arial" w:cs="Arial" w:eastAsia="Arial" w:hAnsi="Arial"/>
          <w:sz w:val="21"/>
          <w:szCs w:val="21"/>
          <w:color w:val="auto"/>
        </w:rPr>
        <w:t>, that no Subsidiary shall be an Excluded Subsidiary to the extent it is required to be or becomes a guarantor of (x) the Senior Secured Notes, the 2018 Senior Secured Notes, the 2018 Senior Secured Bridge Facility, the 2018 Senior Unsecured Notes or the 2018 Senior Unsecured Bridge Facility or (y) any other Indebtedness for borrowed money of a Loan Party in a principal amount in excess of $40,000,000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borrower with respect to Indebtedness for borrowed money described in this clause (y) is a Canadian Loan Party, then notwithstanding the foregoing proviso, such Subsidiary shall constitute an Excluded Subsidiary hereunder to the extent it would otherwise be excluded pursuant to clauses (d) and (i) of this definition)”.</w:t>
      </w:r>
    </w:p>
    <w:p>
      <w:pPr>
        <w:spacing w:after="0" w:line="184" w:lineRule="exact"/>
        <w:rPr>
          <w:rFonts w:ascii="Arial" w:cs="Arial" w:eastAsia="Arial" w:hAnsi="Arial"/>
          <w:sz w:val="22"/>
          <w:szCs w:val="22"/>
          <w:color w:val="auto"/>
        </w:rPr>
      </w:pPr>
    </w:p>
    <w:p>
      <w:pPr>
        <w:jc w:val="both"/>
        <w:ind w:firstLine="1293"/>
        <w:spacing w:after="0" w:line="253" w:lineRule="auto"/>
        <w:tabs>
          <w:tab w:leader="none" w:pos="2149"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“Financial Covenant Test Event”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each reference to the amount “$50,000,000” therein with the amount “$135,000,000”.</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225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“Loan Documents”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adding the text “the First Amendment Agreement,” immediately following the text “this Agreement,” therein.</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“Material Real Estate”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“$15,000,000” therein with the amount “$25,000,000”.</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“Maximum Canadian Facility Amount”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“$70,000,000” therein with the amount “$150,000,000”.</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“Maximum Revolver Facility Amount”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“$600,000,000” therein with the amount “$1,350,000,000”.</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21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“Maximum U.S. Facility Amount”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reference to the amount “$530,000,000” therein with the amount “$1,200,000,000”.</w:t>
      </w:r>
    </w:p>
    <w:p>
      <w:pPr>
        <w:spacing w:after="0" w:line="226" w:lineRule="exact"/>
        <w:rPr>
          <w:rFonts w:ascii="Arial" w:cs="Arial" w:eastAsia="Arial" w:hAnsi="Arial"/>
          <w:sz w:val="22"/>
          <w:szCs w:val="22"/>
          <w:color w:val="auto"/>
        </w:rPr>
      </w:pPr>
    </w:p>
    <w:p>
      <w:pPr>
        <w:ind w:firstLine="1293"/>
        <w:spacing w:after="0" w:line="263" w:lineRule="auto"/>
        <w:tabs>
          <w:tab w:leader="none" w:pos="2161"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definition of “Payment Condition”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in its entirety as follows:</w:t>
      </w:r>
    </w:p>
    <w:p>
      <w:pPr>
        <w:sectPr>
          <w:pgSz w:w="11900" w:h="16838" w:orient="portrait"/>
          <w:cols w:equalWidth="0" w:num="1">
            <w:col w:w="10760"/>
          </w:cols>
          <w:pgMar w:left="900" w:top="591" w:right="239" w:bottom="1440" w:gutter="0" w:footer="0" w:header="0"/>
        </w:sectPr>
      </w:pPr>
    </w:p>
    <w:bookmarkStart w:id="64" w:name="page65"/>
    <w:bookmarkEnd w:id="64"/>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Condition</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 immediately after giving effect to the Specified Transaction at issue, either:</w:t>
      </w:r>
    </w:p>
    <w:p>
      <w:pPr>
        <w:spacing w:after="0" w:line="220" w:lineRule="exact"/>
        <w:rPr>
          <w:sz w:val="20"/>
          <w:szCs w:val="20"/>
          <w:color w:val="auto"/>
        </w:rPr>
      </w:pPr>
    </w:p>
    <w:p>
      <w:pPr>
        <w:jc w:val="both"/>
        <w:ind w:left="640" w:firstLine="653"/>
        <w:spacing w:after="0" w:line="258" w:lineRule="auto"/>
        <w:tabs>
          <w:tab w:leader="none" w:pos="1741"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(a) as of the date such Specified Transaction is effected and for each day during the prior 30 day period (based on daily Excess Availability for such 30 day period), pro forma Excess Availability after giving effect to such Specified Transaction shall be greater than the greater of (i) 15% of the Line Cap and (ii) $150,000,000 and (b) the Borrowers shall be in compliance with each of the financial covenants contained in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(assuming, for the purposes of this determination, that a Financial Covenant Test Event has occurred) determined as of the most recent Test Period for which financial statements have been delivered pursuant to clause (a) or (b)(i) of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(on a trailing four quarter basis after giving pro forma effect to such Specified Transaction and each other Specified Transaction requiring pro forma effect under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that has occurred since the beginning of such four quarter period through the date of such Specified Transaction for which pro forma effect shall be given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1.7</w:t>
      </w:r>
      <w:r>
        <w:rPr>
          <w:rFonts w:ascii="Arial" w:cs="Arial" w:eastAsia="Arial" w:hAnsi="Arial"/>
          <w:sz w:val="21"/>
          <w:szCs w:val="21"/>
          <w:color w:val="auto"/>
        </w:rPr>
        <w:t>); or</w:t>
      </w:r>
    </w:p>
    <w:p>
      <w:pPr>
        <w:spacing w:after="0" w:line="186" w:lineRule="exact"/>
        <w:rPr>
          <w:sz w:val="20"/>
          <w:szCs w:val="20"/>
          <w:color w:val="auto"/>
        </w:rPr>
      </w:pPr>
    </w:p>
    <w:p>
      <w:pPr>
        <w:jc w:val="both"/>
        <w:ind w:left="640" w:firstLine="653"/>
        <w:spacing w:after="0" w:line="312" w:lineRule="auto"/>
        <w:tabs>
          <w:tab w:leader="none" w:pos="1853"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of the date such Specified Transaction is effected and for each day during the prior 30 day period (based on daily Excess Availability for such 30 day period), pro forma Excess Availability after giving effect to such Specified Transaction shall be greater than the greater of (i) 20% of the Line Cap and (ii) $200,000,000;</w:t>
      </w:r>
    </w:p>
    <w:p>
      <w:pPr>
        <w:spacing w:after="0" w:line="134" w:lineRule="exact"/>
        <w:rPr>
          <w:sz w:val="20"/>
          <w:szCs w:val="20"/>
          <w:color w:val="auto"/>
        </w:rPr>
      </w:pPr>
    </w:p>
    <w:p>
      <w:pPr>
        <w:ind w:left="640" w:firstLine="653"/>
        <w:spacing w:after="0" w:line="263" w:lineRule="auto"/>
        <w:tabs>
          <w:tab w:leader="none" w:pos="1859"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before or after giving effect to such Specified Transaction; and</w:t>
      </w:r>
    </w:p>
    <w:p>
      <w:pPr>
        <w:spacing w:after="0" w:line="174" w:lineRule="exact"/>
        <w:rPr>
          <w:rFonts w:ascii="Arial" w:cs="Arial" w:eastAsia="Arial" w:hAnsi="Arial"/>
          <w:sz w:val="22"/>
          <w:szCs w:val="22"/>
          <w:color w:val="auto"/>
        </w:rPr>
      </w:pPr>
    </w:p>
    <w:p>
      <w:pPr>
        <w:jc w:val="both"/>
        <w:ind w:left="640" w:firstLine="653"/>
        <w:spacing w:after="0" w:line="248" w:lineRule="auto"/>
        <w:tabs>
          <w:tab w:leader="none" w:pos="18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with respect to each Specified Transaction in an amount in excess of $100,000,000, receipt by the Agent of a certificate, signed by a Senior Officer, certifying as to the matters set forth in clauses (x) and (y) above and setting forth in reasonable detail any pro forma adjustments used in making such calculations that were not previously reflected in prior Compliance Certificates delivered thereunder, together with all relevant financial information in support of such calculations.”</w:t>
      </w:r>
    </w:p>
    <w:p>
      <w:pPr>
        <w:spacing w:after="0" w:line="192" w:lineRule="exact"/>
        <w:rPr>
          <w:sz w:val="20"/>
          <w:szCs w:val="20"/>
          <w:color w:val="auto"/>
        </w:rPr>
      </w:pPr>
    </w:p>
    <w:p>
      <w:pPr>
        <w:ind w:left="2160" w:hanging="867"/>
        <w:spacing w:after="0"/>
        <w:tabs>
          <w:tab w:leader="none" w:pos="21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The definition of “Permitted Lien”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hereby amended by:</w:t>
      </w:r>
    </w:p>
    <w:p>
      <w:pPr>
        <w:spacing w:after="0" w:line="242" w:lineRule="exact"/>
        <w:rPr>
          <w:rFonts w:ascii="Arial" w:cs="Arial" w:eastAsia="Arial" w:hAnsi="Arial"/>
          <w:sz w:val="19"/>
          <w:szCs w:val="19"/>
          <w:color w:val="auto"/>
        </w:rPr>
      </w:pPr>
    </w:p>
    <w:p>
      <w:pPr>
        <w:ind w:right="20" w:firstLine="888"/>
        <w:spacing w:after="0" w:line="343" w:lineRule="auto"/>
        <w:tabs>
          <w:tab w:leader="none" w:pos="148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replacing the reference to the amount “$5,000,000” therein with the amount “$10,000,000” and replacing the reference to the amount “$2,500,000” therein with the amount “$5,000,000”, in each case, in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thereof; and</w:t>
      </w:r>
    </w:p>
    <w:p>
      <w:pPr>
        <w:spacing w:after="0" w:line="145" w:lineRule="exact"/>
        <w:rPr>
          <w:rFonts w:ascii="Arial" w:cs="Arial" w:eastAsia="Arial" w:hAnsi="Arial"/>
          <w:sz w:val="19"/>
          <w:szCs w:val="19"/>
          <w:color w:val="auto"/>
        </w:rPr>
      </w:pPr>
    </w:p>
    <w:p>
      <w:pPr>
        <w:ind w:right="20" w:firstLine="888"/>
        <w:spacing w:after="0" w:line="343" w:lineRule="auto"/>
        <w:tabs>
          <w:tab w:leader="none" w:pos="154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replacing the text “the greater of (x) $75,000,000 and (y) 5.6% of Consolidated Total Assets,” contained in </w:t>
      </w:r>
      <w:r>
        <w:rPr>
          <w:rFonts w:ascii="Arial" w:cs="Arial" w:eastAsia="Arial" w:hAnsi="Arial"/>
          <w:sz w:val="19"/>
          <w:szCs w:val="19"/>
          <w:u w:val="single" w:color="auto"/>
          <w:color w:val="auto"/>
        </w:rPr>
        <w:t>clause (t)</w:t>
      </w:r>
      <w:r>
        <w:rPr>
          <w:rFonts w:ascii="Arial" w:cs="Arial" w:eastAsia="Arial" w:hAnsi="Arial"/>
          <w:sz w:val="19"/>
          <w:szCs w:val="19"/>
          <w:color w:val="auto"/>
        </w:rPr>
        <w:t xml:space="preserve"> thereof with “the greater of (x) $150,000,000 and (y) 6.0% of Consolidated Total Assets,” in lieu thereof.</w:t>
      </w:r>
    </w:p>
    <w:p>
      <w:pPr>
        <w:spacing w:after="0" w:line="145" w:lineRule="exact"/>
        <w:rPr>
          <w:rFonts w:ascii="Arial" w:cs="Arial" w:eastAsia="Arial" w:hAnsi="Arial"/>
          <w:sz w:val="19"/>
          <w:szCs w:val="19"/>
          <w:color w:val="auto"/>
        </w:rPr>
      </w:pPr>
    </w:p>
    <w:p>
      <w:pPr>
        <w:ind w:firstLine="1293"/>
        <w:spacing w:after="0" w:line="263" w:lineRule="auto"/>
        <w:tabs>
          <w:tab w:leader="none" w:pos="2149"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The proviso at the end of the definition of “Qualified Receivables Transaction”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Qualified Receivables Transaction is permitted under the Senior Secured Notes Indenture, the 2018 Senior Secured Notes Indenture, the 2018 Senior Secured Bridge Credit</w:t>
      </w:r>
    </w:p>
    <w:p>
      <w:pPr>
        <w:sectPr>
          <w:pgSz w:w="11900" w:h="16838" w:orient="portrait"/>
          <w:cols w:equalWidth="0" w:num="1">
            <w:col w:w="10760"/>
          </w:cols>
          <w:pgMar w:left="900" w:top="591" w:right="239" w:bottom="1440" w:gutter="0" w:footer="0" w:header="0"/>
        </w:sectPr>
      </w:pPr>
    </w:p>
    <w:bookmarkStart w:id="65" w:name="page66"/>
    <w:bookmarkEnd w:id="65"/>
    <w:p>
      <w:pPr>
        <w:ind w:left="4"/>
        <w:spacing w:after="0"/>
        <w:rPr>
          <w:sz w:val="20"/>
          <w:szCs w:val="20"/>
          <w:color w:val="auto"/>
        </w:rPr>
      </w:pPr>
      <w:r>
        <w:rPr>
          <w:rFonts w:ascii="Arial" w:cs="Arial" w:eastAsia="Arial" w:hAnsi="Arial"/>
          <w:sz w:val="19"/>
          <w:szCs w:val="19"/>
          <w:color w:val="auto"/>
        </w:rPr>
        <w:t>Agreement, the 2018 Senior Unsecured Notes Indenture and the 2018 Senior Unsecured Bridge Credit Agreement”.</w:t>
      </w:r>
    </w:p>
    <w:p>
      <w:pPr>
        <w:spacing w:after="0" w:line="254" w:lineRule="exact"/>
        <w:rPr>
          <w:sz w:val="20"/>
          <w:szCs w:val="20"/>
          <w:color w:val="auto"/>
        </w:rPr>
      </w:pPr>
    </w:p>
    <w:p>
      <w:pPr>
        <w:ind w:left="4" w:right="20" w:firstLine="1293"/>
        <w:spacing w:after="0" w:line="263" w:lineRule="auto"/>
        <w:tabs>
          <w:tab w:leader="none" w:pos="220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of the definition of “Refinancing Indebtedness”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15"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“(f) to the extent such Refinancing Indebtedness refunds, refinances, renews, extends or defeases the Senior Secured Notes, the 2018 Senior Secured Notes, the 2018 Senior Secured Bridge Facility, the 2018 Senior Unsecured Notes or the 2018 Senior Unsecured Bridge Facility, the terms of such Refinancing Indebtedness (other than pricing) are no less favorable in any material respect, when taken as a whole, to the Loan Parties or the Lenders than the debt being refinanced, as certified in writing by a Senior Officer of the Administrative Borrower, which certificate shall be conclusive and binding on the Credit Parties with respect to such matter.”.</w:t>
      </w:r>
    </w:p>
    <w:p>
      <w:pPr>
        <w:spacing w:after="0" w:line="194" w:lineRule="exact"/>
        <w:rPr>
          <w:sz w:val="20"/>
          <w:szCs w:val="20"/>
          <w:color w:val="auto"/>
        </w:rPr>
      </w:pPr>
    </w:p>
    <w:p>
      <w:pPr>
        <w:ind w:left="4" w:right="20" w:firstLine="1293"/>
        <w:spacing w:after="0" w:line="263" w:lineRule="auto"/>
        <w:tabs>
          <w:tab w:leader="none" w:pos="2201"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The definition of the “Solvent”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replacing the word “Transactions” therein with “ModSpace Transactions”.</w:t>
      </w:r>
    </w:p>
    <w:p>
      <w:pPr>
        <w:spacing w:after="0" w:line="215" w:lineRule="exact"/>
        <w:rPr>
          <w:rFonts w:ascii="Arial" w:cs="Arial" w:eastAsia="Arial" w:hAnsi="Arial"/>
          <w:sz w:val="22"/>
          <w:szCs w:val="22"/>
          <w:color w:val="auto"/>
        </w:rPr>
      </w:pPr>
    </w:p>
    <w:p>
      <w:pPr>
        <w:jc w:val="both"/>
        <w:ind w:left="4" w:right="20" w:firstLine="1293"/>
        <w:spacing w:after="0" w:line="291" w:lineRule="auto"/>
        <w:tabs>
          <w:tab w:leader="none" w:pos="2249"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The definition of “Specified Defaults”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 is hereby amended by replacing the parenthetical “(other than Excluded Deposit Accounts)” contained in clause</w:t>
      </w:r>
    </w:p>
    <w:p>
      <w:pPr>
        <w:spacing w:after="0" w:line="1" w:lineRule="exact"/>
        <w:rPr>
          <w:rFonts w:ascii="Arial" w:cs="Arial" w:eastAsia="Arial" w:hAnsi="Arial"/>
          <w:sz w:val="19"/>
          <w:szCs w:val="19"/>
          <w:color w:val="auto"/>
        </w:rPr>
      </w:pPr>
    </w:p>
    <w:p>
      <w:pPr>
        <w:jc w:val="both"/>
        <w:ind w:left="4" w:hanging="4"/>
        <w:spacing w:after="0" w:line="245" w:lineRule="auto"/>
        <w:tabs>
          <w:tab w:leader="none" w:pos="384"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thereof with the following text in lieu thereof: “(other than Excluded Deposit Accounts and Deposit Accounts of a New Loan Party to the extent such Deposit Accounts are not yet required to be subject to a Deposit Account Control Agreement pursuant to Section 10.1.12(e)(iii))”.</w:t>
      </w:r>
    </w:p>
    <w:p>
      <w:pPr>
        <w:spacing w:after="0" w:line="233" w:lineRule="exact"/>
        <w:rPr>
          <w:rFonts w:ascii="Arial" w:cs="Arial" w:eastAsia="Arial" w:hAnsi="Arial"/>
          <w:sz w:val="22"/>
          <w:szCs w:val="22"/>
          <w:color w:val="auto"/>
        </w:rPr>
      </w:pPr>
    </w:p>
    <w:p>
      <w:pPr>
        <w:jc w:val="both"/>
        <w:ind w:left="4" w:firstLine="1293"/>
        <w:spacing w:after="0" w:line="253" w:lineRule="auto"/>
        <w:tabs>
          <w:tab w:leader="none" w:pos="2201"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The definition of “Test Period”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adding the text “the Interest Coverage Ratio,” immediately prior to the words “the Consolidated Fixed Charge Coverage Ratio” therein.</w:t>
      </w:r>
    </w:p>
    <w:p>
      <w:pPr>
        <w:spacing w:after="0" w:line="226" w:lineRule="exact"/>
        <w:rPr>
          <w:rFonts w:ascii="Arial" w:cs="Arial" w:eastAsia="Arial" w:hAnsi="Arial"/>
          <w:sz w:val="22"/>
          <w:szCs w:val="22"/>
          <w:color w:val="auto"/>
        </w:rPr>
      </w:pPr>
    </w:p>
    <w:p>
      <w:pPr>
        <w:ind w:left="4" w:firstLine="1293"/>
        <w:spacing w:after="0" w:line="263" w:lineRule="auto"/>
        <w:tabs>
          <w:tab w:leader="none" w:pos="2201"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of the definition of “Total Secured Debt”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and restated as follows: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21"/>
          <w:szCs w:val="21"/>
          <w:color w:val="auto"/>
        </w:rPr>
        <w:t>“(ii) the Senior Secured Notes, the 2018 Senior Secured Notes and the 2018 Senior Secured Bridge Facility and”.</w:t>
      </w:r>
    </w:p>
    <w:p>
      <w:pPr>
        <w:spacing w:after="0" w:line="231" w:lineRule="exact"/>
        <w:rPr>
          <w:sz w:val="20"/>
          <w:szCs w:val="20"/>
          <w:color w:val="auto"/>
        </w:rPr>
      </w:pPr>
    </w:p>
    <w:p>
      <w:pPr>
        <w:ind w:left="2184" w:hanging="887"/>
        <w:spacing w:after="0"/>
        <w:tabs>
          <w:tab w:leader="none" w:pos="218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final proviso in the definition of “Unrestricted Subsidiary” appearing in </w:t>
      </w:r>
      <w:r>
        <w:rPr>
          <w:rFonts w:ascii="Arial" w:cs="Arial" w:eastAsia="Arial" w:hAnsi="Arial"/>
          <w:sz w:val="19"/>
          <w:szCs w:val="19"/>
          <w:u w:val="single" w:color="auto"/>
          <w:color w:val="auto"/>
        </w:rPr>
        <w:t>Section</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u w:val="single" w:color="auto"/>
          <w:color w:val="auto"/>
        </w:rPr>
        <w:t>1.1</w:t>
      </w:r>
      <w:r>
        <w:rPr>
          <w:rFonts w:ascii="Arial" w:cs="Arial" w:eastAsia="Arial" w:hAnsi="Arial"/>
          <w:sz w:val="22"/>
          <w:szCs w:val="22"/>
          <w:color w:val="auto"/>
        </w:rPr>
        <w:t xml:space="preserve"> of the Existing ABL Credit Agreement is hereby amended and restated as follows:</w:t>
      </w:r>
    </w:p>
    <w:p>
      <w:pPr>
        <w:spacing w:after="0" w:line="242"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(i) such Subsidiary shall constitute an “Unrestricted Subsidiary” (under and as defined in the Senior Secured Notes Indenture as in effect on the Closing Date), an “Unrestricted Subsidiary” (under and as defined in the 2018 Senior Secured Notes Indenture as in effect on the First Amendment Effective Date), an “Unrestricted Subsidiary” (under and as defined in the 2018 Senior Secured Bridge Credit Agreement as in effect on the First Amendment Effective Date), an “Unrestricted Subsidiary” (under and as defined in the 2018 Senior Unsecured Notes Indenture as in effect on the First Amendment Effective Date), an “Unrestricted Subsidiary” (under and as defined in the 2018 Senior Unsecured Bridge Credit Agreement as in effect on the First Amendment Effective Date) and an “unrestricted subsidiary” (or similar term) under any other document, instrument or</w:t>
      </w:r>
    </w:p>
    <w:p>
      <w:pPr>
        <w:sectPr>
          <w:pgSz w:w="11900" w:h="16838" w:orient="portrait"/>
          <w:cols w:equalWidth="0" w:num="1">
            <w:col w:w="10764"/>
          </w:cols>
          <w:pgMar w:left="896" w:top="591" w:right="239" w:bottom="1440" w:gutter="0" w:footer="0" w:header="0"/>
        </w:sectPr>
      </w:pPr>
    </w:p>
    <w:bookmarkStart w:id="66" w:name="page67"/>
    <w:bookmarkEnd w:id="66"/>
    <w:p>
      <w:pPr>
        <w:ind w:right="20"/>
        <w:spacing w:after="0" w:line="263" w:lineRule="auto"/>
        <w:rPr>
          <w:sz w:val="20"/>
          <w:szCs w:val="20"/>
          <w:color w:val="auto"/>
        </w:rPr>
      </w:pPr>
      <w:r>
        <w:rPr>
          <w:rFonts w:ascii="Arial" w:cs="Arial" w:eastAsia="Arial" w:hAnsi="Arial"/>
          <w:sz w:val="22"/>
          <w:szCs w:val="22"/>
          <w:color w:val="auto"/>
        </w:rPr>
        <w:t>agreement evidencing or governing Indebtedness of a Loan Party in a principal amount in excess of $40,000,000 at the time of any determination made hereunder and”.</w:t>
      </w:r>
    </w:p>
    <w:p>
      <w:pPr>
        <w:spacing w:after="0" w:line="175" w:lineRule="exact"/>
        <w:rPr>
          <w:sz w:val="20"/>
          <w:szCs w:val="20"/>
          <w:color w:val="auto"/>
        </w:rPr>
      </w:pPr>
    </w:p>
    <w:p>
      <w:pPr>
        <w:ind w:firstLine="1293"/>
        <w:spacing w:after="0" w:line="263" w:lineRule="auto"/>
        <w:tabs>
          <w:tab w:leader="none" w:pos="228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Clauses (h)</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(o)</w:t>
      </w:r>
      <w:r>
        <w:rPr>
          <w:rFonts w:ascii="Arial" w:cs="Arial" w:eastAsia="Arial" w:hAnsi="Arial"/>
          <w:sz w:val="22"/>
          <w:szCs w:val="22"/>
          <w:color w:val="auto"/>
        </w:rPr>
        <w:t xml:space="preserve"> of the definition of “U.S. LC Conditions”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are hereby amended and restated as follows: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“(h) Bank of America and its Affiliates and branches shall not be required to issue any U.S. Letter of Credit if, after giving effect thereto, the aggregate amount of issued and outstanding U.S. Letters of Credit issued by Bank of America and its Affiliates and branches would exceed the amount set forth opposite Bank of America’s name on Schedule III to the First Amendment Agreement, unless otherwise agreed by Bank of America in its sole discretion; (i) Deutsche Bank AG New York Branch and its Affiliates and branches shall not be required to issue any U.S. Letter of Credit if, after giving effect thereto, the aggregate amount of issued and outstanding U.S. Letters of Credit issued by Deutsche Bank AG New York Branch and its Affiliates and branches would exceed the amount set forth opposite Deutsche Bank AG New York Branch’s name on Schedule III to the First Amendment Agreement, unless otherwise agreed by Deutsche Bank AG New York Branch in its sole discretion; (j) Morgan Stanley Bank, N.A. and its Affiliates and branches shall not be required to issue any U.S. Letter of Credit if, after giving effect thereto, the aggregate amount of issued and outstanding U.S. Letters of Credit issued by Morgan Stanley Bank, N.A. and its Affiliates and branches would exceed the amount set forth opposite Morgan Stanley Bank, N.A.’s name on Schedule III to the First Amendment Agreement, unless otherwise agreed by Morgan Stanley Bank, N.A. in its sole discretion; (k) Goldman Sachs Lending Partners LLC and its Affiliates and branches shall not be required to issue any U.S. Letter of Credit if, after giving effect thereto, the aggregate amount of issued and outstanding U.S. Letters of Credit issued by Goldman Sachs Lending Partners LLC and its Affiliates and branches would exceed the amount set forth opposite Goldman Sachs Lending Partners LLC’s name on Schedule III to the First Amendment Agreement, unless otherwise agreed by Goldman Sachs Lending Partners LLC in its sole discretion; (l) Credit Suisse AG, Cayman Islands Branch and its Affiliates and branches shall not be required to issue any U.S. Letter of Credit if, after giving effect thereto, the aggregate amount of issued and outstanding U.S. Letters of Credit issued by Credit Suisse AG, Cayman Islands Branch and its Affiliates and branches would exceed the amount set forth opposite Credit Suisse AG, Cayman Islands Branch’s name on Schedule III to the First Amendment Agreement, unless otherwise agreed by Credit Suisse AG, Cayman Islands Branch in its sole discretion; (m) ING Capital LLC and its Affiliates and branches shall not be required to issue any U.S. Letter of Credit if, after giving effect thereto, the aggregate amount of issued and outstanding U.S. Letters of Credit issued by ING Capital LLC and its Affiliates and branches would exceed the amount set forth opposite ING Capital’s name on Schedule III to the First Amendment Agreement, unless otherwise agreed by ING Capital LLC in its sole discretion; (n) Barclays Bank PLC and its Affiliates and branches shall not be required to issue any U.S. Letter of Credit if, after giving effect thereto, the aggregate amount of issued and outstanding U.S. Letters of Credit issued by Barclays Bank PLC and its Affiliates and branches would exceed the amount set forth opposite Barclays Bank PLC’s name on Schedule III to the First Amendment Agreement, unless otherwise agreed by Barclays Bank PLC in its sole discretion; (o) no U.S. Fronting Bank other than Bank of America shall be required to issue any U.S. Letters of Credit that are time (usance) or documentary letters of credit and (p) the aggregate amount of issued and outstanding U.S. Letters of Credit that are time (usance) or documentary letters of credit shall not exceed the amount specified in clause (h) above”</w:t>
      </w:r>
    </w:p>
    <w:p>
      <w:pPr>
        <w:spacing w:after="0" w:line="200" w:lineRule="exact"/>
        <w:rPr>
          <w:sz w:val="20"/>
          <w:szCs w:val="20"/>
          <w:color w:val="auto"/>
        </w:rPr>
      </w:pPr>
    </w:p>
    <w:p>
      <w:pPr>
        <w:spacing w:after="0" w:line="241" w:lineRule="exact"/>
        <w:rPr>
          <w:sz w:val="20"/>
          <w:szCs w:val="20"/>
          <w:color w:val="auto"/>
        </w:rPr>
      </w:pPr>
    </w:p>
    <w:p>
      <w:pPr>
        <w:ind w:right="20" w:firstLine="1293"/>
        <w:spacing w:after="0" w:line="343" w:lineRule="auto"/>
        <w:tabs>
          <w:tab w:leader="none" w:pos="172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definition of “U.S. Letter of Credit Sublimit”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 is hereby amended by replacing the amount “$60,000,000” therein with the amount “$75,000,000”.</w:t>
      </w:r>
    </w:p>
    <w:p>
      <w:pPr>
        <w:sectPr>
          <w:pgSz w:w="11900" w:h="16838" w:orient="portrait"/>
          <w:cols w:equalWidth="0" w:num="1">
            <w:col w:w="10760"/>
          </w:cols>
          <w:pgMar w:left="900" w:top="591" w:right="239" w:bottom="1440" w:gutter="0" w:footer="0" w:header="0"/>
        </w:sectPr>
      </w:pPr>
    </w:p>
    <w:bookmarkStart w:id="67" w:name="page68"/>
    <w:bookmarkEnd w:id="67"/>
    <w:p>
      <w:pPr>
        <w:ind w:firstLine="1293"/>
        <w:spacing w:after="0" w:line="343" w:lineRule="auto"/>
        <w:tabs>
          <w:tab w:leader="none" w:pos="170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definition of “U.S. Swingline Commitment”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 shall be hereby amended by replacing the amount “$50,000,000” therein with the amount “$75,000,000”.</w:t>
      </w:r>
    </w:p>
    <w:p>
      <w:pPr>
        <w:spacing w:after="0" w:line="145" w:lineRule="exact"/>
        <w:rPr>
          <w:rFonts w:ascii="Arial" w:cs="Arial" w:eastAsia="Arial" w:hAnsi="Arial"/>
          <w:sz w:val="19"/>
          <w:szCs w:val="19"/>
          <w:color w:val="auto"/>
        </w:rPr>
      </w:pPr>
    </w:p>
    <w:p>
      <w:pPr>
        <w:ind w:firstLine="1293"/>
        <w:spacing w:after="0" w:line="263" w:lineRule="auto"/>
        <w:tabs>
          <w:tab w:leader="none" w:pos="171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Section 1.7(a)</w:t>
      </w:r>
      <w:r>
        <w:rPr>
          <w:rFonts w:ascii="Arial" w:cs="Arial" w:eastAsia="Arial" w:hAnsi="Arial"/>
          <w:sz w:val="22"/>
          <w:szCs w:val="22"/>
          <w:color w:val="auto"/>
        </w:rPr>
        <w:t xml:space="preserve"> of the Existing ABL Credit Agreement is hereby amended by adding the text “the Interest Coverage Ratio,” immediately prior to each reference to “the Total Net Leverage Ratio” therein.</w:t>
      </w:r>
    </w:p>
    <w:p>
      <w:pPr>
        <w:spacing w:after="0" w:line="215" w:lineRule="exact"/>
        <w:rPr>
          <w:rFonts w:ascii="Arial" w:cs="Arial" w:eastAsia="Arial" w:hAnsi="Arial"/>
          <w:sz w:val="22"/>
          <w:szCs w:val="22"/>
          <w:color w:val="auto"/>
        </w:rPr>
      </w:pPr>
    </w:p>
    <w:p>
      <w:pPr>
        <w:ind w:firstLine="1293"/>
        <w:spacing w:after="0" w:line="263" w:lineRule="auto"/>
        <w:tabs>
          <w:tab w:leader="none" w:pos="168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Section 1.8(a)</w:t>
      </w:r>
      <w:r>
        <w:rPr>
          <w:rFonts w:ascii="Arial" w:cs="Arial" w:eastAsia="Arial" w:hAnsi="Arial"/>
          <w:sz w:val="22"/>
          <w:szCs w:val="22"/>
          <w:color w:val="auto"/>
        </w:rPr>
        <w:t xml:space="preserve"> of the Existing ABL Credit Agreement is hereby amended by adding the text “the Interest Coverage Ratio,” immediately prior to the reference to “the Total Net Leverage Ratio” therein.</w:t>
      </w:r>
    </w:p>
    <w:p>
      <w:pPr>
        <w:spacing w:after="0" w:line="215" w:lineRule="exact"/>
        <w:rPr>
          <w:rFonts w:ascii="Arial" w:cs="Arial" w:eastAsia="Arial" w:hAnsi="Arial"/>
          <w:sz w:val="22"/>
          <w:szCs w:val="22"/>
          <w:color w:val="auto"/>
        </w:rPr>
      </w:pPr>
    </w:p>
    <w:p>
      <w:pPr>
        <w:ind w:firstLine="1293"/>
        <w:spacing w:after="0" w:line="263" w:lineRule="auto"/>
        <w:tabs>
          <w:tab w:leader="none" w:pos="166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of the proviso set forth in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of the Existing ABL Credit Agreement is hereby amended and restated as follows:</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“(x) all Indebtedness outstanding arising under the Senior Secured Notes and any Refinancing Indebtedness with respect thereto will at all times be deemed to be outstanding in reliance on </w:t>
      </w:r>
      <w:r>
        <w:rPr>
          <w:rFonts w:ascii="Arial" w:cs="Arial" w:eastAsia="Arial" w:hAnsi="Arial"/>
          <w:sz w:val="22"/>
          <w:szCs w:val="22"/>
          <w:u w:val="single" w:color="auto"/>
          <w:color w:val="auto"/>
        </w:rPr>
        <w:t>Section 10.2.1(b)(i)(B)</w:t>
      </w:r>
      <w:r>
        <w:rPr>
          <w:rFonts w:ascii="Arial" w:cs="Arial" w:eastAsia="Arial" w:hAnsi="Arial"/>
          <w:sz w:val="22"/>
          <w:szCs w:val="22"/>
          <w:color w:val="auto"/>
        </w:rPr>
        <w:t xml:space="preserve">, all Indebtedness outstanding arising under the 2018 Senior Secured Notes, the 2018 Senior Secured Bridge Facility and any Refinancing Indebtedness with respect thereto will at all times be deemed to be outstanding in reliance on </w:t>
      </w:r>
      <w:r>
        <w:rPr>
          <w:rFonts w:ascii="Arial" w:cs="Arial" w:eastAsia="Arial" w:hAnsi="Arial"/>
          <w:sz w:val="22"/>
          <w:szCs w:val="22"/>
          <w:u w:val="single" w:color="auto"/>
          <w:color w:val="auto"/>
        </w:rPr>
        <w:t>Section 10.2.1(b)(i)(C)</w:t>
      </w:r>
      <w:r>
        <w:rPr>
          <w:rFonts w:ascii="Arial" w:cs="Arial" w:eastAsia="Arial" w:hAnsi="Arial"/>
          <w:sz w:val="22"/>
          <w:szCs w:val="22"/>
          <w:color w:val="auto"/>
        </w:rPr>
        <w:t xml:space="preserve"> and all Indebtedness outstanding arising under the 2018 Senior Unsecured Notes, the 2018 Senior Unsecured Bridge Facility and any Refinancing Indebtedness with respect thereto will at all times be deemed to be outstanding in reliance on </w:t>
      </w:r>
      <w:r>
        <w:rPr>
          <w:rFonts w:ascii="Arial" w:cs="Arial" w:eastAsia="Arial" w:hAnsi="Arial"/>
          <w:sz w:val="22"/>
          <w:szCs w:val="22"/>
          <w:u w:val="single" w:color="auto"/>
          <w:color w:val="auto"/>
        </w:rPr>
        <w:t>Section 10.2.1(b)</w:t>
      </w:r>
      <w:r>
        <w:rPr>
          <w:rFonts w:ascii="Arial" w:cs="Arial" w:eastAsia="Arial" w:hAnsi="Arial"/>
          <w:sz w:val="22"/>
          <w:szCs w:val="22"/>
          <w:color w:val="auto"/>
        </w:rPr>
        <w:t xml:space="preserve"> </w:t>
      </w:r>
      <w:r>
        <w:rPr>
          <w:rFonts w:ascii="Arial" w:cs="Arial" w:eastAsia="Arial" w:hAnsi="Arial"/>
          <w:sz w:val="22"/>
          <w:szCs w:val="22"/>
          <w:u w:val="single" w:color="auto"/>
          <w:color w:val="auto"/>
        </w:rPr>
        <w:t>(i)(D)</w:t>
      </w:r>
      <w:r>
        <w:rPr>
          <w:rFonts w:ascii="Arial" w:cs="Arial" w:eastAsia="Arial" w:hAnsi="Arial"/>
          <w:sz w:val="22"/>
          <w:szCs w:val="22"/>
          <w:color w:val="auto"/>
        </w:rPr>
        <w:t>”.</w:t>
      </w:r>
    </w:p>
    <w:p>
      <w:pPr>
        <w:spacing w:after="0" w:line="197" w:lineRule="exact"/>
        <w:rPr>
          <w:sz w:val="20"/>
          <w:szCs w:val="20"/>
          <w:color w:val="auto"/>
        </w:rPr>
      </w:pPr>
    </w:p>
    <w:p>
      <w:pPr>
        <w:jc w:val="both"/>
        <w:ind w:firstLine="1293"/>
        <w:spacing w:after="0" w:line="253" w:lineRule="auto"/>
        <w:tabs>
          <w:tab w:leader="none" w:pos="1721"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final sentence of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of the Existing ABL Credit Agreement is hereby amended by adding the text “the Interest Coverage Ratio,” immediately prior to each reference to “the Consolidated Fixed Charge Coverage Ratio” therein.</w:t>
      </w:r>
    </w:p>
    <w:p>
      <w:pPr>
        <w:spacing w:after="0" w:line="226" w:lineRule="exact"/>
        <w:rPr>
          <w:rFonts w:ascii="Arial" w:cs="Arial" w:eastAsia="Arial" w:hAnsi="Arial"/>
          <w:sz w:val="22"/>
          <w:szCs w:val="22"/>
          <w:color w:val="auto"/>
        </w:rPr>
      </w:pPr>
    </w:p>
    <w:p>
      <w:pPr>
        <w:ind w:left="1720" w:hanging="427"/>
        <w:spacing w:after="0"/>
        <w:tabs>
          <w:tab w:leader="none" w:pos="17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final sentence of </w:t>
      </w:r>
      <w:r>
        <w:rPr>
          <w:rFonts w:ascii="Arial" w:cs="Arial" w:eastAsia="Arial" w:hAnsi="Arial"/>
          <w:sz w:val="19"/>
          <w:szCs w:val="19"/>
          <w:u w:val="single" w:color="auto"/>
          <w:color w:val="auto"/>
        </w:rPr>
        <w:t>Section 2.1.11(e)</w:t>
      </w:r>
      <w:r>
        <w:rPr>
          <w:rFonts w:ascii="Arial" w:cs="Arial" w:eastAsia="Arial" w:hAnsi="Arial"/>
          <w:sz w:val="19"/>
          <w:szCs w:val="19"/>
          <w:color w:val="auto"/>
        </w:rPr>
        <w:t xml:space="preserve"> of the Existing ABL Credit Agreement is hereby amended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restated as follows:</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“Notwithstanding the foregoing, in no event shall (i) the Dollar Equivalent of the sum of the aggregate principal amount of all Revolver Commitment Increases made under this </w:t>
      </w:r>
      <w:r>
        <w:rPr>
          <w:rFonts w:ascii="Arial" w:cs="Arial" w:eastAsia="Arial" w:hAnsi="Arial"/>
          <w:sz w:val="19"/>
          <w:szCs w:val="19"/>
          <w:u w:val="single" w:color="auto"/>
          <w:color w:val="auto"/>
        </w:rPr>
        <w:t>Section 2.1.11</w:t>
      </w:r>
      <w:r>
        <w:rPr>
          <w:rFonts w:ascii="Arial" w:cs="Arial" w:eastAsia="Arial" w:hAnsi="Arial"/>
          <w:sz w:val="19"/>
          <w:szCs w:val="19"/>
          <w:color w:val="auto"/>
        </w:rPr>
        <w:t xml:space="preserve"> after the First Amendment Effective Date exceed (A) $1,800,000,000 minus the aggregate principal amount of all Revolver Commitments (whether drawn or not) (including any Revolver Commitments established on the First Amendment Effective Date pursuant to Revolver Commitment Increases) in effect as of the First Amendment Effective, plus (B) the amount of all voluntary permanent reductions of the Revolver Commitments hereunder after the First Amendment Effective Date or (ii) the Dollar Equivalent of the sum of the aggregate principal amount of all Canadian Revolver Commitment Increases made under this </w:t>
      </w:r>
      <w:r>
        <w:rPr>
          <w:rFonts w:ascii="Arial" w:cs="Arial" w:eastAsia="Arial" w:hAnsi="Arial"/>
          <w:sz w:val="19"/>
          <w:szCs w:val="19"/>
          <w:u w:val="single" w:color="auto"/>
          <w:color w:val="auto"/>
        </w:rPr>
        <w:t>Section 2.1.11</w:t>
      </w:r>
      <w:r>
        <w:rPr>
          <w:rFonts w:ascii="Arial" w:cs="Arial" w:eastAsia="Arial" w:hAnsi="Arial"/>
          <w:sz w:val="19"/>
          <w:szCs w:val="19"/>
          <w:color w:val="auto"/>
        </w:rPr>
        <w:t xml:space="preserve"> after the First Amendment Effective Date exceed $275,000,000 minus the aggregate principal amount of all Canadian Revolver Commitments (whether drawn or not) (including any Canadian Revolver Commitments established on the First Amendment Effective Date pursuant to Canadian Revolver Commitment Increases) in effect as of the First Amendment Effective Date.”</w:t>
      </w:r>
    </w:p>
    <w:p>
      <w:pPr>
        <w:spacing w:after="0" w:line="160" w:lineRule="exact"/>
        <w:rPr>
          <w:sz w:val="20"/>
          <w:szCs w:val="20"/>
          <w:color w:val="auto"/>
        </w:rPr>
      </w:pPr>
    </w:p>
    <w:p>
      <w:pPr>
        <w:ind w:firstLine="1293"/>
        <w:spacing w:after="0" w:line="263" w:lineRule="auto"/>
        <w:tabs>
          <w:tab w:leader="none" w:pos="18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Section 9.1.8</w:t>
      </w:r>
      <w:r>
        <w:rPr>
          <w:rFonts w:ascii="Arial" w:cs="Arial" w:eastAsia="Arial" w:hAnsi="Arial"/>
          <w:sz w:val="22"/>
          <w:szCs w:val="22"/>
          <w:color w:val="auto"/>
        </w:rPr>
        <w:t xml:space="preserve"> of the Existing ABL Credit Agreement is hereby amended by adding a new clause (c) thereto in appropriate alphabetical order as follows:</w:t>
      </w:r>
    </w:p>
    <w:p>
      <w:pPr>
        <w:sectPr>
          <w:pgSz w:w="11900" w:h="16838" w:orient="portrait"/>
          <w:cols w:equalWidth="0" w:num="1">
            <w:col w:w="10760"/>
          </w:cols>
          <w:pgMar w:left="900" w:top="591" w:right="239" w:bottom="1440" w:gutter="0" w:footer="0" w:header="0"/>
        </w:sectPr>
      </w:pPr>
    </w:p>
    <w:bookmarkStart w:id="68" w:name="page69"/>
    <w:bookmarkEnd w:id="68"/>
    <w:p>
      <w:pPr>
        <w:ind w:right="20"/>
        <w:spacing w:after="0" w:line="263" w:lineRule="auto"/>
        <w:rPr>
          <w:sz w:val="20"/>
          <w:szCs w:val="20"/>
          <w:color w:val="auto"/>
        </w:rPr>
      </w:pPr>
      <w:r>
        <w:rPr>
          <w:rFonts w:ascii="Arial" w:cs="Arial" w:eastAsia="Arial" w:hAnsi="Arial"/>
          <w:sz w:val="22"/>
          <w:szCs w:val="22"/>
          <w:color w:val="auto"/>
        </w:rPr>
        <w:t>“(c) As of the First Amendment Effective Date, the information included in the Beneficial Ownership Certification with respect to such Loan Party, if applicable, is true and correct in all respects.”.</w:t>
      </w:r>
    </w:p>
    <w:p>
      <w:pPr>
        <w:spacing w:after="0" w:line="175" w:lineRule="exact"/>
        <w:rPr>
          <w:sz w:val="20"/>
          <w:szCs w:val="20"/>
          <w:color w:val="auto"/>
        </w:rPr>
      </w:pPr>
    </w:p>
    <w:p>
      <w:pPr>
        <w:jc w:val="both"/>
        <w:ind w:firstLine="1293"/>
        <w:spacing w:after="0" w:line="253" w:lineRule="auto"/>
        <w:tabs>
          <w:tab w:leader="none" w:pos="183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9.1.16</w:t>
      </w:r>
      <w:r>
        <w:rPr>
          <w:rFonts w:ascii="Arial" w:cs="Arial" w:eastAsia="Arial" w:hAnsi="Arial"/>
          <w:sz w:val="22"/>
          <w:szCs w:val="22"/>
          <w:color w:val="auto"/>
        </w:rPr>
        <w:t xml:space="preserve"> of the Existing Credit Agreement is hereby amended by replacing the words “Closing Date” therein with the words “First Amendment Effective Date” and replacing the word “Transactions” therein with the words “ModSpace Transactions”.</w:t>
      </w:r>
    </w:p>
    <w:p>
      <w:pPr>
        <w:spacing w:after="0" w:line="226" w:lineRule="exact"/>
        <w:rPr>
          <w:rFonts w:ascii="Arial" w:cs="Arial" w:eastAsia="Arial" w:hAnsi="Arial"/>
          <w:sz w:val="22"/>
          <w:szCs w:val="22"/>
          <w:color w:val="auto"/>
        </w:rPr>
      </w:pPr>
    </w:p>
    <w:p>
      <w:pPr>
        <w:ind w:firstLine="1293"/>
        <w:spacing w:after="0" w:line="263" w:lineRule="auto"/>
        <w:tabs>
          <w:tab w:leader="none" w:pos="2035"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10.1.1(b)</w:t>
      </w:r>
      <w:r>
        <w:rPr>
          <w:rFonts w:ascii="Arial" w:cs="Arial" w:eastAsia="Arial" w:hAnsi="Arial"/>
          <w:sz w:val="22"/>
          <w:szCs w:val="22"/>
          <w:color w:val="auto"/>
        </w:rPr>
        <w:t xml:space="preserve"> of the Existing ABL Credit Agreement is hereby amended by replacing each reference to the amount “$75,000,000” therein with the amount “$200,000,000”.</w:t>
      </w:r>
    </w:p>
    <w:p>
      <w:pPr>
        <w:spacing w:after="0" w:line="215" w:lineRule="exact"/>
        <w:rPr>
          <w:rFonts w:ascii="Arial" w:cs="Arial" w:eastAsia="Arial" w:hAnsi="Arial"/>
          <w:sz w:val="22"/>
          <w:szCs w:val="22"/>
          <w:color w:val="auto"/>
        </w:rPr>
      </w:pPr>
    </w:p>
    <w:p>
      <w:pPr>
        <w:ind w:firstLine="1293"/>
        <w:spacing w:after="0" w:line="343" w:lineRule="auto"/>
        <w:tabs>
          <w:tab w:leader="none" w:pos="180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Section 10.1.1(d)</w:t>
      </w:r>
      <w:r>
        <w:rPr>
          <w:rFonts w:ascii="Arial" w:cs="Arial" w:eastAsia="Arial" w:hAnsi="Arial"/>
          <w:sz w:val="19"/>
          <w:szCs w:val="19"/>
          <w:color w:val="auto"/>
        </w:rPr>
        <w:t xml:space="preserve"> of the Existing ABL Credit Agreement is hereby amended by adding the words “the Interest Coverage Ratio,” immediately prior to the reference to “the Consolidated Fixed Charge Coverage Ratio” therein.</w:t>
      </w:r>
    </w:p>
    <w:p>
      <w:pPr>
        <w:spacing w:after="0" w:line="145" w:lineRule="exact"/>
        <w:rPr>
          <w:rFonts w:ascii="Arial" w:cs="Arial" w:eastAsia="Arial" w:hAnsi="Arial"/>
          <w:sz w:val="19"/>
          <w:szCs w:val="19"/>
          <w:color w:val="auto"/>
        </w:rPr>
      </w:pPr>
    </w:p>
    <w:p>
      <w:pPr>
        <w:ind w:firstLine="1293"/>
        <w:spacing w:after="0" w:line="263" w:lineRule="auto"/>
        <w:tabs>
          <w:tab w:leader="none" w:pos="202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of the Existing ABL Credit Agreement is hereby amended by replacing the reference to the amount “$50,000,000” therein with the amount “$135,000,000”.</w:t>
      </w:r>
    </w:p>
    <w:p>
      <w:pPr>
        <w:spacing w:after="0" w:line="215" w:lineRule="exact"/>
        <w:rPr>
          <w:rFonts w:ascii="Arial" w:cs="Arial" w:eastAsia="Arial" w:hAnsi="Arial"/>
          <w:sz w:val="22"/>
          <w:szCs w:val="22"/>
          <w:color w:val="auto"/>
        </w:rPr>
      </w:pPr>
    </w:p>
    <w:p>
      <w:pPr>
        <w:jc w:val="both"/>
        <w:ind w:firstLine="1293"/>
        <w:spacing w:after="0" w:line="247" w:lineRule="auto"/>
        <w:tabs>
          <w:tab w:leader="none" w:pos="2035"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10.1.12(e)</w:t>
      </w:r>
      <w:r>
        <w:rPr>
          <w:rFonts w:ascii="Arial" w:cs="Arial" w:eastAsia="Arial" w:hAnsi="Arial"/>
          <w:sz w:val="22"/>
          <w:szCs w:val="22"/>
          <w:color w:val="auto"/>
        </w:rPr>
        <w:t xml:space="preserve"> of the Existing ABL Credit Agreement is hereby amended by (i) replacing the word “and” appearing immediately prior to the reference to “(ii)” therein with a comma and (ii) adding the text “and (iii) to execute and deliver Deposit Account Control Agreements over all Deposit Accounts (other than Excluded Deposit Accounts) of such New Loan Party within 30 days after becoming a Borrower or Guarantor hereunder (or such longer period as may be agreed by the Agent in its discretion)” immediately following the words “reasonably satisfactory to Agent” therein.</w:t>
      </w:r>
    </w:p>
    <w:p>
      <w:pPr>
        <w:spacing w:after="0" w:line="234" w:lineRule="exact"/>
        <w:rPr>
          <w:rFonts w:ascii="Arial" w:cs="Arial" w:eastAsia="Arial" w:hAnsi="Arial"/>
          <w:sz w:val="22"/>
          <w:szCs w:val="22"/>
          <w:color w:val="auto"/>
        </w:rPr>
      </w:pPr>
    </w:p>
    <w:p>
      <w:pPr>
        <w:ind w:firstLine="1293"/>
        <w:spacing w:after="0" w:line="263" w:lineRule="auto"/>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10.1.14</w:t>
      </w:r>
      <w:r>
        <w:rPr>
          <w:rFonts w:ascii="Arial" w:cs="Arial" w:eastAsia="Arial" w:hAnsi="Arial"/>
          <w:sz w:val="22"/>
          <w:szCs w:val="22"/>
          <w:color w:val="auto"/>
        </w:rPr>
        <w:t xml:space="preserve"> of the Existing ABL Credit Agreement is hereby amended by replacing the reference to the amount “$75,000,000” therein with the amount “$200,000,000”.</w:t>
      </w:r>
    </w:p>
    <w:p>
      <w:pPr>
        <w:spacing w:after="0" w:line="215" w:lineRule="exact"/>
        <w:rPr>
          <w:rFonts w:ascii="Arial" w:cs="Arial" w:eastAsia="Arial" w:hAnsi="Arial"/>
          <w:sz w:val="22"/>
          <w:szCs w:val="22"/>
          <w:color w:val="auto"/>
        </w:rPr>
      </w:pPr>
    </w:p>
    <w:p>
      <w:pPr>
        <w:ind w:firstLine="1293"/>
        <w:spacing w:after="0" w:line="263" w:lineRule="auto"/>
        <w:tabs>
          <w:tab w:leader="none" w:pos="192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of the final sentence of </w:t>
      </w:r>
      <w:r>
        <w:rPr>
          <w:rFonts w:ascii="Arial" w:cs="Arial" w:eastAsia="Arial" w:hAnsi="Arial"/>
          <w:sz w:val="22"/>
          <w:szCs w:val="22"/>
          <w:u w:val="single" w:color="auto"/>
          <w:color w:val="auto"/>
        </w:rPr>
        <w:t>Section 10.1.20</w:t>
      </w:r>
      <w:r>
        <w:rPr>
          <w:rFonts w:ascii="Arial" w:cs="Arial" w:eastAsia="Arial" w:hAnsi="Arial"/>
          <w:sz w:val="22"/>
          <w:szCs w:val="22"/>
          <w:color w:val="auto"/>
        </w:rPr>
        <w:t xml:space="preserve"> of the Existing ABL Credit Agreement is hereby amended and restated as follows: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“(ii) the guaranty by the Unit Subsidiary under the Senior Secured Notes Indenture, the 2018 Senior Secured Notes Indenture, the 2018 Senior Secured Bridge Credit Agreement, the 2018 Senior Unsecured Notes Indenture, the 2018 Senior Unsecured Bridge Credit Agreement and the Indebtedness permitted under </w:t>
      </w:r>
      <w:r>
        <w:rPr>
          <w:rFonts w:ascii="Arial" w:cs="Arial" w:eastAsia="Arial" w:hAnsi="Arial"/>
          <w:sz w:val="22"/>
          <w:szCs w:val="22"/>
          <w:u w:val="single" w:color="auto"/>
          <w:color w:val="auto"/>
        </w:rPr>
        <w:t>Sections 10.2.1(a)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10.2.1(b)(iv)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10.2.1(b)</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w:t>
      </w:r>
      <w:r>
        <w:rPr>
          <w:rFonts w:ascii="Arial" w:cs="Arial" w:eastAsia="Arial" w:hAnsi="Arial"/>
          <w:sz w:val="22"/>
          <w:szCs w:val="22"/>
          <w:color w:val="auto"/>
        </w:rPr>
        <w:t xml:space="preserve">, in each instance, to the extent permitted under </w:t>
      </w:r>
      <w:r>
        <w:rPr>
          <w:rFonts w:ascii="Arial" w:cs="Arial" w:eastAsia="Arial" w:hAnsi="Arial"/>
          <w:sz w:val="22"/>
          <w:szCs w:val="22"/>
          <w:u w:val="single" w:color="auto"/>
          <w:color w:val="auto"/>
        </w:rPr>
        <w:t>Sections 10.2.1(b)(i)(B)</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10.2.1(b)(i)(C)</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10.2.1(b)(i)(D)</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10.2.1(a)</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10.2.1(b)(iv)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10.2.1(b)(xii)</w:t>
      </w:r>
      <w:r>
        <w:rPr>
          <w:rFonts w:ascii="Arial" w:cs="Arial" w:eastAsia="Arial" w:hAnsi="Arial"/>
          <w:sz w:val="22"/>
          <w:szCs w:val="22"/>
          <w:color w:val="auto"/>
        </w:rPr>
        <w:t>, respectively, and”.</w:t>
      </w:r>
    </w:p>
    <w:p>
      <w:pPr>
        <w:spacing w:after="0" w:line="19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(qq)</w:t>
      </w:r>
      <w:r>
        <w:rPr>
          <w:sz w:val="20"/>
          <w:szCs w:val="20"/>
          <w:color w:val="auto"/>
        </w:rPr>
        <w:tab/>
      </w:r>
      <w:r>
        <w:rPr>
          <w:rFonts w:ascii="Arial" w:cs="Arial" w:eastAsia="Arial" w:hAnsi="Arial"/>
          <w:sz w:val="19"/>
          <w:szCs w:val="19"/>
          <w:u w:val="single" w:color="auto"/>
          <w:color w:val="auto"/>
        </w:rPr>
        <w:t>Section 10.2.1(a)</w:t>
      </w:r>
      <w:r>
        <w:rPr>
          <w:rFonts w:ascii="Arial" w:cs="Arial" w:eastAsia="Arial" w:hAnsi="Arial"/>
          <w:sz w:val="19"/>
          <w:szCs w:val="19"/>
          <w:color w:val="auto"/>
        </w:rPr>
        <w:t xml:space="preserve"> of the Existing ABL Credit Agreement is hereby amended and restated as follows:</w:t>
      </w:r>
    </w:p>
    <w:p>
      <w:pPr>
        <w:spacing w:after="0" w:line="295" w:lineRule="exact"/>
        <w:rPr>
          <w:sz w:val="20"/>
          <w:szCs w:val="20"/>
          <w:color w:val="auto"/>
        </w:rPr>
      </w:pPr>
    </w:p>
    <w:p>
      <w:pPr>
        <w:jc w:val="both"/>
        <w:ind w:left="640" w:firstLine="1296"/>
        <w:spacing w:after="0" w:line="294" w:lineRule="auto"/>
        <w:rPr>
          <w:sz w:val="20"/>
          <w:szCs w:val="20"/>
          <w:color w:val="auto"/>
        </w:rPr>
      </w:pPr>
      <w:r>
        <w:rPr>
          <w:rFonts w:ascii="Arial" w:cs="Arial" w:eastAsia="Arial" w:hAnsi="Arial"/>
          <w:sz w:val="19"/>
          <w:szCs w:val="19"/>
          <w:color w:val="auto"/>
        </w:rPr>
        <w:t xml:space="preserve">“(a) The Loan Parties will not, and not permit their Restricted Subsidiaries to, directly or indirectly, create, incur, issue, assume, guarantee or otherwise become directly or indirectly liable with respect to, contingently or otherwise (collectively, “incur” and collectively, an “incurrence”), any Indebtedness and the Loan Parties and their Restricted Subsidiaries will not issue any shares of Disqualified Stock or Preferred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Loan Parties and their Restricted Subsidiaries may incur Indebtedness and issue shares of Disqualified Stock or Preferred Stock if either (i) the Total Net Leverage Ratio</w:t>
      </w:r>
    </w:p>
    <w:p>
      <w:pPr>
        <w:sectPr>
          <w:pgSz w:w="11900" w:h="16838" w:orient="portrait"/>
          <w:cols w:equalWidth="0" w:num="1">
            <w:col w:w="10760"/>
          </w:cols>
          <w:pgMar w:left="900" w:top="591" w:right="239" w:bottom="1440" w:gutter="0" w:footer="0" w:header="0"/>
        </w:sectPr>
      </w:pPr>
    </w:p>
    <w:bookmarkStart w:id="69" w:name="page70"/>
    <w:bookmarkEnd w:id="69"/>
    <w:p>
      <w:pPr>
        <w:jc w:val="both"/>
        <w:ind w:left="100"/>
        <w:spacing w:after="0" w:line="282" w:lineRule="auto"/>
        <w:rPr>
          <w:sz w:val="20"/>
          <w:szCs w:val="20"/>
          <w:color w:val="auto"/>
        </w:rPr>
      </w:pPr>
      <w:r>
        <w:rPr>
          <w:rFonts w:ascii="Arial" w:cs="Arial" w:eastAsia="Arial" w:hAnsi="Arial"/>
          <w:sz w:val="19"/>
          <w:szCs w:val="19"/>
          <w:color w:val="auto"/>
        </w:rPr>
        <w:t xml:space="preserve">on a consolidated basis for the most recently ended Test Period for which financial statements have been or are required to be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on which such additional Indebtedness is incurred or such Disqualified Stock or Preferred Stock is issued would have been (x) no greater than 5.50 to 1.00 or (y) if such Indebtedness or Disqualified Stock or Preferred Stock is incurred or issued to finance a Permitted Acquisition or similar Investment, no greater than the Total Net Leverage Ratio immediately prior to such incurrence or issuance or (ii) the Interest Coverage Ratio on a consolidated basis for the most recently ended Test Period for which financial statements have been or are required to be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on which such additional Indebtedness is incurred or such Disqualified Stock or Preferred Stock is issued is not less than (x) 2.0 to 1.0 or (y) if such Indebtedness or Disqualified Stock or Preferred Stock is incurred or issued to finance a Permitted Acquisition or similar Investment, the Interest Coverage Ratio immediately prior to such incurrence or issuance, in each case, determined on a pro forma basis (including a pro forma application of the net proceeds therefrom, but without otherwise netting the cash proceeds of any such Indebtedness from the calculation of Consolidated Total Debt, it being understood and agreed the foregoing Total Net Leverage Ratio or Interest Coverage Ratio test, as applicable, shall be required to be satisfied for the relevant Test Period described above on the date of each borrowing or other extension of credit under the applicable Indebtedness and on the date of each issuance of the applicable Disqualified Stock or Preferred Stock), as if the additional Indebtedness had been incurred, or the Disqualified Stock or Preferred Stock had been issued, as the case may be, and the application of proceeds therefrom, had occurred at the beginning of such Test Period, so long as such Indebtedness has a final maturity date no earlier than, and no scheduled amortization payments (other than customary nominal amortization payments) prior to, the date that is ninety-one</w:t>
      </w:r>
    </w:p>
    <w:p>
      <w:pPr>
        <w:spacing w:after="0" w:line="15" w:lineRule="exact"/>
        <w:rPr>
          <w:sz w:val="20"/>
          <w:szCs w:val="20"/>
          <w:color w:val="auto"/>
        </w:rPr>
      </w:pPr>
    </w:p>
    <w:p>
      <w:pPr>
        <w:jc w:val="both"/>
        <w:ind w:left="100" w:firstLine="5"/>
        <w:spacing w:after="0" w:line="284" w:lineRule="auto"/>
        <w:tabs>
          <w:tab w:leader="none" w:pos="5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days following the Revolver Facility Termination Date;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Canadian Domiciled Loan Parties and Restricted Subsidiaries that are not Loan Parties may not incur Indebtedness or issue shares of Disqualified Stock or Preferred Stock pursuant to this </w:t>
      </w:r>
      <w:r>
        <w:rPr>
          <w:rFonts w:ascii="Arial" w:cs="Arial" w:eastAsia="Arial" w:hAnsi="Arial"/>
          <w:sz w:val="19"/>
          <w:szCs w:val="19"/>
          <w:u w:val="single" w:color="auto"/>
          <w:color w:val="auto"/>
        </w:rPr>
        <w:t>Section 10.2.1(a)</w:t>
      </w:r>
      <w:r>
        <w:rPr>
          <w:rFonts w:ascii="Arial" w:cs="Arial" w:eastAsia="Arial" w:hAnsi="Arial"/>
          <w:sz w:val="19"/>
          <w:szCs w:val="19"/>
          <w:color w:val="auto"/>
        </w:rPr>
        <w:t xml:space="preserve"> in an aggregate amount at any time outstanding which, when combined with the principal amount then outstanding of all other Indebtedness incurred pursuant to </w:t>
      </w:r>
      <w:r>
        <w:rPr>
          <w:rFonts w:ascii="Arial" w:cs="Arial" w:eastAsia="Arial" w:hAnsi="Arial"/>
          <w:sz w:val="19"/>
          <w:szCs w:val="19"/>
          <w:u w:val="single" w:color="auto"/>
          <w:color w:val="auto"/>
        </w:rPr>
        <w:t>Section 10.2.1(b)(xxii)</w:t>
      </w:r>
      <w:r>
        <w:rPr>
          <w:rFonts w:ascii="Arial" w:cs="Arial" w:eastAsia="Arial" w:hAnsi="Arial"/>
          <w:sz w:val="19"/>
          <w:szCs w:val="19"/>
          <w:color w:val="auto"/>
        </w:rPr>
        <w:t xml:space="preserve">, is in excess of the greater of (x) $200,000,000 and (y) 8.0% of Consolidated Total Assets as of the last day of the most recently ended Test Period, (ii) that such Indebtedness incurred pursuant to this </w:t>
      </w:r>
      <w:r>
        <w:rPr>
          <w:rFonts w:ascii="Arial" w:cs="Arial" w:eastAsia="Arial" w:hAnsi="Arial"/>
          <w:sz w:val="19"/>
          <w:szCs w:val="19"/>
          <w:u w:val="single" w:color="auto"/>
          <w:color w:val="auto"/>
        </w:rPr>
        <w:t>Section 10.2.1(a)</w:t>
      </w:r>
      <w:r>
        <w:rPr>
          <w:rFonts w:ascii="Arial" w:cs="Arial" w:eastAsia="Arial" w:hAnsi="Arial"/>
          <w:sz w:val="19"/>
          <w:szCs w:val="19"/>
          <w:color w:val="auto"/>
        </w:rPr>
        <w:t xml:space="preserve"> shall not be (A) secured Indebtedness unless (x) the Secured Net Leverage Ratio on a consolidated basis for the most recently ended Test Period for which financial statements have been or are required to be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on which such additional Indebtedness is incurred would have been no greater than (1) 4.50 to 1.00 or (2) if such Indebtedness or Disqualified Stock or Preferred Stock is incurred or issued to finance a Permitted Acquisition or similar Investment, no greater than the Secured Net Leverage Ratio immediately prior to such incurrence or issuance, in each case, determined on a pro forma basis (including a pro forma application of the net proceeds therefrom, but without otherwise netting the cash proceeds of any such Indebtedness from the calculation of Consolidated Total Debt, it being understood and agreed the foregoing Secured Net Leverage Ratio test shall be required to be satisfied for the relevant Test Period described above on the date of each borrowing or other extension of credit under the applicable Indebtedness and on the date of each issuance of the applicable Disqualified Stock or Preferred Stock), as if the additional Indebtedness had been incurred and the application of proceeds therefrom had occurred at the beginning of such Test Period and (y) the Liens on the assets of any Loan Party securing such Indebtedness shall apply only to Collateral and shall be subordinated to the Liens securing the Secured Obligations</w:t>
      </w:r>
    </w:p>
    <w:p>
      <w:pPr>
        <w:sectPr>
          <w:pgSz w:w="11900" w:h="16838" w:orient="portrait"/>
          <w:cols w:equalWidth="0" w:num="1">
            <w:col w:w="10220"/>
          </w:cols>
          <w:pgMar w:left="1440" w:top="591" w:right="239" w:bottom="1440" w:gutter="0" w:footer="0" w:header="0"/>
        </w:sectPr>
      </w:pPr>
    </w:p>
    <w:bookmarkStart w:id="70" w:name="page71"/>
    <w:bookmarkEnd w:id="70"/>
    <w:p>
      <w:pPr>
        <w:jc w:val="both"/>
        <w:ind w:left="644"/>
        <w:spacing w:after="0" w:line="247" w:lineRule="auto"/>
        <w:rPr>
          <w:sz w:val="20"/>
          <w:szCs w:val="20"/>
          <w:color w:val="auto"/>
        </w:rPr>
      </w:pPr>
      <w:r>
        <w:rPr>
          <w:rFonts w:ascii="Arial" w:cs="Arial" w:eastAsia="Arial" w:hAnsi="Arial"/>
          <w:sz w:val="22"/>
          <w:szCs w:val="22"/>
          <w:color w:val="auto"/>
        </w:rPr>
        <w:t xml:space="preserve">pursuant to the terms of the Intercreditor Agreement (and the holders of such Indebtedness (or their duly appointed agent or other representative) shall have become party to the Intercreditor Agreement) or (B) guaranteed by any Person that is not a Loan Party and (iii) the Unit Subsidiary may not incur Indebtedness under this </w:t>
      </w:r>
      <w:r>
        <w:rPr>
          <w:rFonts w:ascii="Arial" w:cs="Arial" w:eastAsia="Arial" w:hAnsi="Arial"/>
          <w:sz w:val="22"/>
          <w:szCs w:val="22"/>
          <w:u w:val="single" w:color="auto"/>
          <w:color w:val="auto"/>
        </w:rPr>
        <w:t>Section 10.2.1(a)</w:t>
      </w:r>
      <w:r>
        <w:rPr>
          <w:rFonts w:ascii="Arial" w:cs="Arial" w:eastAsia="Arial" w:hAnsi="Arial"/>
          <w:sz w:val="22"/>
          <w:szCs w:val="22"/>
          <w:color w:val="auto"/>
        </w:rPr>
        <w:t xml:space="preserve"> other than Guarantee Obligations that are subordinated to the Secured Obligations in a manner at least as favorable to the Credit Parties as the subordination terms applicable to the Unit Subsidiary’s guaranty of the Senior Secured Notes on the Closing Date.”</w:t>
      </w:r>
    </w:p>
    <w:p>
      <w:pPr>
        <w:spacing w:after="0" w:line="194" w:lineRule="exact"/>
        <w:rPr>
          <w:sz w:val="20"/>
          <w:szCs w:val="20"/>
          <w:color w:val="auto"/>
        </w:rPr>
      </w:pPr>
    </w:p>
    <w:p>
      <w:pPr>
        <w:ind w:left="1804" w:hanging="507"/>
        <w:spacing w:after="0"/>
        <w:tabs>
          <w:tab w:leader="none" w:pos="1804"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Section 10.2.1(b)(i)</w:t>
      </w:r>
      <w:r>
        <w:rPr>
          <w:rFonts w:ascii="Arial" w:cs="Arial" w:eastAsia="Arial" w:hAnsi="Arial"/>
          <w:sz w:val="19"/>
          <w:szCs w:val="19"/>
          <w:color w:val="auto"/>
        </w:rPr>
        <w:t xml:space="preserve"> of the Existing ABL Credit Agreement is hereby amended and restated as follows:</w:t>
      </w:r>
    </w:p>
    <w:p>
      <w:pPr>
        <w:spacing w:after="0" w:line="295" w:lineRule="exact"/>
        <w:rPr>
          <w:sz w:val="20"/>
          <w:szCs w:val="20"/>
          <w:color w:val="auto"/>
        </w:rPr>
      </w:pPr>
    </w:p>
    <w:p>
      <w:pPr>
        <w:ind w:left="4"/>
        <w:spacing w:after="0"/>
        <w:tabs>
          <w:tab w:leader="none" w:pos="523" w:val="left"/>
        </w:tabs>
        <w:rPr>
          <w:sz w:val="20"/>
          <w:szCs w:val="20"/>
          <w:color w:val="auto"/>
        </w:rPr>
      </w:pPr>
      <w:r>
        <w:rPr>
          <w:rFonts w:ascii="Arial" w:cs="Arial" w:eastAsia="Arial" w:hAnsi="Arial"/>
          <w:sz w:val="19"/>
          <w:szCs w:val="19"/>
          <w:color w:val="auto"/>
        </w:rPr>
        <w:t>“(i)</w:t>
        <w:tab/>
        <w:t>(A) Indebtedness arising under the Loan Documents, (B)(x) Indebtedness arising under the Senior Secured Notes and</w:t>
      </w:r>
    </w:p>
    <w:p>
      <w:pPr>
        <w:spacing w:after="0" w:line="56" w:lineRule="exact"/>
        <w:rPr>
          <w:sz w:val="20"/>
          <w:szCs w:val="20"/>
          <w:color w:val="auto"/>
        </w:rPr>
      </w:pPr>
    </w:p>
    <w:p>
      <w:pPr>
        <w:jc w:val="both"/>
        <w:ind w:left="4" w:hanging="4"/>
        <w:spacing w:after="0" w:line="284" w:lineRule="auto"/>
        <w:tabs>
          <w:tab w:leader="none" w:pos="323"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any Refinancing Indebtedness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incurrence of any such Refinancing Indebtedness shall not be deemed to have refreshed capacity under the foregoing clause (i)(B)(x), so long as, in each case with respect to this clause (B), the guarantee of the Unit Subsidiary thereof is subordinated on the terms as provided in the Senior Secured Notes Indenture as in effect on the Closing Date, (C)(x) Indebtedness arising under the 2018 Senior Secured Bridge Facility and/or the 2018 Senior Secured Notes in an aggregate principal amount with respect to this clause (C)(x) at any time outstanding not to exceed $300,000,000 (or such lesser amount actually incurred on the First Amendment Effective Date) and (y) any Refinancing Indebtedness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incurrence of any such Refinancing Indebtedness shall not be deemed to have refreshed capacity under the foregoing clause (i)(C)(x), so long as, in each case with respect to this clause (C), the guarantee of the Unit Subsidiary thereof is subordinated on the terms substantially similar to those provided in the 2018 Senior Secured Bridge Credit Agreement or the 2018 Senior Secured Notes Indenture, as applicable, as in effect on the First Amendment Effective Date and (D)(x) Indebtedness arising under the 2018 Senior Unsecured Bridge Facility and/or the 2018 Senior Unsecured Notes in an aggregate principal amount with respect to this clause (D)(x) at any time outstanding not to exceed $326,400,000 (or such lesser amount actually incurred on the First Amendment Effective Date) and (y) any Refinancing Indebtedness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incurrence of any such Refinancing Indebtedness shall not be deemed to have refreshed capacity under the foregoing clause (i)(D)(x), so long as, in each case with respect to this clause (D), the guarantee of the Unit Subsidiary thereof is subordinated on the terms substantially similar to those provided in the 2018 Senior Unsecured Bridge Credit Agreement and/or the 2018 Senior Unsecured Notes Indenture as in effect on the First Amendment Effective Date;”.</w:t>
      </w:r>
    </w:p>
    <w:p>
      <w:pPr>
        <w:spacing w:after="0" w:line="163" w:lineRule="exact"/>
        <w:rPr>
          <w:rFonts w:ascii="Arial" w:cs="Arial" w:eastAsia="Arial" w:hAnsi="Arial"/>
          <w:sz w:val="19"/>
          <w:szCs w:val="19"/>
          <w:color w:val="auto"/>
        </w:rPr>
      </w:pPr>
    </w:p>
    <w:p>
      <w:pPr>
        <w:jc w:val="both"/>
        <w:ind w:left="4" w:firstLine="1293"/>
        <w:spacing w:after="0" w:line="291" w:lineRule="auto"/>
        <w:tabs>
          <w:tab w:leader="none" w:pos="1869"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Section 10.2.1(b)(iii)</w:t>
      </w:r>
      <w:r>
        <w:rPr>
          <w:rFonts w:ascii="Arial" w:cs="Arial" w:eastAsia="Arial" w:hAnsi="Arial"/>
          <w:sz w:val="19"/>
          <w:szCs w:val="19"/>
          <w:color w:val="auto"/>
        </w:rPr>
        <w:t xml:space="preserve"> of the Existing ABL Credit Agreement is hereby amended by replacing the text “the greater of (x) $20,000,000 and (y) 1.5% of Consolidated Total Assets” contained in the second proviso to such clause</w:t>
      </w:r>
    </w:p>
    <w:p>
      <w:pPr>
        <w:spacing w:after="0" w:line="1" w:lineRule="exact"/>
        <w:rPr>
          <w:rFonts w:ascii="Arial" w:cs="Arial" w:eastAsia="Arial" w:hAnsi="Arial"/>
          <w:sz w:val="19"/>
          <w:szCs w:val="19"/>
          <w:color w:val="auto"/>
        </w:rPr>
      </w:pPr>
    </w:p>
    <w:p>
      <w:pPr>
        <w:ind w:left="384" w:hanging="384"/>
        <w:spacing w:after="0"/>
        <w:tabs>
          <w:tab w:leader="none" w:pos="384"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the following text in lieu thereof: “the greater of (x) “$40,000,000” and (y) 1.6% of Consolidated Total Assets”.</w:t>
      </w:r>
    </w:p>
    <w:p>
      <w:pPr>
        <w:spacing w:after="0" w:line="276" w:lineRule="exact"/>
        <w:rPr>
          <w:rFonts w:ascii="Arial" w:cs="Arial" w:eastAsia="Arial" w:hAnsi="Arial"/>
          <w:sz w:val="19"/>
          <w:szCs w:val="19"/>
          <w:color w:val="auto"/>
        </w:rPr>
      </w:pPr>
    </w:p>
    <w:p>
      <w:pPr>
        <w:jc w:val="both"/>
        <w:ind w:left="4" w:firstLine="1293"/>
        <w:spacing w:after="0" w:line="312" w:lineRule="auto"/>
        <w:tabs>
          <w:tab w:leader="none" w:pos="1618"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Section 10.2.1(b)(iv)</w:t>
      </w:r>
      <w:r>
        <w:rPr>
          <w:rFonts w:ascii="Arial" w:cs="Arial" w:eastAsia="Arial" w:hAnsi="Arial"/>
          <w:sz w:val="19"/>
          <w:szCs w:val="19"/>
          <w:color w:val="auto"/>
        </w:rPr>
        <w:t xml:space="preserve"> of the Existing ABL Credit Agreement is hereby amended by replacing the text “the greater of (x) $20,000,000 and (y) 1.5% of Consolidated Total Assets” contained in the proviso to such clause (iv) with the following text in lieu thereof: “the greater of (x) “$40,000,000” and (y) 1.6% of Consolidated Total Assets”.</w:t>
      </w:r>
    </w:p>
    <w:p>
      <w:pPr>
        <w:spacing w:after="0" w:line="174" w:lineRule="exact"/>
        <w:rPr>
          <w:rFonts w:ascii="Arial" w:cs="Arial" w:eastAsia="Arial" w:hAnsi="Arial"/>
          <w:sz w:val="19"/>
          <w:szCs w:val="19"/>
          <w:color w:val="auto"/>
        </w:rPr>
      </w:pPr>
    </w:p>
    <w:p>
      <w:pPr>
        <w:jc w:val="both"/>
        <w:ind w:left="4" w:firstLine="1293"/>
        <w:spacing w:after="0" w:line="312" w:lineRule="auto"/>
        <w:tabs>
          <w:tab w:leader="none" w:pos="1903"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Section 10.2.1(b)(vi)</w:t>
      </w:r>
      <w:r>
        <w:rPr>
          <w:rFonts w:ascii="Arial" w:cs="Arial" w:eastAsia="Arial" w:hAnsi="Arial"/>
          <w:sz w:val="19"/>
          <w:szCs w:val="19"/>
          <w:color w:val="auto"/>
        </w:rPr>
        <w:t xml:space="preserve"> of the Existing ABL Credit Agreement is hereby amended by replacing the text “the greater of (x) $85,000,000 and (y) 6.4% of Consolidated Total Assets” contained in the first proviso to such clause (vi) with the following text in lieu thereof: “the greater of (x) “$170,000,000” and (y) 6.8% of Consolidated Total Assets”.</w:t>
      </w:r>
    </w:p>
    <w:p>
      <w:pPr>
        <w:sectPr>
          <w:pgSz w:w="11900" w:h="16838" w:orient="portrait"/>
          <w:cols w:equalWidth="0" w:num="1">
            <w:col w:w="10764"/>
          </w:cols>
          <w:pgMar w:left="896" w:top="591" w:right="239" w:bottom="1440" w:gutter="0" w:footer="0" w:header="0"/>
        </w:sectPr>
      </w:pPr>
    </w:p>
    <w:bookmarkStart w:id="71" w:name="page72"/>
    <w:bookmarkEnd w:id="71"/>
    <w:p>
      <w:pPr>
        <w:ind w:left="1300"/>
        <w:spacing w:after="0"/>
        <w:tabs>
          <w:tab w:leader="none" w:pos="1980" w:val="left"/>
        </w:tabs>
        <w:rPr>
          <w:sz w:val="20"/>
          <w:szCs w:val="20"/>
          <w:color w:val="auto"/>
        </w:rPr>
      </w:pPr>
      <w:r>
        <w:rPr>
          <w:rFonts w:ascii="Arial" w:cs="Arial" w:eastAsia="Arial" w:hAnsi="Arial"/>
          <w:sz w:val="19"/>
          <w:szCs w:val="19"/>
          <w:color w:val="auto"/>
        </w:rPr>
        <w:t>(vv)</w:t>
      </w:r>
      <w:r>
        <w:rPr>
          <w:sz w:val="20"/>
          <w:szCs w:val="20"/>
          <w:color w:val="auto"/>
        </w:rPr>
        <w:tab/>
      </w:r>
      <w:r>
        <w:rPr>
          <w:rFonts w:ascii="Arial" w:cs="Arial" w:eastAsia="Arial" w:hAnsi="Arial"/>
          <w:sz w:val="19"/>
          <w:szCs w:val="19"/>
          <w:u w:val="single" w:color="auto"/>
          <w:color w:val="auto"/>
        </w:rPr>
        <w:t>Section 10.2.1(b)(vii)</w:t>
      </w:r>
      <w:r>
        <w:rPr>
          <w:rFonts w:ascii="Arial" w:cs="Arial" w:eastAsia="Arial" w:hAnsi="Arial"/>
          <w:sz w:val="19"/>
          <w:szCs w:val="19"/>
          <w:color w:val="auto"/>
        </w:rPr>
        <w:t xml:space="preserve"> of the Existing ABL Credit Agreement is hereby amended and restated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“(A) Indebtedness (including any unused commitment) outstanding on the Closing Date listed on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(B) Capital Leases and Capitalized Lease Obligations outstanding on the First Amendment Effective Date and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the First Amendment Agreement and (C) any Refinancing Indebtedness with respect to the foregoing;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incurrence of any such Refinancing Indebtedness shall not be deemed to have refreshed capacity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foregoing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as applicable;”.</w:t>
      </w:r>
    </w:p>
    <w:p>
      <w:pPr>
        <w:spacing w:after="0" w:line="19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9"/>
          <w:szCs w:val="19"/>
          <w:color w:val="auto"/>
        </w:rPr>
        <w:t>(ww)</w:t>
      </w:r>
      <w:r>
        <w:rPr>
          <w:sz w:val="20"/>
          <w:szCs w:val="20"/>
          <w:color w:val="auto"/>
        </w:rPr>
        <w:tab/>
      </w:r>
      <w:r>
        <w:rPr>
          <w:rFonts w:ascii="Arial" w:cs="Arial" w:eastAsia="Arial" w:hAnsi="Arial"/>
          <w:sz w:val="19"/>
          <w:szCs w:val="19"/>
          <w:u w:val="single" w:color="auto"/>
          <w:color w:val="auto"/>
        </w:rPr>
        <w:t>Section 10.2.1(b)(ix)</w:t>
      </w:r>
      <w:r>
        <w:rPr>
          <w:rFonts w:ascii="Arial" w:cs="Arial" w:eastAsia="Arial" w:hAnsi="Arial"/>
          <w:sz w:val="19"/>
          <w:szCs w:val="19"/>
          <w:color w:val="auto"/>
        </w:rPr>
        <w:t xml:space="preserve"> of the Existing ABL Credit Agreement is hereby amended and restated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42" w:lineRule="exact"/>
        <w:rPr>
          <w:sz w:val="20"/>
          <w:szCs w:val="20"/>
          <w:color w:val="auto"/>
        </w:rPr>
      </w:pPr>
    </w:p>
    <w:p>
      <w:pPr>
        <w:jc w:val="both"/>
        <w:ind w:left="640" w:firstLine="1296"/>
        <w:spacing w:after="0" w:line="284" w:lineRule="auto"/>
        <w:rPr>
          <w:sz w:val="20"/>
          <w:szCs w:val="20"/>
          <w:color w:val="auto"/>
        </w:rPr>
      </w:pPr>
      <w:r>
        <w:rPr>
          <w:rFonts w:ascii="Arial" w:cs="Arial" w:eastAsia="Arial" w:hAnsi="Arial"/>
          <w:sz w:val="19"/>
          <w:szCs w:val="19"/>
          <w:color w:val="auto"/>
        </w:rPr>
        <w:t xml:space="preserve">“(ix) (A) Indebtedness, Disqualified Stock or Preferred Stock of a Person that becomes a Restricted Subsidiary (or is a Restricted Subsidiary that survives a merger or is the continuing entity following an amalgamation with such Person) and that, if secured, is not secured by any Specified Assets, or Indebtedness secured only by assets that are acquired by a Restricted Subsidiary that do not constitute Specified Assets, in each case, after the Closing Date as the result of a Permitted Acquisition,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(1) such Indebtedness, Disqualified Stock or Preferred Stock existed at the time such Person became a Restricted Subsidiary or at the time such assets subject to such Indebtedness were acquired and, in each case, was not created in anticipation thereof, (2) such Indebtedness is not guaranteed in any respect by any Loan Party or any Restricted Subsidiary (other than by any such Person that so becomes a Restricted Subsidiary or is the survivor of a merger or is the continuing entity following an amalgamation with such Person and any of its Subsidiaries or if such guarantees would be permitted by </w:t>
      </w:r>
      <w:r>
        <w:rPr>
          <w:rFonts w:ascii="Arial" w:cs="Arial" w:eastAsia="Arial" w:hAnsi="Arial"/>
          <w:sz w:val="19"/>
          <w:szCs w:val="19"/>
          <w:u w:val="single" w:color="auto"/>
          <w:color w:val="auto"/>
        </w:rPr>
        <w:t>Section 10.2.5</w:t>
      </w:r>
      <w:r>
        <w:rPr>
          <w:rFonts w:ascii="Arial" w:cs="Arial" w:eastAsia="Arial" w:hAnsi="Arial"/>
          <w:sz w:val="19"/>
          <w:szCs w:val="19"/>
          <w:color w:val="auto"/>
        </w:rPr>
        <w:t xml:space="preserve">), (3) to the extent required under </w:t>
      </w:r>
      <w:r>
        <w:rPr>
          <w:rFonts w:ascii="Arial" w:cs="Arial" w:eastAsia="Arial" w:hAnsi="Arial"/>
          <w:sz w:val="19"/>
          <w:szCs w:val="19"/>
          <w:u w:val="single" w:color="auto"/>
          <w:color w:val="auto"/>
        </w:rPr>
        <w:t>Section 10.1.12</w:t>
      </w:r>
      <w:r>
        <w:rPr>
          <w:rFonts w:ascii="Arial" w:cs="Arial" w:eastAsia="Arial" w:hAnsi="Arial"/>
          <w:sz w:val="19"/>
          <w:szCs w:val="19"/>
          <w:color w:val="auto"/>
        </w:rPr>
        <w:t xml:space="preserve">, such Person executes a supplement or joinder to this Agreement, substantially in the form of </w:t>
      </w:r>
      <w:r>
        <w:rPr>
          <w:rFonts w:ascii="Arial" w:cs="Arial" w:eastAsia="Arial" w:hAnsi="Arial"/>
          <w:sz w:val="19"/>
          <w:szCs w:val="19"/>
          <w:b w:val="1"/>
          <w:bCs w:val="1"/>
          <w:color w:val="auto"/>
        </w:rPr>
        <w:t>Exhibit I</w:t>
      </w:r>
      <w:r>
        <w:rPr>
          <w:rFonts w:ascii="Arial" w:cs="Arial" w:eastAsia="Arial" w:hAnsi="Arial"/>
          <w:sz w:val="19"/>
          <w:szCs w:val="19"/>
          <w:color w:val="auto"/>
        </w:rPr>
        <w:t xml:space="preserve">, in order to become a Loan Party and such other agreements, documents and actions required thereunder, (4) to the extent such Indebtedness, Disqualified Stock or Preferred Stock is at any time outstanding in an amount or liquidation preference in excess of $60,000,000, either (i) the Total Net Leverage Ratio on a consolidated basis for the most recently ended Test Period for which financial statements have been or are required to be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of the consummation of the applicable Permitted Acquisition would be (x) no greater than 5.50 to 1.00 or (y) no greater than the Total Net Leverage Ratio immediately prior to the consummation of the applicable Permitted Acquisition or (ii) the Interest Coverage Ratio on a consolidated basis for the most recently ended Test Period for which financial statements have been or are required to be delivered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on which such additional Indebtedness is incurred or such Disqualified Stock or Preferred Stock is issued is not less than (x) 2.0 to 1.0 or (y) the Interest Coverage Ratio immediately prior to the consummation of the applicable Permitted Acquisition, in each case, determined on a pro forma basis (including the assumption of such Indebtedness, Disqualified Stock or Preferred Stock, it being understood and agreed that the foregoing Total Net Leverage Ratio or Interest Coverage Ratio test, as applicable, shall be required to be satisfied for the relevant Test Period described above on the date of each such assumption of applicable Indebtedness, Disqualified Stock or Preferred Stock), as if the additional Indebtedness had been incurred, or the Disqualified Stock or Preferred Stock had been issued, as the case may be, at the beginning of such Test Period, (5) to the extent such Indebtedness, Disqualified Stock or Preferred Stock is at any time outstanding in an amount or liquidation preference in</w:t>
      </w:r>
    </w:p>
    <w:p>
      <w:pPr>
        <w:sectPr>
          <w:pgSz w:w="11900" w:h="16838" w:orient="portrait"/>
          <w:cols w:equalWidth="0" w:num="1">
            <w:col w:w="10760"/>
          </w:cols>
          <w:pgMar w:left="900" w:top="591" w:right="239" w:bottom="1440" w:gutter="0" w:footer="0" w:header="0"/>
        </w:sectPr>
      </w:pPr>
    </w:p>
    <w:bookmarkStart w:id="72" w:name="page73"/>
    <w:bookmarkEnd w:id="72"/>
    <w:p>
      <w:pPr>
        <w:jc w:val="both"/>
        <w:ind w:left="100"/>
        <w:spacing w:after="0" w:line="286" w:lineRule="auto"/>
        <w:rPr>
          <w:sz w:val="20"/>
          <w:szCs w:val="20"/>
          <w:color w:val="auto"/>
        </w:rPr>
      </w:pPr>
      <w:r>
        <w:rPr>
          <w:rFonts w:ascii="Arial" w:cs="Arial" w:eastAsia="Arial" w:hAnsi="Arial"/>
          <w:sz w:val="19"/>
          <w:szCs w:val="19"/>
          <w:color w:val="auto"/>
        </w:rPr>
        <w:t xml:space="preserve">excess of $60,000,000, if such Indebtedness is secured, the Secured Net Leverage Ratio on a consolidated basis for the most recently ended Test Period for which financial statements have been or are required to be delivered pursuant to clause (a) or (b)(i) of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on or immediately preceding the date of the consummation of the applicable Permitted Acquisition would be no greater than 4.50 to 1.00 or no greater than the Secured Net Leverage Ratio immediately prior to the consummation of the applicable Permitted Acquisition, in each case, determined on a pro forma basis (including the assumption of such Indebtedness, it being understood and agreed that the foregoing Secured Net Leverage Ratio test shall be required to be satisfied for the relevant Test Period described above on the date of each such assumption of applicable Indebtedness, Disqualified Stock or Preferred Stock), as if the additional Indebtedness had been incurred at the beginning of such Test Period and (6) to the extent such Indebtedness is at any time outstanding in an amount in excess of $60,000,000, such Indebtedness has a final maturity date no earlier than, and no scheduled amortization payments (other than customary nominal amortization payments) prior to, the date that is ninety-one days following the Revolver Facility Termination Date, and (B) any Refinancing Indebtedness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incurrence of any such Refinancing Indebtedness shall not be deemed to have refreshed capacity under the foregoing clause (A);”</w:t>
      </w:r>
    </w:p>
    <w:p>
      <w:pPr>
        <w:spacing w:after="0" w:line="163" w:lineRule="exact"/>
        <w:rPr>
          <w:sz w:val="20"/>
          <w:szCs w:val="20"/>
          <w:color w:val="auto"/>
        </w:rPr>
      </w:pPr>
    </w:p>
    <w:p>
      <w:pPr>
        <w:jc w:val="both"/>
        <w:ind w:left="-540" w:firstLine="1293"/>
        <w:spacing w:after="0" w:line="271" w:lineRule="auto"/>
        <w:tabs>
          <w:tab w:leader="none" w:pos="136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Section 10.2.1(b)(xi)</w:t>
      </w:r>
      <w:r>
        <w:rPr>
          <w:rFonts w:ascii="Arial" w:cs="Arial" w:eastAsia="Arial" w:hAnsi="Arial"/>
          <w:sz w:val="21"/>
          <w:szCs w:val="21"/>
          <w:color w:val="auto"/>
        </w:rPr>
        <w:t xml:space="preserve"> of the Existing ABL Credit Agreement is hereby amended by replacing the text “the greater of (x) $50,000,000 and (y) 3.8% of Consolidated Total Assets” contained in such clause (xi) with the following text in lieu thereof: “the greater of (x) “$100,000,000” and (y) 4.0% of Consolidated Total Assets”.</w:t>
      </w:r>
    </w:p>
    <w:p>
      <w:pPr>
        <w:spacing w:after="0" w:line="208" w:lineRule="exact"/>
        <w:rPr>
          <w:rFonts w:ascii="Arial" w:cs="Arial" w:eastAsia="Arial" w:hAnsi="Arial"/>
          <w:sz w:val="21"/>
          <w:szCs w:val="21"/>
          <w:color w:val="auto"/>
        </w:rPr>
      </w:pPr>
    </w:p>
    <w:p>
      <w:pPr>
        <w:jc w:val="both"/>
        <w:ind w:left="-540" w:firstLine="1293"/>
        <w:spacing w:after="0" w:line="312" w:lineRule="auto"/>
        <w:tabs>
          <w:tab w:leader="none" w:pos="134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Section 10.2.1(b)(xii)</w:t>
      </w:r>
      <w:r>
        <w:rPr>
          <w:rFonts w:ascii="Arial" w:cs="Arial" w:eastAsia="Arial" w:hAnsi="Arial"/>
          <w:sz w:val="19"/>
          <w:szCs w:val="19"/>
          <w:color w:val="auto"/>
        </w:rPr>
        <w:t xml:space="preserve"> of the Existing ABL Credit Agreement is hereby amended by replacing the text “the greater of (x) $85,000,000 and (y) 6.4% of Consolidated Total Assets” contained in subclause (A) of such clause (xii) with the following text in lieu thereof: “the greater of (x) $170,000,000 and 6.8% of Consolidated Total Assets”.</w:t>
      </w:r>
    </w:p>
    <w:p>
      <w:pPr>
        <w:spacing w:after="0" w:line="174" w:lineRule="exact"/>
        <w:rPr>
          <w:rFonts w:ascii="Arial" w:cs="Arial" w:eastAsia="Arial" w:hAnsi="Arial"/>
          <w:sz w:val="19"/>
          <w:szCs w:val="19"/>
          <w:color w:val="auto"/>
        </w:rPr>
      </w:pPr>
    </w:p>
    <w:p>
      <w:pPr>
        <w:ind w:left="-540" w:firstLine="1293"/>
        <w:spacing w:after="0" w:line="263" w:lineRule="auto"/>
        <w:tabs>
          <w:tab w:leader="none" w:pos="143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Section 10.2.1(b)(xv)</w:t>
      </w:r>
      <w:r>
        <w:rPr>
          <w:rFonts w:ascii="Arial" w:cs="Arial" w:eastAsia="Arial" w:hAnsi="Arial"/>
          <w:sz w:val="22"/>
          <w:szCs w:val="22"/>
          <w:color w:val="auto"/>
        </w:rPr>
        <w:t xml:space="preserve"> of the Existing ABL Credit Agreement is hereby amended by replacing the reference to the amount “$50,000,000” therein with the amount “$100,000,000”.</w:t>
      </w:r>
    </w:p>
    <w:p>
      <w:pPr>
        <w:spacing w:after="0" w:line="215" w:lineRule="exact"/>
        <w:rPr>
          <w:sz w:val="20"/>
          <w:szCs w:val="20"/>
          <w:color w:val="auto"/>
        </w:rPr>
      </w:pPr>
    </w:p>
    <w:p>
      <w:pPr>
        <w:ind w:left="-540" w:firstLine="1293"/>
        <w:spacing w:after="0" w:line="263" w:lineRule="auto"/>
        <w:tabs>
          <w:tab w:leader="none" w:pos="148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Section 10.2.1(b)(xxi)</w:t>
      </w:r>
      <w:r>
        <w:rPr>
          <w:rFonts w:ascii="Arial" w:cs="Arial" w:eastAsia="Arial" w:hAnsi="Arial"/>
          <w:sz w:val="22"/>
          <w:szCs w:val="22"/>
          <w:color w:val="auto"/>
        </w:rPr>
        <w:t xml:space="preserve"> of the Existing ABL Credit Agreement is hereby amended by replacing the amount “$5,000,000” therein with the amount “$10,000,000”.</w:t>
      </w:r>
    </w:p>
    <w:p>
      <w:pPr>
        <w:spacing w:after="0" w:line="215" w:lineRule="exact"/>
        <w:rPr>
          <w:rFonts w:ascii="Arial" w:cs="Arial" w:eastAsia="Arial" w:hAnsi="Arial"/>
          <w:sz w:val="22"/>
          <w:szCs w:val="22"/>
          <w:color w:val="auto"/>
        </w:rPr>
      </w:pPr>
    </w:p>
    <w:p>
      <w:pPr>
        <w:jc w:val="both"/>
        <w:ind w:left="-540" w:firstLine="1293"/>
        <w:spacing w:after="0" w:line="271" w:lineRule="auto"/>
        <w:tabs>
          <w:tab w:leader="none" w:pos="149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Section 10.2.1(b)(xxii)</w:t>
      </w:r>
      <w:r>
        <w:rPr>
          <w:rFonts w:ascii="Arial" w:cs="Arial" w:eastAsia="Arial" w:hAnsi="Arial"/>
          <w:sz w:val="21"/>
          <w:szCs w:val="21"/>
          <w:color w:val="auto"/>
        </w:rPr>
        <w:t xml:space="preserve"> of the Existing ABL Credit Agreement is hereby amended by replacing the text “the greater of (x) $100,000,000 and (y) 7.5% of Consolidated Total Assets” contained in such clause (xxii) with the following in lieu thereof: “the greater of (x) $200,000,000 and (y) 8.0% of Consolidated Total Assets”.</w:t>
      </w:r>
    </w:p>
    <w:p>
      <w:pPr>
        <w:spacing w:after="0" w:line="208" w:lineRule="exact"/>
        <w:rPr>
          <w:rFonts w:ascii="Arial" w:cs="Arial" w:eastAsia="Arial" w:hAnsi="Arial"/>
          <w:sz w:val="21"/>
          <w:szCs w:val="21"/>
          <w:color w:val="auto"/>
        </w:rPr>
      </w:pPr>
    </w:p>
    <w:p>
      <w:pPr>
        <w:jc w:val="both"/>
        <w:ind w:left="-540" w:firstLine="1293"/>
        <w:spacing w:after="0" w:line="253" w:lineRule="auto"/>
        <w:tabs>
          <w:tab w:leader="none" w:pos="145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Section 10.2.1(b)(xxiii)</w:t>
      </w:r>
      <w:r>
        <w:rPr>
          <w:rFonts w:ascii="Arial" w:cs="Arial" w:eastAsia="Arial" w:hAnsi="Arial"/>
          <w:sz w:val="22"/>
          <w:szCs w:val="22"/>
          <w:color w:val="auto"/>
        </w:rPr>
        <w:t xml:space="preserve"> of the Existing ABL Credit Agreement is hereby amended by replacing the text “the greater of (x) $40,000,000 and (y) 3.0% of Consolidated Total Assets” contained in such clause (xxiii) with “the greater of (x) $80,000,000 and (y) 3.2% of Consolidated Total Assets”.</w:t>
      </w:r>
    </w:p>
    <w:p>
      <w:pPr>
        <w:spacing w:after="0" w:line="226" w:lineRule="exact"/>
        <w:rPr>
          <w:rFonts w:ascii="Arial" w:cs="Arial" w:eastAsia="Arial" w:hAnsi="Arial"/>
          <w:sz w:val="22"/>
          <w:szCs w:val="22"/>
          <w:color w:val="auto"/>
        </w:rPr>
      </w:pPr>
    </w:p>
    <w:p>
      <w:pPr>
        <w:ind w:left="-540" w:right="20" w:firstLine="1293"/>
        <w:spacing w:after="0" w:line="263" w:lineRule="auto"/>
        <w:tabs>
          <w:tab w:leader="none" w:pos="1532"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final paragraph of </w:t>
      </w:r>
      <w:r>
        <w:rPr>
          <w:rFonts w:ascii="Arial" w:cs="Arial" w:eastAsia="Arial" w:hAnsi="Arial"/>
          <w:sz w:val="22"/>
          <w:szCs w:val="22"/>
          <w:u w:val="single" w:color="auto"/>
          <w:color w:val="auto"/>
        </w:rPr>
        <w:t>Section 10.2.1(b)</w:t>
      </w:r>
      <w:r>
        <w:rPr>
          <w:rFonts w:ascii="Arial" w:cs="Arial" w:eastAsia="Arial" w:hAnsi="Arial"/>
          <w:sz w:val="22"/>
          <w:szCs w:val="22"/>
          <w:color w:val="auto"/>
        </w:rPr>
        <w:t xml:space="preserve"> of the Existing ABL Credit Agreement is hereby amended by replacing the reference to the amount “$50,000,000” therein with the amount “$75,000,000”.</w:t>
      </w:r>
    </w:p>
    <w:p>
      <w:pPr>
        <w:sectPr>
          <w:pgSz w:w="11900" w:h="16838" w:orient="portrait"/>
          <w:cols w:equalWidth="0" w:num="1">
            <w:col w:w="10220"/>
          </w:cols>
          <w:pgMar w:left="1440" w:top="591" w:right="239" w:bottom="1440" w:gutter="0" w:footer="0" w:header="0"/>
        </w:sectPr>
      </w:pPr>
    </w:p>
    <w:bookmarkStart w:id="73" w:name="page74"/>
    <w:bookmarkEnd w:id="73"/>
    <w:p>
      <w:pPr>
        <w:ind w:left="1300"/>
        <w:spacing w:after="0"/>
        <w:rPr>
          <w:sz w:val="20"/>
          <w:szCs w:val="20"/>
          <w:color w:val="auto"/>
        </w:rPr>
      </w:pPr>
      <w:r>
        <w:rPr>
          <w:rFonts w:ascii="Arial" w:cs="Arial" w:eastAsia="Arial" w:hAnsi="Arial"/>
          <w:sz w:val="19"/>
          <w:szCs w:val="19"/>
          <w:color w:val="auto"/>
        </w:rPr>
        <w:t xml:space="preserve">(eee) </w:t>
      </w:r>
      <w:r>
        <w:rPr>
          <w:rFonts w:ascii="Arial" w:cs="Arial" w:eastAsia="Arial" w:hAnsi="Arial"/>
          <w:sz w:val="19"/>
          <w:szCs w:val="19"/>
          <w:u w:val="single" w:color="auto"/>
          <w:color w:val="auto"/>
        </w:rPr>
        <w:t>Section 10.2.2(a)</w:t>
      </w:r>
      <w:r>
        <w:rPr>
          <w:rFonts w:ascii="Arial" w:cs="Arial" w:eastAsia="Arial" w:hAnsi="Arial"/>
          <w:sz w:val="19"/>
          <w:szCs w:val="19"/>
          <w:color w:val="auto"/>
        </w:rPr>
        <w:t xml:space="preserve"> of the Existing ABL Credit Agreement is hereby amended and restated as follows:</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“(a) (i) Liens arising under the Credit Documents, (ii) Liens on Collateral of the U.S. Domiciled Loan Parties arising under the Senior Secured Notes Documents and Refinancing Indebtedness with respect thereto to the extent permitted by </w:t>
      </w:r>
      <w:r>
        <w:rPr>
          <w:rFonts w:ascii="Arial" w:cs="Arial" w:eastAsia="Arial" w:hAnsi="Arial"/>
          <w:sz w:val="21"/>
          <w:szCs w:val="21"/>
          <w:u w:val="single" w:color="auto"/>
          <w:color w:val="auto"/>
        </w:rPr>
        <w:t>Section 10.2.1(b)(i)(B)</w:t>
      </w:r>
      <w:r>
        <w:rPr>
          <w:rFonts w:ascii="Arial" w:cs="Arial" w:eastAsia="Arial" w:hAnsi="Arial"/>
          <w:sz w:val="21"/>
          <w:szCs w:val="21"/>
          <w:color w:val="auto"/>
        </w:rPr>
        <w:t xml:space="preserve"> and (iii) Liens on Collateral of the U.S. Domiciled Loan Parties arising under the 2018 Senior Secured Notes Documents and/or the 2018 Senior Secured Bridge Documents and, in either case, Refinancing Indebtedness with respect thereto to the extent permitted by </w:t>
      </w:r>
      <w:r>
        <w:rPr>
          <w:rFonts w:ascii="Arial" w:cs="Arial" w:eastAsia="Arial" w:hAnsi="Arial"/>
          <w:sz w:val="21"/>
          <w:szCs w:val="21"/>
          <w:u w:val="single" w:color="auto"/>
          <w:color w:val="auto"/>
        </w:rPr>
        <w:t>Section 10.2.1(b)(i)(C)</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Liens pursuant to the foregoing </w:t>
      </w:r>
      <w:r>
        <w:rPr>
          <w:rFonts w:ascii="Arial" w:cs="Arial" w:eastAsia="Arial" w:hAnsi="Arial"/>
          <w:sz w:val="21"/>
          <w:szCs w:val="21"/>
          <w:u w:val="single" w:color="auto"/>
          <w:color w:val="auto"/>
        </w:rPr>
        <w:t>clauses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shall be subordinated to the Liens securing the Secured Obligations pursuant to the terms of the Intercreditor Agreement (and the holders of such Indebtedness (or their duly appointed agent or other representative) shall have become party to the Intercreditor Agreement); and”.</w:t>
      </w:r>
    </w:p>
    <w:p>
      <w:pPr>
        <w:spacing w:after="0" w:line="18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(fff)</w:t>
      </w:r>
      <w:r>
        <w:rPr>
          <w:sz w:val="20"/>
          <w:szCs w:val="20"/>
          <w:color w:val="auto"/>
        </w:rPr>
        <w:tab/>
      </w:r>
      <w:r>
        <w:rPr>
          <w:rFonts w:ascii="Arial" w:cs="Arial" w:eastAsia="Arial" w:hAnsi="Arial"/>
          <w:sz w:val="19"/>
          <w:szCs w:val="19"/>
          <w:u w:val="single" w:color="auto"/>
          <w:color w:val="auto"/>
        </w:rPr>
        <w:t>Section 10.2.3(c)</w:t>
      </w:r>
      <w:r>
        <w:rPr>
          <w:rFonts w:ascii="Arial" w:cs="Arial" w:eastAsia="Arial" w:hAnsi="Arial"/>
          <w:sz w:val="19"/>
          <w:szCs w:val="19"/>
          <w:color w:val="auto"/>
        </w:rPr>
        <w:t xml:space="preserve"> of the Existing ABL Credit Agreement is hereby amended and restated as follows:</w:t>
      </w:r>
    </w:p>
    <w:p>
      <w:pPr>
        <w:spacing w:after="0" w:line="295"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color w:val="auto"/>
        </w:rPr>
        <w:t>“(c)</w:t>
        <w:tab/>
        <w:t>in connection with the ModSpace Acquisition as contemplated by the ModSpace Acquisition Agreement;”.</w:t>
      </w:r>
    </w:p>
    <w:p>
      <w:pPr>
        <w:spacing w:after="0" w:line="231" w:lineRule="exact"/>
        <w:rPr>
          <w:sz w:val="20"/>
          <w:szCs w:val="20"/>
          <w:color w:val="auto"/>
        </w:rPr>
      </w:pPr>
    </w:p>
    <w:p>
      <w:pPr>
        <w:jc w:val="both"/>
        <w:ind w:firstLine="1293"/>
        <w:spacing w:after="0" w:line="248" w:lineRule="auto"/>
        <w:tabs>
          <w:tab w:leader="none" w:pos="2048"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10.2.3(f)</w:t>
      </w:r>
      <w:r>
        <w:rPr>
          <w:rFonts w:ascii="Arial" w:cs="Arial" w:eastAsia="Arial" w:hAnsi="Arial"/>
          <w:sz w:val="22"/>
          <w:szCs w:val="22"/>
          <w:color w:val="auto"/>
        </w:rPr>
        <w:t xml:space="preserve"> of the Existing ABL Credit Agreement is hereby amended by (i) replacing the text “the greater of (x) $25,000,000 and (y) 1.9% of Consolidated Total Assets” contained in subclause (A) thereof with “the greater of (x) $50,000,000 and (y) 2.0% of Consolidated Total Assets” and (ii) replacing the text “the greater of (x) $50,000,000 and (y) 3.8% of Consolidated Total Assets” contained in subclause (B) thereof with “the greater of (x) $100,000,000 and (y) 4.0% of Consolidated Total Assets”.</w:t>
      </w:r>
    </w:p>
    <w:p>
      <w:pPr>
        <w:spacing w:after="0" w:line="232" w:lineRule="exact"/>
        <w:rPr>
          <w:rFonts w:ascii="Arial" w:cs="Arial" w:eastAsia="Arial" w:hAnsi="Arial"/>
          <w:sz w:val="22"/>
          <w:szCs w:val="22"/>
          <w:color w:val="auto"/>
        </w:rPr>
      </w:pPr>
    </w:p>
    <w:p>
      <w:pPr>
        <w:ind w:firstLine="1293"/>
        <w:spacing w:after="0" w:line="263" w:lineRule="auto"/>
        <w:tabs>
          <w:tab w:leader="none" w:pos="210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10.2.4(b)(i)</w:t>
      </w:r>
      <w:r>
        <w:rPr>
          <w:rFonts w:ascii="Arial" w:cs="Arial" w:eastAsia="Arial" w:hAnsi="Arial"/>
          <w:sz w:val="22"/>
          <w:szCs w:val="22"/>
          <w:color w:val="auto"/>
        </w:rPr>
        <w:t xml:space="preserve"> of the Existing ABL Credit Agreement is hereby amended by replacing the reference to the amount “$10,000,000” therein with the amount “$15,000,000”.</w:t>
      </w:r>
    </w:p>
    <w:p>
      <w:pPr>
        <w:spacing w:after="0" w:line="215" w:lineRule="exact"/>
        <w:rPr>
          <w:rFonts w:ascii="Arial" w:cs="Arial" w:eastAsia="Arial" w:hAnsi="Arial"/>
          <w:sz w:val="22"/>
          <w:szCs w:val="22"/>
          <w:color w:val="auto"/>
        </w:rPr>
      </w:pPr>
    </w:p>
    <w:p>
      <w:pPr>
        <w:ind w:firstLine="1293"/>
        <w:spacing w:after="0" w:line="263" w:lineRule="auto"/>
        <w:tabs>
          <w:tab w:leader="none" w:pos="197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10.2.4(b)(ii)</w:t>
      </w:r>
      <w:r>
        <w:rPr>
          <w:rFonts w:ascii="Arial" w:cs="Arial" w:eastAsia="Arial" w:hAnsi="Arial"/>
          <w:sz w:val="22"/>
          <w:szCs w:val="22"/>
          <w:color w:val="auto"/>
        </w:rPr>
        <w:t xml:space="preserve"> of the Existing ABL Credit Agreement is hereby amended by replacing the reference to the amount “$25,000,000” therein with the amount “$35,000,000”.</w:t>
      </w:r>
    </w:p>
    <w:p>
      <w:pPr>
        <w:spacing w:after="0" w:line="215" w:lineRule="exact"/>
        <w:rPr>
          <w:rFonts w:ascii="Arial" w:cs="Arial" w:eastAsia="Arial" w:hAnsi="Arial"/>
          <w:sz w:val="22"/>
          <w:szCs w:val="22"/>
          <w:color w:val="auto"/>
        </w:rPr>
      </w:pPr>
    </w:p>
    <w:p>
      <w:pPr>
        <w:ind w:firstLine="1293"/>
        <w:spacing w:after="0" w:line="263" w:lineRule="auto"/>
        <w:tabs>
          <w:tab w:leader="none" w:pos="183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10.2.4(n)</w:t>
      </w:r>
      <w:r>
        <w:rPr>
          <w:rFonts w:ascii="Arial" w:cs="Arial" w:eastAsia="Arial" w:hAnsi="Arial"/>
          <w:sz w:val="22"/>
          <w:szCs w:val="22"/>
          <w:color w:val="auto"/>
        </w:rPr>
        <w:t xml:space="preserve"> of the Existing ABL Credit Agreement is hereby amended by replacing the reference to the amount “$35,000,000” therein with the amount “$50,000,000”.</w:t>
      </w:r>
    </w:p>
    <w:p>
      <w:pPr>
        <w:spacing w:after="0" w:line="215" w:lineRule="exact"/>
        <w:rPr>
          <w:rFonts w:ascii="Arial" w:cs="Arial" w:eastAsia="Arial" w:hAnsi="Arial"/>
          <w:sz w:val="22"/>
          <w:szCs w:val="22"/>
          <w:color w:val="auto"/>
        </w:rPr>
      </w:pPr>
    </w:p>
    <w:p>
      <w:pPr>
        <w:ind w:firstLine="1293"/>
        <w:spacing w:after="0" w:line="263" w:lineRule="auto"/>
        <w:tabs>
          <w:tab w:leader="none" w:pos="215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10.2.5(c)</w:t>
      </w:r>
      <w:r>
        <w:rPr>
          <w:rFonts w:ascii="Arial" w:cs="Arial" w:eastAsia="Arial" w:hAnsi="Arial"/>
          <w:sz w:val="22"/>
          <w:szCs w:val="22"/>
          <w:color w:val="auto"/>
        </w:rPr>
        <w:t xml:space="preserve"> of the Existing ABL Credit Agreement is hereby amended by replacing the reference to the amount “$5,000,000” therein with the amount “$10,000,000”.</w:t>
      </w:r>
    </w:p>
    <w:p>
      <w:pPr>
        <w:spacing w:after="0" w:line="215" w:lineRule="exact"/>
        <w:rPr>
          <w:rFonts w:ascii="Arial" w:cs="Arial" w:eastAsia="Arial" w:hAnsi="Arial"/>
          <w:sz w:val="22"/>
          <w:szCs w:val="22"/>
          <w:color w:val="auto"/>
        </w:rPr>
      </w:pPr>
    </w:p>
    <w:p>
      <w:pPr>
        <w:jc w:val="both"/>
        <w:ind w:firstLine="1293"/>
        <w:spacing w:after="0" w:line="263" w:lineRule="auto"/>
        <w:tabs>
          <w:tab w:leader="none" w:pos="1877"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Section 10.2.5(g)</w:t>
      </w:r>
      <w:r>
        <w:rPr>
          <w:rFonts w:ascii="Arial" w:cs="Arial" w:eastAsia="Arial" w:hAnsi="Arial"/>
          <w:sz w:val="21"/>
          <w:szCs w:val="21"/>
          <w:color w:val="auto"/>
        </w:rPr>
        <w:t xml:space="preserve"> of the Existing ABL Credit Agreement is hereby amended by (i) replacing the text “the greater of (x) $40,000,000 and (y) 3.0% of Consolidated Total Assets” contained in subclause (v)(A) thereof with “the greater of (x) $80,000,000 and (y) 3.2% of Consolidated Total Assets” in lieu thereof and (ii) replacing the text “the greater of (x) $30,000,000 and (y) 2.3% of Consolidated Total Assets” contained in subclause (v)(B) thereof with “the greater of (x) $60,000,000 and (y) 2.4% of Consolidated Total Assets” in lieu thereof.</w:t>
      </w:r>
    </w:p>
    <w:p>
      <w:pPr>
        <w:spacing w:after="0" w:line="216" w:lineRule="exact"/>
        <w:rPr>
          <w:rFonts w:ascii="Arial" w:cs="Arial" w:eastAsia="Arial" w:hAnsi="Arial"/>
          <w:sz w:val="21"/>
          <w:szCs w:val="21"/>
          <w:color w:val="auto"/>
        </w:rPr>
      </w:pPr>
    </w:p>
    <w:p>
      <w:pPr>
        <w:ind w:left="2220" w:hanging="927"/>
        <w:spacing w:after="0"/>
        <w:tabs>
          <w:tab w:leader="none" w:pos="222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Section 10.2.5(h)</w:t>
      </w:r>
      <w:r>
        <w:rPr>
          <w:rFonts w:ascii="Arial" w:cs="Arial" w:eastAsia="Arial" w:hAnsi="Arial"/>
          <w:sz w:val="22"/>
          <w:szCs w:val="22"/>
          <w:color w:val="auto"/>
        </w:rPr>
        <w:t xml:space="preserve"> of the Existing ABL Credit Agreement is hereby amended by:</w:t>
      </w:r>
    </w:p>
    <w:p>
      <w:pPr>
        <w:sectPr>
          <w:pgSz w:w="11900" w:h="16838" w:orient="portrait"/>
          <w:cols w:equalWidth="0" w:num="1">
            <w:col w:w="10760"/>
          </w:cols>
          <w:pgMar w:left="900" w:top="591" w:right="239" w:bottom="1440" w:gutter="0" w:footer="0" w:header="0"/>
        </w:sectPr>
      </w:pPr>
    </w:p>
    <w:bookmarkStart w:id="74" w:name="page75"/>
    <w:bookmarkEnd w:id="74"/>
    <w:p>
      <w:pPr>
        <w:ind w:left="960" w:right="320" w:firstLine="981"/>
        <w:spacing w:after="0" w:line="263" w:lineRule="auto"/>
        <w:tabs>
          <w:tab w:leader="none" w:pos="2881" w:val="left"/>
        </w:tabs>
        <w:numPr>
          <w:ilvl w:val="1"/>
          <w:numId w:val="54"/>
        </w:numPr>
        <w:rPr>
          <w:rFonts w:ascii="Arial" w:cs="Arial" w:eastAsia="Arial" w:hAnsi="Arial"/>
          <w:sz w:val="22"/>
          <w:szCs w:val="22"/>
          <w:color w:val="auto"/>
        </w:rPr>
      </w:pPr>
      <w:r>
        <w:rPr>
          <w:rFonts w:ascii="Arial" w:cs="Arial" w:eastAsia="Arial" w:hAnsi="Arial"/>
          <w:sz w:val="22"/>
          <w:szCs w:val="22"/>
          <w:color w:val="auto"/>
        </w:rPr>
        <w:t>inserting the text “ (including the ModSpace Acquisition)” immediately after the words “Permitted Acquisitions” contained in such clause (h);</w:t>
      </w:r>
    </w:p>
    <w:p>
      <w:pPr>
        <w:spacing w:after="0" w:line="215" w:lineRule="exact"/>
        <w:rPr>
          <w:rFonts w:ascii="Arial" w:cs="Arial" w:eastAsia="Arial" w:hAnsi="Arial"/>
          <w:sz w:val="22"/>
          <w:szCs w:val="22"/>
          <w:color w:val="auto"/>
        </w:rPr>
      </w:pPr>
    </w:p>
    <w:p>
      <w:pPr>
        <w:ind w:left="960" w:right="320" w:firstLine="981"/>
        <w:spacing w:after="0" w:line="253" w:lineRule="auto"/>
        <w:tabs>
          <w:tab w:leader="none" w:pos="2869" w:val="left"/>
        </w:tabs>
        <w:numPr>
          <w:ilvl w:val="1"/>
          <w:numId w:val="54"/>
        </w:numPr>
        <w:rPr>
          <w:rFonts w:ascii="Arial" w:cs="Arial" w:eastAsia="Arial" w:hAnsi="Arial"/>
          <w:sz w:val="22"/>
          <w:szCs w:val="22"/>
          <w:color w:val="auto"/>
        </w:rPr>
      </w:pPr>
      <w:r>
        <w:rPr>
          <w:rFonts w:ascii="Arial" w:cs="Arial" w:eastAsia="Arial" w:hAnsi="Arial"/>
          <w:sz w:val="22"/>
          <w:szCs w:val="22"/>
          <w:color w:val="auto"/>
        </w:rPr>
        <w:t>replacing the text “the greater of (x) $25,000,000 and (y) 1.9% of Consolidated Total Assets” contained in subclause (A) thereof with “the greater of (x) $50,000,000 and (y) 2.0% of Consolidated Total Assets” in lieu thereof; and</w:t>
      </w:r>
    </w:p>
    <w:p>
      <w:pPr>
        <w:spacing w:after="0" w:line="226" w:lineRule="exact"/>
        <w:rPr>
          <w:rFonts w:ascii="Arial" w:cs="Arial" w:eastAsia="Arial" w:hAnsi="Arial"/>
          <w:sz w:val="22"/>
          <w:szCs w:val="22"/>
          <w:color w:val="auto"/>
        </w:rPr>
      </w:pPr>
    </w:p>
    <w:p>
      <w:pPr>
        <w:ind w:left="960" w:right="540" w:firstLine="981"/>
        <w:spacing w:after="0" w:line="253" w:lineRule="auto"/>
        <w:tabs>
          <w:tab w:leader="none" w:pos="2869" w:val="left"/>
        </w:tabs>
        <w:numPr>
          <w:ilvl w:val="1"/>
          <w:numId w:val="54"/>
        </w:numPr>
        <w:rPr>
          <w:rFonts w:ascii="Arial" w:cs="Arial" w:eastAsia="Arial" w:hAnsi="Arial"/>
          <w:sz w:val="22"/>
          <w:szCs w:val="22"/>
          <w:color w:val="auto"/>
        </w:rPr>
      </w:pPr>
      <w:r>
        <w:rPr>
          <w:rFonts w:ascii="Arial" w:cs="Arial" w:eastAsia="Arial" w:hAnsi="Arial"/>
          <w:sz w:val="22"/>
          <w:szCs w:val="22"/>
          <w:color w:val="auto"/>
        </w:rPr>
        <w:t>replacing the text “the greater of (x) $50,000,000 and (y) 3.8% of Consolidated Total Assets” in subclause (B) thereof with “the greater of (x) $100,000,000 and (y) 4.0% of Consolidated Total Assets” in lieu thereof.</w:t>
      </w:r>
    </w:p>
    <w:p>
      <w:pPr>
        <w:spacing w:after="0" w:line="226" w:lineRule="exact"/>
        <w:rPr>
          <w:rFonts w:ascii="Arial" w:cs="Arial" w:eastAsia="Arial" w:hAnsi="Arial"/>
          <w:sz w:val="22"/>
          <w:szCs w:val="22"/>
          <w:color w:val="auto"/>
        </w:rPr>
      </w:pPr>
    </w:p>
    <w:p>
      <w:pPr>
        <w:jc w:val="both"/>
        <w:ind w:firstLine="1293"/>
        <w:spacing w:after="0" w:line="253" w:lineRule="auto"/>
        <w:tabs>
          <w:tab w:leader="none" w:pos="199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10.2.5(k)(ii)</w:t>
      </w:r>
      <w:r>
        <w:rPr>
          <w:rFonts w:ascii="Arial" w:cs="Arial" w:eastAsia="Arial" w:hAnsi="Arial"/>
          <w:sz w:val="22"/>
          <w:szCs w:val="22"/>
          <w:color w:val="auto"/>
        </w:rPr>
        <w:t xml:space="preserve"> of the Existing ABL Credit Agreement is hereby amended by replacing the text “the greater of (x) $25,000,000 and (y) 1.9% of Consolidated Total Assets” contained therein with “the greater of (x) $50,000,000 and (y) 2.0% of Consolidated Total Assets” in lieu thereof.</w:t>
      </w:r>
    </w:p>
    <w:p>
      <w:pPr>
        <w:spacing w:after="0" w:line="226" w:lineRule="exact"/>
        <w:rPr>
          <w:rFonts w:ascii="Arial" w:cs="Arial" w:eastAsia="Arial" w:hAnsi="Arial"/>
          <w:sz w:val="22"/>
          <w:szCs w:val="22"/>
          <w:color w:val="auto"/>
        </w:rPr>
      </w:pPr>
    </w:p>
    <w:p>
      <w:pPr>
        <w:jc w:val="both"/>
        <w:ind w:firstLine="1293"/>
        <w:spacing w:after="0" w:line="250" w:lineRule="auto"/>
        <w:tabs>
          <w:tab w:leader="none" w:pos="207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10.2.5(v)</w:t>
      </w:r>
      <w:r>
        <w:rPr>
          <w:rFonts w:ascii="Arial" w:cs="Arial" w:eastAsia="Arial" w:hAnsi="Arial"/>
          <w:sz w:val="22"/>
          <w:szCs w:val="22"/>
          <w:color w:val="auto"/>
        </w:rPr>
        <w:t xml:space="preserve"> of the Existing ABL Credit Agreement is hereby amended by (x) replacing the reference to the amount “$10,000,000” therein with the amount “$20,000,000” and (y) deleting the word “and” immediately after the semicolon therein and </w:t>
      </w:r>
      <w:r>
        <w:rPr>
          <w:rFonts w:ascii="Arial" w:cs="Arial" w:eastAsia="Arial" w:hAnsi="Arial"/>
          <w:sz w:val="22"/>
          <w:szCs w:val="22"/>
          <w:u w:val="single" w:color="auto"/>
          <w:color w:val="auto"/>
        </w:rPr>
        <w:t>Section 10.2.5(w)</w:t>
      </w:r>
      <w:r>
        <w:rPr>
          <w:rFonts w:ascii="Arial" w:cs="Arial" w:eastAsia="Arial" w:hAnsi="Arial"/>
          <w:sz w:val="22"/>
          <w:szCs w:val="22"/>
          <w:color w:val="auto"/>
        </w:rPr>
        <w:t xml:space="preserve"> of the Existing ABL Credit Agreement is hereby amended by deleting the period at the end thereof and replacing it with “; and”.</w:t>
      </w:r>
    </w:p>
    <w:p>
      <w:pPr>
        <w:spacing w:after="0" w:line="228" w:lineRule="exact"/>
        <w:rPr>
          <w:rFonts w:ascii="Arial" w:cs="Arial" w:eastAsia="Arial" w:hAnsi="Arial"/>
          <w:sz w:val="22"/>
          <w:szCs w:val="22"/>
          <w:color w:val="auto"/>
        </w:rPr>
      </w:pPr>
    </w:p>
    <w:p>
      <w:pPr>
        <w:ind w:firstLine="1293"/>
        <w:spacing w:after="0" w:line="263" w:lineRule="auto"/>
        <w:tabs>
          <w:tab w:leader="none" w:pos="208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10.2.5</w:t>
      </w:r>
      <w:r>
        <w:rPr>
          <w:rFonts w:ascii="Arial" w:cs="Arial" w:eastAsia="Arial" w:hAnsi="Arial"/>
          <w:sz w:val="22"/>
          <w:szCs w:val="22"/>
          <w:color w:val="auto"/>
        </w:rPr>
        <w:t xml:space="preserve"> of the Existing Credit Agreement is hereby amended by adding a new </w:t>
      </w: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thereto in appropriate alphabetical order as follows:</w:t>
      </w:r>
    </w:p>
    <w:p>
      <w:pPr>
        <w:spacing w:after="0" w:line="21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“(x)</w:t>
        <w:tab/>
        <w:t>the ModSpace Acquisition.”.</w:t>
      </w:r>
    </w:p>
    <w:p>
      <w:pPr>
        <w:spacing w:after="0" w:line="220" w:lineRule="exact"/>
        <w:rPr>
          <w:sz w:val="20"/>
          <w:szCs w:val="20"/>
          <w:color w:val="auto"/>
        </w:rPr>
      </w:pPr>
    </w:p>
    <w:p>
      <w:pPr>
        <w:jc w:val="both"/>
        <w:ind w:firstLine="1293"/>
        <w:spacing w:after="0" w:line="253" w:lineRule="auto"/>
        <w:tabs>
          <w:tab w:leader="none" w:pos="208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Section 10.2.6(b)</w:t>
      </w:r>
      <w:r>
        <w:rPr>
          <w:rFonts w:ascii="Arial" w:cs="Arial" w:eastAsia="Arial" w:hAnsi="Arial"/>
          <w:sz w:val="22"/>
          <w:szCs w:val="22"/>
          <w:color w:val="auto"/>
        </w:rPr>
        <w:t xml:space="preserve"> of the Existing ABL Credit Agreement is hereby amended by (i) replacing the reference to the amount “$5,000,000” therein with the amount “$10,000,000” and (ii) replacing the reference to the amount “$15,000,000” therein with the amount “$30,000,000”.</w:t>
      </w:r>
    </w:p>
    <w:p>
      <w:pPr>
        <w:spacing w:after="0" w:line="226" w:lineRule="exact"/>
        <w:rPr>
          <w:rFonts w:ascii="Arial" w:cs="Arial" w:eastAsia="Arial" w:hAnsi="Arial"/>
          <w:sz w:val="22"/>
          <w:szCs w:val="22"/>
          <w:color w:val="auto"/>
        </w:rPr>
      </w:pPr>
    </w:p>
    <w:p>
      <w:pPr>
        <w:ind w:firstLine="1293"/>
        <w:spacing w:after="0" w:line="263" w:lineRule="auto"/>
        <w:tabs>
          <w:tab w:leader="none" w:pos="214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Section 10.2.6(c)</w:t>
      </w:r>
      <w:r>
        <w:rPr>
          <w:rFonts w:ascii="Arial" w:cs="Arial" w:eastAsia="Arial" w:hAnsi="Arial"/>
          <w:sz w:val="22"/>
          <w:szCs w:val="22"/>
          <w:color w:val="auto"/>
        </w:rPr>
        <w:t xml:space="preserve"> of the Existing ABL Credit Agreement is hereby amended by replacing the reference to the amount “$20,000,000” therein with the amount “$40,000,000”.</w:t>
      </w:r>
    </w:p>
    <w:p>
      <w:pPr>
        <w:spacing w:after="0" w:line="215" w:lineRule="exact"/>
        <w:rPr>
          <w:rFonts w:ascii="Arial" w:cs="Arial" w:eastAsia="Arial" w:hAnsi="Arial"/>
          <w:sz w:val="22"/>
          <w:szCs w:val="22"/>
          <w:color w:val="auto"/>
        </w:rPr>
      </w:pPr>
    </w:p>
    <w:p>
      <w:pPr>
        <w:ind w:firstLine="1293"/>
        <w:spacing w:after="0" w:line="263" w:lineRule="auto"/>
        <w:tabs>
          <w:tab w:leader="none" w:pos="2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Section 10.2.7(a)</w:t>
      </w:r>
      <w:r>
        <w:rPr>
          <w:rFonts w:ascii="Arial" w:cs="Arial" w:eastAsia="Arial" w:hAnsi="Arial"/>
          <w:sz w:val="22"/>
          <w:szCs w:val="22"/>
          <w:color w:val="auto"/>
        </w:rPr>
        <w:t xml:space="preserve"> of the Existing ABL Credit Agreement is hereby amended by replacing the reference to the amount “$20,000,000” therein with the amount “$40,000,000”.</w:t>
      </w:r>
    </w:p>
    <w:p>
      <w:pPr>
        <w:spacing w:after="0" w:line="215" w:lineRule="exact"/>
        <w:rPr>
          <w:rFonts w:ascii="Arial" w:cs="Arial" w:eastAsia="Arial" w:hAnsi="Arial"/>
          <w:sz w:val="22"/>
          <w:szCs w:val="22"/>
          <w:color w:val="auto"/>
        </w:rPr>
      </w:pPr>
    </w:p>
    <w:p>
      <w:pPr>
        <w:ind w:left="1880" w:hanging="587"/>
        <w:spacing w:after="0"/>
        <w:tabs>
          <w:tab w:leader="none" w:pos="18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Section 10.2.7(b)</w:t>
      </w:r>
      <w:r>
        <w:rPr>
          <w:rFonts w:ascii="Arial" w:cs="Arial" w:eastAsia="Arial" w:hAnsi="Arial"/>
          <w:sz w:val="19"/>
          <w:szCs w:val="19"/>
          <w:color w:val="auto"/>
        </w:rPr>
        <w:t xml:space="preserve"> of the Existing ABL Credit Agreement is hereby amended and restated as follows:</w:t>
      </w:r>
    </w:p>
    <w:p>
      <w:pPr>
        <w:spacing w:after="0" w:line="29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 No Loan Party will, or will permit any Restricted Subsidiary to, waive, amend or modify any of the Senior Secured Note Documents, any of the 2018 Senior Secured Notes Documents, any of the 2018 Senior Secured Bridge Documents, any of the 2018 Senior Unsecured Notes Documents, any of the 2018 Senior Unsecured Bridge Documents or any other agreements, indentures and other documents relating to any Junior Debt with an outstanding principal amount in excess of $40,000,000, in each case to the extent that any such waiver, amendment or modification would be materially adverse to the Lenders.”</w:t>
      </w:r>
    </w:p>
    <w:p>
      <w:pPr>
        <w:sectPr>
          <w:pgSz w:w="11900" w:h="16838" w:orient="portrait"/>
          <w:cols w:equalWidth="0" w:num="1">
            <w:col w:w="10760"/>
          </w:cols>
          <w:pgMar w:left="900" w:top="591" w:right="239" w:bottom="1440" w:gutter="0" w:footer="0" w:header="0"/>
        </w:sectPr>
      </w:pPr>
    </w:p>
    <w:bookmarkStart w:id="75" w:name="page76"/>
    <w:bookmarkEnd w:id="75"/>
    <w:p>
      <w:pPr>
        <w:ind w:left="660" w:firstLine="1293"/>
        <w:spacing w:after="0" w:line="263" w:lineRule="auto"/>
        <w:tabs>
          <w:tab w:leader="none" w:pos="272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Existing ABL Credit Agreement is hereby amended by replacing each reference to the amount “$30,000,000” therein with the amount “$40,000,000”.</w:t>
      </w:r>
    </w:p>
    <w:p>
      <w:pPr>
        <w:spacing w:after="0" w:line="215" w:lineRule="exact"/>
        <w:rPr>
          <w:rFonts w:ascii="Arial" w:cs="Arial" w:eastAsia="Arial" w:hAnsi="Arial"/>
          <w:sz w:val="22"/>
          <w:szCs w:val="22"/>
          <w:color w:val="auto"/>
        </w:rPr>
      </w:pPr>
    </w:p>
    <w:p>
      <w:pPr>
        <w:ind w:left="660" w:right="20" w:firstLine="1293"/>
        <w:spacing w:after="0" w:line="343" w:lineRule="auto"/>
        <w:tabs>
          <w:tab w:leader="none" w:pos="276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final sentence of </w:t>
      </w:r>
      <w:r>
        <w:rPr>
          <w:rFonts w:ascii="Arial" w:cs="Arial" w:eastAsia="Arial" w:hAnsi="Arial"/>
          <w:sz w:val="19"/>
          <w:szCs w:val="19"/>
          <w:u w:val="single" w:color="auto"/>
          <w:color w:val="auto"/>
        </w:rPr>
        <w:t>Section 14.19</w:t>
      </w:r>
      <w:r>
        <w:rPr>
          <w:rFonts w:ascii="Arial" w:cs="Arial" w:eastAsia="Arial" w:hAnsi="Arial"/>
          <w:sz w:val="19"/>
          <w:szCs w:val="19"/>
          <w:color w:val="auto"/>
        </w:rPr>
        <w:t xml:space="preserve"> of the Existing ABL Credit Agreement is hereby amended by adding the words “and the Beneficial Ownership Regulation” immediately prior to the period at the end thereof.</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Amendment to U.S. Security Agreement</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Subject to the occurrence of the First Amendment Effective Date, each of the Loan Parties party to the U.S. Security Agreement, the Agent and the Lenders party hereto (collectively constituting the Required Lenders) agree that the U.S. Security Agreement is hereby amended by replacing the parenthetical “(other than Deposit Account Collateral consisting of Deposit Accounts maintained with the Agent and Excluded Deposit Accounts)” contained in Section 7.9 thereof with the following text in lieu thereof: “(other than Deposit Account Collateral consisting of (x) Deposit Accounts maintained with the Agent, (y) Excluded Deposit Accounts and (z) Deposit Accounts of an Additional Grantor to the extent, and for so long as, such Deposit Accounts are not yet required to be subject to Deposit Account Control Agreements pursuant to </w:t>
      </w:r>
      <w:r>
        <w:rPr>
          <w:rFonts w:ascii="Arial" w:cs="Arial" w:eastAsia="Arial" w:hAnsi="Arial"/>
          <w:sz w:val="22"/>
          <w:szCs w:val="22"/>
          <w:u w:val="single" w:color="auto"/>
          <w:color w:val="auto"/>
        </w:rPr>
        <w:t>Section 10.1.12(e)(iii)</w:t>
      </w:r>
      <w:r>
        <w:rPr>
          <w:rFonts w:ascii="Arial" w:cs="Arial" w:eastAsia="Arial" w:hAnsi="Arial"/>
          <w:sz w:val="22"/>
          <w:szCs w:val="22"/>
          <w:color w:val="auto"/>
        </w:rPr>
        <w:t xml:space="preserve"> of the Credit Agreement)”.</w:t>
      </w:r>
    </w:p>
    <w:p>
      <w:pPr>
        <w:spacing w:after="0" w:line="19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Waivers and Acknowledgments; Additional Fronting Bank</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0" w:lineRule="auto"/>
        <w:tabs>
          <w:tab w:leader="none" w:pos="203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Lenders party hereto hereby waive (without limiting the conditions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Amendment): (i) the application of </w:t>
      </w:r>
      <w:r>
        <w:rPr>
          <w:rFonts w:ascii="Arial" w:cs="Arial" w:eastAsia="Arial" w:hAnsi="Arial"/>
          <w:sz w:val="19"/>
          <w:szCs w:val="19"/>
          <w:u w:val="single" w:color="auto"/>
          <w:color w:val="auto"/>
        </w:rPr>
        <w:t>Section 1.8(c)</w:t>
      </w:r>
      <w:r>
        <w:rPr>
          <w:rFonts w:ascii="Arial" w:cs="Arial" w:eastAsia="Arial" w:hAnsi="Arial"/>
          <w:sz w:val="19"/>
          <w:szCs w:val="19"/>
          <w:color w:val="auto"/>
        </w:rPr>
        <w:t xml:space="preserve"> of the Existing ABL Credit Agreement solely with respect to the making of loans under any Revolver Commitment Increases established on the First Amendment Effective Date, (ii) the conditions set forth in </w:t>
      </w:r>
      <w:r>
        <w:rPr>
          <w:rFonts w:ascii="Arial" w:cs="Arial" w:eastAsia="Arial" w:hAnsi="Arial"/>
          <w:sz w:val="19"/>
          <w:szCs w:val="19"/>
          <w:u w:val="single" w:color="auto"/>
          <w:color w:val="auto"/>
        </w:rPr>
        <w:t>Section 2.1.11(e)</w:t>
      </w:r>
      <w:r>
        <w:rPr>
          <w:rFonts w:ascii="Arial" w:cs="Arial" w:eastAsia="Arial" w:hAnsi="Arial"/>
          <w:sz w:val="19"/>
          <w:szCs w:val="19"/>
          <w:color w:val="auto"/>
        </w:rPr>
        <w:t xml:space="preserve"> of the Existing ABL Credit Agreement solely with respect to the providing of Revolver Commitment Increases on the First Amendment Effective Date and the making of loans thereunder on the First Amendment Effective Date and (iii) the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the Existing Credit Agreement solely with respect to the making of any Loans (including loans made under the Revolver Commitment Increases) on the First Amendment Effective Date, the proceeds of which are used to finance the purchase price of the ModSpace Acquisition, to effect the Debt Repayment or to pay the ModSpace Transaction Costs.</w:t>
      </w:r>
    </w:p>
    <w:p>
      <w:pPr>
        <w:spacing w:after="0" w:line="197" w:lineRule="exact"/>
        <w:rPr>
          <w:rFonts w:ascii="Arial" w:cs="Arial" w:eastAsia="Arial" w:hAnsi="Arial"/>
          <w:sz w:val="19"/>
          <w:szCs w:val="19"/>
          <w:color w:val="auto"/>
        </w:rPr>
      </w:pPr>
    </w:p>
    <w:p>
      <w:pPr>
        <w:jc w:val="both"/>
        <w:ind w:firstLine="1305"/>
        <w:spacing w:after="0" w:line="246" w:lineRule="auto"/>
        <w:tabs>
          <w:tab w:leader="none" w:pos="1901"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Agent hereby acknowledges and agrees, in accordance with and for purposes of </w:t>
      </w:r>
      <w:r>
        <w:rPr>
          <w:rFonts w:ascii="Arial" w:cs="Arial" w:eastAsia="Arial" w:hAnsi="Arial"/>
          <w:sz w:val="22"/>
          <w:szCs w:val="22"/>
          <w:u w:val="single" w:color="auto"/>
          <w:color w:val="auto"/>
        </w:rPr>
        <w:t>Section 10.1.12</w:t>
      </w:r>
      <w:r>
        <w:rPr>
          <w:rFonts w:ascii="Arial" w:cs="Arial" w:eastAsia="Arial" w:hAnsi="Arial"/>
          <w:sz w:val="22"/>
          <w:szCs w:val="22"/>
          <w:color w:val="auto"/>
        </w:rPr>
        <w:t xml:space="preserve"> of the Existing ABL Credit Agreement (and, following the occurrence of the First Amendment Effective Date, in accordance with and for purposes of such section of the Amended ABL Credit Agreement) and the computation of the Borrowing Base in accordance therewith, that the equipment appraisal dated March 12, 2018 (subject to the right, as separately agreed with the Administrative Borrower, to request an additional appraisal to the extent the First Amendment Effective Date has not occurred on or prior to August 31, 2018) and the field examination dated April 17, 2018, in each case, with respect to ModSpace and its subsidiaries, are reasonably satisfactory to it.</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Conditions to Effectiveness of Amendment</w:t>
      </w:r>
      <w:r>
        <w:rPr>
          <w:rFonts w:ascii="Arial" w:cs="Arial" w:eastAsia="Arial" w:hAnsi="Arial"/>
          <w:sz w:val="19"/>
          <w:szCs w:val="19"/>
          <w:color w:val="auto"/>
        </w:rPr>
        <w:t>.</w:t>
      </w:r>
    </w:p>
    <w:p>
      <w:pPr>
        <w:spacing w:after="0" w:line="26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effectiveness of this Amendment is subject to satisfaction of the following conditions precedent (the date of such satisfaction being the “</w:t>
      </w:r>
      <w:r>
        <w:rPr>
          <w:rFonts w:ascii="Arial" w:cs="Arial" w:eastAsia="Arial" w:hAnsi="Arial"/>
          <w:sz w:val="22"/>
          <w:szCs w:val="22"/>
          <w:b w:val="1"/>
          <w:bCs w:val="1"/>
          <w:color w:val="auto"/>
        </w:rPr>
        <w:t>First Amendment Effective Date</w:t>
      </w:r>
      <w:r>
        <w:rPr>
          <w:rFonts w:ascii="Arial" w:cs="Arial" w:eastAsia="Arial" w:hAnsi="Arial"/>
          <w:sz w:val="22"/>
          <w:szCs w:val="22"/>
          <w:color w:val="auto"/>
        </w:rPr>
        <w:t>”):</w:t>
      </w:r>
    </w:p>
    <w:p>
      <w:pPr>
        <w:spacing w:after="0" w:line="175" w:lineRule="exact"/>
        <w:rPr>
          <w:sz w:val="20"/>
          <w:szCs w:val="20"/>
          <w:color w:val="auto"/>
        </w:rPr>
      </w:pPr>
    </w:p>
    <w:p>
      <w:pPr>
        <w:jc w:val="both"/>
        <w:ind w:left="660" w:firstLine="645"/>
        <w:spacing w:after="0" w:line="253" w:lineRule="auto"/>
        <w:tabs>
          <w:tab w:leader="none" w:pos="176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Executed Counterparts</w:t>
      </w:r>
      <w:r>
        <w:rPr>
          <w:rFonts w:ascii="Arial" w:cs="Arial" w:eastAsia="Arial" w:hAnsi="Arial"/>
          <w:sz w:val="22"/>
          <w:szCs w:val="22"/>
          <w:color w:val="auto"/>
        </w:rPr>
        <w:t>. The Agent shall have received duly executed counterparts of this Amendment from the Borrowers, Holdings, each other Loan Party, the Required Lenders, the Swingline Lenders and the Fronting Banks party hereto.</w:t>
      </w:r>
    </w:p>
    <w:p>
      <w:pPr>
        <w:sectPr>
          <w:pgSz w:w="11900" w:h="16838" w:orient="portrait"/>
          <w:cols w:equalWidth="0" w:num="1">
            <w:col w:w="11420"/>
          </w:cols>
          <w:pgMar w:left="240" w:top="591" w:right="239" w:bottom="1440" w:gutter="0" w:footer="0" w:header="0"/>
        </w:sectPr>
      </w:pPr>
    </w:p>
    <w:bookmarkStart w:id="76" w:name="page77"/>
    <w:bookmarkEnd w:id="76"/>
    <w:p>
      <w:pPr>
        <w:ind w:left="660" w:firstLine="645"/>
        <w:spacing w:after="0" w:line="263" w:lineRule="auto"/>
        <w:tabs>
          <w:tab w:leader="none" w:pos="185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ModSpace Acquisition</w:t>
      </w:r>
      <w:r>
        <w:rPr>
          <w:rFonts w:ascii="Arial" w:cs="Arial" w:eastAsia="Arial" w:hAnsi="Arial"/>
          <w:sz w:val="22"/>
          <w:szCs w:val="22"/>
          <w:color w:val="auto"/>
        </w:rPr>
        <w:t>. The ModSpace Acquisition shall have been consummated or shall be consummated substantially concurrently with the effectiveness of this Amendment.</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u w:val="single" w:color="auto"/>
          <w:color w:val="auto"/>
        </w:rPr>
        <w:t>Section 6. Representations and Warranties</w:t>
      </w:r>
      <w:r>
        <w:rPr>
          <w:rFonts w:ascii="Arial" w:cs="Arial" w:eastAsia="Arial" w:hAnsi="Arial"/>
          <w:sz w:val="21"/>
          <w:szCs w:val="21"/>
          <w:color w:val="auto"/>
        </w:rPr>
        <w:t xml:space="preserve">. In order to induce the Agent, the Lenders (including the Swingline Lenders) party hereto and the Fronting Banks party hereto to enter into this Amendment, each Loan Party hereby represents and warrants, on and as of the First Amendment Effective Date, that the representations and warranties (giving effect, for the avoidance of doubt, to the inclusion of this Amendment as a Loan Document pursuant to the amendment of the Existing ABL Credit Agreement contemplated by </w:t>
      </w:r>
      <w:r>
        <w:rPr>
          <w:rFonts w:ascii="Arial" w:cs="Arial" w:eastAsia="Arial" w:hAnsi="Arial"/>
          <w:sz w:val="21"/>
          <w:szCs w:val="21"/>
          <w:u w:val="single" w:color="auto"/>
          <w:color w:val="auto"/>
        </w:rPr>
        <w:t>Section 2(m)</w:t>
      </w:r>
      <w:r>
        <w:rPr>
          <w:rFonts w:ascii="Arial" w:cs="Arial" w:eastAsia="Arial" w:hAnsi="Arial"/>
          <w:sz w:val="21"/>
          <w:szCs w:val="21"/>
          <w:color w:val="auto"/>
        </w:rPr>
        <w:t xml:space="preserve"> of this Amendment) of each Loan Party in the Loan Documents are true and correct in all material respects as of the First Amendment Effective Date (it being understood and agreed that any representation or warranty which by its terms is made as of a specified date shall be required to be true and correct in all material respects only as of such specified date, and any representation or warranty qualified by materiality, material adverse effect or similar language shall be true and correct in all respects);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representations and warranties shall not be a condition precedent to the effectiveness of this Amendment.</w:t>
      </w:r>
    </w:p>
    <w:p>
      <w:pPr>
        <w:spacing w:after="0" w:line="227"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9"/>
          <w:szCs w:val="19"/>
          <w:u w:val="single" w:color="auto"/>
          <w:color w:val="auto"/>
        </w:rPr>
        <w:t>Effect on the Loan Documents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0" w:lineRule="auto"/>
        <w:tabs>
          <w:tab w:leader="none" w:pos="18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 of the First Amendment Effective Date, each reference in the Amended ABL Credit Agreement to “</w:t>
      </w:r>
      <w:r>
        <w:rPr>
          <w:rFonts w:ascii="Arial" w:cs="Arial" w:eastAsia="Arial" w:hAnsi="Arial"/>
          <w:sz w:val="22"/>
          <w:szCs w:val="22"/>
          <w:i w:val="1"/>
          <w:iCs w:val="1"/>
          <w:color w:val="auto"/>
        </w:rPr>
        <w:t>this</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w:t>
      </w:r>
      <w:r>
        <w:rPr>
          <w:rFonts w:ascii="Arial" w:cs="Arial" w:eastAsia="Arial" w:hAnsi="Arial"/>
          <w:sz w:val="22"/>
          <w:szCs w:val="22"/>
          <w:i w:val="1"/>
          <w:iCs w:val="1"/>
          <w:color w:val="auto"/>
        </w:rPr>
        <w:t>hereunder</w:t>
      </w:r>
      <w:r>
        <w:rPr>
          <w:rFonts w:ascii="Arial" w:cs="Arial" w:eastAsia="Arial" w:hAnsi="Arial"/>
          <w:sz w:val="22"/>
          <w:szCs w:val="22"/>
          <w:color w:val="auto"/>
        </w:rPr>
        <w:t>,” “</w:t>
      </w:r>
      <w:r>
        <w:rPr>
          <w:rFonts w:ascii="Arial" w:cs="Arial" w:eastAsia="Arial" w:hAnsi="Arial"/>
          <w:sz w:val="22"/>
          <w:szCs w:val="22"/>
          <w:i w:val="1"/>
          <w:iCs w:val="1"/>
          <w:color w:val="auto"/>
        </w:rPr>
        <w:t>hereof</w:t>
      </w:r>
      <w:r>
        <w:rPr>
          <w:rFonts w:ascii="Arial" w:cs="Arial" w:eastAsia="Arial" w:hAnsi="Arial"/>
          <w:sz w:val="22"/>
          <w:szCs w:val="22"/>
          <w:color w:val="auto"/>
        </w:rPr>
        <w:t>,” “</w:t>
      </w:r>
      <w:r>
        <w:rPr>
          <w:rFonts w:ascii="Arial" w:cs="Arial" w:eastAsia="Arial" w:hAnsi="Arial"/>
          <w:sz w:val="22"/>
          <w:szCs w:val="22"/>
          <w:i w:val="1"/>
          <w:iCs w:val="1"/>
          <w:color w:val="auto"/>
        </w:rPr>
        <w:t>herein</w:t>
      </w:r>
      <w:r>
        <w:rPr>
          <w:rFonts w:ascii="Arial" w:cs="Arial" w:eastAsia="Arial" w:hAnsi="Arial"/>
          <w:sz w:val="22"/>
          <w:szCs w:val="22"/>
          <w:color w:val="auto"/>
        </w:rPr>
        <w:t>,” or words of like import, and each reference in the other Loan Documents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“Credit Agreement” (including, without limitation, by means of words like “</w:t>
      </w:r>
      <w:r>
        <w:rPr>
          <w:rFonts w:ascii="Arial" w:cs="Arial" w:eastAsia="Arial" w:hAnsi="Arial"/>
          <w:sz w:val="22"/>
          <w:szCs w:val="22"/>
          <w:i w:val="1"/>
          <w:iCs w:val="1"/>
          <w:color w:val="auto"/>
        </w:rPr>
        <w:t>thereunder</w:t>
      </w:r>
      <w:r>
        <w:rPr>
          <w:rFonts w:ascii="Arial" w:cs="Arial" w:eastAsia="Arial" w:hAnsi="Arial"/>
          <w:sz w:val="22"/>
          <w:szCs w:val="22"/>
          <w:color w:val="auto"/>
        </w:rPr>
        <w:t>”, “</w:t>
      </w:r>
      <w:r>
        <w:rPr>
          <w:rFonts w:ascii="Arial" w:cs="Arial" w:eastAsia="Arial" w:hAnsi="Arial"/>
          <w:sz w:val="22"/>
          <w:szCs w:val="22"/>
          <w:i w:val="1"/>
          <w:iCs w:val="1"/>
          <w:color w:val="auto"/>
        </w:rPr>
        <w:t>thereof</w:t>
      </w:r>
      <w:r>
        <w:rPr>
          <w:rFonts w:ascii="Arial" w:cs="Arial" w:eastAsia="Arial" w:hAnsi="Arial"/>
          <w:sz w:val="22"/>
          <w:szCs w:val="22"/>
          <w:color w:val="auto"/>
        </w:rPr>
        <w:t>” and words of like import), shall mean and be a reference to the Amended ABL Credit Agreement.</w:t>
      </w:r>
    </w:p>
    <w:p>
      <w:pPr>
        <w:spacing w:after="0" w:line="228" w:lineRule="exact"/>
        <w:rPr>
          <w:rFonts w:ascii="Arial" w:cs="Arial" w:eastAsia="Arial" w:hAnsi="Arial"/>
          <w:sz w:val="22"/>
          <w:szCs w:val="22"/>
          <w:color w:val="auto"/>
        </w:rPr>
      </w:pPr>
    </w:p>
    <w:p>
      <w:pPr>
        <w:ind w:firstLine="1305"/>
        <w:spacing w:after="0" w:line="263" w:lineRule="auto"/>
        <w:tabs>
          <w:tab w:leader="none" w:pos="1777"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as specifically amended herein, all Loan Documents shall continue to be in full force and effect and are hereby in all respects ratified and confirmed.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77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Amendment shall not operate as a waiver of any right, power or remedy of any Lender or the Agent under any of the Loan Documents, nor constitute a waiver of any provision of the Loan Documents, except as expressly contemplated hereby.</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7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Administrative Borrower and the other parties hereto acknowledge and agree that, on and after the First Amendment Effective Date, this Amendment shall constitute a Loan Document for all purposes of the Amended ABL Credit Agreement.</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u w:val="single" w:color="auto"/>
          <w:color w:val="auto"/>
        </w:rPr>
        <w:t>Section 8. Non-Reliance on Agent</w:t>
      </w:r>
      <w:r>
        <w:rPr>
          <w:rFonts w:ascii="Arial" w:cs="Arial" w:eastAsia="Arial" w:hAnsi="Arial"/>
          <w:sz w:val="21"/>
          <w:szCs w:val="21"/>
          <w:color w:val="auto"/>
        </w:rPr>
        <w:t>. Each Lender (including the Swingline Lenders) and Fronting Bank party hereto acknowledges that it has, independently and without reliance upon the Agent or any other Lender, Swingline Lender or Fronting Bank and based on such documents and information as it has deemed appropriate, made its own credit analysis and decision to enter into this Amendment. Each Lender (including the Swingline Lenders) and Fronting Bank party hereto also acknowledges that it will, without reliance upon the Agent or any other Lender, Swingline Lender or Fronting Bank and based on such documents and information as it shall from time to time deem appropriate, continue to make its own credit decisions in taking or not taking action under or based upon this Amendment, the Amended ABL Credit Agreement, any other Loan Document, any related agreement or any document furnished hereunder or thereunder.</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Section 9. Reaffirmation</w:t>
      </w:r>
      <w:r>
        <w:rPr>
          <w:rFonts w:ascii="Arial" w:cs="Arial" w:eastAsia="Arial" w:hAnsi="Arial"/>
          <w:sz w:val="22"/>
          <w:szCs w:val="22"/>
          <w:color w:val="auto"/>
        </w:rPr>
        <w:t>. Subject to any limitations on its obligations expressly stated in the Loan Documents to which it is a party, Holdings, each Borrower and each other Loan Party, as of the First Amendment Effective Date, (i) acknowledges and agrees that all of its obligations under its Guarantee as set out in the Amended ABL Credit Agreement are reaffirmed and remain in full force and effect on a continuous</w:t>
      </w:r>
    </w:p>
    <w:p>
      <w:pPr>
        <w:sectPr>
          <w:pgSz w:w="11900" w:h="16838" w:orient="portrait"/>
          <w:cols w:equalWidth="0" w:num="1">
            <w:col w:w="11420"/>
          </w:cols>
          <w:pgMar w:left="240" w:top="591" w:right="239" w:bottom="1440" w:gutter="0" w:footer="0" w:header="0"/>
        </w:sectPr>
      </w:pPr>
    </w:p>
    <w:bookmarkStart w:id="77" w:name="page78"/>
    <w:bookmarkEnd w:id="77"/>
    <w:p>
      <w:pPr>
        <w:jc w:val="both"/>
        <w:spacing w:after="0" w:line="294" w:lineRule="auto"/>
        <w:rPr>
          <w:sz w:val="20"/>
          <w:szCs w:val="20"/>
          <w:color w:val="auto"/>
        </w:rPr>
      </w:pPr>
      <w:r>
        <w:rPr>
          <w:rFonts w:ascii="Arial" w:cs="Arial" w:eastAsia="Arial" w:hAnsi="Arial"/>
          <w:sz w:val="19"/>
          <w:szCs w:val="19"/>
          <w:color w:val="auto"/>
        </w:rPr>
        <w:t>basis as and to the extent provided in the Loan Documents, (ii) reaffirms each Lien granted by such Loan Party to the Agent for the benefit of the Secured Parties and (iii) acknowledges and agrees that any grants of security interests by such Loan Party pursuant to the Security Documents, and the Guarantee provided by such Loan Party in the Amended ABL Credit Agreement, are, and shall remain, in full force and effect after giving effect to this Amendment as and to the extent provided in the Loan Documents. Nothing contained in this Amendment shall be construed as substitution or novation of the obligations outstanding under the Existing ABL Credit Agreement or the other Loan Documents, which shall remain in full force and effect, except to any extent modified hereby.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AND ANY DISPUTE, CLAIM OR CONTROVERSY ARISING</w:t>
      </w:r>
      <w:r>
        <w:rPr>
          <w:rFonts w:ascii="Arial" w:cs="Arial" w:eastAsia="Arial" w:hAnsi="Arial"/>
          <w:sz w:val="22"/>
          <w:szCs w:val="22"/>
          <w:color w:val="auto"/>
        </w:rPr>
        <w:t xml:space="preserve"> </w:t>
      </w:r>
      <w:r>
        <w:rPr>
          <w:rFonts w:ascii="Arial" w:cs="Arial" w:eastAsia="Arial" w:hAnsi="Arial"/>
          <w:sz w:val="22"/>
          <w:szCs w:val="22"/>
          <w:b w:val="1"/>
          <w:bCs w:val="1"/>
          <w:color w:val="auto"/>
        </w:rPr>
        <w:t>OUT OF OR RELATING TO THIS AMENDMENT (WHETHER ARISING IN CONTRACT, TORT OR OTHERWISE) SHALL BE GOVERNED BY, AND CONSTRUED AND INTERPRETED IN ACCORDANCE WITH, THE LAW OF THE STATE OF NEW YORK.</w:t>
      </w:r>
    </w:p>
    <w:p>
      <w:pPr>
        <w:spacing w:after="0" w:line="22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u w:val="single" w:color="auto"/>
          <w:color w:val="auto"/>
        </w:rPr>
        <w:t>Section 11.</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60" w:lineRule="exact"/>
        <w:rPr>
          <w:sz w:val="20"/>
          <w:szCs w:val="20"/>
          <w:color w:val="auto"/>
        </w:rPr>
      </w:pPr>
    </w:p>
    <w:p>
      <w:pPr>
        <w:ind w:right="20" w:firstLine="1305"/>
        <w:spacing w:after="0" w:line="263" w:lineRule="auto"/>
        <w:tabs>
          <w:tab w:leader="none" w:pos="178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This Amendment is binding and enforceable as of the date hereof against each party hereto and its successors and permitted assigns.</w:t>
      </w:r>
    </w:p>
    <w:p>
      <w:pPr>
        <w:spacing w:after="0" w:line="215" w:lineRule="exact"/>
        <w:rPr>
          <w:rFonts w:ascii="Arial" w:cs="Arial" w:eastAsia="Arial" w:hAnsi="Arial"/>
          <w:sz w:val="22"/>
          <w:szCs w:val="22"/>
          <w:color w:val="auto"/>
        </w:rPr>
      </w:pPr>
    </w:p>
    <w:p>
      <w:pPr>
        <w:ind w:right="20" w:firstLine="1305"/>
        <w:spacing w:after="0" w:line="263" w:lineRule="auto"/>
        <w:tabs>
          <w:tab w:leader="none" w:pos="1903"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Section headings used in this Agreement are for convenience of reference only and are not to affect the construction hereof or be taken into consideration in the interpretation hereof.</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7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agrees that </w:t>
      </w:r>
      <w:r>
        <w:rPr>
          <w:rFonts w:ascii="Arial" w:cs="Arial" w:eastAsia="Arial" w:hAnsi="Arial"/>
          <w:sz w:val="22"/>
          <w:szCs w:val="22"/>
          <w:u w:val="single" w:color="auto"/>
          <w:color w:val="auto"/>
        </w:rPr>
        <w:t>Sections 14.6</w:t>
      </w:r>
      <w:r>
        <w:rPr>
          <w:rFonts w:ascii="Arial" w:cs="Arial" w:eastAsia="Arial" w:hAnsi="Arial"/>
          <w:sz w:val="22"/>
          <w:szCs w:val="22"/>
          <w:color w:val="auto"/>
        </w:rPr>
        <w:t xml:space="preserve">, </w:t>
      </w:r>
      <w:r>
        <w:rPr>
          <w:rFonts w:ascii="Arial" w:cs="Arial" w:eastAsia="Arial" w:hAnsi="Arial"/>
          <w:sz w:val="22"/>
          <w:szCs w:val="22"/>
          <w:u w:val="single" w:color="auto"/>
          <w:color w:val="auto"/>
        </w:rPr>
        <w:t>14.8</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14.14</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14.16</w:t>
      </w:r>
      <w:r>
        <w:rPr>
          <w:rFonts w:ascii="Arial" w:cs="Arial" w:eastAsia="Arial" w:hAnsi="Arial"/>
          <w:sz w:val="22"/>
          <w:szCs w:val="22"/>
          <w:color w:val="auto"/>
        </w:rPr>
        <w:t xml:space="preserve"> of the Existing ABL Credit Agreement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 and shall have the same force and effect with respect to this Amendment as if originally set forth herein.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420"/>
          </w:cols>
          <w:pgMar w:left="240" w:top="591" w:right="239" w:bottom="1440" w:gutter="0" w:footer="0" w:header="0"/>
        </w:sectPr>
      </w:pPr>
    </w:p>
    <w:bookmarkStart w:id="78" w:name="page79"/>
    <w:bookmarkEnd w:id="78"/>
    <w:p>
      <w:pPr>
        <w:ind w:firstLine="1297"/>
        <w:spacing w:after="0" w:line="350"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Amendment to be duly executed and delivered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proper and duly authorized officers or representatives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HOLDINGS CORP., as</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Holdings and a Guarantor</w:t>
      </w:r>
    </w:p>
    <w:p>
      <w:pPr>
        <w:spacing w:after="0" w:line="35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INTERNATIONAL, INC., as</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 U.S. Borrower and a Guarantor</w:t>
      </w:r>
    </w:p>
    <w:p>
      <w:pPr>
        <w:spacing w:after="0" w:line="35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INC., as a U.S. Borrower and</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 Guarantor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WILLSCOT EQUIPMENT II, LLC, as a U.S. Borrower</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and a Guarantor</w:t>
      </w:r>
    </w:p>
    <w:p>
      <w:pPr>
        <w:spacing w:after="0" w:line="200" w:lineRule="exact"/>
        <w:rPr>
          <w:sz w:val="20"/>
          <w:szCs w:val="20"/>
          <w:color w:val="auto"/>
        </w:rPr>
      </w:pPr>
    </w:p>
    <w:p>
      <w:pPr>
        <w:spacing w:after="0" w:line="3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ACTON MOBILE HOLDINGS, LLC, as a U.S. Borrower</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and a Guarantor</w:t>
      </w:r>
    </w:p>
    <w:p>
      <w:pPr>
        <w:spacing w:after="0" w:line="200" w:lineRule="exact"/>
        <w:rPr>
          <w:sz w:val="20"/>
          <w:szCs w:val="20"/>
          <w:color w:val="auto"/>
        </w:rPr>
      </w:pPr>
    </w:p>
    <w:p>
      <w:pPr>
        <w:spacing w:after="0" w:line="3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ectPr>
          <w:pgSz w:w="11900" w:h="16838" w:orient="portrait"/>
          <w:cols w:equalWidth="0" w:num="1">
            <w:col w:w="11180"/>
          </w:cols>
          <w:pgMar w:left="240" w:top="585" w:right="479" w:bottom="493" w:gutter="0" w:footer="0" w:header="0"/>
        </w:sectPr>
      </w:pPr>
    </w:p>
    <w:bookmarkStart w:id="79" w:name="page80"/>
    <w:bookmarkEnd w:id="79"/>
    <w:p>
      <w:pPr>
        <w:jc w:val="center"/>
        <w:ind w:right="-2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019"/>
          </w:cols>
          <w:pgMar w:left="1440" w:top="132" w:right="1440" w:bottom="1440" w:gutter="0" w:footer="0" w:header="0"/>
        </w:sectPr>
      </w:pPr>
    </w:p>
    <w:bookmarkStart w:id="80" w:name="page81"/>
    <w:bookmarkEnd w:id="80"/>
    <w:p>
      <w:pPr>
        <w:ind w:left="3920"/>
        <w:spacing w:after="0"/>
        <w:rPr>
          <w:sz w:val="20"/>
          <w:szCs w:val="20"/>
          <w:color w:val="auto"/>
        </w:rPr>
      </w:pPr>
      <w:r>
        <w:rPr>
          <w:rFonts w:ascii="Arial" w:cs="Arial" w:eastAsia="Arial" w:hAnsi="Arial"/>
          <w:sz w:val="21"/>
          <w:szCs w:val="21"/>
          <w:color w:val="auto"/>
        </w:rPr>
        <w:t>NEW ACTION MOBILE INDUSTRIES LLC, as a U.S.</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Borrower and a Guarantor</w:t>
      </w: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ONSITE SPACE LLC, as a U.S. Borrower and a</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Guarantor</w:t>
      </w: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WILLIAMS SCOTSMAN OF CANADA, INC., as</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Canadian Borrower and a Guarantor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019"/>
          </w:cols>
          <w:pgMar w:left="1440" w:top="1171" w:right="1440"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019"/>
          </w:cols>
          <w:pgMar w:left="1440" w:top="1171" w:right="1440" w:bottom="1122" w:gutter="0" w:footer="0" w:header="0"/>
          <w:type w:val="continuous"/>
        </w:sectPr>
      </w:pPr>
    </w:p>
    <w:bookmarkStart w:id="81" w:name="page82"/>
    <w:bookmarkEnd w:id="81"/>
    <w:p>
      <w:pPr>
        <w:ind w:left="4140"/>
        <w:spacing w:after="0"/>
        <w:rPr>
          <w:sz w:val="20"/>
          <w:szCs w:val="20"/>
          <w:color w:val="auto"/>
        </w:rPr>
      </w:pPr>
      <w:r>
        <w:rPr>
          <w:rFonts w:ascii="Arial" w:cs="Arial" w:eastAsia="Arial" w:hAnsi="Arial"/>
          <w:sz w:val="22"/>
          <w:szCs w:val="22"/>
          <w:b w:val="1"/>
          <w:bCs w:val="1"/>
          <w:u w:val="single" w:color="auto"/>
          <w:color w:val="auto"/>
        </w:rPr>
        <w:t>AGENTS AND LENDERS</w:t>
      </w:r>
    </w:p>
    <w:p>
      <w:pPr>
        <w:spacing w:after="0" w:line="260" w:lineRule="exact"/>
        <w:rPr>
          <w:sz w:val="20"/>
          <w:szCs w:val="20"/>
          <w:color w:val="auto"/>
        </w:rPr>
      </w:pPr>
    </w:p>
    <w:p>
      <w:pPr>
        <w:ind w:left="4140" w:right="40"/>
        <w:spacing w:after="0" w:line="335" w:lineRule="auto"/>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Agent, U.S. Swingline</w:t>
      </w:r>
      <w:r>
        <w:rPr>
          <w:rFonts w:ascii="Arial" w:cs="Arial" w:eastAsia="Arial" w:hAnsi="Arial"/>
          <w:sz w:val="19"/>
          <w:szCs w:val="19"/>
          <w:b w:val="1"/>
          <w:bCs w:val="1"/>
          <w:color w:val="auto"/>
        </w:rPr>
        <w:t xml:space="preserve"> </w:t>
      </w:r>
      <w:r>
        <w:rPr>
          <w:rFonts w:ascii="Arial" w:cs="Arial" w:eastAsia="Arial" w:hAnsi="Arial"/>
          <w:sz w:val="19"/>
          <w:szCs w:val="19"/>
          <w:color w:val="auto"/>
        </w:rPr>
        <w:t>Lender, a U.S. Fronting Bank and a U.S. Revolver Lender</w:t>
      </w:r>
    </w:p>
    <w:p>
      <w:pPr>
        <w:spacing w:after="0" w:line="26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[Signature Page to First Amendment to the ABL Credit Agreement]</w:t>
      </w:r>
    </w:p>
    <w:p>
      <w:pPr>
        <w:sectPr>
          <w:pgSz w:w="11900" w:h="16838" w:orient="portrait"/>
          <w:cols w:equalWidth="0" w:num="1">
            <w:col w:w="9200"/>
          </w:cols>
          <w:pgMar w:left="1440" w:top="733" w:right="1259" w:bottom="1440" w:gutter="0" w:footer="0" w:header="0"/>
        </w:sectPr>
      </w:pPr>
    </w:p>
    <w:bookmarkStart w:id="82" w:name="page83"/>
    <w:bookmarkEnd w:id="82"/>
    <w:p>
      <w:pPr>
        <w:ind w:left="4140" w:right="100"/>
        <w:spacing w:after="0" w:line="301" w:lineRule="auto"/>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(acting through its Canada</w:t>
      </w:r>
      <w:r>
        <w:rPr>
          <w:rFonts w:ascii="Arial" w:cs="Arial" w:eastAsia="Arial" w:hAnsi="Arial"/>
          <w:sz w:val="19"/>
          <w:szCs w:val="19"/>
          <w:b w:val="1"/>
          <w:bCs w:val="1"/>
          <w:color w:val="auto"/>
        </w:rPr>
        <w:t xml:space="preserve"> </w:t>
      </w:r>
      <w:r>
        <w:rPr>
          <w:rFonts w:ascii="Arial" w:cs="Arial" w:eastAsia="Arial" w:hAnsi="Arial"/>
          <w:sz w:val="19"/>
          <w:szCs w:val="19"/>
          <w:color w:val="auto"/>
        </w:rPr>
        <w:t>branch), as Canadian Swingline Lender, a Canadian Fronting Bank and a Canadian Revolver Lender</w:t>
      </w:r>
    </w:p>
    <w:p>
      <w:pPr>
        <w:spacing w:after="0" w:line="29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200"/>
          </w:cols>
          <w:pgMar w:left="1440" w:top="949" w:right="1259" w:bottom="1440" w:gutter="0" w:footer="0" w:header="0"/>
          <w:type w:val="continuous"/>
        </w:sectPr>
      </w:pPr>
    </w:p>
    <w:bookmarkStart w:id="83" w:name="page84"/>
    <w:bookmarkEnd w:id="83"/>
    <w:p>
      <w:pPr>
        <w:ind w:left="4140" w:right="100"/>
        <w:spacing w:after="0" w:line="256" w:lineRule="auto"/>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U.S. Fronting Bank and a U.S. Revolver 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200"/>
          </w:cols>
          <w:pgMar w:left="1440" w:top="949" w:right="1259" w:bottom="1440" w:gutter="0" w:footer="0" w:header="0"/>
          <w:type w:val="continuous"/>
        </w:sectPr>
      </w:pPr>
    </w:p>
    <w:bookmarkStart w:id="84" w:name="page85"/>
    <w:bookmarkEnd w:id="84"/>
    <w:p>
      <w:pPr>
        <w:ind w:left="4140" w:right="20"/>
        <w:spacing w:after="0" w:line="335" w:lineRule="auto"/>
        <w:rPr>
          <w:sz w:val="20"/>
          <w:szCs w:val="20"/>
          <w:color w:val="auto"/>
        </w:rPr>
      </w:pPr>
      <w:r>
        <w:rPr>
          <w:rFonts w:ascii="Arial" w:cs="Arial" w:eastAsia="Arial" w:hAnsi="Arial"/>
          <w:sz w:val="19"/>
          <w:szCs w:val="19"/>
          <w:b w:val="1"/>
          <w:bCs w:val="1"/>
          <w:color w:val="auto"/>
        </w:rPr>
        <w:t>DEUTSCHE BANK AG, CANADA BRANCH</w:t>
      </w:r>
      <w:r>
        <w:rPr>
          <w:rFonts w:ascii="Arial" w:cs="Arial" w:eastAsia="Arial" w:hAnsi="Arial"/>
          <w:sz w:val="19"/>
          <w:szCs w:val="19"/>
          <w:color w:val="auto"/>
        </w:rPr>
        <w:t>, as a</w:t>
      </w:r>
      <w:r>
        <w:rPr>
          <w:rFonts w:ascii="Arial" w:cs="Arial" w:eastAsia="Arial" w:hAnsi="Arial"/>
          <w:sz w:val="19"/>
          <w:szCs w:val="19"/>
          <w:b w:val="1"/>
          <w:bCs w:val="1"/>
          <w:color w:val="auto"/>
        </w:rPr>
        <w:t xml:space="preserve"> </w:t>
      </w:r>
      <w:r>
        <w:rPr>
          <w:rFonts w:ascii="Arial" w:cs="Arial" w:eastAsia="Arial" w:hAnsi="Arial"/>
          <w:sz w:val="19"/>
          <w:szCs w:val="19"/>
          <w:color w:val="auto"/>
        </w:rPr>
        <w:t>Canadian Fronting Bank and a Canadian Revolver Lender</w:t>
      </w:r>
    </w:p>
    <w:p>
      <w:pPr>
        <w:spacing w:after="0" w:line="26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200"/>
          </w:cols>
          <w:pgMar w:left="1440" w:top="949" w:right="1259" w:bottom="1440" w:gutter="0" w:footer="0" w:header="0"/>
          <w:type w:val="continuous"/>
        </w:sectPr>
      </w:pPr>
    </w:p>
    <w:bookmarkStart w:id="85" w:name="page86"/>
    <w:bookmarkEnd w:id="85"/>
    <w:p>
      <w:pPr>
        <w:ind w:left="4140" w:right="100"/>
        <w:spacing w:after="0" w:line="256" w:lineRule="auto"/>
        <w:rPr>
          <w:sz w:val="20"/>
          <w:szCs w:val="20"/>
          <w:color w:val="auto"/>
        </w:rPr>
      </w:pPr>
      <w:r>
        <w:rPr>
          <w:rFonts w:ascii="Arial" w:cs="Arial" w:eastAsia="Arial" w:hAnsi="Arial"/>
          <w:sz w:val="22"/>
          <w:szCs w:val="22"/>
          <w:b w:val="1"/>
          <w:bCs w:val="1"/>
          <w:color w:val="auto"/>
        </w:rPr>
        <w:t>MORGAN STANLEY BANK, N.A.</w:t>
      </w:r>
      <w:r>
        <w:rPr>
          <w:rFonts w:ascii="Arial" w:cs="Arial" w:eastAsia="Arial" w:hAnsi="Arial"/>
          <w:sz w:val="22"/>
          <w:szCs w:val="22"/>
          <w:color w:val="auto"/>
        </w:rPr>
        <w:t>, as a U.S. Fronting</w:t>
      </w:r>
      <w:r>
        <w:rPr>
          <w:rFonts w:ascii="Arial" w:cs="Arial" w:eastAsia="Arial" w:hAnsi="Arial"/>
          <w:sz w:val="22"/>
          <w:szCs w:val="22"/>
          <w:b w:val="1"/>
          <w:bCs w:val="1"/>
          <w:color w:val="auto"/>
        </w:rPr>
        <w:t xml:space="preserve"> </w:t>
      </w:r>
      <w:r>
        <w:rPr>
          <w:rFonts w:ascii="Arial" w:cs="Arial" w:eastAsia="Arial" w:hAnsi="Arial"/>
          <w:sz w:val="22"/>
          <w:szCs w:val="22"/>
          <w:color w:val="auto"/>
        </w:rPr>
        <w:t>Bank and a U.S. Revolver 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[Signature Page to First Amendment to the ABL Credit Agreement]</w:t>
      </w:r>
    </w:p>
    <w:p>
      <w:pPr>
        <w:sectPr>
          <w:pgSz w:w="11900" w:h="16838" w:orient="portrait"/>
          <w:cols w:equalWidth="0" w:num="1">
            <w:col w:w="9200"/>
          </w:cols>
          <w:pgMar w:left="1440" w:top="949" w:right="1259" w:bottom="1440" w:gutter="0" w:footer="0" w:header="0"/>
          <w:type w:val="continuous"/>
        </w:sectPr>
      </w:pPr>
    </w:p>
    <w:bookmarkStart w:id="86" w:name="page87"/>
    <w:bookmarkEnd w:id="86"/>
    <w:p>
      <w:pPr>
        <w:ind w:left="4140"/>
        <w:spacing w:after="0"/>
        <w:rPr>
          <w:sz w:val="20"/>
          <w:szCs w:val="20"/>
          <w:color w:val="auto"/>
        </w:rPr>
      </w:pPr>
      <w:r>
        <w:rPr>
          <w:rFonts w:ascii="Arial" w:cs="Arial" w:eastAsia="Arial" w:hAnsi="Arial"/>
          <w:sz w:val="22"/>
          <w:szCs w:val="22"/>
          <w:b w:val="1"/>
          <w:bCs w:val="1"/>
          <w:color w:val="auto"/>
        </w:rPr>
        <w:t>MORGAN STANLEY BANK, N.A.</w:t>
      </w:r>
      <w:r>
        <w:rPr>
          <w:rFonts w:ascii="Arial" w:cs="Arial" w:eastAsia="Arial" w:hAnsi="Arial"/>
          <w:sz w:val="22"/>
          <w:szCs w:val="22"/>
          <w:color w:val="auto"/>
        </w:rPr>
        <w:t>, as a Canadian</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Fronting Bank and a Canadian Revolver Lender</w:t>
      </w:r>
    </w:p>
    <w:p>
      <w:pPr>
        <w:spacing w:after="0" w:line="3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[Signature Page to First Amendment to the ABL Credit Agreement]</w:t>
      </w:r>
    </w:p>
    <w:p>
      <w:pPr>
        <w:sectPr>
          <w:pgSz w:w="11900" w:h="16838" w:orient="portrait"/>
          <w:cols w:equalWidth="0" w:num="1">
            <w:col w:w="9200"/>
          </w:cols>
          <w:pgMar w:left="1440" w:top="733" w:right="125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SCHEDULE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Capital Leases and Capitalized Lease Obligations outstanding as of the First Amendment Effective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9580"/>
          </w:cols>
          <w:pgMar w:left="1160" w:top="585" w:right="115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81"/>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gridSpan w:val="3"/>
          </w:tcPr>
          <w:p>
            <w:pPr>
              <w:jc w:val="center"/>
              <w:ind w:right="4200"/>
              <w:spacing w:after="0"/>
              <w:rPr>
                <w:sz w:val="20"/>
                <w:szCs w:val="20"/>
                <w:color w:val="auto"/>
              </w:rPr>
            </w:pPr>
            <w:r>
              <w:rPr>
                <w:rFonts w:ascii="Arial" w:cs="Arial" w:eastAsia="Arial" w:hAnsi="Arial"/>
                <w:sz w:val="22"/>
                <w:szCs w:val="22"/>
                <w:b w:val="1"/>
                <w:bCs w:val="1"/>
                <w:color w:val="auto"/>
              </w:rPr>
              <w:t>SCHEDULE II</w:t>
            </w:r>
          </w:p>
        </w:tc>
      </w:tr>
      <w:tr>
        <w:trPr>
          <w:trHeight w:val="463"/>
        </w:trPr>
        <w:tc>
          <w:tcPr>
            <w:tcW w:w="3940" w:type="dxa"/>
            <w:vAlign w:val="bottom"/>
          </w:tcPr>
          <w:p>
            <w:pPr>
              <w:spacing w:after="0"/>
              <w:rPr>
                <w:sz w:val="24"/>
                <w:szCs w:val="24"/>
                <w:color w:val="auto"/>
              </w:rPr>
            </w:pPr>
          </w:p>
        </w:tc>
        <w:tc>
          <w:tcPr>
            <w:tcW w:w="6720" w:type="dxa"/>
            <w:vAlign w:val="bottom"/>
            <w:gridSpan w:val="4"/>
          </w:tcPr>
          <w:p>
            <w:pPr>
              <w:jc w:val="center"/>
              <w:ind w:right="3960"/>
              <w:spacing w:after="0"/>
              <w:rPr>
                <w:sz w:val="20"/>
                <w:szCs w:val="20"/>
                <w:color w:val="auto"/>
              </w:rPr>
            </w:pPr>
            <w:r>
              <w:rPr>
                <w:rFonts w:ascii="Arial" w:cs="Arial" w:eastAsia="Arial" w:hAnsi="Arial"/>
                <w:sz w:val="22"/>
                <w:szCs w:val="22"/>
                <w:b w:val="1"/>
                <w:bCs w:val="1"/>
                <w:color w:val="auto"/>
                <w:w w:val="90"/>
              </w:rPr>
              <w:t>Canadian LC Conditions</w:t>
            </w:r>
          </w:p>
        </w:tc>
      </w:tr>
      <w:tr>
        <w:trPr>
          <w:trHeight w:val="669"/>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284"/>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Bank of America (Canada)</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$15,926,100.00</w:t>
            </w:r>
          </w:p>
        </w:tc>
      </w:tr>
      <w:tr>
        <w:trPr>
          <w:trHeight w:val="291"/>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Deutsche Bank AG, Canada Branch</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$12,879,000.00</w:t>
            </w:r>
          </w:p>
        </w:tc>
      </w:tr>
      <w:tr>
        <w:trPr>
          <w:trHeight w:val="291"/>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Morgan Stanley Bank, N.A.</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$11,263,200.00</w:t>
            </w:r>
          </w:p>
        </w:tc>
      </w:tr>
      <w:tr>
        <w:trPr>
          <w:trHeight w:val="291"/>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3"/>
              </w:rPr>
              <w:t>Credit Suisse AG, Cayman Islands Branch</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$5,631,600.00</w:t>
            </w:r>
          </w:p>
        </w:tc>
      </w:tr>
      <w:tr>
        <w:trPr>
          <w:trHeight w:val="291"/>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ING Capital LLC</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$8,000,100.00</w:t>
            </w:r>
          </w:p>
        </w:tc>
      </w:tr>
      <w:tr>
        <w:trPr>
          <w:trHeight w:val="291"/>
        </w:trPr>
        <w:tc>
          <w:tcPr>
            <w:tcW w:w="3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$6,300,000.00</w:t>
            </w:r>
          </w:p>
        </w:tc>
      </w:tr>
    </w:tbl>
    <w:p>
      <w:pPr>
        <w:sectPr>
          <w:pgSz w:w="11900" w:h="16838" w:orient="portrait"/>
          <w:cols w:equalWidth="0" w:num="1">
            <w:col w:w="10660"/>
          </w:cols>
          <w:pgMar w:left="640" w:top="585" w:right="599" w:bottom="1440" w:gutter="0" w:footer="0" w:header="0"/>
        </w:sectPr>
      </w:pPr>
    </w:p>
    <w:bookmarkStart w:id="89" w:name="page90"/>
    <w:bookmarkEnd w:id="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420" w:type="dxa"/>
            <w:vAlign w:val="bottom"/>
          </w:tcPr>
          <w:p>
            <w:pPr>
              <w:spacing w:after="0"/>
              <w:rPr>
                <w:sz w:val="24"/>
                <w:szCs w:val="24"/>
                <w:color w:val="auto"/>
              </w:rPr>
            </w:pPr>
          </w:p>
        </w:tc>
        <w:tc>
          <w:tcPr>
            <w:tcW w:w="6240" w:type="dxa"/>
            <w:vAlign w:val="bottom"/>
            <w:gridSpan w:val="3"/>
          </w:tcPr>
          <w:p>
            <w:pPr>
              <w:jc w:val="center"/>
              <w:ind w:right="4460"/>
              <w:spacing w:after="0"/>
              <w:rPr>
                <w:sz w:val="20"/>
                <w:szCs w:val="20"/>
                <w:color w:val="auto"/>
              </w:rPr>
            </w:pPr>
            <w:r>
              <w:rPr>
                <w:rFonts w:ascii="Arial" w:cs="Arial" w:eastAsia="Arial" w:hAnsi="Arial"/>
                <w:sz w:val="22"/>
                <w:szCs w:val="22"/>
                <w:b w:val="1"/>
                <w:bCs w:val="1"/>
                <w:color w:val="auto"/>
              </w:rPr>
              <w:t>SCHEDULE III</w:t>
            </w:r>
          </w:p>
        </w:tc>
      </w:tr>
      <w:tr>
        <w:trPr>
          <w:trHeight w:val="463"/>
        </w:trPr>
        <w:tc>
          <w:tcPr>
            <w:tcW w:w="4420" w:type="dxa"/>
            <w:vAlign w:val="bottom"/>
          </w:tcPr>
          <w:p>
            <w:pPr>
              <w:spacing w:after="0"/>
              <w:rPr>
                <w:sz w:val="24"/>
                <w:szCs w:val="24"/>
                <w:color w:val="auto"/>
              </w:rPr>
            </w:pPr>
          </w:p>
        </w:tc>
        <w:tc>
          <w:tcPr>
            <w:tcW w:w="6240" w:type="dxa"/>
            <w:vAlign w:val="bottom"/>
            <w:gridSpan w:val="3"/>
          </w:tcPr>
          <w:p>
            <w:pPr>
              <w:jc w:val="center"/>
              <w:ind w:right="4440"/>
              <w:spacing w:after="0"/>
              <w:rPr>
                <w:sz w:val="20"/>
                <w:szCs w:val="20"/>
                <w:color w:val="auto"/>
              </w:rPr>
            </w:pPr>
            <w:r>
              <w:rPr>
                <w:rFonts w:ascii="Arial" w:cs="Arial" w:eastAsia="Arial" w:hAnsi="Arial"/>
                <w:sz w:val="22"/>
                <w:szCs w:val="22"/>
                <w:b w:val="1"/>
                <w:bCs w:val="1"/>
                <w:color w:val="auto"/>
                <w:w w:val="90"/>
              </w:rPr>
              <w:t>U.S. LC Conditions</w:t>
            </w:r>
          </w:p>
        </w:tc>
      </w:tr>
      <w:tr>
        <w:trPr>
          <w:trHeight w:val="669"/>
        </w:trPr>
        <w:tc>
          <w:tcPr>
            <w:tcW w:w="44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284"/>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Bank of America</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$11,910,900.00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Deutsche Bank AG New York Branch</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$16,308,000.00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Morgan Stanley Bank, N.A.</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$13,526,400.00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Goldman Sachs Lending Partners LLC</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$11,841,300.00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Credit Suisse AG, Cayman Islands Branch</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$6,763,200.00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ING Capital LLC</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$11,500,200.00</w:t>
            </w:r>
          </w:p>
        </w:tc>
      </w:tr>
      <w:tr>
        <w:trPr>
          <w:trHeight w:val="291"/>
        </w:trPr>
        <w:tc>
          <w:tcPr>
            <w:tcW w:w="4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Barclays Bank PLC</w:t>
            </w:r>
          </w:p>
        </w:tc>
        <w:tc>
          <w:tcPr>
            <w:tcW w:w="920" w:type="dxa"/>
            <w:vAlign w:val="bottom"/>
            <w:tcBorders>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$3,150,000.00</w:t>
            </w:r>
          </w:p>
        </w:tc>
      </w:tr>
    </w:tbl>
    <w:p>
      <w:pPr>
        <w:sectPr>
          <w:pgSz w:w="11900" w:h="16838" w:orient="portrait"/>
          <w:cols w:equalWidth="0" w:num="1">
            <w:col w:w="10660"/>
          </w:cols>
          <w:pgMar w:left="640" w:top="585" w:right="599" w:bottom="1440" w:gutter="0" w:footer="0" w:header="0"/>
        </w:sectPr>
      </w:pPr>
    </w:p>
    <w:bookmarkStart w:id="90" w:name="page91"/>
    <w:bookmarkEnd w:id="90"/>
    <w:p>
      <w:pPr>
        <w:ind w:left="9560"/>
        <w:spacing w:after="0"/>
        <w:rPr>
          <w:sz w:val="20"/>
          <w:szCs w:val="20"/>
          <w:color w:val="auto"/>
        </w:rPr>
      </w:pPr>
      <w:r>
        <w:rPr>
          <w:rFonts w:ascii="Arial" w:cs="Arial" w:eastAsia="Arial" w:hAnsi="Arial"/>
          <w:sz w:val="19"/>
          <w:szCs w:val="19"/>
          <w:color w:val="auto"/>
        </w:rPr>
        <w:t>EXECUTION COPY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ABL CREDIT AGREEMENT</w:t>
      </w:r>
    </w:p>
    <w:p>
      <w:pPr>
        <w:spacing w:after="0" w:line="19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This Second Amendment (this “</w:t>
      </w:r>
      <w:r>
        <w:rPr>
          <w:rFonts w:ascii="Arial" w:cs="Arial" w:eastAsia="Arial" w:hAnsi="Arial"/>
          <w:sz w:val="21"/>
          <w:szCs w:val="21"/>
          <w:b w:val="1"/>
          <w:bCs w:val="1"/>
          <w:color w:val="auto"/>
        </w:rPr>
        <w:t>Amendment</w:t>
      </w:r>
      <w:r>
        <w:rPr>
          <w:rFonts w:ascii="Arial" w:cs="Arial" w:eastAsia="Arial" w:hAnsi="Arial"/>
          <w:sz w:val="21"/>
          <w:szCs w:val="21"/>
          <w:color w:val="auto"/>
        </w:rPr>
        <w:t>”) to the ABL Credit Agreement referred to below is dated as of July 24, 2018 and is entered into by and among Williams Scotsman International, Inc., a Delaware corporation (“</w:t>
      </w:r>
      <w:r>
        <w:rPr>
          <w:rFonts w:ascii="Arial" w:cs="Arial" w:eastAsia="Arial" w:hAnsi="Arial"/>
          <w:sz w:val="21"/>
          <w:szCs w:val="21"/>
          <w:b w:val="1"/>
          <w:bCs w:val="1"/>
          <w:color w:val="auto"/>
        </w:rPr>
        <w:t>WS International</w:t>
      </w:r>
      <w:r>
        <w:rPr>
          <w:rFonts w:ascii="Arial" w:cs="Arial" w:eastAsia="Arial" w:hAnsi="Arial"/>
          <w:sz w:val="21"/>
          <w:szCs w:val="21"/>
          <w:color w:val="auto"/>
        </w:rPr>
        <w:t>” or “</w:t>
      </w:r>
      <w:r>
        <w:rPr>
          <w:rFonts w:ascii="Arial" w:cs="Arial" w:eastAsia="Arial" w:hAnsi="Arial"/>
          <w:sz w:val="21"/>
          <w:szCs w:val="21"/>
          <w:b w:val="1"/>
          <w:bCs w:val="1"/>
          <w:color w:val="auto"/>
        </w:rPr>
        <w:t>Administrative Borrower</w:t>
      </w:r>
      <w:r>
        <w:rPr>
          <w:rFonts w:ascii="Arial" w:cs="Arial" w:eastAsia="Arial" w:hAnsi="Arial"/>
          <w:sz w:val="21"/>
          <w:szCs w:val="21"/>
          <w:color w:val="auto"/>
        </w:rPr>
        <w:t>”), Williams Scotsman, Inc., a Maryland corporation (“</w:t>
      </w:r>
      <w:r>
        <w:rPr>
          <w:rFonts w:ascii="Arial" w:cs="Arial" w:eastAsia="Arial" w:hAnsi="Arial"/>
          <w:sz w:val="21"/>
          <w:szCs w:val="21"/>
          <w:b w:val="1"/>
          <w:bCs w:val="1"/>
          <w:color w:val="auto"/>
        </w:rPr>
        <w:t>WSI</w:t>
      </w:r>
      <w:r>
        <w:rPr>
          <w:rFonts w:ascii="Arial" w:cs="Arial" w:eastAsia="Arial" w:hAnsi="Arial"/>
          <w:sz w:val="21"/>
          <w:szCs w:val="21"/>
          <w:color w:val="auto"/>
        </w:rPr>
        <w:t>”), WillScot Equipment II, LLC, a Delaware limited liability company (“</w:t>
      </w:r>
      <w:r>
        <w:rPr>
          <w:rFonts w:ascii="Arial" w:cs="Arial" w:eastAsia="Arial" w:hAnsi="Arial"/>
          <w:sz w:val="21"/>
          <w:szCs w:val="21"/>
          <w:b w:val="1"/>
          <w:bCs w:val="1"/>
          <w:color w:val="auto"/>
        </w:rPr>
        <w:t>WillScot</w:t>
      </w:r>
      <w:r>
        <w:rPr>
          <w:rFonts w:ascii="Arial" w:cs="Arial" w:eastAsia="Arial" w:hAnsi="Arial"/>
          <w:sz w:val="21"/>
          <w:szCs w:val="21"/>
          <w:color w:val="auto"/>
        </w:rPr>
        <w:t>”), Acton Mobile Holdings, LLC, a Delaware limited liability company (“</w:t>
      </w:r>
      <w:r>
        <w:rPr>
          <w:rFonts w:ascii="Arial" w:cs="Arial" w:eastAsia="Arial" w:hAnsi="Arial"/>
          <w:sz w:val="21"/>
          <w:szCs w:val="21"/>
          <w:b w:val="1"/>
          <w:bCs w:val="1"/>
          <w:color w:val="auto"/>
        </w:rPr>
        <w:t>Acton</w:t>
      </w:r>
      <w:r>
        <w:rPr>
          <w:rFonts w:ascii="Arial" w:cs="Arial" w:eastAsia="Arial" w:hAnsi="Arial"/>
          <w:sz w:val="21"/>
          <w:szCs w:val="21"/>
          <w:color w:val="auto"/>
        </w:rPr>
        <w:t xml:space="preserve"> </w:t>
      </w:r>
      <w:r>
        <w:rPr>
          <w:rFonts w:ascii="Arial" w:cs="Arial" w:eastAsia="Arial" w:hAnsi="Arial"/>
          <w:sz w:val="21"/>
          <w:szCs w:val="21"/>
          <w:b w:val="1"/>
          <w:bCs w:val="1"/>
          <w:color w:val="auto"/>
        </w:rPr>
        <w:t>Mobile</w:t>
      </w:r>
      <w:r>
        <w:rPr>
          <w:rFonts w:ascii="Arial" w:cs="Arial" w:eastAsia="Arial" w:hAnsi="Arial"/>
          <w:sz w:val="21"/>
          <w:szCs w:val="21"/>
          <w:color w:val="auto"/>
        </w:rPr>
        <w:t>”), New Acton Mobile Industries LLC, a Delaware limited liability company (“</w:t>
      </w:r>
      <w:r>
        <w:rPr>
          <w:rFonts w:ascii="Arial" w:cs="Arial" w:eastAsia="Arial" w:hAnsi="Arial"/>
          <w:sz w:val="21"/>
          <w:szCs w:val="21"/>
          <w:b w:val="1"/>
          <w:bCs w:val="1"/>
          <w:color w:val="auto"/>
        </w:rPr>
        <w:t>New Acton</w:t>
      </w:r>
      <w:r>
        <w:rPr>
          <w:rFonts w:ascii="Arial" w:cs="Arial" w:eastAsia="Arial" w:hAnsi="Arial"/>
          <w:sz w:val="21"/>
          <w:szCs w:val="21"/>
          <w:color w:val="auto"/>
        </w:rPr>
        <w:t>”), Onsite Space LLC, an Indiana</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w:t>
      </w:r>
      <w:r>
        <w:rPr>
          <w:rFonts w:ascii="Arial" w:cs="Arial" w:eastAsia="Arial" w:hAnsi="Arial"/>
          <w:sz w:val="21"/>
          <w:szCs w:val="21"/>
          <w:b w:val="1"/>
          <w:bCs w:val="1"/>
          <w:color w:val="auto"/>
        </w:rPr>
        <w:t>Onsite Space</w:t>
      </w:r>
      <w:r>
        <w:rPr>
          <w:rFonts w:ascii="Arial" w:cs="Arial" w:eastAsia="Arial" w:hAnsi="Arial"/>
          <w:sz w:val="21"/>
          <w:szCs w:val="21"/>
          <w:color w:val="auto"/>
        </w:rPr>
        <w:t>” and, together with WS International and WSI, WillScot, Acton Mobile and New Acton, each, a “</w:t>
      </w:r>
      <w:r>
        <w:rPr>
          <w:rFonts w:ascii="Arial" w:cs="Arial" w:eastAsia="Arial" w:hAnsi="Arial"/>
          <w:sz w:val="21"/>
          <w:szCs w:val="21"/>
          <w:b w:val="1"/>
          <w:bCs w:val="1"/>
          <w:color w:val="auto"/>
        </w:rPr>
        <w:t>U.S. Borrower</w:t>
      </w:r>
      <w:r>
        <w:rPr>
          <w:rFonts w:ascii="Arial" w:cs="Arial" w:eastAsia="Arial" w:hAnsi="Arial"/>
          <w:sz w:val="21"/>
          <w:szCs w:val="21"/>
          <w:color w:val="auto"/>
        </w:rPr>
        <w:t>” and, collectively, the “</w:t>
      </w:r>
      <w:r>
        <w:rPr>
          <w:rFonts w:ascii="Arial" w:cs="Arial" w:eastAsia="Arial" w:hAnsi="Arial"/>
          <w:sz w:val="21"/>
          <w:szCs w:val="21"/>
          <w:b w:val="1"/>
          <w:bCs w:val="1"/>
          <w:color w:val="auto"/>
        </w:rPr>
        <w:t>U.S. Borrowers</w:t>
      </w:r>
      <w:r>
        <w:rPr>
          <w:rFonts w:ascii="Arial" w:cs="Arial" w:eastAsia="Arial" w:hAnsi="Arial"/>
          <w:sz w:val="21"/>
          <w:szCs w:val="21"/>
          <w:color w:val="auto"/>
        </w:rPr>
        <w:t>”), Williams Scotsman of Canada, Inc., a corporation incorporated under the Business Corporations Act (Ontario) (the “</w:t>
      </w:r>
      <w:r>
        <w:rPr>
          <w:rFonts w:ascii="Arial" w:cs="Arial" w:eastAsia="Arial" w:hAnsi="Arial"/>
          <w:sz w:val="21"/>
          <w:szCs w:val="21"/>
          <w:b w:val="1"/>
          <w:bCs w:val="1"/>
          <w:color w:val="auto"/>
        </w:rPr>
        <w:t>Canadian Borrower</w:t>
      </w:r>
      <w:r>
        <w:rPr>
          <w:rFonts w:ascii="Arial" w:cs="Arial" w:eastAsia="Arial" w:hAnsi="Arial"/>
          <w:sz w:val="21"/>
          <w:szCs w:val="21"/>
          <w:color w:val="auto"/>
        </w:rPr>
        <w:t>” and, together with the U.S. Borrowers, the “</w:t>
      </w:r>
      <w:r>
        <w:rPr>
          <w:rFonts w:ascii="Arial" w:cs="Arial" w:eastAsia="Arial" w:hAnsi="Arial"/>
          <w:sz w:val="21"/>
          <w:szCs w:val="21"/>
          <w:b w:val="1"/>
          <w:bCs w:val="1"/>
          <w:color w:val="auto"/>
        </w:rPr>
        <w:t>Borrowers</w:t>
      </w:r>
      <w:r>
        <w:rPr>
          <w:rFonts w:ascii="Arial" w:cs="Arial" w:eastAsia="Arial" w:hAnsi="Arial"/>
          <w:sz w:val="21"/>
          <w:szCs w:val="21"/>
          <w:color w:val="auto"/>
        </w:rPr>
        <w:t>” and each, a “</w:t>
      </w:r>
      <w:r>
        <w:rPr>
          <w:rFonts w:ascii="Arial" w:cs="Arial" w:eastAsia="Arial" w:hAnsi="Arial"/>
          <w:sz w:val="21"/>
          <w:szCs w:val="21"/>
          <w:b w:val="1"/>
          <w:bCs w:val="1"/>
          <w:color w:val="auto"/>
        </w:rPr>
        <w:t>Borrower</w:t>
      </w:r>
      <w:r>
        <w:rPr>
          <w:rFonts w:ascii="Arial" w:cs="Arial" w:eastAsia="Arial" w:hAnsi="Arial"/>
          <w:sz w:val="21"/>
          <w:szCs w:val="21"/>
          <w:color w:val="auto"/>
        </w:rPr>
        <w:t>”), William Scotsman Holdings Corp., a Delaware corporation (“</w:t>
      </w:r>
      <w:r>
        <w:rPr>
          <w:rFonts w:ascii="Arial" w:cs="Arial" w:eastAsia="Arial" w:hAnsi="Arial"/>
          <w:sz w:val="21"/>
          <w:szCs w:val="21"/>
          <w:b w:val="1"/>
          <w:bCs w:val="1"/>
          <w:color w:val="auto"/>
        </w:rPr>
        <w:t>Holdings</w:t>
      </w:r>
      <w:r>
        <w:rPr>
          <w:rFonts w:ascii="Arial" w:cs="Arial" w:eastAsia="Arial" w:hAnsi="Arial"/>
          <w:sz w:val="21"/>
          <w:szCs w:val="21"/>
          <w:color w:val="auto"/>
        </w:rPr>
        <w:t>”), as Holdings and a Guarantor, each of the other Guarantors listed on the signature pages hereto, each Lender party hereto and Bank of America, N.A., as administrative agent and collateral agent for itself and the other Secured Parties (collectively, in such capacities, the “</w:t>
      </w:r>
      <w:r>
        <w:rPr>
          <w:rFonts w:ascii="Arial" w:cs="Arial" w:eastAsia="Arial" w:hAnsi="Arial"/>
          <w:sz w:val="21"/>
          <w:szCs w:val="21"/>
          <w:b w:val="1"/>
          <w:bCs w:val="1"/>
          <w:color w:val="auto"/>
        </w:rPr>
        <w:t>Agent</w:t>
      </w:r>
      <w:r>
        <w:rPr>
          <w:rFonts w:ascii="Arial" w:cs="Arial" w:eastAsia="Arial" w:hAnsi="Arial"/>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ABL Credit Agreement, dated as of November 29, 2017 (as amended by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(as defined below), the “</w:t>
      </w:r>
      <w:r>
        <w:rPr>
          <w:rFonts w:ascii="Arial" w:cs="Arial" w:eastAsia="Arial" w:hAnsi="Arial"/>
          <w:sz w:val="19"/>
          <w:szCs w:val="19"/>
          <w:b w:val="1"/>
          <w:bCs w:val="1"/>
          <w:color w:val="auto"/>
        </w:rPr>
        <w:t>Existing ABL Credit Agreement</w:t>
      </w:r>
      <w:r>
        <w:rPr>
          <w:rFonts w:ascii="Arial" w:cs="Arial" w:eastAsia="Arial" w:hAnsi="Arial"/>
          <w:sz w:val="19"/>
          <w:szCs w:val="19"/>
          <w:color w:val="auto"/>
        </w:rPr>
        <w:t>” and, as amended by this Amendment, the “</w:t>
      </w:r>
      <w:r>
        <w:rPr>
          <w:rFonts w:ascii="Arial" w:cs="Arial" w:eastAsia="Arial" w:hAnsi="Arial"/>
          <w:sz w:val="19"/>
          <w:szCs w:val="19"/>
          <w:b w:val="1"/>
          <w:bCs w:val="1"/>
          <w:color w:val="auto"/>
        </w:rPr>
        <w:t>Amended</w:t>
      </w:r>
      <w:r>
        <w:rPr>
          <w:rFonts w:ascii="Arial" w:cs="Arial" w:eastAsia="Arial" w:hAnsi="Arial"/>
          <w:sz w:val="19"/>
          <w:szCs w:val="19"/>
          <w:color w:val="auto"/>
        </w:rPr>
        <w:t xml:space="preserve"> </w:t>
      </w:r>
      <w:r>
        <w:rPr>
          <w:rFonts w:ascii="Arial" w:cs="Arial" w:eastAsia="Arial" w:hAnsi="Arial"/>
          <w:sz w:val="19"/>
          <w:szCs w:val="19"/>
          <w:b w:val="1"/>
          <w:bCs w:val="1"/>
          <w:color w:val="auto"/>
        </w:rPr>
        <w:t>ABL Credit Agreement</w:t>
      </w:r>
      <w:r>
        <w:rPr>
          <w:rFonts w:ascii="Arial" w:cs="Arial" w:eastAsia="Arial" w:hAnsi="Arial"/>
          <w:sz w:val="19"/>
          <w:szCs w:val="19"/>
          <w:color w:val="auto"/>
        </w:rPr>
        <w:t>”), among the Borrowers, Holdings, the Lenders party thereto from time to time and Bank of America,</w:t>
      </w:r>
      <w:r>
        <w:rPr>
          <w:rFonts w:ascii="Arial" w:cs="Arial" w:eastAsia="Arial" w:hAnsi="Arial"/>
          <w:sz w:val="19"/>
          <w:szCs w:val="19"/>
          <w:b w:val="1"/>
          <w:bCs w:val="1"/>
          <w:color w:val="auto"/>
        </w:rPr>
        <w:t xml:space="preserve"> </w:t>
      </w:r>
      <w:r>
        <w:rPr>
          <w:rFonts w:ascii="Arial" w:cs="Arial" w:eastAsia="Arial" w:hAnsi="Arial"/>
          <w:sz w:val="19"/>
          <w:szCs w:val="19"/>
          <w:color w:val="auto"/>
        </w:rPr>
        <w:t>N.A. as Agent, the Lenders have agreed to extend credit in the form of revolving credit facilities to the Borrowers;</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 the Administrative Borrower (or one of its wholly-owned subsidiaries) intends to acquire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ModSpace Acquisition</w:t>
      </w:r>
      <w:r>
        <w:rPr>
          <w:rFonts w:ascii="Arial" w:cs="Arial" w:eastAsia="Arial" w:hAnsi="Arial"/>
          <w:sz w:val="21"/>
          <w:szCs w:val="21"/>
          <w:color w:val="auto"/>
        </w:rPr>
        <w:t>”) Modular Space Holdings, Inc., a Delaware corporation, and (ii) in connection therewith, the Borrowers, Holdings, the other Loan Parties, the Lenders party thereto and the Agent entered into the First Amendment to the ABL Credit Agreement, dated July 9, 2018 (the “</w:t>
      </w:r>
      <w:r>
        <w:rPr>
          <w:rFonts w:ascii="Arial" w:cs="Arial" w:eastAsia="Arial" w:hAnsi="Arial"/>
          <w:sz w:val="21"/>
          <w:szCs w:val="21"/>
          <w:b w:val="1"/>
          <w:bCs w:val="1"/>
          <w:color w:val="auto"/>
        </w:rPr>
        <w:t>First Amendment</w:t>
      </w:r>
      <w:r>
        <w:rPr>
          <w:rFonts w:ascii="Arial" w:cs="Arial" w:eastAsia="Arial" w:hAnsi="Arial"/>
          <w:sz w:val="21"/>
          <w:szCs w:val="21"/>
          <w:color w:val="auto"/>
        </w:rPr>
        <w:t xml:space="preserve">”), pursuant to which the Existing ABL Credit Agreement (as defined in the First Amendment) will, upon the effectiveness thereof, be amended in order to, </w:t>
      </w:r>
      <w:r>
        <w:rPr>
          <w:rFonts w:ascii="Arial" w:cs="Arial" w:eastAsia="Arial" w:hAnsi="Arial"/>
          <w:sz w:val="21"/>
          <w:szCs w:val="21"/>
          <w:i w:val="1"/>
          <w:iCs w:val="1"/>
          <w:color w:val="auto"/>
        </w:rPr>
        <w:t>inter alia</w:t>
      </w:r>
      <w:r>
        <w:rPr>
          <w:rFonts w:ascii="Arial" w:cs="Arial" w:eastAsia="Arial" w:hAnsi="Arial"/>
          <w:sz w:val="21"/>
          <w:szCs w:val="21"/>
          <w:color w:val="auto"/>
        </w:rPr>
        <w:t>, permit the incurrence of Indebtedness under, and the issuance of, the 2018 Senior Secured Notes and/or 2018 Senior Secured Bridge Facility and the 2018 Senior Unsecured Notes and/or 2018 Senior Unsecured Bridge Facility (each of the foregoing, as defined therein), for purposes of financing the ModSpace Acquisition;</w:t>
      </w:r>
    </w:p>
    <w:p>
      <w:pPr>
        <w:spacing w:after="0" w:line="176"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Borrowers are contemplating an alternate financing arrangement with respect to the ModSpace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and have requested that the Agent and the Required Lenders consent to additional amendments to the Existing ABL Credit Agreement to permit the Borrowers to finance the ModSpace Acquisition using, among other financing sources (but in lieu of any 2018 Senior Unsecured Notes and/or 2018 Senior Unsecured Bridge Facility), proceeds from the issuance by the Administrative Borrower of privately-placed unsecured notes (or in the alternative, its incurrence of Indebtedness under an unsecured term loan facility) yielding up to $300,000,000 in gross cash proceeds; and</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Agent and the Required Lenders agree to such amendments as described, and on the terms set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forth, herein.</w:t>
      </w:r>
    </w:p>
    <w:p>
      <w:pPr>
        <w:sectPr>
          <w:pgSz w:w="11900" w:h="16838" w:orient="portrait"/>
          <w:cols w:equalWidth="0" w:num="1">
            <w:col w:w="11420"/>
          </w:cols>
          <w:pgMar w:left="240" w:top="591" w:right="239" w:bottom="1440" w:gutter="0" w:footer="0" w:header="0"/>
        </w:sectPr>
      </w:pPr>
    </w:p>
    <w:bookmarkStart w:id="91" w:name="page92"/>
    <w:bookmarkEnd w:id="91"/>
    <w:p>
      <w:pPr>
        <w:jc w:val="both"/>
        <w:ind w:right="20" w:firstLine="1297"/>
        <w:spacing w:after="0" w:line="350"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covenants and agreements contained herein, as well as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98"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u w:val="single" w:color="auto"/>
          <w:color w:val="auto"/>
        </w:rPr>
        <w:t>Section 1. Defined Terms</w:t>
      </w:r>
      <w:r>
        <w:rPr>
          <w:rFonts w:ascii="Arial" w:cs="Arial" w:eastAsia="Arial" w:hAnsi="Arial"/>
          <w:sz w:val="21"/>
          <w:szCs w:val="21"/>
          <w:color w:val="auto"/>
        </w:rPr>
        <w:t>. Capitalized terms used but not defined herein (including in the introductory paragraph hereof and the recitals hereto) shall have the meanings assigned to such terms in the Amended ABL Credit Agreement (for such purpose, as if the First Amendment Effective Date and the Second Amendment Effective Date had both occurred).</w:t>
      </w: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Amended ABL Credit Agreement</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Subject to the occurrence of the Second Amendment Effective Date, each of the Loan Parties, the Agent and the Lenders party hereto (collectively constituting the Required Lenders) agrees that the Existing ABL Credit Agreement is hereby amended as follows:</w:t>
      </w:r>
    </w:p>
    <w:p>
      <w:pPr>
        <w:spacing w:after="0" w:line="186" w:lineRule="exact"/>
        <w:rPr>
          <w:sz w:val="20"/>
          <w:szCs w:val="20"/>
          <w:color w:val="auto"/>
        </w:rPr>
      </w:pPr>
    </w:p>
    <w:p>
      <w:pPr>
        <w:ind w:left="660" w:firstLine="1293"/>
        <w:spacing w:after="0" w:line="276" w:lineRule="auto"/>
        <w:tabs>
          <w:tab w:leader="none" w:pos="2804" w:val="left"/>
        </w:tabs>
        <w:numPr>
          <w:ilvl w:val="0"/>
          <w:numId w:val="63"/>
        </w:numPr>
        <w:rPr>
          <w:rFonts w:ascii="Arial" w:cs="Arial" w:eastAsia="Arial" w:hAnsi="Arial"/>
          <w:sz w:val="18"/>
          <w:szCs w:val="18"/>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to add the following defined terms in appropriate alphabetical order:</w:t>
      </w:r>
    </w:p>
    <w:p>
      <w:pPr>
        <w:spacing w:after="0" w:line="201" w:lineRule="exact"/>
        <w:rPr>
          <w:sz w:val="20"/>
          <w:szCs w:val="20"/>
          <w:color w:val="auto"/>
        </w:rPr>
      </w:pPr>
    </w:p>
    <w:p>
      <w:pPr>
        <w:jc w:val="both"/>
        <w:ind w:left="1960"/>
        <w:spacing w:after="0" w:line="292" w:lineRule="auto"/>
        <w:rPr>
          <w:sz w:val="20"/>
          <w:szCs w:val="20"/>
          <w:color w:val="auto"/>
        </w:rPr>
      </w:pPr>
      <w:r>
        <w:rPr>
          <w:rFonts w:ascii="Arial" w:cs="Arial" w:eastAsia="Arial" w:hAnsi="Arial"/>
          <w:sz w:val="19"/>
          <w:szCs w:val="19"/>
          <w:u w:val="single" w:color="auto"/>
          <w:color w:val="auto"/>
        </w:rPr>
        <w:t>2018 Unsecured Facility</w:t>
      </w:r>
      <w:r>
        <w:rPr>
          <w:rFonts w:ascii="Arial" w:cs="Arial" w:eastAsia="Arial" w:hAnsi="Arial"/>
          <w:sz w:val="19"/>
          <w:szCs w:val="19"/>
          <w:color w:val="auto"/>
        </w:rPr>
        <w:t>: the up to $300,000,000 (or such lesser amount actually issued on the Second Amendment Effective Date (or prior thereto pursuant to escrow arrangements)) in original aggregate principal amount of unsecured notes issued by the Administrative Borrower or, in lieu thereof, the up to $300,000,000 unsecured term loan facility made available to the Administrative Borrower, in each case, pursuant to the Commitment Letter dated July 24, 2018 among AlbaCore Capital, LLP, Canyon Value Realization Fund, L.P. and the Parent, the proceeds of which will be used to finance the purchase price of the ModSpace Acquisition, to effect the Debt Repayment and to pay the ModSpace Transaction Costs.</w:t>
      </w:r>
    </w:p>
    <w:p>
      <w:pPr>
        <w:spacing w:after="0" w:line="151" w:lineRule="exact"/>
        <w:rPr>
          <w:sz w:val="20"/>
          <w:szCs w:val="20"/>
          <w:color w:val="auto"/>
        </w:rPr>
      </w:pPr>
    </w:p>
    <w:p>
      <w:pPr>
        <w:jc w:val="both"/>
        <w:ind w:left="1960"/>
        <w:spacing w:after="0" w:line="248" w:lineRule="auto"/>
        <w:rPr>
          <w:sz w:val="20"/>
          <w:szCs w:val="20"/>
          <w:color w:val="auto"/>
        </w:rPr>
      </w:pPr>
      <w:r>
        <w:rPr>
          <w:rFonts w:ascii="Arial" w:cs="Arial" w:eastAsia="Arial" w:hAnsi="Arial"/>
          <w:sz w:val="22"/>
          <w:szCs w:val="22"/>
          <w:u w:val="single" w:color="auto"/>
          <w:color w:val="auto"/>
        </w:rPr>
        <w:t>2018 Unsecured Facility Documents</w:t>
      </w:r>
      <w:r>
        <w:rPr>
          <w:rFonts w:ascii="Arial" w:cs="Arial" w:eastAsia="Arial" w:hAnsi="Arial"/>
          <w:sz w:val="22"/>
          <w:szCs w:val="22"/>
          <w:color w:val="auto"/>
        </w:rPr>
        <w:t>: the unsecured notes of the Administrative Borrower issued pursuant to the 2018 Unsecured Facility (and the indenture or other definitive agreement entered into in connection therewith) or, if applicable, the unsecured credit agreement pursuant to which the 2018 Unsecured Facility is made available to the Administrative Borrower and all other “Loan Documents” (or similar term) as defined therein.</w:t>
      </w:r>
    </w:p>
    <w:p>
      <w:pPr>
        <w:spacing w:after="0" w:line="192"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u w:val="single" w:color="auto"/>
          <w:color w:val="auto"/>
        </w:rPr>
        <w:t>Second Amendment Agreement</w:t>
      </w:r>
      <w:r>
        <w:rPr>
          <w:rFonts w:ascii="Arial" w:cs="Arial" w:eastAsia="Arial" w:hAnsi="Arial"/>
          <w:sz w:val="22"/>
          <w:szCs w:val="22"/>
          <w:color w:val="auto"/>
        </w:rPr>
        <w:t>: the Second Amendment to this Agreement dated as of July 24, 2018 among the Borrowers, Holdings, the other Loan Parties party thereto, the Lenders party thereto and Bank of America, N.A., as administrative agent and collateral agent.</w:t>
      </w:r>
    </w:p>
    <w:p>
      <w:pPr>
        <w:spacing w:after="0" w:line="186" w:lineRule="exact"/>
        <w:rPr>
          <w:sz w:val="20"/>
          <w:szCs w:val="20"/>
          <w:color w:val="auto"/>
        </w:rPr>
      </w:pPr>
    </w:p>
    <w:p>
      <w:pPr>
        <w:jc w:val="both"/>
        <w:ind w:left="1960" w:right="20"/>
        <w:spacing w:after="0" w:line="343" w:lineRule="auto"/>
        <w:rPr>
          <w:sz w:val="20"/>
          <w:szCs w:val="20"/>
          <w:color w:val="auto"/>
        </w:rPr>
      </w:pP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the Second Amendment Effective Date (as defined in the Second Amendment Agreement), which is anticipated to be the same date as the First Amendment Effective Date.</w:t>
      </w:r>
    </w:p>
    <w:p>
      <w:pPr>
        <w:spacing w:after="0" w:line="105" w:lineRule="exact"/>
        <w:rPr>
          <w:sz w:val="20"/>
          <w:szCs w:val="20"/>
          <w:color w:val="auto"/>
        </w:rPr>
      </w:pPr>
    </w:p>
    <w:p>
      <w:pPr>
        <w:jc w:val="both"/>
        <w:ind w:left="660" w:right="20" w:firstLine="1293"/>
        <w:spacing w:after="0" w:line="265" w:lineRule="auto"/>
        <w:tabs>
          <w:tab w:leader="none" w:pos="2815" w:val="left"/>
        </w:tabs>
        <w:numPr>
          <w:ilvl w:val="0"/>
          <w:numId w:val="64"/>
        </w:numPr>
        <w:rPr>
          <w:rFonts w:ascii="Arial" w:cs="Arial" w:eastAsia="Arial" w:hAnsi="Arial"/>
          <w:sz w:val="17"/>
          <w:szCs w:val="17"/>
          <w:color w:val="auto"/>
        </w:rPr>
      </w:pP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of the definition of “Change of Control” appearing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Existing ABL Credit Agreement is hereby amended by adding the text “, the 2018 Unsecured Facility Documents” immediately following the text “the 2018 Senior Unsecured Bridge Credit Agreement” appearing therein.</w:t>
      </w:r>
    </w:p>
    <w:p>
      <w:pPr>
        <w:spacing w:after="0" w:line="1" w:lineRule="exact"/>
        <w:rPr>
          <w:rFonts w:ascii="Arial" w:cs="Arial" w:eastAsia="Arial" w:hAnsi="Arial"/>
          <w:sz w:val="17"/>
          <w:szCs w:val="17"/>
          <w:color w:val="auto"/>
        </w:rPr>
      </w:pPr>
    </w:p>
    <w:p>
      <w:pPr>
        <w:ind w:left="660" w:firstLine="1293"/>
        <w:spacing w:after="0" w:line="259" w:lineRule="auto"/>
        <w:tabs>
          <w:tab w:leader="none" w:pos="2804" w:val="left"/>
        </w:tabs>
        <w:numPr>
          <w:ilvl w:val="0"/>
          <w:numId w:val="64"/>
        </w:numPr>
        <w:rPr>
          <w:rFonts w:ascii="Arial" w:cs="Arial" w:eastAsia="Arial" w:hAnsi="Arial"/>
          <w:sz w:val="18"/>
          <w:szCs w:val="18"/>
          <w:color w:val="auto"/>
        </w:rPr>
      </w:pPr>
      <w:r>
        <w:rPr>
          <w:rFonts w:ascii="Arial" w:cs="Arial" w:eastAsia="Arial" w:hAnsi="Arial"/>
          <w:sz w:val="22"/>
          <w:szCs w:val="22"/>
          <w:color w:val="auto"/>
        </w:rPr>
        <w:t xml:space="preserve">The first proviso following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appearing in the definition of “Excluded Subsidiary”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removing</w:t>
      </w:r>
    </w:p>
    <w:p>
      <w:pPr>
        <w:sectPr>
          <w:pgSz w:w="11900" w:h="16838" w:orient="portrait"/>
          <w:cols w:equalWidth="0" w:num="1">
            <w:col w:w="11420"/>
          </w:cols>
          <w:pgMar w:left="240" w:top="585" w:right="239" w:bottom="1440" w:gutter="0" w:footer="0" w:header="0"/>
        </w:sectPr>
      </w:pPr>
    </w:p>
    <w:bookmarkStart w:id="92" w:name="page93"/>
    <w:bookmarkEnd w:id="92"/>
    <w:p>
      <w:pPr>
        <w:jc w:val="both"/>
        <w:spacing w:after="0" w:line="249" w:lineRule="auto"/>
        <w:rPr>
          <w:sz w:val="20"/>
          <w:szCs w:val="20"/>
          <w:color w:val="auto"/>
        </w:rPr>
      </w:pPr>
      <w:r>
        <w:rPr>
          <w:rFonts w:ascii="Arial" w:cs="Arial" w:eastAsia="Arial" w:hAnsi="Arial"/>
          <w:sz w:val="22"/>
          <w:szCs w:val="22"/>
          <w:color w:val="auto"/>
        </w:rPr>
        <w:t>the word “or” appearing immediately before the reference to “the 2018 Senior Unsecured Bridge Facility” appearing in clause (x) of such proviso and replacing it with a comma, and by adding the following text immediately after such reference: “ or the 2018 Unsecured Facility ”.</w:t>
      </w:r>
    </w:p>
    <w:p>
      <w:pPr>
        <w:jc w:val="both"/>
        <w:ind w:firstLine="1293"/>
        <w:spacing w:after="0" w:line="247"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2"/>
          <w:szCs w:val="22"/>
          <w:color w:val="auto"/>
        </w:rPr>
        <w:t xml:space="preserve">The definition of “Loan Documents”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adding the text “the Second Amendment Agreement,” immediately following the text “the First Amendment Agreement,” appearing therein.</w:t>
      </w:r>
    </w:p>
    <w:p>
      <w:pPr>
        <w:spacing w:after="0" w:line="2" w:lineRule="exact"/>
        <w:rPr>
          <w:rFonts w:ascii="Arial" w:cs="Arial" w:eastAsia="Arial" w:hAnsi="Arial"/>
          <w:sz w:val="18"/>
          <w:szCs w:val="18"/>
          <w:color w:val="auto"/>
        </w:rPr>
      </w:pPr>
    </w:p>
    <w:p>
      <w:pPr>
        <w:ind w:right="80" w:firstLine="1293"/>
        <w:spacing w:after="0" w:line="246" w:lineRule="auto"/>
        <w:tabs>
          <w:tab w:leader="none" w:pos="2144" w:val="left"/>
        </w:tabs>
        <w:numPr>
          <w:ilvl w:val="0"/>
          <w:numId w:val="65"/>
        </w:numPr>
        <w:rPr>
          <w:rFonts w:ascii="Arial" w:cs="Arial" w:eastAsia="Arial" w:hAnsi="Arial"/>
          <w:sz w:val="18"/>
          <w:szCs w:val="18"/>
          <w:color w:val="auto"/>
        </w:rPr>
      </w:pPr>
      <w:r>
        <w:rPr>
          <w:rFonts w:ascii="Arial" w:cs="Arial" w:eastAsia="Arial" w:hAnsi="Arial"/>
          <w:sz w:val="22"/>
          <w:szCs w:val="22"/>
          <w:color w:val="auto"/>
        </w:rPr>
        <w:t xml:space="preserve">The definition of “ModSpace Transactions”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(i) changing the reference to “(x)” appearing therein to a reference to “(xi)” and (ii) adding the following text as a new clause (x) in appropriate numerical order: “, (x) the execution, delivery and performance of the 2018 Unsecured Facility Documents, the issuance of the 2018 Unsecured Facility thereunder and the use of the proceeds thereof”.</w:t>
      </w:r>
    </w:p>
    <w:p>
      <w:pPr>
        <w:ind w:right="100" w:firstLine="1293"/>
        <w:spacing w:after="0" w:line="285" w:lineRule="auto"/>
        <w:tabs>
          <w:tab w:leader="none" w:pos="2125" w:val="left"/>
        </w:tabs>
        <w:numPr>
          <w:ilvl w:val="0"/>
          <w:numId w:val="65"/>
        </w:numPr>
        <w:rPr>
          <w:rFonts w:ascii="Arial" w:cs="Arial" w:eastAsia="Arial" w:hAnsi="Arial"/>
          <w:sz w:val="16"/>
          <w:szCs w:val="16"/>
          <w:color w:val="auto"/>
        </w:rPr>
      </w:pPr>
      <w:r>
        <w:rPr>
          <w:rFonts w:ascii="Arial" w:cs="Arial" w:eastAsia="Arial" w:hAnsi="Arial"/>
          <w:sz w:val="19"/>
          <w:szCs w:val="19"/>
          <w:color w:val="auto"/>
        </w:rPr>
        <w:t xml:space="preserve">The proviso at the end of the definition of “Qualified Receivables Transaction” appearing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ABL Credit Agreement is hereby amended by removing the word “and” appearing immediately before the reference to “the 2018 Senior Unsecured Bridge Credit Agreement” appearing therein and replacing it with a comma, and by adding the following text immediately after such reference: “and the 2018 Unsecured Facility Documents”.</w:t>
      </w:r>
    </w:p>
    <w:p>
      <w:pPr>
        <w:spacing w:after="0" w:line="2" w:lineRule="exact"/>
        <w:rPr>
          <w:rFonts w:ascii="Arial" w:cs="Arial" w:eastAsia="Arial" w:hAnsi="Arial"/>
          <w:sz w:val="16"/>
          <w:szCs w:val="16"/>
          <w:color w:val="auto"/>
        </w:rPr>
      </w:pPr>
    </w:p>
    <w:p>
      <w:pPr>
        <w:jc w:val="both"/>
        <w:ind w:firstLine="1293"/>
        <w:spacing w:after="0" w:line="246"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of the definition of “Refinancing Indebtedness” appearing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Existing ABL Credit Agreement is hereby amended by removing the word “or” appearing immediately before the reference to “the 2018 Senior Unsecured Bridge Facility” appearing therein and replacing it with a comma, and by adding the following text immediately after such reference: “or the 2018 Unsecured Facility”.</w:t>
      </w:r>
    </w:p>
    <w:p>
      <w:pPr>
        <w:spacing w:after="0" w:line="2" w:lineRule="exact"/>
        <w:rPr>
          <w:rFonts w:ascii="Arial" w:cs="Arial" w:eastAsia="Arial" w:hAnsi="Arial"/>
          <w:sz w:val="18"/>
          <w:szCs w:val="18"/>
          <w:color w:val="auto"/>
        </w:rPr>
      </w:pPr>
    </w:p>
    <w:p>
      <w:pPr>
        <w:jc w:val="both"/>
        <w:ind w:firstLine="1293"/>
        <w:spacing w:after="0" w:line="259" w:lineRule="auto"/>
        <w:tabs>
          <w:tab w:leader="none" w:pos="2155" w:val="left"/>
        </w:tabs>
        <w:numPr>
          <w:ilvl w:val="0"/>
          <w:numId w:val="65"/>
        </w:numPr>
        <w:rPr>
          <w:rFonts w:ascii="Arial" w:cs="Arial" w:eastAsia="Arial" w:hAnsi="Arial"/>
          <w:sz w:val="17"/>
          <w:szCs w:val="17"/>
          <w:color w:val="auto"/>
        </w:rPr>
      </w:pP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the final proviso in the definition of “Unrestricted Subsidiary” appearing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of the Existing ABL Credit Agreement is hereby amended by adding the following text immediately prior to the text “and an “unrestricted subsidiary” (or similar term) under any other document,” appearing therein:</w:t>
      </w:r>
    </w:p>
    <w:p>
      <w:pPr>
        <w:spacing w:after="0" w:line="1" w:lineRule="exact"/>
        <w:rPr>
          <w:rFonts w:ascii="Arial" w:cs="Arial" w:eastAsia="Arial" w:hAnsi="Arial"/>
          <w:sz w:val="17"/>
          <w:szCs w:val="17"/>
          <w:color w:val="auto"/>
        </w:rPr>
      </w:pPr>
    </w:p>
    <w:p>
      <w:pPr>
        <w:ind w:left="640" w:firstLine="648"/>
        <w:spacing w:after="0" w:line="246" w:lineRule="auto"/>
        <w:rPr>
          <w:rFonts w:ascii="Arial" w:cs="Arial" w:eastAsia="Arial" w:hAnsi="Arial"/>
          <w:sz w:val="17"/>
          <w:szCs w:val="17"/>
          <w:color w:val="auto"/>
        </w:rPr>
      </w:pPr>
      <w:r>
        <w:rPr>
          <w:rFonts w:ascii="Arial" w:cs="Arial" w:eastAsia="Arial" w:hAnsi="Arial"/>
          <w:sz w:val="22"/>
          <w:szCs w:val="22"/>
          <w:color w:val="auto"/>
        </w:rPr>
        <w:t>“, an “Unrestricted Subsidiary” (under and as defined in the applicable 2018 Unsecured Facility Documents as in effect on the Second Amendment Effective Date)”.</w:t>
      </w:r>
    </w:p>
    <w:p>
      <w:pPr>
        <w:spacing w:after="0" w:line="192" w:lineRule="exact"/>
        <w:rPr>
          <w:rFonts w:ascii="Arial" w:cs="Arial" w:eastAsia="Arial" w:hAnsi="Arial"/>
          <w:sz w:val="17"/>
          <w:szCs w:val="17"/>
          <w:color w:val="auto"/>
        </w:rPr>
      </w:pPr>
    </w:p>
    <w:p>
      <w:pPr>
        <w:jc w:val="both"/>
        <w:ind w:firstLine="1293"/>
        <w:spacing w:after="0" w:line="250" w:lineRule="auto"/>
        <w:tabs>
          <w:tab w:leader="none" w:pos="2115"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of the proviso set forth in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of the Existing ABL Credit Agreement is hereby amended by removing the word “and” appearing immediately prior to the text “all Indebtedness outstanding arising under the 2018 Senior Unsecured Notes” therein and replacing it with a comma, and by adding the following text at the end of such </w:t>
      </w:r>
      <w:r>
        <w:rPr>
          <w:rFonts w:ascii="Arial" w:cs="Arial" w:eastAsia="Arial" w:hAnsi="Arial"/>
          <w:sz w:val="22"/>
          <w:szCs w:val="22"/>
          <w:u w:val="single" w:color="auto"/>
          <w:color w:val="auto"/>
        </w:rPr>
        <w:t>clause (x)</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jc w:val="both"/>
        <w:ind w:left="640" w:firstLine="648"/>
        <w:spacing w:after="0" w:line="281" w:lineRule="auto"/>
        <w:rPr>
          <w:rFonts w:ascii="Arial" w:cs="Arial" w:eastAsia="Arial" w:hAnsi="Arial"/>
          <w:sz w:val="18"/>
          <w:szCs w:val="18"/>
          <w:color w:val="auto"/>
        </w:rPr>
      </w:pPr>
      <w:r>
        <w:rPr>
          <w:rFonts w:ascii="Arial" w:cs="Arial" w:eastAsia="Arial" w:hAnsi="Arial"/>
          <w:sz w:val="19"/>
          <w:szCs w:val="19"/>
          <w:color w:val="auto"/>
        </w:rPr>
        <w:t xml:space="preserve">“and all Indebtedness outstanding arising under the 2018 Unsecured Facility and any Refinancing Indebtedness with respect thereto will at all times be deemed to be outstanding in reliance on </w:t>
      </w:r>
      <w:r>
        <w:rPr>
          <w:rFonts w:ascii="Arial" w:cs="Arial" w:eastAsia="Arial" w:hAnsi="Arial"/>
          <w:sz w:val="19"/>
          <w:szCs w:val="19"/>
          <w:u w:val="single" w:color="auto"/>
          <w:color w:val="auto"/>
        </w:rPr>
        <w:t>Section 10.2.1(b)(i)</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2"/>
          <w:szCs w:val="22"/>
          <w:u w:val="single" w:color="auto"/>
          <w:color w:val="auto"/>
        </w:rPr>
        <w:t>(E)</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ind w:left="2120" w:hanging="827"/>
        <w:spacing w:after="0"/>
        <w:tabs>
          <w:tab w:leader="none" w:pos="2120" w:val="left"/>
        </w:tabs>
        <w:numPr>
          <w:ilvl w:val="0"/>
          <w:numId w:val="65"/>
        </w:numPr>
        <w:rPr>
          <w:rFonts w:ascii="Arial" w:cs="Arial" w:eastAsia="Arial" w:hAnsi="Arial"/>
          <w:sz w:val="16"/>
          <w:szCs w:val="16"/>
          <w:color w:val="auto"/>
        </w:rPr>
      </w:pP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the final sentence of </w:t>
      </w:r>
      <w:r>
        <w:rPr>
          <w:rFonts w:ascii="Arial" w:cs="Arial" w:eastAsia="Arial" w:hAnsi="Arial"/>
          <w:sz w:val="19"/>
          <w:szCs w:val="19"/>
          <w:u w:val="single" w:color="auto"/>
          <w:color w:val="auto"/>
        </w:rPr>
        <w:t>Section 10.1.20</w:t>
      </w:r>
      <w:r>
        <w:rPr>
          <w:rFonts w:ascii="Arial" w:cs="Arial" w:eastAsia="Arial" w:hAnsi="Arial"/>
          <w:sz w:val="19"/>
          <w:szCs w:val="19"/>
          <w:color w:val="auto"/>
        </w:rPr>
        <w:t xml:space="preserve"> of the Existing ABL Credit Agreement is hereby</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amended by:</w:t>
      </w:r>
    </w:p>
    <w:p>
      <w:pPr>
        <w:spacing w:after="0" w:line="17" w:lineRule="exact"/>
        <w:rPr>
          <w:rFonts w:ascii="Arial" w:cs="Arial" w:eastAsia="Arial" w:hAnsi="Arial"/>
          <w:sz w:val="16"/>
          <w:szCs w:val="16"/>
          <w:color w:val="auto"/>
        </w:rPr>
      </w:pPr>
    </w:p>
    <w:p>
      <w:pPr>
        <w:ind w:left="1300" w:right="540" w:firstLine="641"/>
        <w:spacing w:after="0" w:line="249" w:lineRule="auto"/>
        <w:tabs>
          <w:tab w:leader="none" w:pos="2766" w:val="left"/>
        </w:tabs>
        <w:numPr>
          <w:ilvl w:val="1"/>
          <w:numId w:val="65"/>
        </w:numPr>
        <w:rPr>
          <w:rFonts w:ascii="Arial" w:cs="Arial" w:eastAsia="Arial" w:hAnsi="Arial"/>
          <w:sz w:val="18"/>
          <w:szCs w:val="18"/>
          <w:color w:val="auto"/>
        </w:rPr>
      </w:pPr>
      <w:r>
        <w:rPr>
          <w:rFonts w:ascii="Arial" w:cs="Arial" w:eastAsia="Arial" w:hAnsi="Arial"/>
          <w:sz w:val="22"/>
          <w:szCs w:val="22"/>
          <w:color w:val="auto"/>
        </w:rPr>
        <w:t>adding the text “, the 2018 Unsecured Facility Documents” immediately following the reference to “the 2018 Unsecured Bridge Credit Agreement” therein; and</w:t>
      </w:r>
    </w:p>
    <w:p>
      <w:pPr>
        <w:spacing w:after="0" w:line="1" w:lineRule="exact"/>
        <w:rPr>
          <w:rFonts w:ascii="Arial" w:cs="Arial" w:eastAsia="Arial" w:hAnsi="Arial"/>
          <w:sz w:val="18"/>
          <w:szCs w:val="18"/>
          <w:color w:val="auto"/>
        </w:rPr>
      </w:pPr>
    </w:p>
    <w:p>
      <w:pPr>
        <w:ind w:left="2800" w:hanging="859"/>
        <w:spacing w:after="0"/>
        <w:tabs>
          <w:tab w:leader="none" w:pos="2800" w:val="left"/>
        </w:tabs>
        <w:numPr>
          <w:ilvl w:val="1"/>
          <w:numId w:val="65"/>
        </w:numPr>
        <w:rPr>
          <w:rFonts w:ascii="Arial" w:cs="Arial" w:eastAsia="Arial" w:hAnsi="Arial"/>
          <w:sz w:val="16"/>
          <w:szCs w:val="16"/>
          <w:color w:val="auto"/>
        </w:rPr>
      </w:pPr>
      <w:r>
        <w:rPr>
          <w:rFonts w:ascii="Arial" w:cs="Arial" w:eastAsia="Arial" w:hAnsi="Arial"/>
          <w:sz w:val="19"/>
          <w:szCs w:val="19"/>
          <w:color w:val="auto"/>
        </w:rPr>
        <w:t>adding the text “</w:t>
      </w:r>
      <w:r>
        <w:rPr>
          <w:rFonts w:ascii="Arial" w:cs="Arial" w:eastAsia="Arial" w:hAnsi="Arial"/>
          <w:sz w:val="19"/>
          <w:szCs w:val="19"/>
          <w:u w:val="single" w:color="auto"/>
          <w:color w:val="auto"/>
        </w:rPr>
        <w:t>10.2.1(b)(i)(E),</w:t>
      </w:r>
      <w:r>
        <w:rPr>
          <w:rFonts w:ascii="Arial" w:cs="Arial" w:eastAsia="Arial" w:hAnsi="Arial"/>
          <w:sz w:val="19"/>
          <w:szCs w:val="19"/>
          <w:color w:val="auto"/>
        </w:rPr>
        <w:t>” immediately following the reference to “</w:t>
      </w:r>
      <w:r>
        <w:rPr>
          <w:rFonts w:ascii="Arial" w:cs="Arial" w:eastAsia="Arial" w:hAnsi="Arial"/>
          <w:sz w:val="19"/>
          <w:szCs w:val="19"/>
          <w:u w:val="single" w:color="auto"/>
          <w:color w:val="auto"/>
        </w:rPr>
        <w:t>10.2.1(b)(i)(D),</w:t>
      </w:r>
      <w:r>
        <w:rPr>
          <w:rFonts w:ascii="Arial" w:cs="Arial" w:eastAsia="Arial" w:hAnsi="Arial"/>
          <w:sz w:val="19"/>
          <w:szCs w:val="19"/>
          <w:color w:val="auto"/>
        </w:rPr>
        <w:t>”</w:t>
      </w:r>
    </w:p>
    <w:p>
      <w:pPr>
        <w:spacing w:after="0" w:line="3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2"/>
          <w:szCs w:val="22"/>
          <w:color w:val="auto"/>
        </w:rPr>
        <w:t>therein.</w:t>
      </w:r>
    </w:p>
    <w:p>
      <w:pPr>
        <w:spacing w:after="0" w:line="17" w:lineRule="exact"/>
        <w:rPr>
          <w:rFonts w:ascii="Arial" w:cs="Arial" w:eastAsia="Arial" w:hAnsi="Arial"/>
          <w:sz w:val="16"/>
          <w:szCs w:val="16"/>
          <w:color w:val="auto"/>
        </w:rPr>
      </w:pPr>
    </w:p>
    <w:p>
      <w:pPr>
        <w:ind w:left="2160" w:hanging="867"/>
        <w:spacing w:after="0"/>
        <w:tabs>
          <w:tab w:leader="none" w:pos="216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Section 10.2.1(b)(i)</w:t>
      </w:r>
      <w:r>
        <w:rPr>
          <w:rFonts w:ascii="Arial" w:cs="Arial" w:eastAsia="Arial" w:hAnsi="Arial"/>
          <w:sz w:val="22"/>
          <w:szCs w:val="22"/>
          <w:color w:val="auto"/>
        </w:rPr>
        <w:t xml:space="preserve"> of the Existing ABL Credit Agreement is hereby amended by:</w:t>
      </w:r>
    </w:p>
    <w:p>
      <w:pPr>
        <w:sectPr>
          <w:pgSz w:w="11900" w:h="16838" w:orient="portrait"/>
          <w:cols w:equalWidth="0" w:num="1">
            <w:col w:w="10760"/>
          </w:cols>
          <w:pgMar w:left="900" w:top="591" w:right="239" w:bottom="1440" w:gutter="0" w:footer="0" w:header="0"/>
        </w:sectPr>
      </w:pPr>
    </w:p>
    <w:bookmarkStart w:id="93" w:name="page94"/>
    <w:bookmarkEnd w:id="93"/>
    <w:p>
      <w:pPr>
        <w:ind w:left="1960" w:right="240" w:firstLine="641"/>
        <w:spacing w:after="0" w:line="293" w:lineRule="auto"/>
        <w:tabs>
          <w:tab w:leader="none" w:pos="3426" w:val="left"/>
        </w:tabs>
        <w:numPr>
          <w:ilvl w:val="0"/>
          <w:numId w:val="66"/>
        </w:numPr>
        <w:rPr>
          <w:rFonts w:ascii="Arial" w:cs="Arial" w:eastAsia="Arial" w:hAnsi="Arial"/>
          <w:sz w:val="16"/>
          <w:szCs w:val="16"/>
          <w:color w:val="auto"/>
        </w:rPr>
      </w:pPr>
      <w:r>
        <w:rPr>
          <w:rFonts w:ascii="Arial" w:cs="Arial" w:eastAsia="Arial" w:hAnsi="Arial"/>
          <w:sz w:val="19"/>
          <w:szCs w:val="19"/>
          <w:color w:val="auto"/>
        </w:rPr>
        <w:t>removing the word “and” appearing immediately prior to the first reference to “(D)(x)” therein and replacing it with a comma, and adding the following text immediately after such reference: “so long as no Indebtedness has been incurred under the next succeeding clause (E), ”; and</w:t>
      </w:r>
    </w:p>
    <w:p>
      <w:pPr>
        <w:spacing w:after="0" w:line="1" w:lineRule="exact"/>
        <w:rPr>
          <w:rFonts w:ascii="Arial" w:cs="Arial" w:eastAsia="Arial" w:hAnsi="Arial"/>
          <w:sz w:val="16"/>
          <w:szCs w:val="16"/>
          <w:color w:val="auto"/>
        </w:rPr>
      </w:pPr>
    </w:p>
    <w:p>
      <w:pPr>
        <w:ind w:left="3460" w:hanging="859"/>
        <w:spacing w:after="0"/>
        <w:tabs>
          <w:tab w:leader="none" w:pos="3460" w:val="left"/>
        </w:tabs>
        <w:numPr>
          <w:ilvl w:val="0"/>
          <w:numId w:val="66"/>
        </w:numPr>
        <w:rPr>
          <w:rFonts w:ascii="Arial" w:cs="Arial" w:eastAsia="Arial" w:hAnsi="Arial"/>
          <w:sz w:val="17"/>
          <w:szCs w:val="17"/>
          <w:color w:val="auto"/>
        </w:rPr>
      </w:pPr>
      <w:r>
        <w:rPr>
          <w:rFonts w:ascii="Arial" w:cs="Arial" w:eastAsia="Arial" w:hAnsi="Arial"/>
          <w:sz w:val="21"/>
          <w:szCs w:val="21"/>
          <w:color w:val="auto"/>
        </w:rPr>
        <w:t xml:space="preserve">adding the following text (and new clause (E)) to the end of such </w:t>
      </w:r>
      <w:r>
        <w:rPr>
          <w:rFonts w:ascii="Arial" w:cs="Arial" w:eastAsia="Arial" w:hAnsi="Arial"/>
          <w:sz w:val="21"/>
          <w:szCs w:val="21"/>
          <w:u w:val="single" w:color="auto"/>
          <w:color w:val="auto"/>
        </w:rPr>
        <w:t>Section 10.2.1(b)(i)</w:t>
      </w:r>
      <w:r>
        <w:rPr>
          <w:rFonts w:ascii="Arial" w:cs="Arial" w:eastAsia="Arial" w:hAnsi="Arial"/>
          <w:sz w:val="21"/>
          <w:szCs w:val="21"/>
          <w:color w:val="auto"/>
        </w:rPr>
        <w:t>:</w:t>
      </w:r>
    </w:p>
    <w:p>
      <w:pPr>
        <w:spacing w:after="0" w:line="15" w:lineRule="exact"/>
        <w:rPr>
          <w:sz w:val="20"/>
          <w:szCs w:val="20"/>
          <w:color w:val="auto"/>
        </w:rPr>
      </w:pPr>
    </w:p>
    <w:p>
      <w:pPr>
        <w:jc w:val="both"/>
        <w:ind w:left="1960" w:firstLine="648"/>
        <w:spacing w:after="0" w:line="257" w:lineRule="auto"/>
        <w:rPr>
          <w:sz w:val="20"/>
          <w:szCs w:val="20"/>
          <w:color w:val="auto"/>
        </w:rPr>
      </w:pPr>
      <w:r>
        <w:rPr>
          <w:rFonts w:ascii="Arial" w:cs="Arial" w:eastAsia="Arial" w:hAnsi="Arial"/>
          <w:sz w:val="21"/>
          <w:szCs w:val="21"/>
          <w:color w:val="auto"/>
        </w:rPr>
        <w:t xml:space="preserve">“and (E) (x) so long as no Indebtedness has been incurred under the foregoing clause (D), Indebtedness arising under the 2018 Unsecured Facility in an aggregate principal amount with respect to this clause (E)(x) at any time outstanding not to exceed $300,000,000 (or such lesser amount actually incurred or issued, as the case may be, on the Second Amendment Effective Date or prior thereto pursuant to escrow arrangements) (plus the amount of any accrued but unpaid interest in respect thereof which is payable in kind in accordance with the terms of such facility) and (y) any Refinancing Indebtedness with respect thereto;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incurrence of any such Refinancing Indebtedness shall not be deemed to have refreshed</w:t>
      </w:r>
      <w:r>
        <w:rPr>
          <w:rFonts w:ascii="Arial" w:cs="Arial" w:eastAsia="Arial" w:hAnsi="Arial"/>
          <w:sz w:val="21"/>
          <w:szCs w:val="21"/>
          <w:i w:val="1"/>
          <w:iCs w:val="1"/>
          <w:color w:val="auto"/>
        </w:rPr>
        <w:t xml:space="preserve"> </w:t>
      </w:r>
      <w:r>
        <w:rPr>
          <w:rFonts w:ascii="Arial" w:cs="Arial" w:eastAsia="Arial" w:hAnsi="Arial"/>
          <w:sz w:val="21"/>
          <w:szCs w:val="21"/>
          <w:color w:val="auto"/>
        </w:rPr>
        <w:t>capacity under the foregoing clause (i)(E)(x), so long as, in each case with respect to this clause (E), the guarantee of the Unit Subsidiary thereof is subordinated on the terms substantially similar to those provided in the applicable 2018 Unsecured Facility Documents as in effect on the Second Amendment Effective Date;”.</w:t>
      </w:r>
    </w:p>
    <w:p>
      <w:pPr>
        <w:spacing w:after="0" w:line="190" w:lineRule="exact"/>
        <w:rPr>
          <w:sz w:val="20"/>
          <w:szCs w:val="20"/>
          <w:color w:val="auto"/>
        </w:rPr>
      </w:pPr>
    </w:p>
    <w:p>
      <w:pPr>
        <w:jc w:val="both"/>
        <w:ind w:left="660" w:firstLine="1293"/>
        <w:spacing w:after="0" w:line="260" w:lineRule="auto"/>
        <w:tabs>
          <w:tab w:leader="none" w:pos="2775"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Section 10.2.7(b)</w:t>
      </w:r>
      <w:r>
        <w:rPr>
          <w:rFonts w:ascii="Arial" w:cs="Arial" w:eastAsia="Arial" w:hAnsi="Arial"/>
          <w:sz w:val="22"/>
          <w:szCs w:val="22"/>
          <w:color w:val="auto"/>
        </w:rPr>
        <w:t xml:space="preserve"> of the Existing ABL Credit Agreement is hereby amended by adding the text “, any of the 2018 Unsecured Facility Documents” to such clause immediately following the reference to “any of the Senior Unsecured Bridge Documents” therein.</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Conditions to Effectiveness of Amendment</w:t>
      </w:r>
      <w:r>
        <w:rPr>
          <w:rFonts w:ascii="Arial" w:cs="Arial" w:eastAsia="Arial" w:hAnsi="Arial"/>
          <w:sz w:val="19"/>
          <w:szCs w:val="19"/>
          <w:color w:val="auto"/>
        </w:rPr>
        <w:t>.</w:t>
      </w:r>
    </w:p>
    <w:p>
      <w:pPr>
        <w:spacing w:after="0" w:line="26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effectiveness of this Amendment is subject to satisfaction of the following conditions precedent (the date of such satisfaction being the “</w:t>
      </w:r>
      <w:r>
        <w:rPr>
          <w:rFonts w:ascii="Arial" w:cs="Arial" w:eastAsia="Arial" w:hAnsi="Arial"/>
          <w:sz w:val="22"/>
          <w:szCs w:val="22"/>
          <w:b w:val="1"/>
          <w:bCs w:val="1"/>
          <w:color w:val="auto"/>
        </w:rPr>
        <w:t>Second Amendment Effective Date</w:t>
      </w:r>
      <w:r>
        <w:rPr>
          <w:rFonts w:ascii="Arial" w:cs="Arial" w:eastAsia="Arial" w:hAnsi="Arial"/>
          <w:sz w:val="22"/>
          <w:szCs w:val="22"/>
          <w:color w:val="auto"/>
        </w:rPr>
        <w:t>”):</w:t>
      </w:r>
    </w:p>
    <w:p>
      <w:pPr>
        <w:spacing w:after="0" w:line="175" w:lineRule="exact"/>
        <w:rPr>
          <w:sz w:val="20"/>
          <w:szCs w:val="20"/>
          <w:color w:val="auto"/>
        </w:rPr>
      </w:pPr>
    </w:p>
    <w:p>
      <w:pPr>
        <w:ind w:left="660" w:firstLine="1293"/>
        <w:spacing w:after="0" w:line="251" w:lineRule="auto"/>
        <w:tabs>
          <w:tab w:leader="none" w:pos="2453"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Executed Counterparts</w:t>
      </w:r>
      <w:r>
        <w:rPr>
          <w:rFonts w:ascii="Arial" w:cs="Arial" w:eastAsia="Arial" w:hAnsi="Arial"/>
          <w:sz w:val="22"/>
          <w:szCs w:val="22"/>
          <w:color w:val="auto"/>
        </w:rPr>
        <w:t>. The Agent shall have received duly executed counterparts of this Amendment from the Borrowers, Holdings, each other Loan Party and the Required Lenders.</w:t>
      </w:r>
    </w:p>
    <w:p>
      <w:pPr>
        <w:spacing w:after="0" w:line="2" w:lineRule="exact"/>
        <w:rPr>
          <w:rFonts w:ascii="Arial" w:cs="Arial" w:eastAsia="Arial" w:hAnsi="Arial"/>
          <w:sz w:val="22"/>
          <w:szCs w:val="22"/>
          <w:color w:val="auto"/>
        </w:rPr>
      </w:pPr>
    </w:p>
    <w:p>
      <w:pPr>
        <w:ind w:left="660" w:firstLine="1293"/>
        <w:spacing w:after="0" w:line="243" w:lineRule="auto"/>
        <w:tabs>
          <w:tab w:leader="none" w:pos="266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ModSpace Acquisition</w:t>
      </w:r>
      <w:r>
        <w:rPr>
          <w:rFonts w:ascii="Arial" w:cs="Arial" w:eastAsia="Arial" w:hAnsi="Arial"/>
          <w:sz w:val="22"/>
          <w:szCs w:val="22"/>
          <w:color w:val="auto"/>
        </w:rPr>
        <w:t>. The ModSpace Acquisition shall have been consummated or shall be consummated substantially concurrently with the effectiveness of this Amendment.</w:t>
      </w:r>
    </w:p>
    <w:p>
      <w:pPr>
        <w:ind w:left="2400" w:hanging="447"/>
        <w:spacing w:after="0"/>
        <w:tabs>
          <w:tab w:leader="none" w:pos="24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The First Amendment Effective Date shall have occurred.</w:t>
      </w:r>
    </w:p>
    <w:p>
      <w:pPr>
        <w:spacing w:after="0" w:line="3" w:lineRule="exact"/>
        <w:rPr>
          <w:rFonts w:ascii="Arial" w:cs="Arial" w:eastAsia="Arial" w:hAnsi="Arial"/>
          <w:sz w:val="22"/>
          <w:szCs w:val="22"/>
          <w:color w:val="auto"/>
        </w:rPr>
      </w:pPr>
    </w:p>
    <w:p>
      <w:pPr>
        <w:jc w:val="both"/>
        <w:ind w:left="660" w:firstLine="1293"/>
        <w:spacing w:after="0" w:line="287" w:lineRule="auto"/>
        <w:tabs>
          <w:tab w:leader="none" w:pos="246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Equity Offering; 2018 Unsecured Facility</w:t>
      </w:r>
      <w:r>
        <w:rPr>
          <w:rFonts w:ascii="Arial" w:cs="Arial" w:eastAsia="Arial" w:hAnsi="Arial"/>
          <w:sz w:val="19"/>
          <w:szCs w:val="19"/>
          <w:color w:val="auto"/>
        </w:rPr>
        <w:t>. On or prior to August 3, 2018, (i) (x) the Parent shall have issued equity securities yielding at least $100,000,000 in gross cash proceeds which are to be used to fund the ModSpace Transactions and (y) the Administrative Borrower (or one of its wholly owned subsidiaries) shall have issued or incurred Indebtedness under the 2018 Unsecured Facility and the proceeds of the 2018 Unsecured Facility shall have been funded into escrow for purposes of consummating the ModSpace Acquisition pursuant to customary arrangements reasonably satisfactory to the Lenders party hereto or (ii) the Administrative Borrower (or one of its wholly owned subsidiaries) shall have issued or incurred Indebtedness under the 2018 Unsecured Facility yielding, together with any gross cash proceeds yielded by an offering of equity securities by the Parent which are to be used to fund the ModSpace Transactions, at least $300,000,000 in gross cash proceeds, and the proceeds from the 2018 Unsecured Facility shall have been funded into an</w:t>
      </w:r>
    </w:p>
    <w:p>
      <w:pPr>
        <w:sectPr>
          <w:pgSz w:w="11900" w:h="16838" w:orient="portrait"/>
          <w:cols w:equalWidth="0" w:num="1">
            <w:col w:w="11420"/>
          </w:cols>
          <w:pgMar w:left="240" w:top="591" w:right="239" w:bottom="1440" w:gutter="0" w:footer="0" w:header="0"/>
        </w:sectPr>
      </w:pPr>
    </w:p>
    <w:bookmarkStart w:id="94" w:name="page95"/>
    <w:bookmarkEnd w:id="94"/>
    <w:p>
      <w:pPr>
        <w:ind w:left="660"/>
        <w:spacing w:after="0" w:line="263" w:lineRule="auto"/>
        <w:rPr>
          <w:sz w:val="20"/>
          <w:szCs w:val="20"/>
          <w:color w:val="auto"/>
        </w:rPr>
      </w:pPr>
      <w:r>
        <w:rPr>
          <w:rFonts w:ascii="Arial" w:cs="Arial" w:eastAsia="Arial" w:hAnsi="Arial"/>
          <w:sz w:val="22"/>
          <w:szCs w:val="22"/>
          <w:color w:val="auto"/>
        </w:rPr>
        <w:t>escrow account for purposes of consummating the ModSpace Acquisition pursuant to customary arrangements reasonably satisfactory to the Lenders party hereto.</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u w:val="single" w:color="auto"/>
          <w:color w:val="auto"/>
        </w:rPr>
        <w:t>Section 4. Representations and Warranties</w:t>
      </w:r>
      <w:r>
        <w:rPr>
          <w:rFonts w:ascii="Arial" w:cs="Arial" w:eastAsia="Arial" w:hAnsi="Arial"/>
          <w:sz w:val="19"/>
          <w:szCs w:val="19"/>
          <w:color w:val="auto"/>
        </w:rPr>
        <w:t xml:space="preserve">. In order to induce the Agent and the Lenders party hereto to enter into this Amendment, each Loan Party hereby represents and warrants, on and as of the Second Amendment Effective Date, that the representations and warranties (giving effect, for the avoidance of doubt, to the inclusion of this Amendment as a Loan Document pursuant to the amendment of the Existing ABL Credit Agreement contemplated by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of this Amendment) of each Loan Party in the Loan Documents are true and correct in all material respects as of the Second Amendment Effective Date (it being understood and agreed that any representation or warranty which by its terms is made as of a specified date shall be required to be true and correct in all material respects only as of such specified date, and any representation or warranty qualified by materiality, material adverse effect or similar language shall be true and correct in all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representations and warranties shall not be a condition precedent to the effectiveness of this Amendment.</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Effect on the Loan Documents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0" w:lineRule="auto"/>
        <w:tabs>
          <w:tab w:leader="none" w:pos="1827" w:val="left"/>
        </w:tabs>
        <w:numPr>
          <w:ilvl w:val="0"/>
          <w:numId w:val="69"/>
        </w:numPr>
        <w:rPr>
          <w:rFonts w:ascii="Arial" w:cs="Arial" w:eastAsia="Arial" w:hAnsi="Arial"/>
          <w:sz w:val="22"/>
          <w:szCs w:val="22"/>
          <w:color w:val="auto"/>
        </w:rPr>
      </w:pPr>
      <w:r>
        <w:rPr>
          <w:rFonts w:ascii="Arial" w:cs="Arial" w:eastAsia="Arial" w:hAnsi="Arial"/>
          <w:sz w:val="22"/>
          <w:szCs w:val="22"/>
          <w:color w:val="auto"/>
        </w:rPr>
        <w:t>As of the Second Amendment Effective Date, each reference in the Amended ABL Credit Agreement to “</w:t>
      </w:r>
      <w:r>
        <w:rPr>
          <w:rFonts w:ascii="Arial" w:cs="Arial" w:eastAsia="Arial" w:hAnsi="Arial"/>
          <w:sz w:val="22"/>
          <w:szCs w:val="22"/>
          <w:i w:val="1"/>
          <w:iCs w:val="1"/>
          <w:color w:val="auto"/>
        </w:rPr>
        <w:t>this</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w:t>
      </w:r>
      <w:r>
        <w:rPr>
          <w:rFonts w:ascii="Arial" w:cs="Arial" w:eastAsia="Arial" w:hAnsi="Arial"/>
          <w:sz w:val="22"/>
          <w:szCs w:val="22"/>
          <w:i w:val="1"/>
          <w:iCs w:val="1"/>
          <w:color w:val="auto"/>
        </w:rPr>
        <w:t>hereunder</w:t>
      </w:r>
      <w:r>
        <w:rPr>
          <w:rFonts w:ascii="Arial" w:cs="Arial" w:eastAsia="Arial" w:hAnsi="Arial"/>
          <w:sz w:val="22"/>
          <w:szCs w:val="22"/>
          <w:color w:val="auto"/>
        </w:rPr>
        <w:t>,” “</w:t>
      </w:r>
      <w:r>
        <w:rPr>
          <w:rFonts w:ascii="Arial" w:cs="Arial" w:eastAsia="Arial" w:hAnsi="Arial"/>
          <w:sz w:val="22"/>
          <w:szCs w:val="22"/>
          <w:i w:val="1"/>
          <w:iCs w:val="1"/>
          <w:color w:val="auto"/>
        </w:rPr>
        <w:t>hereof</w:t>
      </w:r>
      <w:r>
        <w:rPr>
          <w:rFonts w:ascii="Arial" w:cs="Arial" w:eastAsia="Arial" w:hAnsi="Arial"/>
          <w:sz w:val="22"/>
          <w:szCs w:val="22"/>
          <w:color w:val="auto"/>
        </w:rPr>
        <w:t>,” “</w:t>
      </w:r>
      <w:r>
        <w:rPr>
          <w:rFonts w:ascii="Arial" w:cs="Arial" w:eastAsia="Arial" w:hAnsi="Arial"/>
          <w:sz w:val="22"/>
          <w:szCs w:val="22"/>
          <w:i w:val="1"/>
          <w:iCs w:val="1"/>
          <w:color w:val="auto"/>
        </w:rPr>
        <w:t>herein</w:t>
      </w:r>
      <w:r>
        <w:rPr>
          <w:rFonts w:ascii="Arial" w:cs="Arial" w:eastAsia="Arial" w:hAnsi="Arial"/>
          <w:sz w:val="22"/>
          <w:szCs w:val="22"/>
          <w:color w:val="auto"/>
        </w:rPr>
        <w:t>,” or words of like import, and each reference in the other Loan Documents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“Credit Agreement” (including, without limitation, by means of words like “</w:t>
      </w:r>
      <w:r>
        <w:rPr>
          <w:rFonts w:ascii="Arial" w:cs="Arial" w:eastAsia="Arial" w:hAnsi="Arial"/>
          <w:sz w:val="22"/>
          <w:szCs w:val="22"/>
          <w:i w:val="1"/>
          <w:iCs w:val="1"/>
          <w:color w:val="auto"/>
        </w:rPr>
        <w:t>thereunder</w:t>
      </w:r>
      <w:r>
        <w:rPr>
          <w:rFonts w:ascii="Arial" w:cs="Arial" w:eastAsia="Arial" w:hAnsi="Arial"/>
          <w:sz w:val="22"/>
          <w:szCs w:val="22"/>
          <w:color w:val="auto"/>
        </w:rPr>
        <w:t>”, “</w:t>
      </w:r>
      <w:r>
        <w:rPr>
          <w:rFonts w:ascii="Arial" w:cs="Arial" w:eastAsia="Arial" w:hAnsi="Arial"/>
          <w:sz w:val="22"/>
          <w:szCs w:val="22"/>
          <w:i w:val="1"/>
          <w:iCs w:val="1"/>
          <w:color w:val="auto"/>
        </w:rPr>
        <w:t>thereof</w:t>
      </w:r>
      <w:r>
        <w:rPr>
          <w:rFonts w:ascii="Arial" w:cs="Arial" w:eastAsia="Arial" w:hAnsi="Arial"/>
          <w:sz w:val="22"/>
          <w:szCs w:val="22"/>
          <w:color w:val="auto"/>
        </w:rPr>
        <w:t>” and words of like import), shall mean and be a reference to the Amended ABL Credit Agreement.</w:t>
      </w:r>
    </w:p>
    <w:p>
      <w:pPr>
        <w:spacing w:after="0" w:line="228" w:lineRule="exact"/>
        <w:rPr>
          <w:rFonts w:ascii="Arial" w:cs="Arial" w:eastAsia="Arial" w:hAnsi="Arial"/>
          <w:sz w:val="22"/>
          <w:szCs w:val="22"/>
          <w:color w:val="auto"/>
        </w:rPr>
      </w:pPr>
    </w:p>
    <w:p>
      <w:pPr>
        <w:ind w:firstLine="1305"/>
        <w:spacing w:after="0" w:line="263" w:lineRule="auto"/>
        <w:tabs>
          <w:tab w:leader="none" w:pos="1822" w:val="left"/>
        </w:tabs>
        <w:numPr>
          <w:ilvl w:val="0"/>
          <w:numId w:val="69"/>
        </w:numPr>
        <w:rPr>
          <w:rFonts w:ascii="Arial" w:cs="Arial" w:eastAsia="Arial" w:hAnsi="Arial"/>
          <w:sz w:val="22"/>
          <w:szCs w:val="22"/>
          <w:color w:val="auto"/>
        </w:rPr>
      </w:pPr>
      <w:r>
        <w:rPr>
          <w:rFonts w:ascii="Arial" w:cs="Arial" w:eastAsia="Arial" w:hAnsi="Arial"/>
          <w:sz w:val="22"/>
          <w:szCs w:val="22"/>
          <w:color w:val="auto"/>
        </w:rPr>
        <w:t>Except as specifically amended herein, all Loan Documents shall continue to be in full force and effect and are hereby in all respects ratified and confirmed.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822"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Amendment shall not operate as a waiver of any right, power or remedy of any Lender or the Agent under any of the Loan Documents, nor constitute a waiver of any provision of the Loan Documents, except as expressly contemplated hereby.</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1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Administrative Borrower and the other parties hereto acknowledge and agree that, on and after the Second Amendment Effective Date, this Amendment shall constitute a Loan Document for all purposes of the Amended ABL Credit Agreement.</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Section 6. Non-Reliance on Agent</w:t>
      </w:r>
      <w:r>
        <w:rPr>
          <w:rFonts w:ascii="Arial" w:cs="Arial" w:eastAsia="Arial" w:hAnsi="Arial"/>
          <w:sz w:val="19"/>
          <w:szCs w:val="19"/>
          <w:color w:val="auto"/>
        </w:rPr>
        <w:t>. Each Lender acknowledges that it has, independently and without reliance upon the Agent or any other Lender, and based on such documents and information as it has deemed appropriate, made its own credit analysis and decision to enter into this Amendment. Each Lender party hereto also acknowledges that it will, without reliance upon the Agent or any other Lender, and based on such documents and information as it shall from time to time deem appropriate, continue to make its own credit decisions in taking or not taking action under or based upon this Amendment, the Amended ABL Credit Agreement, any other Loan Document, any related agreement or any document furnished hereunder or thereunder.</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Section 7. Reaffirmation</w:t>
      </w:r>
      <w:r>
        <w:rPr>
          <w:rFonts w:ascii="Arial" w:cs="Arial" w:eastAsia="Arial" w:hAnsi="Arial"/>
          <w:sz w:val="19"/>
          <w:szCs w:val="19"/>
          <w:color w:val="auto"/>
        </w:rPr>
        <w:t>. Subject to any limitations on its obligations expressly stated in the Loan Documents to which it is a party, Holdings, each Borrower and each other Loan Party, as of the Second Amendment Effective Date, (i) acknowledges and agrees that all of its obligations under its Guarantee as set out in the Amended ABL Credit Agreement are reaffirmed and remain in full force and effect on a continuous basis as and to the extent provided in the Loan Documents, (ii) reaffirms each Lien granted by such Loan Party to the Agent for the benefit of the Secured Parties and (iii) acknowledges and agrees that any grants</w:t>
      </w:r>
    </w:p>
    <w:p>
      <w:pPr>
        <w:sectPr>
          <w:pgSz w:w="11900" w:h="16838" w:orient="portrait"/>
          <w:cols w:equalWidth="0" w:num="1">
            <w:col w:w="11420"/>
          </w:cols>
          <w:pgMar w:left="240" w:top="591" w:right="23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22"/>
          <w:szCs w:val="22"/>
          <w:color w:val="auto"/>
        </w:rPr>
        <w:t>of security interests by such Loan Party pursuant to the Security Documents, and the Guarantee provided by such Loan Party in the Amended ABL Credit Agreement, are, and shall remain, in full force and effect after giving effect to this Amendment as and to the extent provided in the Loan Documents. Nothing contained in this Amendment shall be construed as substitution or novation of the obligations outstanding under the Existing ABL Credit Agreement or the other Loan Documents, which shall remain in full force and effect, except to any extent modified hereby.</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AND ANY DISPUTE, CLAIM OR CONTROVERSY ARISING</w:t>
      </w:r>
      <w:r>
        <w:rPr>
          <w:rFonts w:ascii="Arial" w:cs="Arial" w:eastAsia="Arial" w:hAnsi="Arial"/>
          <w:sz w:val="22"/>
          <w:szCs w:val="22"/>
          <w:color w:val="auto"/>
        </w:rPr>
        <w:t xml:space="preserve"> </w:t>
      </w:r>
      <w:r>
        <w:rPr>
          <w:rFonts w:ascii="Arial" w:cs="Arial" w:eastAsia="Arial" w:hAnsi="Arial"/>
          <w:sz w:val="22"/>
          <w:szCs w:val="22"/>
          <w:b w:val="1"/>
          <w:bCs w:val="1"/>
          <w:color w:val="auto"/>
        </w:rPr>
        <w:t>OUT OF OR RELATING TO THIS AMENDMENT (WHETHER ARISING IN CONTRACT, TORT OR OTHERWISE) SHALL BE GOVERNED BY, AND CONSTRUED AND INTERPRETED IN ACCORDANCE WITH, THE LAW OF THE STATE OF NEW YORK.</w:t>
      </w:r>
    </w:p>
    <w:p>
      <w:pPr>
        <w:spacing w:after="0" w:line="227"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Section 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2" w:lineRule="exact"/>
        <w:rPr>
          <w:sz w:val="20"/>
          <w:szCs w:val="20"/>
          <w:color w:val="auto"/>
        </w:rPr>
      </w:pPr>
    </w:p>
    <w:p>
      <w:pPr>
        <w:ind w:left="1600" w:hanging="295"/>
        <w:spacing w:after="0"/>
        <w:tabs>
          <w:tab w:leader="none" w:pos="16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This Amendment is binding and enforceable as of the date hereof against each party hereto and its successors and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assigns.</w:t>
      </w:r>
    </w:p>
    <w:p>
      <w:pPr>
        <w:spacing w:after="0" w:line="242" w:lineRule="exact"/>
        <w:rPr>
          <w:rFonts w:ascii="Arial" w:cs="Arial" w:eastAsia="Arial" w:hAnsi="Arial"/>
          <w:sz w:val="19"/>
          <w:szCs w:val="19"/>
          <w:color w:val="auto"/>
        </w:rPr>
      </w:pPr>
    </w:p>
    <w:p>
      <w:pPr>
        <w:ind w:right="20" w:firstLine="1305"/>
        <w:spacing w:after="0" w:line="263" w:lineRule="auto"/>
        <w:tabs>
          <w:tab w:leader="none" w:pos="16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headings used in this Agreement are for convenience of reference only and are not to affect the construction hereof or be taken into consideration in the interpretation hereof.</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61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agrees that </w:t>
      </w:r>
      <w:r>
        <w:rPr>
          <w:rFonts w:ascii="Arial" w:cs="Arial" w:eastAsia="Arial" w:hAnsi="Arial"/>
          <w:sz w:val="22"/>
          <w:szCs w:val="22"/>
          <w:u w:val="single" w:color="auto"/>
          <w:color w:val="auto"/>
        </w:rPr>
        <w:t>Sections 14.6</w:t>
      </w:r>
      <w:r>
        <w:rPr>
          <w:rFonts w:ascii="Arial" w:cs="Arial" w:eastAsia="Arial" w:hAnsi="Arial"/>
          <w:sz w:val="22"/>
          <w:szCs w:val="22"/>
          <w:color w:val="auto"/>
        </w:rPr>
        <w:t xml:space="preserve">, </w:t>
      </w:r>
      <w:r>
        <w:rPr>
          <w:rFonts w:ascii="Arial" w:cs="Arial" w:eastAsia="Arial" w:hAnsi="Arial"/>
          <w:sz w:val="22"/>
          <w:szCs w:val="22"/>
          <w:u w:val="single" w:color="auto"/>
          <w:color w:val="auto"/>
        </w:rPr>
        <w:t>14.8</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14.14</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14.16</w:t>
      </w:r>
      <w:r>
        <w:rPr>
          <w:rFonts w:ascii="Arial" w:cs="Arial" w:eastAsia="Arial" w:hAnsi="Arial"/>
          <w:sz w:val="22"/>
          <w:szCs w:val="22"/>
          <w:color w:val="auto"/>
        </w:rPr>
        <w:t xml:space="preserve"> of the Existing ABL Credit Agreement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 and shall have the same force and effect with respect to this Amendment as if originally set forth herein.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420"/>
          </w:cols>
          <w:pgMar w:left="240" w:top="591" w:right="239" w:bottom="1440" w:gutter="0" w:footer="0" w:header="0"/>
        </w:sectPr>
      </w:pPr>
    </w:p>
    <w:bookmarkStart w:id="96" w:name="page97"/>
    <w:bookmarkEnd w:id="96"/>
    <w:p>
      <w:pPr>
        <w:ind w:firstLine="1297"/>
        <w:spacing w:after="0" w:line="350"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Amendment to be duly executed and delivered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proper and duly authorized officers or representatives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HOLDINGS CORP., as</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Holdings and a Guarantor</w:t>
      </w:r>
    </w:p>
    <w:p>
      <w:pPr>
        <w:spacing w:after="0" w:line="35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INTERNATIONAL, INC., as</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 U.S. Borrower and a Guarantor</w:t>
      </w:r>
    </w:p>
    <w:p>
      <w:pPr>
        <w:spacing w:after="0" w:line="35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WILLIAMS SCOTSMAN, INC., as a U.S. Borrower and</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 Guarantor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WILLSCOT EQUIPMENT II, LLC, as a U.S. Borrower</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and a Guarantor</w:t>
      </w:r>
    </w:p>
    <w:p>
      <w:pPr>
        <w:spacing w:after="0" w:line="200" w:lineRule="exact"/>
        <w:rPr>
          <w:sz w:val="20"/>
          <w:szCs w:val="20"/>
          <w:color w:val="auto"/>
        </w:rPr>
      </w:pPr>
    </w:p>
    <w:p>
      <w:pPr>
        <w:spacing w:after="0" w:line="3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ACTON MOBILE HOLDINGS, LLC, as a U.S. Borrower</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and a Guarantor</w:t>
      </w:r>
    </w:p>
    <w:p>
      <w:pPr>
        <w:spacing w:after="0" w:line="200" w:lineRule="exact"/>
        <w:rPr>
          <w:sz w:val="20"/>
          <w:szCs w:val="20"/>
          <w:color w:val="auto"/>
        </w:rPr>
      </w:pPr>
    </w:p>
    <w:p>
      <w:pPr>
        <w:spacing w:after="0" w:line="3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24765</wp:posOffset>
            </wp:positionV>
            <wp:extent cx="3009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Name:______________________________________</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Title:_______________________________________</w:t>
      </w:r>
    </w:p>
    <w:p>
      <w:pPr>
        <w:sectPr>
          <w:pgSz w:w="11900" w:h="16838" w:orient="portrait"/>
          <w:cols w:equalWidth="0" w:num="1">
            <w:col w:w="11180"/>
          </w:cols>
          <w:pgMar w:left="240" w:top="585"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11180"/>
          </w:cols>
          <w:pgMar w:left="240" w:top="585" w:right="479" w:bottom="0" w:gutter="0" w:footer="0" w:header="0"/>
          <w:type w:val="continuous"/>
        </w:sectPr>
      </w:pPr>
    </w:p>
    <w:bookmarkStart w:id="97" w:name="page98"/>
    <w:bookmarkEnd w:id="9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ind w:left="3920"/>
        <w:spacing w:after="0"/>
        <w:rPr>
          <w:sz w:val="20"/>
          <w:szCs w:val="20"/>
          <w:color w:val="auto"/>
        </w:rPr>
      </w:pPr>
      <w:r>
        <w:rPr>
          <w:rFonts w:ascii="Arial" w:cs="Arial" w:eastAsia="Arial" w:hAnsi="Arial"/>
          <w:sz w:val="21"/>
          <w:szCs w:val="21"/>
          <w:color w:val="auto"/>
        </w:rPr>
        <w:t>NEW ACTION MOBILE INDUSTRIES LLC, as a U.S.</w:t>
      </w:r>
    </w:p>
    <w:p>
      <w:pPr>
        <w:spacing w:after="0" w:line="2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Borrower and a Guarantor</w:t>
      </w: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ONSITE SPACE LLC, as a U.S. Borrower and a</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Guarantor</w:t>
      </w: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WILLIAMS SCOTSMAN OF CANADA, INC., as</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Canadian Borrower and a Guarantor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24765</wp:posOffset>
            </wp:positionV>
            <wp:extent cx="30099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019"/>
          </w:cols>
          <w:pgMar w:left="1440" w:top="1171" w:right="1440"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019"/>
          </w:cols>
          <w:pgMar w:left="1440" w:top="1171" w:right="1440" w:bottom="1095" w:gutter="0" w:footer="0" w:header="0"/>
          <w:type w:val="continuous"/>
        </w:sectPr>
      </w:pPr>
    </w:p>
    <w:bookmarkStart w:id="99" w:name="page100"/>
    <w:bookmarkEnd w:id="99"/>
    <w:p>
      <w:pPr>
        <w:ind w:left="4140"/>
        <w:spacing w:after="0"/>
        <w:rPr>
          <w:sz w:val="20"/>
          <w:szCs w:val="20"/>
          <w:color w:val="auto"/>
        </w:rPr>
      </w:pPr>
      <w:r>
        <w:rPr>
          <w:rFonts w:ascii="Arial" w:cs="Arial" w:eastAsia="Arial" w:hAnsi="Arial"/>
          <w:sz w:val="22"/>
          <w:szCs w:val="22"/>
          <w:b w:val="1"/>
          <w:bCs w:val="1"/>
          <w:u w:val="single" w:color="auto"/>
          <w:color w:val="auto"/>
        </w:rPr>
        <w:t>AGENTS AND LENDERS</w:t>
      </w:r>
    </w:p>
    <w:p>
      <w:pPr>
        <w:spacing w:after="0" w:line="26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Agent and a U.S.</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Revolver Lender</w:t>
      </w:r>
    </w:p>
    <w:p>
      <w:pPr>
        <w:spacing w:after="0" w:line="3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116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1165" w:right="1259" w:bottom="1440" w:gutter="0" w:footer="0" w:header="0"/>
          <w:type w:val="continuous"/>
        </w:sectPr>
      </w:pPr>
    </w:p>
    <w:bookmarkStart w:id="100" w:name="page101"/>
    <w:bookmarkEnd w:id="100"/>
    <w:p>
      <w:pPr>
        <w:ind w:left="4140" w:right="100"/>
        <w:spacing w:after="0" w:line="256" w:lineRule="auto"/>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(acting through its Canada</w:t>
      </w:r>
      <w:r>
        <w:rPr>
          <w:rFonts w:ascii="Arial" w:cs="Arial" w:eastAsia="Arial" w:hAnsi="Arial"/>
          <w:sz w:val="22"/>
          <w:szCs w:val="22"/>
          <w:b w:val="1"/>
          <w:bCs w:val="1"/>
          <w:color w:val="auto"/>
        </w:rPr>
        <w:t xml:space="preserve"> </w:t>
      </w:r>
      <w:r>
        <w:rPr>
          <w:rFonts w:ascii="Arial" w:cs="Arial" w:eastAsia="Arial" w:hAnsi="Arial"/>
          <w:sz w:val="22"/>
          <w:szCs w:val="22"/>
          <w:color w:val="auto"/>
        </w:rPr>
        <w:t>branch), as a Canadian Revolver 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1" w:name="page102"/>
    <w:bookmarkEnd w:id="101"/>
    <w:p>
      <w:pPr>
        <w:ind w:left="4140" w:right="100"/>
        <w:spacing w:after="0" w:line="256" w:lineRule="auto"/>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U.S. Revolver 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2" w:name="page103"/>
    <w:bookmarkEnd w:id="102"/>
    <w:p>
      <w:pPr>
        <w:ind w:left="4140" w:right="340"/>
        <w:spacing w:after="0" w:line="256" w:lineRule="auto"/>
        <w:rPr>
          <w:sz w:val="20"/>
          <w:szCs w:val="20"/>
          <w:color w:val="auto"/>
        </w:rPr>
      </w:pPr>
      <w:r>
        <w:rPr>
          <w:rFonts w:ascii="Arial" w:cs="Arial" w:eastAsia="Arial" w:hAnsi="Arial"/>
          <w:sz w:val="22"/>
          <w:szCs w:val="22"/>
          <w:b w:val="1"/>
          <w:bCs w:val="1"/>
          <w:color w:val="auto"/>
        </w:rPr>
        <w:t>DEUTSCHE BANK AG, CANADA BRANCH</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Canadian Revolver 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3" w:name="page104"/>
    <w:bookmarkEnd w:id="103"/>
    <w:p>
      <w:pPr>
        <w:ind w:left="4140" w:right="60"/>
        <w:spacing w:after="0" w:line="256" w:lineRule="auto"/>
        <w:rPr>
          <w:sz w:val="20"/>
          <w:szCs w:val="20"/>
          <w:color w:val="auto"/>
        </w:rPr>
      </w:pPr>
      <w:r>
        <w:rPr>
          <w:rFonts w:ascii="Arial" w:cs="Arial" w:eastAsia="Arial" w:hAnsi="Arial"/>
          <w:sz w:val="22"/>
          <w:szCs w:val="22"/>
          <w:b w:val="1"/>
          <w:bCs w:val="1"/>
          <w:color w:val="auto"/>
        </w:rPr>
        <w:t>MORGAN STANLEY BANK, N.A.</w:t>
      </w:r>
      <w:r>
        <w:rPr>
          <w:rFonts w:ascii="Arial" w:cs="Arial" w:eastAsia="Arial" w:hAnsi="Arial"/>
          <w:sz w:val="22"/>
          <w:szCs w:val="22"/>
          <w:color w:val="auto"/>
        </w:rPr>
        <w:t>, as a U.S. Revolver</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33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4" w:name="page105"/>
    <w:bookmarkEnd w:id="104"/>
    <w:p>
      <w:pPr>
        <w:ind w:left="4140"/>
        <w:spacing w:after="0"/>
        <w:rPr>
          <w:sz w:val="20"/>
          <w:szCs w:val="20"/>
          <w:color w:val="auto"/>
        </w:rPr>
      </w:pPr>
      <w:r>
        <w:rPr>
          <w:rFonts w:ascii="Arial" w:cs="Arial" w:eastAsia="Arial" w:hAnsi="Arial"/>
          <w:sz w:val="22"/>
          <w:szCs w:val="22"/>
          <w:b w:val="1"/>
          <w:bCs w:val="1"/>
          <w:color w:val="auto"/>
        </w:rPr>
        <w:t>MORGAN STANLEY BANK, N.A.</w:t>
      </w:r>
      <w:r>
        <w:rPr>
          <w:rFonts w:ascii="Arial" w:cs="Arial" w:eastAsia="Arial" w:hAnsi="Arial"/>
          <w:sz w:val="22"/>
          <w:szCs w:val="22"/>
          <w:color w:val="auto"/>
        </w:rPr>
        <w:t>, as a Canadian</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Revolver Lender</w:t>
      </w:r>
    </w:p>
    <w:p>
      <w:pPr>
        <w:spacing w:after="0" w:line="3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733" w:right="1259" w:bottom="1440" w:gutter="0" w:footer="0" w:header="0"/>
        </w:sectPr>
      </w:pPr>
    </w:p>
    <w:bookmarkStart w:id="105" w:name="page106"/>
    <w:bookmarkEnd w:id="105"/>
    <w:p>
      <w:pPr>
        <w:ind w:left="4140"/>
        <w:spacing w:after="0"/>
        <w:rPr>
          <w:sz w:val="20"/>
          <w:szCs w:val="20"/>
          <w:color w:val="auto"/>
        </w:rPr>
      </w:pPr>
      <w:r>
        <w:rPr>
          <w:rFonts w:ascii="Arial" w:cs="Arial" w:eastAsia="Arial" w:hAnsi="Arial"/>
          <w:sz w:val="22"/>
          <w:szCs w:val="22"/>
          <w:b w:val="1"/>
          <w:bCs w:val="1"/>
          <w:color w:val="auto"/>
        </w:rPr>
        <w:t>CREDIT SUISSE AG, CAYMAN ISLANDS</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 as a U.S. Revolver Lender</w:t>
      </w:r>
    </w:p>
    <w:p>
      <w:pPr>
        <w:spacing w:after="0" w:line="3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6" w:name="page107"/>
    <w:bookmarkEnd w:id="106"/>
    <w:p>
      <w:pPr>
        <w:ind w:left="4140"/>
        <w:spacing w:after="0"/>
        <w:rPr>
          <w:sz w:val="20"/>
          <w:szCs w:val="20"/>
          <w:color w:val="auto"/>
        </w:rPr>
      </w:pPr>
      <w:r>
        <w:rPr>
          <w:rFonts w:ascii="Arial" w:cs="Arial" w:eastAsia="Arial" w:hAnsi="Arial"/>
          <w:sz w:val="22"/>
          <w:szCs w:val="22"/>
          <w:b w:val="1"/>
          <w:bCs w:val="1"/>
          <w:color w:val="auto"/>
        </w:rPr>
        <w:t>CREDIT SUISSE AG, CAYMAN ISLANDS</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 as a Canadian Revolver Lender</w:t>
      </w:r>
    </w:p>
    <w:p>
      <w:pPr>
        <w:spacing w:after="0" w:line="35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7" w:name="page108"/>
    <w:bookmarkEnd w:id="107"/>
    <w:p>
      <w:pPr>
        <w:ind w:left="4140"/>
        <w:spacing w:after="0"/>
        <w:rPr>
          <w:sz w:val="20"/>
          <w:szCs w:val="20"/>
          <w:color w:val="auto"/>
        </w:rPr>
      </w:pPr>
      <w:r>
        <w:rPr>
          <w:rFonts w:ascii="Arial" w:cs="Arial" w:eastAsia="Arial" w:hAnsi="Arial"/>
          <w:sz w:val="22"/>
          <w:szCs w:val="22"/>
          <w:b w:val="1"/>
          <w:bCs w:val="1"/>
          <w:color w:val="auto"/>
        </w:rPr>
        <w:t>ING CAPITAL LLC</w:t>
      </w:r>
      <w:r>
        <w:rPr>
          <w:rFonts w:ascii="Arial" w:cs="Arial" w:eastAsia="Arial" w:hAnsi="Arial"/>
          <w:sz w:val="22"/>
          <w:szCs w:val="22"/>
          <w:color w:val="auto"/>
        </w:rPr>
        <w:t>, as a U.S. Revolver Lender</w:t>
      </w:r>
    </w:p>
    <w:p>
      <w:pPr>
        <w:spacing w:after="0" w:line="37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94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949" w:right="1259" w:bottom="1440" w:gutter="0" w:footer="0" w:header="0"/>
          <w:type w:val="continuous"/>
        </w:sectPr>
      </w:pPr>
    </w:p>
    <w:bookmarkStart w:id="108" w:name="page109"/>
    <w:bookmarkEnd w:id="108"/>
    <w:p>
      <w:pPr>
        <w:ind w:left="4140"/>
        <w:spacing w:after="0"/>
        <w:rPr>
          <w:sz w:val="20"/>
          <w:szCs w:val="20"/>
          <w:color w:val="auto"/>
        </w:rPr>
      </w:pPr>
      <w:r>
        <w:rPr>
          <w:rFonts w:ascii="Arial" w:cs="Arial" w:eastAsia="Arial" w:hAnsi="Arial"/>
          <w:sz w:val="21"/>
          <w:szCs w:val="21"/>
          <w:b w:val="1"/>
          <w:bCs w:val="1"/>
          <w:color w:val="auto"/>
        </w:rPr>
        <w:t>ING CAPITAL LLC</w:t>
      </w:r>
      <w:r>
        <w:rPr>
          <w:rFonts w:ascii="Arial" w:cs="Arial" w:eastAsia="Arial" w:hAnsi="Arial"/>
          <w:sz w:val="21"/>
          <w:szCs w:val="21"/>
          <w:color w:val="auto"/>
        </w:rPr>
        <w:t>, as a Canadian Revolver Lender</w:t>
      </w:r>
    </w:p>
    <w:p>
      <w:pPr>
        <w:spacing w:after="0" w:line="38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24765</wp:posOffset>
            </wp:positionV>
            <wp:extent cx="3009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Name:______________________________________</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Title:_______________________________________</w:t>
      </w:r>
    </w:p>
    <w:p>
      <w:pPr>
        <w:sectPr>
          <w:pgSz w:w="11900" w:h="16838" w:orient="portrait"/>
          <w:cols w:equalWidth="0" w:num="1">
            <w:col w:w="9200"/>
          </w:cols>
          <w:pgMar w:left="1440" w:top="142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the ABL Credit Agreement]</w:t>
      </w:r>
    </w:p>
    <w:p>
      <w:pPr>
        <w:sectPr>
          <w:pgSz w:w="11900" w:h="16838" w:orient="portrait"/>
          <w:cols w:equalWidth="0" w:num="1">
            <w:col w:w="9200"/>
          </w:cols>
          <w:pgMar w:left="1440" w:top="1422" w:right="125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SUPPLEMENTAL INDENTURE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WILLIAM SCOTSMAN INTERNATIONAL,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Issuer</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THE GUARANTORS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200660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7.875% SENIOR SECURED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200660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SUPPLEMENTAL INDENTURE</w:t>
      </w:r>
    </w:p>
    <w:p>
      <w:pPr>
        <w:spacing w:after="0" w:line="22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DATED AS OF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200660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DEUTSCHE BANK TRUST COMPANY AMERICAS</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Trustee and Collateral Agent</w:t>
      </w:r>
    </w:p>
    <w:p>
      <w:pPr>
        <w:sectPr>
          <w:pgSz w:w="11900" w:h="16838" w:orient="portrait"/>
          <w:cols w:equalWidth="0" w:num="1">
            <w:col w:w="10220"/>
          </w:cols>
          <w:pgMar w:left="1440" w:top="582" w:right="239" w:bottom="1440" w:gutter="0" w:footer="0" w:header="0"/>
        </w:sectPr>
      </w:pPr>
    </w:p>
    <w:bookmarkStart w:id="110" w:name="page111"/>
    <w:bookmarkEnd w:id="110"/>
    <w:p>
      <w:pPr>
        <w:jc w:val="both"/>
        <w:spacing w:after="0" w:line="248" w:lineRule="auto"/>
        <w:rPr>
          <w:sz w:val="20"/>
          <w:szCs w:val="20"/>
          <w:color w:val="auto"/>
        </w:rPr>
      </w:pPr>
      <w:r>
        <w:rPr>
          <w:rFonts w:ascii="Arial" w:cs="Arial" w:eastAsia="Arial" w:hAnsi="Arial"/>
          <w:sz w:val="22"/>
          <w:szCs w:val="22"/>
          <w:color w:val="auto"/>
        </w:rPr>
        <w:t>This SUPPLEMENTAL INDENTURE, dated as of August 3, 2018, is by and among William Scotsman International,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each of the parties identified under the caption “Guarantors” on the signature page hereto (the “</w:t>
      </w:r>
      <w:r>
        <w:rPr>
          <w:rFonts w:ascii="Arial" w:cs="Arial" w:eastAsia="Arial" w:hAnsi="Arial"/>
          <w:sz w:val="22"/>
          <w:szCs w:val="22"/>
          <w:i w:val="1"/>
          <w:iCs w:val="1"/>
          <w:color w:val="auto"/>
        </w:rPr>
        <w:t>Guarantors”</w:t>
      </w:r>
      <w:r>
        <w:rPr>
          <w:rFonts w:ascii="Arial" w:cs="Arial" w:eastAsia="Arial" w:hAnsi="Arial"/>
          <w:sz w:val="22"/>
          <w:szCs w:val="22"/>
          <w:color w:val="auto"/>
        </w:rPr>
        <w:t>), Deutsche Bank Trust Company Americas, as trustee (in such capacity and not in its individual capacity, the “</w:t>
      </w:r>
      <w:r>
        <w:rPr>
          <w:rFonts w:ascii="Arial" w:cs="Arial" w:eastAsia="Arial" w:hAnsi="Arial"/>
          <w:sz w:val="22"/>
          <w:szCs w:val="22"/>
          <w:i w:val="1"/>
          <w:iCs w:val="1"/>
          <w:color w:val="auto"/>
        </w:rPr>
        <w:t>Trustee</w:t>
      </w:r>
      <w:r>
        <w:rPr>
          <w:rFonts w:ascii="Arial" w:cs="Arial" w:eastAsia="Arial" w:hAnsi="Arial"/>
          <w:sz w:val="22"/>
          <w:szCs w:val="22"/>
          <w:color w:val="auto"/>
        </w:rPr>
        <w:t>”) and Deutsche Bank Trust Company Americas, as collateral agent (in such capacity and not in its individual capacity, the “</w:t>
      </w:r>
      <w:r>
        <w:rPr>
          <w:rFonts w:ascii="Arial" w:cs="Arial" w:eastAsia="Arial" w:hAnsi="Arial"/>
          <w:sz w:val="22"/>
          <w:szCs w:val="22"/>
          <w:i w:val="1"/>
          <w:iCs w:val="1"/>
          <w:color w:val="auto"/>
        </w:rPr>
        <w:t>Collateral Agent</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the Company, the Trustee and the Collateral Agent entered into an Indenture, dated as of November 29, 2017 (as amended or supplemented prior to the date hereof, the “</w:t>
      </w:r>
      <w:r>
        <w:rPr>
          <w:rFonts w:ascii="Arial" w:cs="Arial" w:eastAsia="Arial" w:hAnsi="Arial"/>
          <w:sz w:val="22"/>
          <w:szCs w:val="22"/>
          <w:i w:val="1"/>
          <w:iCs w:val="1"/>
          <w:color w:val="auto"/>
        </w:rPr>
        <w:t>Indenture</w:t>
      </w:r>
      <w:r>
        <w:rPr>
          <w:rFonts w:ascii="Arial" w:cs="Arial" w:eastAsia="Arial" w:hAnsi="Arial"/>
          <w:sz w:val="22"/>
          <w:szCs w:val="22"/>
          <w:color w:val="auto"/>
        </w:rPr>
        <w:t>”), pursuant to which the Company initially issued $300,000,000 in principal amount of 7.875% Senior Secured Notes due 2022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WHEREAS, Section 9.1(1) of the Indenture provides that the Company, the Guarantors, the Trustee and the Collateral Agent may supplement the Indenture in order to, among other things, cure any omission or mistake, without the consent of the Holders; and</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as described in the Offering Memorandum, the guarantee to be provided by WillScot Equipment II, LLC was to be subordinated to its obligations under the ABL Credit Facility but such subordination provisions were not included due to a scrivener’s error;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all acts and procedures prescribed by the Indenture to make this Supplemental Indenture a legally valid and binding instrument on the Company, the Guarantors, the Trustee and the Collateral Agent, in accordance with its terms, have been duly done and performed;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NOW, THEREFORE, in compliance with the provisions of the Indenture and in consideration of the above premises, the Company, the Guarantors, the Trustee and the Collateral Agent covenant and agree for the equal and proportionate benefit of the respective Holders of the Notes as follows: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Supplemental Indenture is supplemental to the Indenture and does and shall be deemed to form a part of, and shall be construed in connection with and as part of, the Indenture for any and all purposes.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Supplemental Indenture shall become effective immediately upon its execution and delivery by each of the Company, the Guarantors, the Trustee and the Collateral Agent.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11 of the Indenture is hereby amended by adding a new Section 11.9 as follows:</w:t>
      </w:r>
    </w:p>
    <w:p>
      <w:pPr>
        <w:spacing w:after="0" w:line="22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u w:val="single" w:color="auto"/>
          <w:color w:val="auto"/>
        </w:rPr>
        <w:t>Subordination of WillScot Equipment II, LLC’s Guarantee</w:t>
      </w:r>
      <w:r>
        <w:rPr>
          <w:rFonts w:ascii="Arial" w:cs="Arial" w:eastAsia="Arial" w:hAnsi="Arial"/>
          <w:sz w:val="19"/>
          <w:szCs w:val="19"/>
          <w:color w:val="auto"/>
        </w:rPr>
        <w:t>.</w:t>
      </w:r>
    </w:p>
    <w:p>
      <w:pPr>
        <w:spacing w:after="0" w:line="233"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Anything herein to the contrary notwithstanding, each of the Issuer and the Guarantors, for itself and its successors, and each Holder agrees that the payment by WillScot Equipment II, LLC (“</w:t>
      </w:r>
      <w:r>
        <w:rPr>
          <w:rFonts w:ascii="Arial" w:cs="Arial" w:eastAsia="Arial" w:hAnsi="Arial"/>
          <w:sz w:val="22"/>
          <w:szCs w:val="22"/>
          <w:i w:val="1"/>
          <w:iCs w:val="1"/>
          <w:color w:val="auto"/>
        </w:rPr>
        <w:t>Willscot Equipment</w:t>
      </w:r>
      <w:r>
        <w:rPr>
          <w:rFonts w:ascii="Arial" w:cs="Arial" w:eastAsia="Arial" w:hAnsi="Arial"/>
          <w:sz w:val="22"/>
          <w:szCs w:val="22"/>
          <w:color w:val="auto"/>
        </w:rPr>
        <w:t>”) of all Obligations with respect to its Note Guarantee is subordinated in right of payment to the prior payment in full in cash of all Obligations under the ABL Credit Facility. The Trustee is authorized and shall take such action as may be necessary or appropriate to effectuate the subordination as provided in this Section 11.9. No provision of this Section 11.9 shall prevent the occurrence of any Default or Event of Default hereunder.</w:t>
      </w:r>
    </w:p>
    <w:p>
      <w:pPr>
        <w:spacing w:after="0" w:line="19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Upon any payment or distribution of the assets of the Willscot Equipment to creditors upon a total or partial liquidation or a total or partial dissolution of Willscot Equipment or in a reorganization of or similar proceeding relating to Willscot Equipment or its property the holders of Obligations under</w:t>
      </w:r>
    </w:p>
    <w:p>
      <w:pPr>
        <w:sectPr>
          <w:pgSz w:w="11900" w:h="16838" w:orient="portrait"/>
          <w:cols w:equalWidth="0" w:num="1">
            <w:col w:w="11420"/>
          </w:cols>
          <w:pgMar w:left="240" w:top="591" w:right="239" w:bottom="1440" w:gutter="0" w:footer="0" w:header="0"/>
        </w:sectPr>
      </w:pPr>
    </w:p>
    <w:bookmarkStart w:id="111" w:name="page112"/>
    <w:bookmarkEnd w:id="111"/>
    <w:p>
      <w:pPr>
        <w:ind w:left="660"/>
        <w:spacing w:after="0" w:line="263" w:lineRule="auto"/>
        <w:rPr>
          <w:sz w:val="20"/>
          <w:szCs w:val="20"/>
          <w:color w:val="auto"/>
        </w:rPr>
      </w:pPr>
      <w:r>
        <w:rPr>
          <w:rFonts w:ascii="Arial" w:cs="Arial" w:eastAsia="Arial" w:hAnsi="Arial"/>
          <w:sz w:val="22"/>
          <w:szCs w:val="22"/>
          <w:color w:val="auto"/>
        </w:rPr>
        <w:t>the ABL Credit Facility shall be entitled to receive payment in full in cash before Holders of the Notes shall be entitled to receive any payment with respect to the assets of Willscot Equipment.”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specifically modified herein, the Indenture and the Notes are in all respects ratified and confirmed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 and shall remain in full force and effect in accordance with their terms with all capitalized terms used herein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definition having the same respective meanings ascribed to them as in the Indenture.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 past, present or future director, officer, employee, incorporator, stockholder, partner, member or joint venturer of the Company or any Guarantor, as such, shall have any liability for any obligations of the Company or any Guarantor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NEW YORK LAW TO GOVERN. THE INTERNAL LAW OF THE STATE OF NEW YORK SHALL GOVERN AND BE USED TO CONSTRUE THIS SUPPLEMENTAL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parties may sign any number of copies of this Supplemental Indenture. Each signed copy shall be an original, but all of such executed copies together shall represent the same agreement. Delivery of an executed counterpart of a signature page to this Supplemental Indenture by telecopier, facsimile or other electronic transmission (i.e. “pdf” or “tif”) shall be effective as delivery of a manually executed counterpart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420"/>
          </w:cols>
          <w:pgMar w:left="240" w:top="807"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WILLIAMS SCOTSMAN INTERNATIONAL,</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INC.,</w:t>
      </w:r>
    </w:p>
    <w:p>
      <w:pPr>
        <w:spacing w:after="0" w:line="2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as Issuer</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2512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Timothy D. Boswell</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WILLIAMS SCOTSMAN HOLDINGS CORP.,</w:t>
      </w:r>
    </w:p>
    <w:p>
      <w:pPr>
        <w:spacing w:after="0" w:line="4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25126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Timothy D. Boswell</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WILLSCOT EQUIPMENT II LLC,</w:t>
      </w:r>
    </w:p>
    <w:p>
      <w:pPr>
        <w:spacing w:after="0" w:line="4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25126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Timothy D. Boswell</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WILLIAMS SCOTSMAN INC.,</w:t>
      </w:r>
    </w:p>
    <w:p>
      <w:pPr>
        <w:spacing w:after="0" w:line="26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8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25126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5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Timothy D. Boswell</w:t>
      </w:r>
    </w:p>
    <w:p>
      <w:pPr>
        <w:spacing w:after="0" w:line="260"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NEW ACTON MOBILE INDUSTRIES LLC,</w:t>
      </w:r>
    </w:p>
    <w:p>
      <w:pPr>
        <w:spacing w:after="0" w:line="26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8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25126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5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Timothy D. Boswell</w:t>
      </w:r>
    </w:p>
    <w:p>
      <w:pPr>
        <w:spacing w:after="0" w:line="260"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00"/>
          </w:cols>
          <w:pgMar w:left="240" w:top="591" w:right="259" w:bottom="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9019"/>
          </w:cols>
          <w:pgMar w:left="1440" w:top="1016" w:right="1440" w:bottom="1440" w:gutter="0" w:footer="0" w:header="0"/>
        </w:sectPr>
      </w:pPr>
    </w:p>
    <w:bookmarkStart w:id="114" w:name="page115"/>
    <w:bookmarkEnd w:id="114"/>
    <w:p>
      <w:pPr>
        <w:ind w:left="4320"/>
        <w:spacing w:after="0"/>
        <w:rPr>
          <w:sz w:val="20"/>
          <w:szCs w:val="20"/>
          <w:color w:val="auto"/>
        </w:rPr>
      </w:pPr>
      <w:r>
        <w:rPr>
          <w:rFonts w:ascii="Arial" w:cs="Arial" w:eastAsia="Arial" w:hAnsi="Arial"/>
          <w:sz w:val="21"/>
          <w:szCs w:val="21"/>
          <w:color w:val="auto"/>
        </w:rPr>
        <w:t>ACTON MOBILE HOLDINGS, LLC,</w:t>
      </w:r>
    </w:p>
    <w:p>
      <w:pPr>
        <w:spacing w:after="0" w:line="5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24765</wp:posOffset>
            </wp:positionV>
            <wp:extent cx="25126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Timothy D. Boswell</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ONSITE SPACE LLC,</w:t>
      </w:r>
    </w:p>
    <w:p>
      <w:pPr>
        <w:spacing w:after="0" w:line="4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24765</wp:posOffset>
            </wp:positionV>
            <wp:extent cx="25126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Timothy D. Boswell</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9019"/>
          </w:cols>
          <w:pgMar w:left="1440" w:top="1171" w:right="1440" w:bottom="1440" w:gutter="0" w:footer="0" w:header="0"/>
          <w:type w:val="continuous"/>
        </w:sectPr>
      </w:pPr>
    </w:p>
    <w:bookmarkStart w:id="115" w:name="page116"/>
    <w:bookmarkEnd w:id="115"/>
    <w:p>
      <w:pPr>
        <w:ind w:left="4320"/>
        <w:spacing w:after="0"/>
        <w:rPr>
          <w:sz w:val="20"/>
          <w:szCs w:val="20"/>
          <w:color w:val="auto"/>
        </w:rPr>
      </w:pPr>
      <w:r>
        <w:rPr>
          <w:rFonts w:ascii="Arial" w:cs="Arial" w:eastAsia="Arial" w:hAnsi="Arial"/>
          <w:sz w:val="19"/>
          <w:szCs w:val="19"/>
          <w:color w:val="auto"/>
        </w:rPr>
        <w:t>DEUTSCHE BANK TRUST COMPANY</w:t>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AMERICAS,</w:t>
      </w:r>
    </w:p>
    <w:p>
      <w:pPr>
        <w:spacing w:after="0" w:line="24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as Trustee</w:t>
      </w:r>
    </w:p>
    <w:p>
      <w:pPr>
        <w:spacing w:after="0" w:line="349"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 Annie Jaghatspanyan</w:t>
      </w:r>
    </w:p>
    <w:p>
      <w:pPr>
        <w:jc w:val="center"/>
        <w:ind w:right="79"/>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34925</wp:posOffset>
            </wp:positionV>
            <wp:extent cx="25126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Annie Jaghatspanyan</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Vice President</w:t>
      </w:r>
    </w:p>
    <w:p>
      <w:pPr>
        <w:spacing w:after="0" w:line="36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24765</wp:posOffset>
            </wp:positionV>
            <wp:extent cx="25126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Irina Golovashchuk</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9019"/>
          </w:cols>
          <w:pgMar w:left="1440" w:top="955"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35"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7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B</w:t>
      </w:r>
      <w:r>
        <w:rPr>
          <w:rFonts w:ascii="Arial" w:cs="Arial" w:eastAsia="Arial" w:hAnsi="Arial"/>
          <w:sz w:val="16"/>
          <w:szCs w:val="16"/>
          <w:color w:val="auto"/>
        </w:rPr>
        <w:t>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14605</wp:posOffset>
            </wp:positionV>
            <wp:extent cx="23069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President and Chief Executive Officer and</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Director (Principal Executive Officer)</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35"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94"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2324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66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82"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President and Chief Executive Officer and Director</w:t>
      </w:r>
    </w:p>
    <w:p>
      <w:pPr>
        <w:spacing w:after="0" w:line="21"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(Principal Executive Officer)</w:t>
      </w:r>
    </w:p>
    <w:p>
      <w:pPr>
        <w:spacing w:after="0" w:line="181"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93"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97"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lowerLetter"/>
      <w:start w:val="1"/>
    </w:lvl>
  </w:abstractNum>
  <w:abstractNum w:abstractNumId="9">
    <w:nsid w:val="70A64E2A"/>
    <w:multiLevelType w:val="hybridMultilevel"/>
    <w:lvl w:ilvl="0">
      <w:lvlJc w:val="left"/>
      <w:lvlText w:val="(%1)"/>
      <w:numFmt w:val="lowerRoman"/>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Roman"/>
      <w:start w:val="2"/>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lvl w:ilvl="1">
      <w:lvlJc w:val="left"/>
      <w:lvlText w:val="\endash "/>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lowerLetter"/>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lowerRoman"/>
      <w:start w:val="2"/>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Letter"/>
      <w:start w:val="2"/>
    </w:lvl>
  </w:abstractNum>
  <w:abstractNum w:abstractNumId="28">
    <w:nsid w:val="79A1DEAA"/>
    <w:multiLevelType w:val="hybridMultilevel"/>
    <w:lvl w:ilvl="0">
      <w:lvlJc w:val="left"/>
      <w:lvlText w:val="(%1)"/>
      <w:numFmt w:val="lowerLetter"/>
      <w:start w:val="4"/>
    </w:lvl>
  </w:abstractNum>
  <w:abstractNum w:abstractNumId="29">
    <w:nsid w:val="75C6C33A"/>
    <w:multiLevelType w:val="hybridMultilevel"/>
    <w:lvl w:ilvl="0">
      <w:lvlJc w:val="left"/>
      <w:lvlText w:val="(%1)"/>
      <w:numFmt w:val="lowerLetter"/>
      <w:start w:val="25"/>
    </w:lvl>
  </w:abstractNum>
  <w:abstractNum w:abstractNumId="30">
    <w:nsid w:val="12E685FB"/>
    <w:multiLevelType w:val="hybridMultilevel"/>
    <w:lvl w:ilvl="0">
      <w:lvlJc w:val="left"/>
      <w:lvlText w:val="(%1)"/>
      <w:numFmt w:val="lowerLetter"/>
      <w:start w:val="9"/>
    </w:lvl>
  </w:abstractNum>
  <w:abstractNum w:abstractNumId="31">
    <w:nsid w:val="70C6A529"/>
    <w:multiLevelType w:val="hybridMultilevel"/>
    <w:lvl w:ilvl="0">
      <w:lvlJc w:val="left"/>
      <w:lvlText w:val="(%1)"/>
      <w:numFmt w:val="upperLetter"/>
      <w:start w:val="9"/>
    </w:lvl>
  </w:abstractNum>
  <w:abstractNum w:abstractNumId="32">
    <w:nsid w:val="520EEDD1"/>
    <w:multiLevelType w:val="hybridMultilevel"/>
    <w:lvl w:ilvl="0">
      <w:lvlJc w:val="left"/>
      <w:lvlText w:val="(%1)"/>
      <w:numFmt w:val="upperLetter"/>
      <w:start w:val="35"/>
    </w:lvl>
  </w:abstractNum>
  <w:abstractNum w:abstractNumId="33">
    <w:nsid w:val="374A3FE6"/>
    <w:multiLevelType w:val="hybridMultilevel"/>
    <w:lvl w:ilvl="0">
      <w:lvlJc w:val="left"/>
      <w:lvlText w:val="(%1)"/>
      <w:numFmt w:val="lowerLetter"/>
      <w:start w:val="25"/>
    </w:lvl>
  </w:abstractNum>
  <w:abstractNum w:abstractNumId="34">
    <w:nsid w:val="4F4EF005"/>
    <w:multiLevelType w:val="hybridMultilevel"/>
    <w:lvl w:ilvl="0">
      <w:lvlJc w:val="left"/>
      <w:lvlText w:val="%1"/>
      <w:numFmt w:val="lowerRoman"/>
      <w:start w:val="1"/>
    </w:lvl>
    <w:lvl w:ilvl="1">
      <w:lvlJc w:val="left"/>
      <w:lvlText w:val="(%2)"/>
      <w:numFmt w:val="lowerLetter"/>
      <w:start w:val="19"/>
    </w:lvl>
  </w:abstractNum>
  <w:abstractNum w:abstractNumId="35">
    <w:nsid w:val="23F9C13C"/>
    <w:multiLevelType w:val="hybridMultilevel"/>
    <w:lvl w:ilvl="0">
      <w:lvlJc w:val="left"/>
      <w:lvlText w:val="(%1)"/>
      <w:numFmt w:val="lowerRoman"/>
      <w:start w:val="1"/>
    </w:lvl>
    <w:lvl w:ilvl="1">
      <w:lvlJc w:val="left"/>
      <w:lvlText w:val="(%2)"/>
      <w:numFmt w:val="lowerLetter"/>
      <w:start w:val="20"/>
    </w:lvl>
  </w:abstractNum>
  <w:abstractNum w:abstractNumId="36">
    <w:nsid w:val="649BB77C"/>
    <w:multiLevelType w:val="hybridMultilevel"/>
    <w:lvl w:ilvl="0">
      <w:lvlJc w:val="left"/>
      <w:lvlText w:val="(%1)"/>
      <w:numFmt w:val="lowerLetter"/>
      <w:start w:val="21"/>
    </w:lvl>
  </w:abstractNum>
  <w:abstractNum w:abstractNumId="37">
    <w:nsid w:val="275AC794"/>
    <w:multiLevelType w:val="hybridMultilevel"/>
    <w:lvl w:ilvl="0">
      <w:lvlJc w:val="left"/>
      <w:lvlText w:val="%1"/>
      <w:numFmt w:val="lowerLetter"/>
      <w:start w:val="1"/>
    </w:lvl>
    <w:lvl w:ilvl="1">
      <w:lvlJc w:val="left"/>
      <w:lvlText w:val="(%2)"/>
      <w:numFmt w:val="lowerLetter"/>
      <w:start w:val="22"/>
    </w:lvl>
  </w:abstractNum>
  <w:abstractNum w:abstractNumId="38">
    <w:nsid w:val="39386575"/>
    <w:multiLevelType w:val="hybridMultilevel"/>
    <w:lvl w:ilvl="0">
      <w:lvlJc w:val="left"/>
      <w:lvlText w:val="(%1)"/>
      <w:numFmt w:val="lowerLetter"/>
      <w:start w:val="61"/>
    </w:lvl>
    <w:lvl w:ilvl="1">
      <w:lvlJc w:val="left"/>
      <w:lvlText w:val="(%2)"/>
      <w:numFmt w:val="lowerLetter"/>
      <w:start w:val="24"/>
    </w:lvl>
  </w:abstractNum>
  <w:abstractNum w:abstractNumId="39">
    <w:nsid w:val="1CF10FD8"/>
    <w:multiLevelType w:val="hybridMultilevel"/>
    <w:lvl w:ilvl="0">
      <w:lvlJc w:val="left"/>
      <w:lvlText w:val="(%1)"/>
      <w:numFmt w:val="lowerLetter"/>
      <w:start w:val="26"/>
    </w:lvl>
  </w:abstractNum>
  <w:abstractNum w:abstractNumId="40">
    <w:nsid w:val="180115BE"/>
    <w:multiLevelType w:val="hybridMultilevel"/>
    <w:lvl w:ilvl="0">
      <w:lvlJc w:val="left"/>
      <w:lvlText w:val="(%1)"/>
      <w:numFmt w:val="lowerLetter"/>
      <w:start w:val="27"/>
    </w:lvl>
  </w:abstractNum>
  <w:abstractNum w:abstractNumId="41">
    <w:nsid w:val="235BA861"/>
    <w:multiLevelType w:val="hybridMultilevel"/>
    <w:lvl w:ilvl="0">
      <w:lvlJc w:val="left"/>
      <w:lvlText w:val="(%1)"/>
      <w:numFmt w:val="lowerLetter"/>
      <w:start w:val="28"/>
    </w:lvl>
  </w:abstractNum>
  <w:abstractNum w:abstractNumId="42">
    <w:nsid w:val="47398C89"/>
    <w:multiLevelType w:val="hybridMultilevel"/>
    <w:lvl w:ilvl="0">
      <w:lvlJc w:val="left"/>
      <w:lvlText w:val="(%1)"/>
      <w:numFmt w:val="lowerLetter"/>
      <w:start w:val="29"/>
    </w:lvl>
  </w:abstractNum>
  <w:abstractNum w:abstractNumId="43">
    <w:nsid w:val="354FE9F9"/>
    <w:multiLevelType w:val="hybridMultilevel"/>
    <w:lvl w:ilvl="0">
      <w:lvlJc w:val="left"/>
      <w:lvlText w:val="(%1)"/>
      <w:numFmt w:val="lowerLetter"/>
      <w:start w:val="33"/>
    </w:lvl>
  </w:abstractNum>
  <w:abstractNum w:abstractNumId="44">
    <w:nsid w:val="15B5AF5C"/>
    <w:multiLevelType w:val="hybridMultilevel"/>
    <w:lvl w:ilvl="0">
      <w:lvlJc w:val="left"/>
      <w:lvlText w:val="(%1)"/>
      <w:numFmt w:val="lowerRoman"/>
      <w:start w:val="2"/>
    </w:lvl>
  </w:abstractNum>
  <w:abstractNum w:abstractNumId="45">
    <w:nsid w:val="741226BB"/>
    <w:multiLevelType w:val="hybridMultilevel"/>
    <w:lvl w:ilvl="0">
      <w:lvlJc w:val="left"/>
      <w:lvlText w:val="(%1)"/>
      <w:numFmt w:val="lowerLetter"/>
      <w:start w:val="36"/>
    </w:lvl>
  </w:abstractNum>
  <w:abstractNum w:abstractNumId="46">
    <w:nsid w:val="D34B6A8"/>
    <w:multiLevelType w:val="hybridMultilevel"/>
    <w:lvl w:ilvl="0">
      <w:lvlJc w:val="left"/>
      <w:lvlText w:val="(%1)"/>
      <w:numFmt w:val="decimal"/>
      <w:start w:val="91"/>
    </w:lvl>
  </w:abstractNum>
  <w:abstractNum w:abstractNumId="47">
    <w:nsid w:val="10233C99"/>
    <w:multiLevelType w:val="hybridMultilevel"/>
    <w:lvl w:ilvl="0">
      <w:lvlJc w:val="left"/>
      <w:lvlText w:val="(%1)"/>
      <w:numFmt w:val="lowerLetter"/>
      <w:start w:val="44"/>
    </w:lvl>
  </w:abstractNum>
  <w:abstractNum w:abstractNumId="48">
    <w:nsid w:val="3F6AB60F"/>
    <w:multiLevelType w:val="hybridMultilevel"/>
    <w:lvl w:ilvl="0">
      <w:lvlJc w:val="left"/>
      <w:lvlText w:val="(%1)"/>
      <w:numFmt w:val="lowerLetter"/>
      <w:start w:val="25"/>
    </w:lvl>
    <w:lvl w:ilvl="1">
      <w:lvlJc w:val="left"/>
      <w:lvlText w:val="(%2)"/>
      <w:numFmt w:val="lowerLetter"/>
      <w:start w:val="45"/>
    </w:lvl>
  </w:abstractNum>
  <w:abstractNum w:abstractNumId="49">
    <w:nsid w:val="61574095"/>
    <w:multiLevelType w:val="hybridMultilevel"/>
    <w:lvl w:ilvl="0">
      <w:lvlJc w:val="left"/>
      <w:lvlText w:val="(%1)"/>
      <w:numFmt w:val="lowerLetter"/>
      <w:start w:val="61"/>
    </w:lvl>
    <w:lvl w:ilvl="1">
      <w:lvlJc w:val="left"/>
      <w:lvlText w:val="(%2)"/>
      <w:numFmt w:val="lowerLetter"/>
      <w:start w:val="46"/>
    </w:lvl>
  </w:abstractNum>
  <w:abstractNum w:abstractNumId="50">
    <w:nsid w:val="7E0C57B1"/>
    <w:multiLevelType w:val="hybridMultilevel"/>
    <w:lvl w:ilvl="0">
      <w:lvlJc w:val="left"/>
      <w:lvlText w:val="(%1)"/>
      <w:numFmt w:val="lowerLetter"/>
      <w:start w:val="50"/>
    </w:lvl>
  </w:abstractNum>
  <w:abstractNum w:abstractNumId="51">
    <w:nsid w:val="77AE35EB"/>
    <w:multiLevelType w:val="hybridMultilevel"/>
    <w:lvl w:ilvl="0">
      <w:lvlJc w:val="left"/>
      <w:lvlText w:val="(%1)"/>
      <w:numFmt w:val="lowerLetter"/>
      <w:start w:val="53"/>
    </w:lvl>
  </w:abstractNum>
  <w:abstractNum w:abstractNumId="52">
    <w:nsid w:val="579BE4F1"/>
    <w:multiLevelType w:val="hybridMultilevel"/>
    <w:lvl w:ilvl="0">
      <w:lvlJc w:val="left"/>
      <w:lvlText w:val="(%1)"/>
      <w:numFmt w:val="lowerLetter"/>
      <w:start w:val="59"/>
    </w:lvl>
  </w:abstractNum>
  <w:abstractNum w:abstractNumId="53">
    <w:nsid w:val="310C50B3"/>
    <w:multiLevelType w:val="hybridMultilevel"/>
    <w:lvl w:ilvl="0">
      <w:lvlJc w:val="left"/>
      <w:lvlText w:val="%1"/>
      <w:numFmt w:val="lowerLetter"/>
      <w:start w:val="1"/>
    </w:lvl>
    <w:lvl w:ilvl="1">
      <w:lvlJc w:val="left"/>
      <w:lvlText w:val="(%2)"/>
      <w:numFmt w:val="upperLetter"/>
      <w:start w:val="1"/>
    </w:lvl>
  </w:abstractNum>
  <w:abstractNum w:abstractNumId="54">
    <w:nsid w:val="5FF87E05"/>
    <w:multiLevelType w:val="hybridMultilevel"/>
    <w:lvl w:ilvl="0">
      <w:lvlJc w:val="left"/>
      <w:lvlText w:val="(%1)"/>
      <w:numFmt w:val="lowerLetter"/>
      <w:start w:val="66"/>
    </w:lvl>
    <w:lvl w:ilvl="1">
      <w:lvlJc w:val="left"/>
      <w:lvlText w:val="%2"/>
      <w:numFmt w:val="upperLetter"/>
      <w:start w:val="1"/>
    </w:lvl>
  </w:abstractNum>
  <w:abstractNum w:abstractNumId="55">
    <w:nsid w:val="2F305DEF"/>
    <w:multiLevelType w:val="hybridMultilevel"/>
    <w:lvl w:ilvl="0">
      <w:lvlJc w:val="left"/>
      <w:lvlText w:val="(%1)"/>
      <w:numFmt w:val="lowerLetter"/>
      <w:start w:val="69"/>
    </w:lvl>
  </w:abstractNum>
  <w:abstractNum w:abstractNumId="56">
    <w:nsid w:val="25A70BF7"/>
    <w:multiLevelType w:val="hybridMultilevel"/>
    <w:lvl w:ilvl="0">
      <w:lvlJc w:val="left"/>
      <w:lvlText w:val="(%1)"/>
      <w:numFmt w:val="lowerLetter"/>
      <w:start w:val="73"/>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lowerLetter"/>
      <w:start w:val="2"/>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2"/>
    </w:lvl>
  </w:abstractNum>
  <w:abstractNum w:abstractNumId="64">
    <w:nsid w:val="15014ACB"/>
    <w:multiLevelType w:val="hybridMultilevel"/>
    <w:lvl w:ilvl="0">
      <w:lvlJc w:val="left"/>
      <w:lvlText w:val="(%1)"/>
      <w:numFmt w:val="lowerLetter"/>
      <w:start w:val="4"/>
    </w:lvl>
    <w:lvl w:ilvl="1">
      <w:lvlJc w:val="left"/>
      <w:lvlText w:val="(%2)"/>
      <w:numFmt w:val="lowerRoman"/>
      <w:start w:val="1"/>
    </w:lvl>
  </w:abstractNum>
  <w:abstractNum w:abstractNumId="65">
    <w:nsid w:val="5F5E7FD0"/>
    <w:multiLevelType w:val="hybridMultilevel"/>
    <w:lvl w:ilvl="0">
      <w:lvlJc w:val="left"/>
      <w:lvlText w:val="(%1)"/>
      <w:numFmt w:val="lowerRoman"/>
      <w:start w:val="1"/>
    </w:lvl>
  </w:abstractNum>
  <w:abstractNum w:abstractNumId="66">
    <w:nsid w:val="98A3148"/>
    <w:multiLevelType w:val="hybridMultilevel"/>
    <w:lvl w:ilvl="0">
      <w:lvlJc w:val="left"/>
      <w:lvlText w:val="(%1)"/>
      <w:numFmt w:val="lowerLetter"/>
      <w:start w:val="12"/>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43" Type="http://schemas.openxmlformats.org/officeDocument/2006/relationships/hyperlink" Target="http://www.sec.gov/Archives/edgar/data/1647088/000110465918048065/a18-17798_1ex1d1.htm" TargetMode="External"/><Relationship Id="rId44" Type="http://schemas.openxmlformats.org/officeDocument/2006/relationships/hyperlink" Target="http://www.sec.gov/Archives/edgar/data/1647088/000110465918050156/a18-17818_3ex1d1.htm" TargetMode="External"/><Relationship Id="rId45" Type="http://schemas.openxmlformats.org/officeDocument/2006/relationships/hyperlink" Target="http://www.sec.gov/Archives/edgar/data/1647088/000110465918050156/a18-17818_3ex1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2019-12-28T20:13:05Z</dcterms:created>
  <dcterms:modified xsi:type="dcterms:W3CDTF">2019-12-28T20:13:05Z</dcterms:modified>
</cp:coreProperties>
</file>