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1015365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981075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79375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27" w:lineRule="exact"/>
        <w:rPr>
          <w:sz w:val="24"/>
          <w:szCs w:val="24"/>
          <w:color w:val="auto"/>
        </w:rPr>
      </w:pPr>
    </w:p>
    <w:p>
      <w:pPr>
        <w:ind w:left="1500" w:hanging="837"/>
        <w:spacing w:after="0"/>
        <w:tabs>
          <w:tab w:leader="none" w:pos="1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7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3880" w:right="2540" w:hanging="3217"/>
        <w:spacing w:after="0" w:line="205" w:lineRule="auto"/>
        <w:tabs>
          <w:tab w:leader="none" w:pos="15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91"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94615</wp:posOffset>
            </wp:positionV>
            <wp:extent cx="257302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471"/>
        </w:trPr>
        <w:tc>
          <w:tcPr>
            <w:tcW w:w="20" w:type="dxa"/>
            <w:vAlign w:val="bottom"/>
          </w:tcPr>
          <w:p>
            <w:pPr>
              <w:spacing w:after="0"/>
              <w:rPr>
                <w:sz w:val="24"/>
                <w:szCs w:val="24"/>
                <w:color w:val="auto"/>
              </w:rPr>
            </w:pPr>
          </w:p>
        </w:tc>
        <w:tc>
          <w:tcPr>
            <w:tcW w:w="11400" w:type="dxa"/>
            <w:vAlign w:val="bottom"/>
            <w:gridSpan w:val="3"/>
          </w:tcPr>
          <w:p>
            <w:pPr>
              <w:jc w:val="center"/>
              <w:spacing w:after="0"/>
              <w:rPr>
                <w:sz w:val="20"/>
                <w:szCs w:val="20"/>
                <w:color w:val="auto"/>
              </w:rPr>
            </w:pPr>
            <w:r>
              <w:rPr>
                <w:rFonts w:ascii="Arial" w:cs="Arial" w:eastAsia="Arial" w:hAnsi="Arial"/>
                <w:sz w:val="36"/>
                <w:szCs w:val="36"/>
                <w:b w:val="1"/>
                <w:bCs w:val="1"/>
                <w:color w:val="auto"/>
                <w:w w:val="99"/>
              </w:rPr>
              <w:t>WILLSCOT CORPORATION</w:t>
            </w:r>
          </w:p>
        </w:tc>
      </w:tr>
      <w:tr>
        <w:trPr>
          <w:trHeight w:val="172"/>
        </w:trPr>
        <w:tc>
          <w:tcPr>
            <w:tcW w:w="20" w:type="dxa"/>
            <w:vAlign w:val="bottom"/>
          </w:tcPr>
          <w:p>
            <w:pPr>
              <w:spacing w:after="0"/>
              <w:rPr>
                <w:sz w:val="14"/>
                <w:szCs w:val="14"/>
                <w:color w:val="auto"/>
              </w:rPr>
            </w:pPr>
          </w:p>
        </w:tc>
        <w:tc>
          <w:tcPr>
            <w:tcW w:w="7640" w:type="dxa"/>
            <w:vAlign w:val="bottom"/>
            <w:gridSpan w:val="2"/>
          </w:tcPr>
          <w:p>
            <w:pPr>
              <w:jc w:val="center"/>
              <w:ind w:left="3677"/>
              <w:spacing w:after="0"/>
              <w:rPr>
                <w:sz w:val="20"/>
                <w:szCs w:val="20"/>
                <w:color w:val="auto"/>
              </w:rPr>
            </w:pPr>
            <w:r>
              <w:rPr>
                <w:rFonts w:ascii="Arial" w:cs="Arial" w:eastAsia="Arial" w:hAnsi="Arial"/>
                <w:sz w:val="14"/>
                <w:szCs w:val="14"/>
                <w:color w:val="auto"/>
              </w:rPr>
              <w:t>(Exact name of registrant as specified in its charter)</w:t>
            </w:r>
          </w:p>
        </w:tc>
        <w:tc>
          <w:tcPr>
            <w:tcW w:w="37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00" w:type="dxa"/>
            <w:vAlign w:val="bottom"/>
          </w:tcPr>
          <w:p>
            <w:pPr>
              <w:jc w:val="center"/>
              <w:ind w:right="537"/>
              <w:spacing w:after="0"/>
              <w:rPr>
                <w:sz w:val="20"/>
                <w:szCs w:val="20"/>
                <w:color w:val="auto"/>
              </w:rPr>
            </w:pPr>
            <w:r>
              <w:rPr>
                <w:rFonts w:ascii="Arial" w:cs="Arial" w:eastAsia="Arial" w:hAnsi="Arial"/>
                <w:sz w:val="14"/>
                <w:szCs w:val="14"/>
                <w:b w:val="1"/>
                <w:bCs w:val="1"/>
                <w:color w:val="auto"/>
              </w:rPr>
              <w:t>Delaware</w:t>
            </w:r>
          </w:p>
        </w:tc>
        <w:tc>
          <w:tcPr>
            <w:tcW w:w="3140" w:type="dxa"/>
            <w:vAlign w:val="bottom"/>
          </w:tcPr>
          <w:p>
            <w:pPr>
              <w:spacing w:after="0"/>
              <w:rPr>
                <w:sz w:val="18"/>
                <w:szCs w:val="18"/>
                <w:color w:val="auto"/>
              </w:rPr>
            </w:pPr>
          </w:p>
        </w:tc>
        <w:tc>
          <w:tcPr>
            <w:tcW w:w="3760" w:type="dxa"/>
            <w:vAlign w:val="bottom"/>
          </w:tcPr>
          <w:p>
            <w:pPr>
              <w:jc w:val="right"/>
              <w:ind w:right="1468"/>
              <w:spacing w:after="0"/>
              <w:rPr>
                <w:sz w:val="20"/>
                <w:szCs w:val="20"/>
                <w:color w:val="auto"/>
              </w:rPr>
            </w:pPr>
            <w:r>
              <w:rPr>
                <w:rFonts w:ascii="Arial" w:cs="Arial" w:eastAsia="Arial" w:hAnsi="Arial"/>
                <w:sz w:val="14"/>
                <w:szCs w:val="14"/>
                <w:b w:val="1"/>
                <w:bCs w:val="1"/>
                <w:color w:val="auto"/>
              </w:rPr>
              <w:t>82-3430194</w:t>
            </w:r>
          </w:p>
        </w:tc>
      </w:tr>
      <w:tr>
        <w:trPr>
          <w:trHeight w:val="216"/>
        </w:trPr>
        <w:tc>
          <w:tcPr>
            <w:tcW w:w="20" w:type="dxa"/>
            <w:vAlign w:val="bottom"/>
          </w:tcPr>
          <w:p>
            <w:pPr>
              <w:spacing w:after="0"/>
              <w:rPr>
                <w:sz w:val="18"/>
                <w:szCs w:val="18"/>
                <w:color w:val="auto"/>
              </w:rPr>
            </w:pPr>
          </w:p>
        </w:tc>
        <w:tc>
          <w:tcPr>
            <w:tcW w:w="4500" w:type="dxa"/>
            <w:vAlign w:val="bottom"/>
          </w:tcPr>
          <w:p>
            <w:pPr>
              <w:jc w:val="center"/>
              <w:ind w:right="537"/>
              <w:spacing w:after="0"/>
              <w:rPr>
                <w:sz w:val="20"/>
                <w:szCs w:val="20"/>
                <w:color w:val="auto"/>
              </w:rPr>
            </w:pPr>
            <w:r>
              <w:rPr>
                <w:rFonts w:ascii="Arial" w:cs="Arial" w:eastAsia="Arial" w:hAnsi="Arial"/>
                <w:sz w:val="14"/>
                <w:szCs w:val="14"/>
                <w:color w:val="auto"/>
              </w:rPr>
              <w:t>(State or other jurisdiction of incorporation)</w:t>
            </w:r>
          </w:p>
        </w:tc>
        <w:tc>
          <w:tcPr>
            <w:tcW w:w="3140" w:type="dxa"/>
            <w:vAlign w:val="bottom"/>
          </w:tcPr>
          <w:p>
            <w:pPr>
              <w:spacing w:after="0"/>
              <w:rPr>
                <w:sz w:val="18"/>
                <w:szCs w:val="18"/>
                <w:color w:val="auto"/>
              </w:rPr>
            </w:pPr>
          </w:p>
        </w:tc>
        <w:tc>
          <w:tcPr>
            <w:tcW w:w="3760" w:type="dxa"/>
            <w:vAlign w:val="bottom"/>
          </w:tcPr>
          <w:p>
            <w:pPr>
              <w:jc w:val="center"/>
              <w:ind w:right="28"/>
              <w:spacing w:after="0"/>
              <w:rPr>
                <w:sz w:val="20"/>
                <w:szCs w:val="20"/>
                <w:color w:val="auto"/>
              </w:rPr>
            </w:pPr>
            <w:r>
              <w:rPr>
                <w:rFonts w:ascii="Arial" w:cs="Arial" w:eastAsia="Arial" w:hAnsi="Arial"/>
                <w:sz w:val="14"/>
                <w:szCs w:val="14"/>
                <w:color w:val="auto"/>
              </w:rPr>
              <w:t>(I.R.S. Employer Identification No.)</w:t>
            </w:r>
          </w:p>
        </w:tc>
      </w:tr>
      <w:tr>
        <w:trPr>
          <w:trHeight w:val="269"/>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140" w:type="dxa"/>
            <w:vAlign w:val="bottom"/>
          </w:tcPr>
          <w:p>
            <w:pPr>
              <w:jc w:val="center"/>
              <w:ind w:right="668"/>
              <w:spacing w:after="0"/>
              <w:rPr>
                <w:sz w:val="20"/>
                <w:szCs w:val="20"/>
                <w:color w:val="auto"/>
              </w:rPr>
            </w:pPr>
            <w:r>
              <w:rPr>
                <w:rFonts w:ascii="Arial" w:cs="Arial" w:eastAsia="Arial" w:hAnsi="Arial"/>
                <w:sz w:val="14"/>
                <w:szCs w:val="14"/>
                <w:b w:val="1"/>
                <w:bCs w:val="1"/>
                <w:color w:val="auto"/>
              </w:rPr>
              <w:t>901 S. Bond Street, #600</w:t>
            </w:r>
          </w:p>
        </w:tc>
        <w:tc>
          <w:tcPr>
            <w:tcW w:w="3760" w:type="dxa"/>
            <w:vAlign w:val="bottom"/>
          </w:tcPr>
          <w:p>
            <w:pPr>
              <w:spacing w:after="0"/>
              <w:rPr>
                <w:sz w:val="23"/>
                <w:szCs w:val="23"/>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140" w:type="dxa"/>
            <w:vAlign w:val="bottom"/>
          </w:tcPr>
          <w:p>
            <w:pPr>
              <w:jc w:val="center"/>
              <w:ind w:right="688"/>
              <w:spacing w:after="0"/>
              <w:rPr>
                <w:sz w:val="20"/>
                <w:szCs w:val="20"/>
                <w:color w:val="auto"/>
              </w:rPr>
            </w:pPr>
            <w:r>
              <w:rPr>
                <w:rFonts w:ascii="Arial" w:cs="Arial" w:eastAsia="Arial" w:hAnsi="Arial"/>
                <w:sz w:val="14"/>
                <w:szCs w:val="14"/>
                <w:b w:val="1"/>
                <w:bCs w:val="1"/>
                <w:color w:val="auto"/>
              </w:rPr>
              <w:t>Baltimore, Maryland 21231</w:t>
            </w:r>
          </w:p>
        </w:tc>
        <w:tc>
          <w:tcPr>
            <w:tcW w:w="37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7640" w:type="dxa"/>
            <w:vAlign w:val="bottom"/>
            <w:gridSpan w:val="2"/>
          </w:tcPr>
          <w:p>
            <w:pPr>
              <w:jc w:val="center"/>
              <w:ind w:left="3677"/>
              <w:spacing w:after="0" w:line="144" w:lineRule="exact"/>
              <w:rPr>
                <w:sz w:val="20"/>
                <w:szCs w:val="20"/>
                <w:color w:val="auto"/>
              </w:rPr>
            </w:pPr>
            <w:r>
              <w:rPr>
                <w:rFonts w:ascii="Arial" w:cs="Arial" w:eastAsia="Arial" w:hAnsi="Arial"/>
                <w:sz w:val="14"/>
                <w:szCs w:val="14"/>
                <w:color w:val="auto"/>
              </w:rPr>
              <w:t>(Address, including zip code, of principal executive offices)</w:t>
            </w:r>
          </w:p>
        </w:tc>
        <w:tc>
          <w:tcPr>
            <w:tcW w:w="376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140" w:type="dxa"/>
            <w:vAlign w:val="bottom"/>
          </w:tcPr>
          <w:p>
            <w:pPr>
              <w:jc w:val="center"/>
              <w:ind w:right="688"/>
              <w:spacing w:after="0"/>
              <w:rPr>
                <w:sz w:val="20"/>
                <w:szCs w:val="20"/>
                <w:color w:val="auto"/>
              </w:rPr>
            </w:pPr>
            <w:r>
              <w:rPr>
                <w:rFonts w:ascii="Arial" w:cs="Arial" w:eastAsia="Arial" w:hAnsi="Arial"/>
                <w:sz w:val="14"/>
                <w:szCs w:val="14"/>
                <w:b w:val="1"/>
                <w:bCs w:val="1"/>
                <w:color w:val="auto"/>
              </w:rPr>
              <w:t>(410) 931-6000</w:t>
            </w:r>
          </w:p>
        </w:tc>
        <w:tc>
          <w:tcPr>
            <w:tcW w:w="376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640" w:type="dxa"/>
            <w:vAlign w:val="bottom"/>
            <w:gridSpan w:val="2"/>
          </w:tcPr>
          <w:p>
            <w:pPr>
              <w:jc w:val="center"/>
              <w:ind w:left="3657"/>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4"/>
                <w:szCs w:val="14"/>
                <w:color w:val="auto"/>
              </w:rPr>
            </w:pPr>
          </w:p>
        </w:tc>
      </w:tr>
      <w:tr>
        <w:trPr>
          <w:trHeight w:val="270"/>
        </w:trPr>
        <w:tc>
          <w:tcPr>
            <w:tcW w:w="45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14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4500" w:type="dxa"/>
            <w:vAlign w:val="bottom"/>
            <w:tcBorders>
              <w:bottom w:val="single" w:sz="8" w:color="auto"/>
            </w:tcBorders>
          </w:tcPr>
          <w:p>
            <w:pPr>
              <w:jc w:val="center"/>
              <w:ind w:left="497"/>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76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7"/>
        </w:trPr>
        <w:tc>
          <w:tcPr>
            <w:tcW w:w="20" w:type="dxa"/>
            <w:vAlign w:val="bottom"/>
          </w:tcPr>
          <w:p>
            <w:pPr>
              <w:spacing w:after="0"/>
              <w:rPr>
                <w:sz w:val="18"/>
                <w:szCs w:val="18"/>
                <w:color w:val="auto"/>
              </w:rPr>
            </w:pPr>
          </w:p>
        </w:tc>
        <w:tc>
          <w:tcPr>
            <w:tcW w:w="4500" w:type="dxa"/>
            <w:vAlign w:val="bottom"/>
          </w:tcPr>
          <w:p>
            <w:pPr>
              <w:jc w:val="center"/>
              <w:ind w:left="497"/>
              <w:spacing w:after="0"/>
              <w:rPr>
                <w:sz w:val="20"/>
                <w:szCs w:val="20"/>
                <w:color w:val="auto"/>
              </w:rPr>
            </w:pPr>
            <w:r>
              <w:rPr>
                <w:rFonts w:ascii="Arial" w:cs="Arial" w:eastAsia="Arial" w:hAnsi="Arial"/>
                <w:sz w:val="14"/>
                <w:szCs w:val="14"/>
                <w:color w:val="auto"/>
              </w:rPr>
              <w:t>Class A common stock, par value $0.0001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WSC</w:t>
            </w:r>
          </w:p>
        </w:tc>
        <w:tc>
          <w:tcPr>
            <w:tcW w:w="3760" w:type="dxa"/>
            <w:vAlign w:val="bottom"/>
          </w:tcPr>
          <w:p>
            <w:pPr>
              <w:jc w:val="center"/>
              <w:ind w:right="528"/>
              <w:spacing w:after="0"/>
              <w:rPr>
                <w:sz w:val="20"/>
                <w:szCs w:val="20"/>
                <w:color w:val="auto"/>
              </w:rPr>
            </w:pPr>
            <w:r>
              <w:rPr>
                <w:rFonts w:ascii="Arial" w:cs="Arial" w:eastAsia="Arial" w:hAnsi="Arial"/>
                <w:sz w:val="14"/>
                <w:szCs w:val="14"/>
                <w:color w:val="auto"/>
              </w:rPr>
              <w:t>The Nasdaq Capital Market</w:t>
            </w:r>
          </w:p>
        </w:tc>
      </w:tr>
      <w:tr>
        <w:trPr>
          <w:trHeight w:val="203"/>
        </w:trPr>
        <w:tc>
          <w:tcPr>
            <w:tcW w:w="20" w:type="dxa"/>
            <w:vAlign w:val="bottom"/>
          </w:tcPr>
          <w:p>
            <w:pPr>
              <w:spacing w:after="0"/>
              <w:rPr>
                <w:sz w:val="17"/>
                <w:szCs w:val="17"/>
                <w:color w:val="auto"/>
              </w:rPr>
            </w:pPr>
          </w:p>
        </w:tc>
        <w:tc>
          <w:tcPr>
            <w:tcW w:w="4500" w:type="dxa"/>
            <w:vAlign w:val="bottom"/>
          </w:tcPr>
          <w:p>
            <w:pPr>
              <w:jc w:val="center"/>
              <w:ind w:left="497"/>
              <w:spacing w:after="0"/>
              <w:rPr>
                <w:sz w:val="20"/>
                <w:szCs w:val="20"/>
                <w:color w:val="auto"/>
              </w:rPr>
            </w:pPr>
            <w:r>
              <w:rPr>
                <w:rFonts w:ascii="Arial" w:cs="Arial" w:eastAsia="Arial" w:hAnsi="Arial"/>
                <w:sz w:val="14"/>
                <w:szCs w:val="14"/>
                <w:color w:val="auto"/>
              </w:rPr>
              <w:t>Warrants to purchase Class A common stock(1)</w:t>
            </w:r>
          </w:p>
        </w:tc>
        <w:tc>
          <w:tcPr>
            <w:tcW w:w="3140" w:type="dxa"/>
            <w:vAlign w:val="bottom"/>
          </w:tcPr>
          <w:p>
            <w:pPr>
              <w:jc w:val="center"/>
              <w:spacing w:after="0"/>
              <w:rPr>
                <w:sz w:val="20"/>
                <w:szCs w:val="20"/>
                <w:color w:val="auto"/>
              </w:rPr>
            </w:pPr>
            <w:r>
              <w:rPr>
                <w:rFonts w:ascii="Arial" w:cs="Arial" w:eastAsia="Arial" w:hAnsi="Arial"/>
                <w:sz w:val="14"/>
                <w:szCs w:val="14"/>
                <w:color w:val="auto"/>
              </w:rPr>
              <w:t>WSCWW</w:t>
            </w:r>
          </w:p>
        </w:tc>
        <w:tc>
          <w:tcPr>
            <w:tcW w:w="3760" w:type="dxa"/>
            <w:vAlign w:val="bottom"/>
          </w:tcPr>
          <w:p>
            <w:pPr>
              <w:jc w:val="center"/>
              <w:ind w:right="528"/>
              <w:spacing w:after="0"/>
              <w:rPr>
                <w:sz w:val="20"/>
                <w:szCs w:val="20"/>
                <w:color w:val="auto"/>
              </w:rPr>
            </w:pPr>
            <w:r>
              <w:rPr>
                <w:rFonts w:ascii="Arial" w:cs="Arial" w:eastAsia="Arial" w:hAnsi="Arial"/>
                <w:sz w:val="14"/>
                <w:szCs w:val="14"/>
                <w:color w:val="auto"/>
              </w:rPr>
              <w:t>OTC Markets Group Inc.</w:t>
            </w:r>
          </w:p>
        </w:tc>
      </w:tr>
      <w:tr>
        <w:trPr>
          <w:trHeight w:val="216"/>
        </w:trPr>
        <w:tc>
          <w:tcPr>
            <w:tcW w:w="20" w:type="dxa"/>
            <w:vAlign w:val="bottom"/>
          </w:tcPr>
          <w:p>
            <w:pPr>
              <w:spacing w:after="0"/>
              <w:rPr>
                <w:sz w:val="18"/>
                <w:szCs w:val="18"/>
                <w:color w:val="auto"/>
              </w:rPr>
            </w:pPr>
          </w:p>
        </w:tc>
        <w:tc>
          <w:tcPr>
            <w:tcW w:w="4500" w:type="dxa"/>
            <w:vAlign w:val="bottom"/>
          </w:tcPr>
          <w:p>
            <w:pPr>
              <w:jc w:val="center"/>
              <w:ind w:left="497"/>
              <w:spacing w:after="0"/>
              <w:rPr>
                <w:sz w:val="20"/>
                <w:szCs w:val="20"/>
                <w:color w:val="auto"/>
              </w:rPr>
            </w:pPr>
            <w:r>
              <w:rPr>
                <w:rFonts w:ascii="Arial" w:cs="Arial" w:eastAsia="Arial" w:hAnsi="Arial"/>
                <w:sz w:val="14"/>
                <w:szCs w:val="14"/>
                <w:color w:val="auto"/>
              </w:rPr>
              <w:t>Warrants to purchase Class A common stock(2)</w:t>
            </w:r>
          </w:p>
        </w:tc>
        <w:tc>
          <w:tcPr>
            <w:tcW w:w="3140" w:type="dxa"/>
            <w:vAlign w:val="bottom"/>
          </w:tcPr>
          <w:p>
            <w:pPr>
              <w:jc w:val="center"/>
              <w:spacing w:after="0"/>
              <w:rPr>
                <w:sz w:val="20"/>
                <w:szCs w:val="20"/>
                <w:color w:val="auto"/>
              </w:rPr>
            </w:pPr>
            <w:r>
              <w:rPr>
                <w:rFonts w:ascii="Arial" w:cs="Arial" w:eastAsia="Arial" w:hAnsi="Arial"/>
                <w:sz w:val="14"/>
                <w:szCs w:val="14"/>
                <w:color w:val="auto"/>
              </w:rPr>
              <w:t>WSCTW</w:t>
            </w:r>
          </w:p>
        </w:tc>
        <w:tc>
          <w:tcPr>
            <w:tcW w:w="3760" w:type="dxa"/>
            <w:vAlign w:val="bottom"/>
          </w:tcPr>
          <w:p>
            <w:pPr>
              <w:jc w:val="center"/>
              <w:ind w:right="528"/>
              <w:spacing w:after="0"/>
              <w:rPr>
                <w:sz w:val="20"/>
                <w:szCs w:val="20"/>
                <w:color w:val="auto"/>
              </w:rPr>
            </w:pPr>
            <w:r>
              <w:rPr>
                <w:rFonts w:ascii="Arial" w:cs="Arial" w:eastAsia="Arial" w:hAnsi="Arial"/>
                <w:sz w:val="14"/>
                <w:szCs w:val="14"/>
                <w:color w:val="auto"/>
              </w:rPr>
              <w:t>OTC Markets Group Inc.</w:t>
            </w:r>
          </w:p>
        </w:tc>
      </w:tr>
    </w:tbl>
    <w:p>
      <w:pPr>
        <w:spacing w:after="0" w:line="114" w:lineRule="exact"/>
        <w:rPr>
          <w:sz w:val="24"/>
          <w:szCs w:val="24"/>
          <w:color w:val="auto"/>
        </w:rPr>
      </w:pPr>
    </w:p>
    <w:p>
      <w:pPr>
        <w:ind w:firstLine="8"/>
        <w:spacing w:after="0" w:line="216" w:lineRule="auto"/>
        <w:tabs>
          <w:tab w:leader="none" w:pos="193"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Issued in connection with the initial public offering of Double Eagle Acquisition Corp., the registrant’s legal predecessor company, in September 2015, which are exercisable for one-half of one share of the registrant’s Class A common stock for an exercise price of $5.75.</w:t>
      </w:r>
    </w:p>
    <w:p>
      <w:pPr>
        <w:spacing w:after="0" w:line="1" w:lineRule="exact"/>
        <w:rPr>
          <w:rFonts w:ascii="Arial" w:cs="Arial" w:eastAsia="Arial" w:hAnsi="Arial"/>
          <w:sz w:val="13"/>
          <w:szCs w:val="13"/>
          <w:color w:val="auto"/>
        </w:rPr>
      </w:pPr>
    </w:p>
    <w:p>
      <w:pPr>
        <w:ind w:firstLine="8"/>
        <w:spacing w:after="0" w:line="230" w:lineRule="auto"/>
        <w:tabs>
          <w:tab w:leader="none" w:pos="193"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Issued in connection with the registrant’s acquisition of Modular Space Holdings, Inc. in August 2018, which are exercisable for one share of the registrant’s Class A common stock at an exercise price of $15.50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63" w:lineRule="exact"/>
        <w:rPr>
          <w:sz w:val="24"/>
          <w:szCs w:val="24"/>
          <w:color w:val="auto"/>
        </w:rPr>
      </w:pPr>
    </w:p>
    <w:p>
      <w:pPr>
        <w:ind w:firstLine="648"/>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180" w:hanging="172"/>
        <w:spacing w:after="0" w:line="161" w:lineRule="exact"/>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0"/>
          <w:szCs w:val="20"/>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108,751,354 shares at October 31, 2019.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3"/>
          <w:szCs w:val="23"/>
          <w:b w:val="1"/>
          <w:bCs w:val="1"/>
          <w:color w:val="008A5F"/>
        </w:rPr>
        <w:t>WILLSCOT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Table of Contents</w:t>
      </w:r>
    </w:p>
    <w:p>
      <w:pPr>
        <w:spacing w:after="0" w:line="267" w:lineRule="exact"/>
        <w:rPr>
          <w:sz w:val="20"/>
          <w:szCs w:val="20"/>
          <w:color w:val="auto"/>
        </w:rPr>
      </w:pPr>
    </w:p>
    <w:p>
      <w:pPr>
        <w:ind w:left="2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3773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20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4">
        <w:r>
          <w:rPr>
            <w:rFonts w:ascii="Arial" w:cs="Arial" w:eastAsia="Arial" w:hAnsi="Arial"/>
            <w:sz w:val="16"/>
            <w:szCs w:val="16"/>
            <w:color w:val="auto"/>
          </w:rPr>
          <w:t>Item 1</w:t>
        </w:r>
      </w:hyperlink>
      <w:r>
        <w:rPr>
          <w:rFonts w:ascii="Arial" w:cs="Arial" w:eastAsia="Arial" w:hAnsi="Arial"/>
          <w:sz w:val="16"/>
          <w:szCs w:val="16"/>
          <w:color w:val="auto"/>
        </w:rPr>
        <w:tab/>
      </w:r>
      <w:hyperlink w:anchor="page4">
        <w:r>
          <w:rPr>
            <w:rFonts w:ascii="Arial" w:cs="Arial" w:eastAsia="Arial" w:hAnsi="Arial"/>
            <w:sz w:val="16"/>
            <w:szCs w:val="16"/>
            <w:color w:val="auto"/>
          </w:rPr>
          <w:t>Financial Statements (unaudited, except as noted below)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1260"/>
        <w:spacing w:after="0"/>
        <w:rPr>
          <w:rFonts w:ascii="Arial" w:cs="Arial" w:eastAsia="Arial" w:hAnsi="Arial"/>
          <w:sz w:val="16"/>
          <w:szCs w:val="16"/>
          <w:color w:val="auto"/>
        </w:rPr>
      </w:pPr>
      <w:hyperlink w:anchor="page4">
        <w:r>
          <w:rPr>
            <w:rFonts w:ascii="Arial" w:cs="Arial" w:eastAsia="Arial" w:hAnsi="Arial"/>
            <w:sz w:val="16"/>
            <w:szCs w:val="16"/>
            <w:color w:val="auto"/>
          </w:rPr>
          <w:t xml:space="preserve">Condensed Consolidated Balance Sheets as of September 30, 2019 and December 31, 2018 </w:t>
        </w:r>
      </w:hyperlink>
      <w:r>
        <w:rPr>
          <w:rFonts w:ascii="Arial" w:cs="Arial" w:eastAsia="Arial" w:hAnsi="Arial"/>
          <w:sz w:val="16"/>
          <w:szCs w:val="16"/>
          <w:color w:val="auto"/>
        </w:rPr>
        <w:t>(audited)</w:t>
      </w:r>
    </w:p>
    <w:p>
      <w:pPr>
        <w:spacing w:after="0" w:line="208" w:lineRule="exact"/>
        <w:rPr>
          <w:sz w:val="20"/>
          <w:szCs w:val="20"/>
          <w:color w:val="auto"/>
        </w:rPr>
      </w:pPr>
    </w:p>
    <w:p>
      <w:pPr>
        <w:ind w:left="1260" w:right="700"/>
        <w:spacing w:after="0" w:line="510" w:lineRule="auto"/>
        <w:rPr>
          <w:rFonts w:ascii="Arial" w:cs="Arial" w:eastAsia="Arial" w:hAnsi="Arial"/>
          <w:sz w:val="16"/>
          <w:szCs w:val="16"/>
          <w:color w:val="auto"/>
        </w:rPr>
      </w:pPr>
      <w:hyperlink w:anchor="page4">
        <w:r>
          <w:rPr>
            <w:rFonts w:ascii="Arial" w:cs="Arial" w:eastAsia="Arial" w:hAnsi="Arial"/>
            <w:sz w:val="16"/>
            <w:szCs w:val="16"/>
            <w:color w:val="auto"/>
          </w:rPr>
          <w:t>Condensed Consolidated Statements of Operations for the Three and Nine Months Ended September 30, 2019 and 2018</w:t>
        </w:r>
      </w:hyperlink>
      <w:r>
        <w:rPr>
          <w:rFonts w:ascii="Arial" w:cs="Arial" w:eastAsia="Arial" w:hAnsi="Arial"/>
          <w:sz w:val="16"/>
          <w:szCs w:val="16"/>
          <w:color w:val="auto"/>
        </w:rPr>
        <w:t xml:space="preserve"> </w:t>
      </w:r>
      <w:hyperlink w:anchor="page5">
        <w:r>
          <w:rPr>
            <w:rFonts w:ascii="Arial" w:cs="Arial" w:eastAsia="Arial" w:hAnsi="Arial"/>
            <w:sz w:val="16"/>
            <w:szCs w:val="16"/>
            <w:color w:val="auto"/>
          </w:rPr>
          <w:t>Condensed Consolidated Statements of Comprehensive Loss for the Three and Nine Months Ended September 30,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3773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ind w:left="1260" w:right="1000"/>
        <w:spacing w:after="0" w:line="295" w:lineRule="auto"/>
        <w:rPr>
          <w:rFonts w:ascii="Arial" w:cs="Arial" w:eastAsia="Arial" w:hAnsi="Arial"/>
          <w:sz w:val="16"/>
          <w:szCs w:val="16"/>
          <w:color w:val="auto"/>
        </w:rPr>
      </w:pPr>
      <w:hyperlink w:anchor="page6">
        <w:r>
          <w:rPr>
            <w:rFonts w:ascii="Arial" w:cs="Arial" w:eastAsia="Arial" w:hAnsi="Arial"/>
            <w:sz w:val="16"/>
            <w:szCs w:val="16"/>
            <w:color w:val="auto"/>
          </w:rPr>
          <w:t>Condensed Consolidated Statement of Changes in Equity for the Three and Nine Months Ended September 30, 2019 and 2018</w:t>
        </w:r>
      </w:hyperlink>
      <w:r>
        <w:rPr>
          <w:rFonts w:ascii="Arial" w:cs="Arial" w:eastAsia="Arial" w:hAnsi="Arial"/>
          <w:sz w:val="16"/>
          <w:szCs w:val="16"/>
          <w:color w:val="auto"/>
        </w:rPr>
        <w:t xml:space="preserve"> </w:t>
      </w:r>
      <w:hyperlink w:anchor="page8">
        <w:r>
          <w:rPr>
            <w:rFonts w:ascii="Arial" w:cs="Arial" w:eastAsia="Arial" w:hAnsi="Arial"/>
            <w:sz w:val="16"/>
            <w:szCs w:val="16"/>
            <w:color w:val="auto"/>
          </w:rPr>
          <w:t>Condensed Consolidated Statements of Cash Flows for the Nine Months Ended September 30,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3773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35" w:lineRule="exact"/>
        <w:rPr>
          <w:sz w:val="20"/>
          <w:szCs w:val="20"/>
          <w:color w:val="auto"/>
        </w:rPr>
      </w:pPr>
    </w:p>
    <w:p>
      <w:pPr>
        <w:ind w:left="1260"/>
        <w:spacing w:after="0"/>
        <w:rPr>
          <w:rFonts w:ascii="Arial" w:cs="Arial" w:eastAsia="Arial" w:hAnsi="Arial"/>
          <w:sz w:val="16"/>
          <w:szCs w:val="16"/>
          <w:color w:val="auto"/>
        </w:rPr>
      </w:pPr>
      <w:hyperlink w:anchor="page9">
        <w:r>
          <w:rPr>
            <w:rFonts w:ascii="Arial" w:cs="Arial" w:eastAsia="Arial" w:hAnsi="Arial"/>
            <w:sz w:val="16"/>
            <w:szCs w:val="16"/>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32">
        <w:r>
          <w:rPr>
            <w:rFonts w:ascii="Arial" w:cs="Arial" w:eastAsia="Arial" w:hAnsi="Arial"/>
            <w:sz w:val="16"/>
            <w:szCs w:val="16"/>
            <w:color w:val="auto"/>
          </w:rPr>
          <w:t>Item 2</w:t>
        </w:r>
      </w:hyperlink>
      <w:r>
        <w:rPr>
          <w:rFonts w:ascii="Arial" w:cs="Arial" w:eastAsia="Arial" w:hAnsi="Arial"/>
          <w:sz w:val="16"/>
          <w:szCs w:val="16"/>
          <w:color w:val="auto"/>
        </w:rPr>
        <w:tab/>
      </w:r>
      <w:hyperlink w:anchor="page32">
        <w:r>
          <w:rPr>
            <w:rFonts w:ascii="Arial" w:cs="Arial" w:eastAsia="Arial" w:hAnsi="Arial"/>
            <w:sz w:val="16"/>
            <w:szCs w:val="16"/>
            <w:color w:val="auto"/>
          </w:rPr>
          <w:t>Management’s Discussion and Analysis of Financial Condition and Results of Operations</w:t>
        </w:r>
      </w:hyperlink>
    </w:p>
    <w:p>
      <w:pPr>
        <w:spacing w:after="0" w:line="20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50">
        <w:r>
          <w:rPr>
            <w:rFonts w:ascii="Arial" w:cs="Arial" w:eastAsia="Arial" w:hAnsi="Arial"/>
            <w:sz w:val="16"/>
            <w:szCs w:val="16"/>
            <w:color w:val="auto"/>
          </w:rPr>
          <w:t>Item 3</w:t>
        </w:r>
      </w:hyperlink>
      <w:r>
        <w:rPr>
          <w:rFonts w:ascii="Arial" w:cs="Arial" w:eastAsia="Arial" w:hAnsi="Arial"/>
          <w:sz w:val="16"/>
          <w:szCs w:val="16"/>
          <w:color w:val="auto"/>
        </w:rPr>
        <w:tab/>
      </w:r>
      <w:hyperlink w:anchor="page50">
        <w:r>
          <w:rPr>
            <w:rFonts w:ascii="Arial" w:cs="Arial" w:eastAsia="Arial" w:hAnsi="Arial"/>
            <w:sz w:val="16"/>
            <w:szCs w:val="16"/>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50">
        <w:r>
          <w:rPr>
            <w:rFonts w:ascii="Arial" w:cs="Arial" w:eastAsia="Arial" w:hAnsi="Arial"/>
            <w:sz w:val="16"/>
            <w:szCs w:val="16"/>
            <w:color w:val="auto"/>
          </w:rPr>
          <w:t>Item 4</w:t>
        </w:r>
      </w:hyperlink>
      <w:r>
        <w:rPr>
          <w:rFonts w:ascii="Arial" w:cs="Arial" w:eastAsia="Arial" w:hAnsi="Arial"/>
          <w:sz w:val="16"/>
          <w:szCs w:val="16"/>
          <w:color w:val="auto"/>
        </w:rPr>
        <w:tab/>
      </w:r>
      <w:hyperlink w:anchor="page50">
        <w:r>
          <w:rPr>
            <w:rFonts w:ascii="Arial" w:cs="Arial" w:eastAsia="Arial" w:hAnsi="Arial"/>
            <w:sz w:val="16"/>
            <w:szCs w:val="16"/>
            <w:color w:val="auto"/>
          </w:rPr>
          <w:t>Controls and Procedures</w:t>
        </w:r>
      </w:hyperlink>
    </w:p>
    <w:p>
      <w:pPr>
        <w:spacing w:after="0" w:line="188" w:lineRule="exact"/>
        <w:rPr>
          <w:sz w:val="20"/>
          <w:szCs w:val="20"/>
          <w:color w:val="auto"/>
        </w:rPr>
      </w:pPr>
    </w:p>
    <w:p>
      <w:pPr>
        <w:ind w:left="20"/>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shd w:val="clear" w:color="auto" w:fill="E7E7E8"/>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1</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Legal Proceedings</w:t>
              </w:r>
            </w:hyperlink>
          </w:p>
        </w:tc>
      </w:tr>
      <w:tr>
        <w:trPr>
          <w:trHeight w:val="177"/>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0"/>
        </w:trPr>
        <w:tc>
          <w:tcPr>
            <w:tcW w:w="1040" w:type="dxa"/>
            <w:vAlign w:val="bottom"/>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1A</w:t>
              </w:r>
            </w:hyperlink>
          </w:p>
        </w:tc>
        <w:tc>
          <w:tcPr>
            <w:tcW w:w="10360" w:type="dxa"/>
            <w:vAlign w:val="bottom"/>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Risk Factors</w:t>
              </w:r>
            </w:hyperlink>
          </w:p>
        </w:tc>
      </w:tr>
      <w:tr>
        <w:trPr>
          <w:trHeight w:val="182"/>
        </w:trPr>
        <w:tc>
          <w:tcPr>
            <w:tcW w:w="104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210"/>
        </w:trPr>
        <w:tc>
          <w:tcPr>
            <w:tcW w:w="1040" w:type="dxa"/>
            <w:vAlign w:val="bottom"/>
            <w:shd w:val="clear" w:color="auto" w:fill="E7E7E8"/>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2</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Unregistered Sales of Equity Securities and Use of Proceeds</w:t>
              </w:r>
            </w:hyperlink>
          </w:p>
        </w:tc>
      </w:tr>
      <w:tr>
        <w:trPr>
          <w:trHeight w:val="182"/>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0"/>
        </w:trPr>
        <w:tc>
          <w:tcPr>
            <w:tcW w:w="1040" w:type="dxa"/>
            <w:vAlign w:val="bottom"/>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3</w:t>
              </w:r>
            </w:hyperlink>
          </w:p>
        </w:tc>
        <w:tc>
          <w:tcPr>
            <w:tcW w:w="10360" w:type="dxa"/>
            <w:vAlign w:val="bottom"/>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Defaults Upon Senior Securities</w:t>
              </w:r>
            </w:hyperlink>
          </w:p>
        </w:tc>
      </w:tr>
      <w:tr>
        <w:trPr>
          <w:trHeight w:val="182"/>
        </w:trPr>
        <w:tc>
          <w:tcPr>
            <w:tcW w:w="104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210"/>
        </w:trPr>
        <w:tc>
          <w:tcPr>
            <w:tcW w:w="1040" w:type="dxa"/>
            <w:vAlign w:val="bottom"/>
            <w:shd w:val="clear" w:color="auto" w:fill="E7E7E8"/>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4</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Mine Safety Disclosures</w:t>
              </w:r>
            </w:hyperlink>
          </w:p>
        </w:tc>
      </w:tr>
      <w:tr>
        <w:trPr>
          <w:trHeight w:val="182"/>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0"/>
        </w:trPr>
        <w:tc>
          <w:tcPr>
            <w:tcW w:w="1040" w:type="dxa"/>
            <w:vAlign w:val="bottom"/>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5</w:t>
              </w:r>
            </w:hyperlink>
          </w:p>
        </w:tc>
        <w:tc>
          <w:tcPr>
            <w:tcW w:w="10360" w:type="dxa"/>
            <w:vAlign w:val="bottom"/>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Other Information</w:t>
              </w:r>
            </w:hyperlink>
          </w:p>
        </w:tc>
      </w:tr>
      <w:tr>
        <w:trPr>
          <w:trHeight w:val="182"/>
        </w:trPr>
        <w:tc>
          <w:tcPr>
            <w:tcW w:w="104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210"/>
        </w:trPr>
        <w:tc>
          <w:tcPr>
            <w:tcW w:w="1040" w:type="dxa"/>
            <w:vAlign w:val="bottom"/>
            <w:shd w:val="clear" w:color="auto" w:fill="E7E7E8"/>
          </w:tcPr>
          <w:p>
            <w:pPr>
              <w:ind w:left="220"/>
              <w:spacing w:after="0"/>
              <w:rPr>
                <w:rFonts w:ascii="Arial" w:cs="Arial" w:eastAsia="Arial" w:hAnsi="Arial"/>
                <w:sz w:val="16"/>
                <w:szCs w:val="16"/>
                <w:color w:val="auto"/>
              </w:rPr>
            </w:pPr>
            <w:hyperlink w:anchor="page51">
              <w:r>
                <w:rPr>
                  <w:rFonts w:ascii="Arial" w:cs="Arial" w:eastAsia="Arial" w:hAnsi="Arial"/>
                  <w:sz w:val="16"/>
                  <w:szCs w:val="16"/>
                  <w:color w:val="auto"/>
                </w:rPr>
                <w:t>Item 6</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1">
              <w:r>
                <w:rPr>
                  <w:rFonts w:ascii="Arial" w:cs="Arial" w:eastAsia="Arial" w:hAnsi="Arial"/>
                  <w:sz w:val="16"/>
                  <w:szCs w:val="16"/>
                  <w:color w:val="auto"/>
                </w:rPr>
                <w:t>Exhibits</w:t>
              </w:r>
            </w:hyperlink>
          </w:p>
        </w:tc>
      </w:tr>
      <w:tr>
        <w:trPr>
          <w:trHeight w:val="182"/>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5"/>
        </w:trPr>
        <w:tc>
          <w:tcPr>
            <w:tcW w:w="1040" w:type="dxa"/>
            <w:vAlign w:val="bottom"/>
          </w:tcPr>
          <w:p>
            <w:pPr>
              <w:ind w:left="20"/>
              <w:spacing w:after="0"/>
              <w:rPr>
                <w:rFonts w:ascii="Arial" w:cs="Arial" w:eastAsia="Arial" w:hAnsi="Arial"/>
                <w:sz w:val="16"/>
                <w:szCs w:val="16"/>
                <w:b w:val="1"/>
                <w:bCs w:val="1"/>
                <w:color w:val="auto"/>
              </w:rPr>
            </w:pPr>
            <w:hyperlink w:anchor="page52">
              <w:r>
                <w:rPr>
                  <w:rFonts w:ascii="Arial" w:cs="Arial" w:eastAsia="Arial" w:hAnsi="Arial"/>
                  <w:sz w:val="16"/>
                  <w:szCs w:val="16"/>
                  <w:b w:val="1"/>
                  <w:bCs w:val="1"/>
                  <w:color w:val="auto"/>
                </w:rPr>
                <w:t>SIGNATURE</w:t>
              </w:r>
            </w:hyperlink>
          </w:p>
        </w:tc>
        <w:tc>
          <w:tcPr>
            <w:tcW w:w="10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8" w:right="259" w:bottom="1440" w:gutter="0" w:footer="0" w:header="0"/>
        </w:sectPr>
      </w:pPr>
    </w:p>
    <w:bookmarkStart w:id="3" w:name="page4"/>
    <w:bookmarkEnd w:id="3"/>
    <w:p>
      <w:pPr>
        <w:ind w:left="5080"/>
        <w:spacing w:after="0"/>
        <w:rPr>
          <w:sz w:val="20"/>
          <w:szCs w:val="20"/>
          <w:color w:val="auto"/>
        </w:rPr>
      </w:pPr>
      <w:r>
        <w:rPr>
          <w:rFonts w:ascii="Arial" w:cs="Arial" w:eastAsia="Arial" w:hAnsi="Arial"/>
          <w:sz w:val="40"/>
          <w:szCs w:val="40"/>
          <w:b w:val="1"/>
          <w:bCs w:val="1"/>
          <w:color w:val="008A5F"/>
        </w:rPr>
        <w:t>PART I</w:t>
      </w:r>
    </w:p>
    <w:p>
      <w:pPr>
        <w:spacing w:after="0" w:line="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Financial Statements</w:t>
      </w: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000" w:type="dxa"/>
            <w:vAlign w:val="bottom"/>
            <w:shd w:val="clear" w:color="auto" w:fill="008A5F"/>
          </w:tcPr>
          <w:p>
            <w:pPr>
              <w:spacing w:after="0"/>
              <w:rPr>
                <w:sz w:val="16"/>
                <w:szCs w:val="16"/>
                <w:color w:val="auto"/>
              </w:rPr>
            </w:pPr>
          </w:p>
        </w:tc>
        <w:tc>
          <w:tcPr>
            <w:tcW w:w="1760" w:type="dxa"/>
            <w:vAlign w:val="bottom"/>
            <w:gridSpan w:val="3"/>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September 30, 2019</w:t>
            </w:r>
          </w:p>
        </w:tc>
        <w:tc>
          <w:tcPr>
            <w:tcW w:w="420" w:type="dxa"/>
            <w:vAlign w:val="bottom"/>
            <w:shd w:val="clear" w:color="auto" w:fill="008A5F"/>
          </w:tcPr>
          <w:p>
            <w:pPr>
              <w:spacing w:after="0"/>
              <w:rPr>
                <w:sz w:val="16"/>
                <w:szCs w:val="16"/>
                <w:color w:val="auto"/>
              </w:rPr>
            </w:pPr>
          </w:p>
        </w:tc>
        <w:tc>
          <w:tcPr>
            <w:tcW w:w="1220" w:type="dxa"/>
            <w:vAlign w:val="bottom"/>
            <w:shd w:val="clear" w:color="auto" w:fill="008A5F"/>
          </w:tcPr>
          <w:p>
            <w:pPr>
              <w:spacing w:after="0"/>
              <w:rPr>
                <w:sz w:val="16"/>
                <w:szCs w:val="16"/>
                <w:color w:val="auto"/>
              </w:rPr>
            </w:pPr>
          </w:p>
        </w:tc>
      </w:tr>
      <w:tr>
        <w:trPr>
          <w:trHeight w:val="234"/>
        </w:trPr>
        <w:tc>
          <w:tcPr>
            <w:tcW w:w="80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4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jc w:val="center"/>
              <w:ind w:right="360"/>
              <w:spacing w:after="0"/>
              <w:rPr>
                <w:sz w:val="20"/>
                <w:szCs w:val="20"/>
                <w:color w:val="auto"/>
              </w:rPr>
            </w:pPr>
            <w:r>
              <w:rPr>
                <w:rFonts w:ascii="Arial" w:cs="Arial" w:eastAsia="Arial" w:hAnsi="Arial"/>
                <w:sz w:val="16"/>
                <w:szCs w:val="16"/>
                <w:b w:val="1"/>
                <w:bCs w:val="1"/>
                <w:color w:val="FFFFFF"/>
              </w:rPr>
              <w:t>(unaudited)</w:t>
            </w:r>
          </w:p>
        </w:tc>
        <w:tc>
          <w:tcPr>
            <w:tcW w:w="164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8,958</w:t>
            </w:r>
          </w:p>
        </w:tc>
      </w:tr>
      <w:tr>
        <w:trPr>
          <w:trHeight w:val="187"/>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 net of allowances for doubtful accounts at September 30, 2019 and December 31, 2018</w:t>
            </w:r>
          </w:p>
        </w:tc>
        <w:tc>
          <w:tcPr>
            <w:tcW w:w="240" w:type="dxa"/>
            <w:vAlign w:val="bottom"/>
            <w:shd w:val="clear" w:color="auto" w:fill="E7E7E8"/>
          </w:tcPr>
          <w:p>
            <w:pPr>
              <w:spacing w:after="0"/>
              <w:rPr>
                <w:sz w:val="16"/>
                <w:szCs w:val="16"/>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250,488</w:t>
            </w:r>
          </w:p>
        </w:tc>
        <w:tc>
          <w:tcPr>
            <w:tcW w:w="120" w:type="dxa"/>
            <w:vAlign w:val="bottom"/>
            <w:shd w:val="clear" w:color="auto" w:fill="E7E7E8"/>
          </w:tcPr>
          <w:p>
            <w:pPr>
              <w:spacing w:after="0"/>
              <w:rPr>
                <w:sz w:val="16"/>
                <w:szCs w:val="16"/>
                <w:color w:val="auto"/>
              </w:rPr>
            </w:pPr>
          </w:p>
        </w:tc>
        <w:tc>
          <w:tcPr>
            <w:tcW w:w="420" w:type="dxa"/>
            <w:vAlign w:val="bottom"/>
            <w:shd w:val="clear" w:color="auto" w:fill="E7E7E8"/>
          </w:tcPr>
          <w:p>
            <w:pPr>
              <w:spacing w:after="0"/>
              <w:rPr>
                <w:sz w:val="16"/>
                <w:szCs w:val="16"/>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206,502</w:t>
            </w:r>
          </w:p>
        </w:tc>
      </w:tr>
      <w:tr>
        <w:trPr>
          <w:trHeight w:val="20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of $15,113 and $9,340, respectively</w:t>
            </w:r>
          </w:p>
        </w:tc>
        <w:tc>
          <w:tcPr>
            <w:tcW w:w="24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15,956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16,218</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24,684</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21,828</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9,155</w:t>
            </w:r>
          </w:p>
        </w:tc>
        <w:tc>
          <w:tcPr>
            <w:tcW w:w="12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2,841</w:t>
            </w: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304,234</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256,347</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1,952,829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1,929,290</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186,956</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183,750</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234,597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247,017</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128,103</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131,801</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4,641</w:t>
            </w:r>
          </w:p>
        </w:tc>
        <w:tc>
          <w:tcPr>
            <w:tcW w:w="12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4,280</w:t>
            </w: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long-term assets</w:t>
            </w:r>
          </w:p>
        </w:tc>
        <w:tc>
          <w:tcPr>
            <w:tcW w:w="24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2,507,126</w:t>
            </w:r>
          </w:p>
        </w:tc>
        <w:tc>
          <w:tcPr>
            <w:tcW w:w="12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2,496,138</w:t>
            </w: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2,811,360</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2,752,485</w:t>
            </w:r>
          </w:p>
        </w:tc>
      </w:tr>
      <w:tr>
        <w:trPr>
          <w:trHeight w:val="21"/>
        </w:trPr>
        <w:tc>
          <w:tcPr>
            <w:tcW w:w="800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101,532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90,353</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96,395</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84,696</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13,386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20,237</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87,702</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71,778</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1,959</w:t>
            </w: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301,040</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269,023</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1,710,160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1,674,540</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67,583</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67,384</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11,265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7,723</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37,373</w:t>
            </w:r>
          </w:p>
        </w:tc>
        <w:tc>
          <w:tcPr>
            <w:tcW w:w="12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31,618</w:t>
            </w:r>
          </w:p>
        </w:tc>
      </w:tr>
      <w:tr>
        <w:trPr>
          <w:trHeight w:val="230"/>
        </w:trPr>
        <w:tc>
          <w:tcPr>
            <w:tcW w:w="8000" w:type="dxa"/>
            <w:vAlign w:val="bottom"/>
            <w:tcBorders>
              <w:bottom w:val="single" w:sz="8" w:color="E7E7E8"/>
            </w:tcBorders>
          </w:tcPr>
          <w:p>
            <w:pPr>
              <w:ind w:left="420"/>
              <w:spacing w:after="0"/>
              <w:rPr>
                <w:sz w:val="20"/>
                <w:szCs w:val="20"/>
                <w:color w:val="auto"/>
              </w:rPr>
            </w:pPr>
            <w:r>
              <w:rPr>
                <w:rFonts w:ascii="Arial" w:cs="Arial" w:eastAsia="Arial" w:hAnsi="Arial"/>
                <w:sz w:val="16"/>
                <w:szCs w:val="16"/>
                <w:color w:val="auto"/>
              </w:rPr>
              <w:t>Long-term liabilities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1,826,381</w:t>
            </w:r>
          </w:p>
        </w:tc>
        <w:tc>
          <w:tcPr>
            <w:tcW w:w="12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1,781,265</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2,127,421</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2,050,288</w:t>
            </w: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15)</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723773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34290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p>
      <w:pPr>
        <w:spacing w:after="0" w:line="35" w:lineRule="exact"/>
        <w:rPr>
          <w:sz w:val="20"/>
          <w:szCs w:val="20"/>
          <w:color w:val="auto"/>
        </w:rPr>
      </w:pPr>
    </w:p>
    <w:p>
      <w:pPr>
        <w:ind w:left="240" w:right="640"/>
        <w:spacing w:after="0" w:line="225" w:lineRule="auto"/>
        <w:rPr>
          <w:sz w:val="20"/>
          <w:szCs w:val="20"/>
          <w:color w:val="auto"/>
        </w:rPr>
      </w:pPr>
      <w:r>
        <w:rPr>
          <w:rFonts w:ascii="Arial" w:cs="Arial" w:eastAsia="Arial" w:hAnsi="Arial"/>
          <w:sz w:val="16"/>
          <w:szCs w:val="16"/>
          <w:color w:val="auto"/>
        </w:rPr>
        <w:t>Class A common stock: $0.0001 par, 400,000,000 shares authorized at September 30, 2019 and December 31, 2018; 108,751,354 and 108,508,997 shares issued and outstanding at September 30, 2019 and December 31, 2018, respectively</w:t>
      </w:r>
    </w:p>
    <w:p>
      <w:pPr>
        <w:spacing w:after="0" w:line="23" w:lineRule="exact"/>
        <w:rPr>
          <w:sz w:val="20"/>
          <w:szCs w:val="20"/>
          <w:color w:val="auto"/>
        </w:rPr>
      </w:pPr>
    </w:p>
    <w:p>
      <w:pPr>
        <w:ind w:left="240" w:right="640"/>
        <w:spacing w:after="0" w:line="232" w:lineRule="auto"/>
        <w:rPr>
          <w:sz w:val="20"/>
          <w:szCs w:val="20"/>
          <w:color w:val="auto"/>
        </w:rPr>
      </w:pPr>
      <w:r>
        <w:rPr>
          <w:rFonts w:ascii="Arial" w:cs="Arial" w:eastAsia="Arial" w:hAnsi="Arial"/>
          <w:sz w:val="16"/>
          <w:szCs w:val="16"/>
          <w:color w:val="auto"/>
        </w:rPr>
        <w:t>Class B common stock: $0.0001 par, 100,000,000 shares authorized at September 30, 2019 and December 31, 2018; 8,024,419 shares issued and outstanding at September 30, 2019 and December 31, 2018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11</w:t>
      </w:r>
    </w:p>
    <w:p>
      <w:pPr>
        <w:spacing w:after="0" w:line="356" w:lineRule="exact"/>
        <w:rPr>
          <w:sz w:val="20"/>
          <w:szCs w:val="20"/>
          <w:color w:val="auto"/>
        </w:rPr>
      </w:pPr>
    </w:p>
    <w:p>
      <w:pPr>
        <w:ind w:left="100"/>
        <w:spacing w:after="0"/>
        <w:tabs>
          <w:tab w:leader="none" w:pos="18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1</w:t>
      </w:r>
    </w:p>
    <w:p>
      <w:pPr>
        <w:spacing w:after="0" w:line="202" w:lineRule="exact"/>
        <w:rPr>
          <w:sz w:val="20"/>
          <w:szCs w:val="20"/>
          <w:color w:val="auto"/>
        </w:rPr>
      </w:pPr>
    </w:p>
    <w:p>
      <w:pPr>
        <w:sectPr>
          <w:pgSz w:w="11900" w:h="16838" w:orient="portrait"/>
          <w:cols w:equalWidth="0" w:num="2">
            <w:col w:w="8600" w:space="720"/>
            <w:col w:w="2100"/>
          </w:cols>
          <w:pgMar w:left="240" w:top="1082" w:right="2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Additional paid-in-capital</w:t>
            </w:r>
          </w:p>
        </w:tc>
        <w:tc>
          <w:tcPr>
            <w:tcW w:w="40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2,394,091</w:t>
            </w:r>
          </w:p>
        </w:tc>
        <w:tc>
          <w:tcPr>
            <w:tcW w:w="12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2,389,548</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(68,908)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(68,026)</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(1,703,699)</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(1,683,319)</w:t>
            </w:r>
          </w:p>
        </w:tc>
      </w:tr>
      <w:tr>
        <w:trPr>
          <w:trHeight w:val="227"/>
        </w:trPr>
        <w:tc>
          <w:tcPr>
            <w:tcW w:w="800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621,496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638,215</w:t>
            </w:r>
          </w:p>
        </w:tc>
      </w:tr>
      <w:tr>
        <w:trPr>
          <w:trHeight w:val="25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62,443</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63,982</w:t>
            </w:r>
          </w:p>
        </w:tc>
      </w:tr>
      <w:tr>
        <w:trPr>
          <w:trHeight w:val="230"/>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equity</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683,939</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702,197</w:t>
            </w:r>
          </w:p>
        </w:tc>
      </w:tr>
      <w:tr>
        <w:trPr>
          <w:trHeight w:val="262"/>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2,811,360</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2,752,485</w:t>
            </w:r>
          </w:p>
        </w:tc>
      </w:tr>
      <w:tr>
        <w:trPr>
          <w:trHeight w:val="20"/>
        </w:trPr>
        <w:tc>
          <w:tcPr>
            <w:tcW w:w="80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20"/>
          </w:cols>
          <w:pgMar w:left="240" w:top="1082" w:right="2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Operations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shd w:val="clear" w:color="auto" w:fill="008A5F"/>
          </w:tcPr>
          <w:p>
            <w:pPr>
              <w:spacing w:after="0"/>
              <w:rPr>
                <w:sz w:val="16"/>
                <w:szCs w:val="16"/>
                <w:color w:val="auto"/>
              </w:rPr>
            </w:pPr>
          </w:p>
        </w:tc>
        <w:tc>
          <w:tcPr>
            <w:tcW w:w="340" w:type="dxa"/>
            <w:vAlign w:val="bottom"/>
            <w:shd w:val="clear" w:color="auto" w:fill="008A5F"/>
          </w:tcPr>
          <w:p>
            <w:pPr>
              <w:spacing w:after="0"/>
              <w:rPr>
                <w:sz w:val="16"/>
                <w:szCs w:val="16"/>
                <w:color w:val="auto"/>
              </w:rPr>
            </w:pPr>
          </w:p>
        </w:tc>
        <w:tc>
          <w:tcPr>
            <w:tcW w:w="3160" w:type="dxa"/>
            <w:vAlign w:val="bottom"/>
            <w:gridSpan w:val="5"/>
            <w:shd w:val="clear" w:color="auto" w:fill="008A5F"/>
          </w:tcPr>
          <w:p>
            <w:pPr>
              <w:ind w:left="560"/>
              <w:spacing w:after="0"/>
              <w:rPr>
                <w:sz w:val="20"/>
                <w:szCs w:val="20"/>
                <w:color w:val="auto"/>
              </w:rPr>
            </w:pPr>
            <w:r>
              <w:rPr>
                <w:rFonts w:ascii="Arial" w:cs="Arial" w:eastAsia="Arial" w:hAnsi="Arial"/>
                <w:sz w:val="16"/>
                <w:szCs w:val="16"/>
                <w:b w:val="1"/>
                <w:bCs w:val="1"/>
                <w:color w:val="FFFFFF"/>
              </w:rPr>
              <w:t>Three Months Ended</w:t>
            </w:r>
          </w:p>
        </w:tc>
        <w:tc>
          <w:tcPr>
            <w:tcW w:w="16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300" w:type="dxa"/>
            <w:vAlign w:val="bottom"/>
            <w:shd w:val="clear" w:color="auto" w:fill="008A5F"/>
          </w:tcPr>
          <w:p>
            <w:pPr>
              <w:spacing w:after="0"/>
              <w:rPr>
                <w:sz w:val="16"/>
                <w:szCs w:val="16"/>
                <w:color w:val="auto"/>
              </w:rPr>
            </w:pPr>
          </w:p>
        </w:tc>
        <w:tc>
          <w:tcPr>
            <w:tcW w:w="118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98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2900" w:type="dxa"/>
            <w:vAlign w:val="bottom"/>
            <w:gridSpan w:val="4"/>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230"/>
        </w:trPr>
        <w:tc>
          <w:tcPr>
            <w:tcW w:w="48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40" w:type="dxa"/>
            <w:vAlign w:val="bottom"/>
            <w:shd w:val="clear" w:color="auto" w:fill="008A5F"/>
          </w:tcPr>
          <w:p>
            <w:pPr>
              <w:spacing w:after="0"/>
              <w:rPr>
                <w:sz w:val="19"/>
                <w:szCs w:val="19"/>
                <w:color w:val="auto"/>
              </w:rPr>
            </w:pPr>
          </w:p>
        </w:tc>
        <w:tc>
          <w:tcPr>
            <w:tcW w:w="130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19"/>
                <w:szCs w:val="19"/>
                <w:color w:val="auto"/>
              </w:rPr>
            </w:pPr>
          </w:p>
        </w:tc>
        <w:tc>
          <w:tcPr>
            <w:tcW w:w="560" w:type="dxa"/>
            <w:vAlign w:val="bottom"/>
            <w:shd w:val="clear" w:color="auto" w:fill="008A5F"/>
          </w:tcPr>
          <w:p>
            <w:pPr>
              <w:spacing w:after="0"/>
              <w:rPr>
                <w:sz w:val="19"/>
                <w:szCs w:val="19"/>
                <w:color w:val="auto"/>
              </w:rPr>
            </w:pPr>
          </w:p>
        </w:tc>
        <w:tc>
          <w:tcPr>
            <w:tcW w:w="10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132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9"/>
                <w:szCs w:val="19"/>
                <w:color w:val="auto"/>
              </w:rPr>
            </w:pPr>
          </w:p>
        </w:tc>
        <w:tc>
          <w:tcPr>
            <w:tcW w:w="300" w:type="dxa"/>
            <w:vAlign w:val="bottom"/>
            <w:shd w:val="clear" w:color="auto" w:fill="008A5F"/>
          </w:tcPr>
          <w:p>
            <w:pPr>
              <w:spacing w:after="0"/>
              <w:rPr>
                <w:sz w:val="19"/>
                <w:szCs w:val="19"/>
                <w:color w:val="auto"/>
              </w:rPr>
            </w:pPr>
          </w:p>
        </w:tc>
        <w:tc>
          <w:tcPr>
            <w:tcW w:w="118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01"/>
        </w:trPr>
        <w:tc>
          <w:tcPr>
            <w:tcW w:w="484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30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560" w:type="dxa"/>
            <w:vAlign w:val="bottom"/>
            <w:shd w:val="clear" w:color="auto" w:fill="008A5F"/>
          </w:tcPr>
          <w:p>
            <w:pPr>
              <w:spacing w:after="0"/>
              <w:rPr>
                <w:sz w:val="8"/>
                <w:szCs w:val="8"/>
                <w:color w:val="auto"/>
              </w:rPr>
            </w:pPr>
          </w:p>
        </w:tc>
        <w:tc>
          <w:tcPr>
            <w:tcW w:w="108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132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191,294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141,660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557,025</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340,171</w:t>
            </w:r>
          </w:p>
        </w:tc>
        <w:tc>
          <w:tcPr>
            <w:tcW w:w="0" w:type="dxa"/>
            <w:vAlign w:val="bottom"/>
          </w:tcPr>
          <w:p>
            <w:pPr>
              <w:spacing w:after="0"/>
              <w:rPr>
                <w:sz w:val="1"/>
                <w:szCs w:val="1"/>
                <w:color w:val="auto"/>
              </w:rPr>
            </w:pPr>
          </w:p>
        </w:tc>
      </w:tr>
      <w:tr>
        <w:trPr>
          <w:trHeight w:val="233"/>
        </w:trPr>
        <w:tc>
          <w:tcPr>
            <w:tcW w:w="484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61,883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46,777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168,643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104,440</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11,536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20,920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38,064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33,584</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7,627</w:t>
            </w:r>
          </w:p>
        </w:tc>
        <w:tc>
          <w:tcPr>
            <w:tcW w:w="12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9,567</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29,741</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27"/>
        </w:trPr>
        <w:tc>
          <w:tcPr>
            <w:tcW w:w="484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272,340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218,924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793,473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494,008</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58,168</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39,215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160,476</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93,506</w:t>
            </w:r>
          </w:p>
        </w:tc>
        <w:tc>
          <w:tcPr>
            <w:tcW w:w="0" w:type="dxa"/>
            <w:vAlign w:val="bottom"/>
          </w:tcPr>
          <w:p>
            <w:pPr>
              <w:spacing w:after="0"/>
              <w:rPr>
                <w:sz w:val="1"/>
                <w:szCs w:val="1"/>
                <w:color w:val="auto"/>
              </w:rPr>
            </w:pPr>
          </w:p>
        </w:tc>
      </w:tr>
      <w:tr>
        <w:trPr>
          <w:trHeight w:val="233"/>
        </w:trPr>
        <w:tc>
          <w:tcPr>
            <w:tcW w:w="484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54,364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42,390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146,175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98,038</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7,421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15,089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26,298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23,780</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5,092</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19,608</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43,869</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35,534</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128,940</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82,849</w:t>
            </w: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103,426</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80,946</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311,976</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186,507</w:t>
            </w:r>
          </w:p>
        </w:tc>
        <w:tc>
          <w:tcPr>
            <w:tcW w:w="0" w:type="dxa"/>
            <w:vAlign w:val="bottom"/>
          </w:tcPr>
          <w:p>
            <w:pPr>
              <w:spacing w:after="0"/>
              <w:rPr>
                <w:sz w:val="1"/>
                <w:szCs w:val="1"/>
                <w:color w:val="auto"/>
              </w:rPr>
            </w:pP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68,159</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71,897</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213,267</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164,845</w:t>
            </w: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3,707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7,726</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40" w:type="dxa"/>
            <w:vAlign w:val="bottom"/>
            <w:shd w:val="clear" w:color="auto" w:fill="E7E7E8"/>
          </w:tcPr>
          <w:p>
            <w:pPr>
              <w:spacing w:after="0"/>
              <w:rPr>
                <w:sz w:val="21"/>
                <w:szCs w:val="21"/>
                <w:color w:val="auto"/>
              </w:rPr>
            </w:pPr>
          </w:p>
        </w:tc>
        <w:tc>
          <w:tcPr>
            <w:tcW w:w="142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spacing w:after="0"/>
              <w:rPr>
                <w:sz w:val="21"/>
                <w:szCs w:val="21"/>
                <w:color w:val="auto"/>
              </w:rPr>
            </w:pPr>
          </w:p>
        </w:tc>
        <w:tc>
          <w:tcPr>
            <w:tcW w:w="11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9,083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(1,053)</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(3,293)</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(5,013)</w:t>
            </w: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30,399</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78,401</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10,564</w:t>
            </w: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30,857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43,447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95,353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67,321</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E7E7E8"/>
          </w:tcPr>
          <w:p>
            <w:pPr>
              <w:spacing w:after="0"/>
              <w:rPr>
                <w:sz w:val="21"/>
                <w:szCs w:val="21"/>
                <w:color w:val="auto"/>
              </w:rPr>
            </w:pPr>
          </w:p>
        </w:tc>
        <w:tc>
          <w:tcPr>
            <w:tcW w:w="142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spacing w:after="0"/>
              <w:rPr>
                <w:sz w:val="21"/>
                <w:szCs w:val="21"/>
                <w:color w:val="auto"/>
              </w:rPr>
            </w:pPr>
          </w:p>
        </w:tc>
        <w:tc>
          <w:tcPr>
            <w:tcW w:w="11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(43,236)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(24,196)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(56,757)</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(6,507)</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(13,572)</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(43,185)</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34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(3,715)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6"/>
                <w:szCs w:val="16"/>
                <w:color w:val="auto"/>
              </w:rPr>
              <w:t>Net income (loss) attributable to WillScot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(33,519)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(20,725)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(39,470)</w:t>
            </w:r>
          </w:p>
        </w:tc>
        <w:tc>
          <w:tcPr>
            <w:tcW w:w="0" w:type="dxa"/>
            <w:vAlign w:val="bottom"/>
          </w:tcPr>
          <w:p>
            <w:pPr>
              <w:spacing w:after="0"/>
              <w:rPr>
                <w:sz w:val="1"/>
                <w:szCs w:val="1"/>
                <w:color w:val="auto"/>
              </w:rPr>
            </w:pPr>
          </w:p>
        </w:tc>
      </w:tr>
      <w:tr>
        <w:trPr>
          <w:trHeight w:val="21"/>
        </w:trPr>
        <w:tc>
          <w:tcPr>
            <w:tcW w:w="4840" w:type="dxa"/>
            <w:vAlign w:val="bottom"/>
            <w:tcBorders>
              <w:bottom w:val="single" w:sz="8" w:color="E7E7E8"/>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560" w:type="dxa"/>
            <w:vAlign w:val="bottom"/>
            <w:shd w:val="clear" w:color="auto" w:fill="E7E7E8"/>
          </w:tcPr>
          <w:p>
            <w:pPr>
              <w:spacing w:after="0"/>
              <w:rPr>
                <w:sz w:val="19"/>
                <w:szCs w:val="19"/>
                <w:color w:val="auto"/>
              </w:rPr>
            </w:pPr>
          </w:p>
        </w:tc>
        <w:tc>
          <w:tcPr>
            <w:tcW w:w="10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Net income (loss) per share attributable to WillScot - 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 per share attributable to WillScot - diluted</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 average shares - basic</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108,720,857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90,726,920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108,646,741</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82,165,909</w:t>
            </w:r>
          </w:p>
        </w:tc>
        <w:tc>
          <w:tcPr>
            <w:tcW w:w="0" w:type="dxa"/>
            <w:vAlign w:val="bottom"/>
          </w:tcPr>
          <w:p>
            <w:pPr>
              <w:spacing w:after="0"/>
              <w:rPr>
                <w:sz w:val="1"/>
                <w:szCs w:val="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112,043,866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90,726,920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108,646,741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82,165,909</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216535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60" w:top="1116"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37730" cy="523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523240"/>
                    </a:xfrm>
                    <a:prstGeom prst="rect">
                      <a:avLst/>
                    </a:prstGeom>
                    <a:noFill/>
                  </pic:spPr>
                </pic:pic>
              </a:graphicData>
            </a:graphic>
          </wp:anchor>
        </w:drawing>
      </w:r>
    </w:p>
    <w:p>
      <w:pPr>
        <w:sectPr>
          <w:pgSz w:w="11900" w:h="16838" w:orient="portrait"/>
          <w:cols w:equalWidth="0" w:num="1">
            <w:col w:w="11400"/>
          </w:cols>
          <w:pgMar w:left="240" w:top="1116"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241" w:lineRule="exact"/>
        <w:rPr>
          <w:sz w:val="20"/>
          <w:szCs w:val="20"/>
          <w:color w:val="auto"/>
        </w:rPr>
      </w:pPr>
    </w:p>
    <w:p>
      <w:pPr>
        <w:ind w:left="20"/>
        <w:spacing w:after="0"/>
        <w:tabs>
          <w:tab w:leader="none" w:pos="446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(loss) income:</w:t>
      </w:r>
    </w:p>
    <w:p>
      <w:pPr>
        <w:spacing w:after="0" w:line="46" w:lineRule="exact"/>
        <w:rPr>
          <w:sz w:val="20"/>
          <w:szCs w:val="20"/>
          <w:color w:val="auto"/>
        </w:rPr>
      </w:pPr>
    </w:p>
    <w:p>
      <w:pPr>
        <w:ind w:left="240" w:right="160"/>
        <w:spacing w:after="0" w:line="222" w:lineRule="auto"/>
        <w:rPr>
          <w:sz w:val="20"/>
          <w:szCs w:val="20"/>
          <w:color w:val="auto"/>
        </w:rPr>
      </w:pPr>
      <w:r>
        <w:rPr>
          <w:rFonts w:ascii="Arial" w:cs="Arial" w:eastAsia="Arial" w:hAnsi="Arial"/>
          <w:sz w:val="16"/>
          <w:szCs w:val="16"/>
          <w:color w:val="auto"/>
        </w:rPr>
        <w:t>Foreign currency translation adjustment, net of income tax expense (benefit) of $0, $80, $0 and $(161) for the three and nine months ended September 30, 2019 and 2018, respectively</w:t>
      </w:r>
    </w:p>
    <w:p>
      <w:pPr>
        <w:spacing w:after="0" w:line="22" w:lineRule="exact"/>
        <w:rPr>
          <w:sz w:val="20"/>
          <w:szCs w:val="20"/>
          <w:color w:val="auto"/>
        </w:rPr>
      </w:pPr>
    </w:p>
    <w:p>
      <w:pPr>
        <w:ind w:left="240" w:right="220"/>
        <w:spacing w:after="0" w:line="225" w:lineRule="auto"/>
        <w:rPr>
          <w:sz w:val="20"/>
          <w:szCs w:val="20"/>
          <w:color w:val="auto"/>
        </w:rPr>
      </w:pPr>
      <w:r>
        <w:rPr>
          <w:rFonts w:ascii="Arial" w:cs="Arial" w:eastAsia="Arial" w:hAnsi="Arial"/>
          <w:sz w:val="16"/>
          <w:szCs w:val="16"/>
          <w:color w:val="auto"/>
        </w:rPr>
        <w:t>Net loss on derivatives, net of income tax benefit of $153, $0, $2,016 and $0 for the three and nine months ended September 30, 2019 and 2018, respectively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000" w:type="dxa"/>
            <w:vAlign w:val="bottom"/>
            <w:gridSpan w:val="3"/>
          </w:tcPr>
          <w:p>
            <w:pPr>
              <w:jc w:val="center"/>
              <w:ind w:right="879"/>
              <w:spacing w:after="0"/>
              <w:rPr>
                <w:sz w:val="20"/>
                <w:szCs w:val="20"/>
                <w:color w:val="auto"/>
              </w:rPr>
            </w:pPr>
            <w:r>
              <w:rPr>
                <w:rFonts w:ascii="Arial" w:cs="Arial" w:eastAsia="Arial" w:hAnsi="Arial"/>
                <w:sz w:val="16"/>
                <w:szCs w:val="16"/>
                <w:b w:val="1"/>
                <w:bCs w:val="1"/>
                <w:color w:val="FFFFFF"/>
              </w:rPr>
              <w:t>Three Months Ended</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5"/>
        </w:trPr>
        <w:tc>
          <w:tcPr>
            <w:tcW w:w="160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FFFFFF"/>
              </w:rPr>
              <w:t>September 30,</w:t>
            </w:r>
          </w:p>
        </w:tc>
        <w:tc>
          <w:tcPr>
            <w:tcW w:w="1400" w:type="dxa"/>
            <w:vAlign w:val="bottom"/>
          </w:tcPr>
          <w:p>
            <w:pPr>
              <w:spacing w:after="0"/>
              <w:rPr>
                <w:sz w:val="18"/>
                <w:szCs w:val="18"/>
                <w:color w:val="auto"/>
              </w:rPr>
            </w:pPr>
          </w:p>
        </w:tc>
        <w:tc>
          <w:tcPr>
            <w:tcW w:w="3260" w:type="dxa"/>
            <w:vAlign w:val="bottom"/>
            <w:gridSpan w:val="4"/>
          </w:tcPr>
          <w:p>
            <w:pPr>
              <w:jc w:val="right"/>
              <w:spacing w:after="0"/>
              <w:rPr>
                <w:sz w:val="20"/>
                <w:szCs w:val="20"/>
                <w:color w:val="auto"/>
              </w:rPr>
            </w:pPr>
            <w:r>
              <w:rPr>
                <w:rFonts w:ascii="Arial" w:cs="Arial" w:eastAsia="Arial" w:hAnsi="Arial"/>
                <w:sz w:val="16"/>
                <w:szCs w:val="16"/>
                <w:b w:val="1"/>
                <w:bCs w:val="1"/>
                <w:color w:val="FFFFFF"/>
              </w:rPr>
              <w:t>Nine Months Ended September 30,</w:t>
            </w:r>
          </w:p>
        </w:tc>
      </w:tr>
      <w:tr>
        <w:trPr>
          <w:trHeight w:val="392"/>
        </w:trPr>
        <w:tc>
          <w:tcPr>
            <w:tcW w:w="960" w:type="dxa"/>
            <w:vAlign w:val="bottom"/>
          </w:tcPr>
          <w:p>
            <w:pPr>
              <w:jc w:val="right"/>
              <w:ind w:right="519"/>
              <w:spacing w:after="0"/>
              <w:rPr>
                <w:sz w:val="20"/>
                <w:szCs w:val="20"/>
                <w:color w:val="auto"/>
              </w:rPr>
            </w:pPr>
            <w:r>
              <w:rPr>
                <w:rFonts w:ascii="Arial" w:cs="Arial" w:eastAsia="Arial" w:hAnsi="Arial"/>
                <w:sz w:val="16"/>
                <w:szCs w:val="16"/>
                <w:b w:val="1"/>
                <w:bCs w:val="1"/>
                <w:color w:val="FFFFFF"/>
                <w:w w:val="95"/>
              </w:rPr>
              <w:t>2019</w:t>
            </w:r>
          </w:p>
        </w:tc>
        <w:tc>
          <w:tcPr>
            <w:tcW w:w="640" w:type="dxa"/>
            <w:vAlign w:val="bottom"/>
          </w:tcPr>
          <w:p>
            <w:pPr>
              <w:spacing w:after="0"/>
              <w:rPr>
                <w:sz w:val="24"/>
                <w:szCs w:val="24"/>
                <w:color w:val="auto"/>
              </w:rPr>
            </w:pPr>
          </w:p>
        </w:tc>
        <w:tc>
          <w:tcPr>
            <w:tcW w:w="1400" w:type="dxa"/>
            <w:vAlign w:val="bottom"/>
          </w:tcPr>
          <w:p>
            <w:pPr>
              <w:jc w:val="right"/>
              <w:ind w:right="919"/>
              <w:spacing w:after="0"/>
              <w:rPr>
                <w:sz w:val="20"/>
                <w:szCs w:val="20"/>
                <w:color w:val="auto"/>
              </w:rPr>
            </w:pPr>
            <w:r>
              <w:rPr>
                <w:rFonts w:ascii="Arial" w:cs="Arial" w:eastAsia="Arial" w:hAnsi="Arial"/>
                <w:sz w:val="16"/>
                <w:szCs w:val="16"/>
                <w:b w:val="1"/>
                <w:bCs w:val="1"/>
                <w:color w:val="FFFFFF"/>
              </w:rPr>
              <w:t>2018</w:t>
            </w:r>
          </w:p>
        </w:tc>
        <w:tc>
          <w:tcPr>
            <w:tcW w:w="800" w:type="dxa"/>
            <w:vAlign w:val="bottom"/>
          </w:tcPr>
          <w:p>
            <w:pPr>
              <w:spacing w:after="0"/>
              <w:rPr>
                <w:sz w:val="24"/>
                <w:szCs w:val="24"/>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FFFFFF"/>
              </w:rPr>
              <w:t>2019</w:t>
            </w:r>
          </w:p>
        </w:tc>
        <w:tc>
          <w:tcPr>
            <w:tcW w:w="40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FFFFFF"/>
              </w:rPr>
              <w:t>2018</w:t>
            </w:r>
          </w:p>
        </w:tc>
      </w:tr>
      <w:tr>
        <w:trPr>
          <w:trHeight w:val="243"/>
        </w:trPr>
        <w:tc>
          <w:tcPr>
            <w:tcW w:w="960" w:type="dxa"/>
            <w:vAlign w:val="bottom"/>
          </w:tcPr>
          <w:p>
            <w:pPr>
              <w:jc w:val="right"/>
              <w:ind w:right="79"/>
              <w:spacing w:after="0"/>
              <w:rPr>
                <w:sz w:val="20"/>
                <w:szCs w:val="20"/>
                <w:color w:val="auto"/>
              </w:rPr>
            </w:pPr>
            <w:r>
              <w:rPr>
                <w:rFonts w:ascii="Arial" w:cs="Arial" w:eastAsia="Arial" w:hAnsi="Arial"/>
                <w:sz w:val="16"/>
                <w:szCs w:val="16"/>
                <w:color w:val="auto"/>
              </w:rPr>
              <w:t>762</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9"/>
              <w:spacing w:after="0"/>
              <w:rPr>
                <w:sz w:val="20"/>
                <w:szCs w:val="20"/>
                <w:color w:val="auto"/>
              </w:rPr>
            </w:pPr>
            <w:r>
              <w:rPr>
                <w:rFonts w:ascii="Arial" w:cs="Arial" w:eastAsia="Arial" w:hAnsi="Arial"/>
                <w:sz w:val="16"/>
                <w:szCs w:val="16"/>
                <w:color w:val="auto"/>
              </w:rPr>
              <w:t>(36,729)</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(22,174)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(43,185)</w:t>
            </w:r>
          </w:p>
        </w:tc>
      </w:tr>
      <w:tr>
        <w:trPr>
          <w:trHeight w:val="486"/>
        </w:trPr>
        <w:tc>
          <w:tcPr>
            <w:tcW w:w="960" w:type="dxa"/>
            <w:vAlign w:val="bottom"/>
          </w:tcPr>
          <w:p>
            <w:pPr>
              <w:jc w:val="right"/>
              <w:ind w:right="39"/>
              <w:spacing w:after="0"/>
              <w:rPr>
                <w:sz w:val="20"/>
                <w:szCs w:val="20"/>
                <w:color w:val="auto"/>
              </w:rPr>
            </w:pPr>
            <w:r>
              <w:rPr>
                <w:rFonts w:ascii="Arial" w:cs="Arial" w:eastAsia="Arial" w:hAnsi="Arial"/>
                <w:sz w:val="16"/>
                <w:szCs w:val="16"/>
                <w:color w:val="auto"/>
              </w:rPr>
              <w:t>(2,799)</w:t>
            </w:r>
          </w:p>
        </w:tc>
        <w:tc>
          <w:tcPr>
            <w:tcW w:w="640" w:type="dxa"/>
            <w:vAlign w:val="bottom"/>
          </w:tcPr>
          <w:p>
            <w:pPr>
              <w:spacing w:after="0"/>
              <w:rPr>
                <w:sz w:val="24"/>
                <w:szCs w:val="24"/>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2,298</w:t>
            </w:r>
          </w:p>
        </w:tc>
        <w:tc>
          <w:tcPr>
            <w:tcW w:w="80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5,616</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702"/>
        </w:trPr>
        <w:tc>
          <w:tcPr>
            <w:tcW w:w="96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640" w:type="dxa"/>
            <w:vAlign w:val="bottom"/>
          </w:tcPr>
          <w:p>
            <w:pPr>
              <w:spacing w:after="0"/>
              <w:rPr>
                <w:sz w:val="24"/>
                <w:szCs w:val="24"/>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(6,588)</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-895985</wp:posOffset>
            </wp:positionV>
            <wp:extent cx="72377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-587375</wp:posOffset>
            </wp:positionV>
            <wp:extent cx="723773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44577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4580" w:space="460"/>
            <w:col w:w="6360"/>
          </w:cols>
          <w:pgMar w:left="240" w:top="1116" w:right="2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4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520" w:type="dxa"/>
            <w:vAlign w:val="bottom"/>
            <w:tcBorders>
              <w:top w:val="single" w:sz="8" w:color="auto"/>
            </w:tcBorders>
            <w:shd w:val="clear" w:color="auto" w:fill="E7E7E8"/>
          </w:tcPr>
          <w:p>
            <w:pPr>
              <w:spacing w:after="0"/>
              <w:rPr>
                <w:sz w:val="21"/>
                <w:szCs w:val="21"/>
                <w:color w:val="auto"/>
              </w:rPr>
            </w:pPr>
          </w:p>
        </w:tc>
        <w:tc>
          <w:tcPr>
            <w:tcW w:w="102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(2,537)</w:t>
            </w:r>
          </w:p>
        </w:tc>
        <w:tc>
          <w:tcPr>
            <w:tcW w:w="80" w:type="dxa"/>
            <w:vAlign w:val="bottom"/>
            <w:tcBorders>
              <w:top w:val="single" w:sz="8" w:color="E7E7E8"/>
            </w:tcBorders>
            <w:shd w:val="clear" w:color="auto" w:fill="E7E7E8"/>
          </w:tcPr>
          <w:p>
            <w:pPr>
              <w:spacing w:after="0"/>
              <w:rPr>
                <w:sz w:val="21"/>
                <w:szCs w:val="21"/>
                <w:color w:val="auto"/>
              </w:rPr>
            </w:pPr>
          </w:p>
        </w:tc>
        <w:tc>
          <w:tcPr>
            <w:tcW w:w="480" w:type="dxa"/>
            <w:vAlign w:val="bottom"/>
            <w:tcBorders>
              <w:top w:val="single" w:sz="8" w:color="auto"/>
            </w:tcBorders>
            <w:shd w:val="clear" w:color="auto" w:fill="E7E7E8"/>
          </w:tcPr>
          <w:p>
            <w:pPr>
              <w:spacing w:after="0"/>
              <w:rPr>
                <w:sz w:val="21"/>
                <w:szCs w:val="21"/>
                <w:color w:val="auto"/>
              </w:rPr>
            </w:pPr>
          </w:p>
        </w:tc>
        <w:tc>
          <w:tcPr>
            <w:tcW w:w="108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(34,431)</w:t>
            </w:r>
          </w:p>
        </w:tc>
        <w:tc>
          <w:tcPr>
            <w:tcW w:w="88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spacing w:after="0"/>
              <w:rPr>
                <w:sz w:val="21"/>
                <w:szCs w:val="21"/>
                <w:color w:val="auto"/>
              </w:rPr>
            </w:pPr>
          </w:p>
        </w:tc>
        <w:tc>
          <w:tcPr>
            <w:tcW w:w="100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(23,146)</w:t>
            </w:r>
          </w:p>
        </w:tc>
        <w:tc>
          <w:tcPr>
            <w:tcW w:w="10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00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(43,267)</w:t>
            </w:r>
          </w:p>
        </w:tc>
      </w:tr>
      <w:tr>
        <w:trPr>
          <w:trHeight w:val="264"/>
        </w:trPr>
        <w:tc>
          <w:tcPr>
            <w:tcW w:w="44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Comprehensive loss attributable to non-controlling interest</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E7E7E8"/>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(2,967)</w:t>
            </w:r>
          </w:p>
        </w:tc>
        <w:tc>
          <w:tcPr>
            <w:tcW w:w="88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(3,741)</w:t>
            </w:r>
          </w:p>
        </w:tc>
      </w:tr>
      <w:tr>
        <w:trPr>
          <w:trHeight w:val="268"/>
        </w:trPr>
        <w:tc>
          <w:tcPr>
            <w:tcW w:w="44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52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(2,509)</w:t>
            </w:r>
          </w:p>
        </w:tc>
        <w:tc>
          <w:tcPr>
            <w:tcW w:w="80" w:type="dxa"/>
            <w:vAlign w:val="bottom"/>
            <w:tcBorders>
              <w:bottom w:val="single" w:sz="8" w:color="E7E7E8"/>
            </w:tcBorders>
            <w:shd w:val="clear" w:color="auto" w:fill="E7E7E8"/>
          </w:tcPr>
          <w:p>
            <w:pPr>
              <w:spacing w:after="0"/>
              <w:rPr>
                <w:sz w:val="22"/>
                <w:szCs w:val="22"/>
                <w:color w:val="auto"/>
              </w:rPr>
            </w:pPr>
          </w:p>
        </w:tc>
        <w:tc>
          <w:tcPr>
            <w:tcW w:w="4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(31,464)</w:t>
            </w:r>
          </w:p>
        </w:tc>
        <w:tc>
          <w:tcPr>
            <w:tcW w:w="88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(21,607)</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(39,526)</w:t>
            </w:r>
          </w:p>
        </w:tc>
      </w:tr>
      <w:tr>
        <w:trPr>
          <w:trHeight w:val="20"/>
        </w:trPr>
        <w:tc>
          <w:tcPr>
            <w:tcW w:w="446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6" w:right="2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Changes in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3773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Nine Months Ended September 30,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shd w:val="clear" w:color="auto" w:fill="008A5F"/>
          </w:tcPr>
          <w:p>
            <w:pPr>
              <w:spacing w:after="0"/>
              <w:rPr>
                <w:sz w:val="13"/>
                <w:szCs w:val="13"/>
                <w:color w:val="auto"/>
              </w:rPr>
            </w:pPr>
          </w:p>
        </w:tc>
        <w:tc>
          <w:tcPr>
            <w:tcW w:w="1720" w:type="dxa"/>
            <w:vAlign w:val="bottom"/>
            <w:gridSpan w:val="3"/>
            <w:vMerge w:val="restart"/>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Class A Common Stock</w:t>
            </w:r>
          </w:p>
        </w:tc>
        <w:tc>
          <w:tcPr>
            <w:tcW w:w="1740" w:type="dxa"/>
            <w:vAlign w:val="bottom"/>
            <w:gridSpan w:val="3"/>
            <w:vMerge w:val="restart"/>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Class B Common Stock</w:t>
            </w:r>
          </w:p>
        </w:tc>
        <w:tc>
          <w:tcPr>
            <w:tcW w:w="12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100" w:type="dxa"/>
            <w:vAlign w:val="bottom"/>
            <w:gridSpan w:val="2"/>
            <w:shd w:val="clear" w:color="auto" w:fill="008A5F"/>
          </w:tcPr>
          <w:p>
            <w:pPr>
              <w:jc w:val="center"/>
              <w:spacing w:after="0"/>
              <w:rPr>
                <w:sz w:val="20"/>
                <w:szCs w:val="20"/>
                <w:color w:val="auto"/>
              </w:rPr>
            </w:pPr>
            <w:r>
              <w:rPr>
                <w:rFonts w:ascii="Arial" w:cs="Arial" w:eastAsia="Arial" w:hAnsi="Arial"/>
                <w:sz w:val="13"/>
                <w:szCs w:val="13"/>
                <w:b w:val="1"/>
                <w:bCs w:val="1"/>
                <w:color w:val="FFFFFF"/>
                <w:w w:val="97"/>
              </w:rPr>
              <w:t>Accumulated</w:t>
            </w:r>
          </w:p>
        </w:tc>
        <w:tc>
          <w:tcPr>
            <w:tcW w:w="980" w:type="dxa"/>
            <w:vAlign w:val="bottom"/>
            <w:shd w:val="clear" w:color="auto" w:fill="008A5F"/>
          </w:tcPr>
          <w:p>
            <w:pPr>
              <w:spacing w:after="0"/>
              <w:rPr>
                <w:sz w:val="13"/>
                <w:szCs w:val="13"/>
                <w:color w:val="auto"/>
              </w:rPr>
            </w:pPr>
          </w:p>
        </w:tc>
        <w:tc>
          <w:tcPr>
            <w:tcW w:w="220" w:type="dxa"/>
            <w:vAlign w:val="bottom"/>
            <w:shd w:val="clear" w:color="auto" w:fill="008A5F"/>
          </w:tcPr>
          <w:p>
            <w:pPr>
              <w:spacing w:after="0"/>
              <w:rPr>
                <w:sz w:val="13"/>
                <w:szCs w:val="13"/>
                <w:color w:val="auto"/>
              </w:rPr>
            </w:pPr>
          </w:p>
        </w:tc>
        <w:tc>
          <w:tcPr>
            <w:tcW w:w="740" w:type="dxa"/>
            <w:vAlign w:val="bottom"/>
            <w:shd w:val="clear" w:color="auto" w:fill="008A5F"/>
          </w:tcPr>
          <w:p>
            <w:pPr>
              <w:spacing w:after="0"/>
              <w:rPr>
                <w:sz w:val="13"/>
                <w:szCs w:val="13"/>
                <w:color w:val="auto"/>
              </w:rPr>
            </w:pPr>
          </w:p>
        </w:tc>
        <w:tc>
          <w:tcPr>
            <w:tcW w:w="160" w:type="dxa"/>
            <w:vAlign w:val="bottom"/>
            <w:shd w:val="clear" w:color="auto" w:fill="008A5F"/>
          </w:tcPr>
          <w:p>
            <w:pPr>
              <w:spacing w:after="0"/>
              <w:rPr>
                <w:sz w:val="13"/>
                <w:szCs w:val="13"/>
                <w:color w:val="auto"/>
              </w:rPr>
            </w:pPr>
          </w:p>
        </w:tc>
        <w:tc>
          <w:tcPr>
            <w:tcW w:w="680" w:type="dxa"/>
            <w:vAlign w:val="bottom"/>
            <w:shd w:val="clear" w:color="auto" w:fill="008A5F"/>
          </w:tcPr>
          <w:p>
            <w:pPr>
              <w:spacing w:after="0"/>
              <w:rPr>
                <w:sz w:val="13"/>
                <w:szCs w:val="13"/>
                <w:color w:val="auto"/>
              </w:rPr>
            </w:pPr>
          </w:p>
        </w:tc>
        <w:tc>
          <w:tcPr>
            <w:tcW w:w="88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008A5F"/>
          </w:tcPr>
          <w:p>
            <w:pPr>
              <w:spacing w:after="0"/>
              <w:rPr>
                <w:sz w:val="11"/>
                <w:szCs w:val="11"/>
                <w:color w:val="auto"/>
              </w:rPr>
            </w:pPr>
          </w:p>
        </w:tc>
        <w:tc>
          <w:tcPr>
            <w:tcW w:w="1720" w:type="dxa"/>
            <w:vAlign w:val="bottom"/>
            <w:gridSpan w:val="3"/>
            <w:vMerge w:val="continue"/>
            <w:shd w:val="clear" w:color="auto" w:fill="008A5F"/>
          </w:tcPr>
          <w:p>
            <w:pPr>
              <w:spacing w:after="0"/>
              <w:rPr>
                <w:sz w:val="11"/>
                <w:szCs w:val="11"/>
                <w:color w:val="auto"/>
              </w:rPr>
            </w:pPr>
          </w:p>
        </w:tc>
        <w:tc>
          <w:tcPr>
            <w:tcW w:w="1740" w:type="dxa"/>
            <w:vAlign w:val="bottom"/>
            <w:gridSpan w:val="3"/>
            <w:vMerge w:val="continue"/>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820" w:type="dxa"/>
            <w:vAlign w:val="bottom"/>
            <w:shd w:val="clear" w:color="auto" w:fill="008A5F"/>
          </w:tcPr>
          <w:p>
            <w:pPr>
              <w:jc w:val="center"/>
              <w:ind w:right="70"/>
              <w:spacing w:after="0" w:line="135" w:lineRule="exact"/>
              <w:rPr>
                <w:sz w:val="20"/>
                <w:szCs w:val="20"/>
                <w:color w:val="auto"/>
              </w:rPr>
            </w:pPr>
            <w:r>
              <w:rPr>
                <w:rFonts w:ascii="Arial" w:cs="Arial" w:eastAsia="Arial" w:hAnsi="Arial"/>
                <w:sz w:val="13"/>
                <w:szCs w:val="13"/>
                <w:b w:val="1"/>
                <w:bCs w:val="1"/>
                <w:color w:val="FFFFFF"/>
                <w:w w:val="94"/>
              </w:rPr>
              <w:t>Additional</w:t>
            </w:r>
          </w:p>
        </w:tc>
        <w:tc>
          <w:tcPr>
            <w:tcW w:w="240" w:type="dxa"/>
            <w:vAlign w:val="bottom"/>
            <w:shd w:val="clear" w:color="auto" w:fill="008A5F"/>
          </w:tcPr>
          <w:p>
            <w:pPr>
              <w:spacing w:after="0"/>
              <w:rPr>
                <w:sz w:val="11"/>
                <w:szCs w:val="11"/>
                <w:color w:val="auto"/>
              </w:rPr>
            </w:pPr>
          </w:p>
        </w:tc>
        <w:tc>
          <w:tcPr>
            <w:tcW w:w="860" w:type="dxa"/>
            <w:vAlign w:val="bottom"/>
            <w:shd w:val="clear" w:color="auto" w:fill="008A5F"/>
          </w:tcPr>
          <w:p>
            <w:pPr>
              <w:jc w:val="center"/>
              <w:ind w:right="169"/>
              <w:spacing w:after="0" w:line="135" w:lineRule="exact"/>
              <w:rPr>
                <w:sz w:val="20"/>
                <w:szCs w:val="20"/>
                <w:color w:val="auto"/>
              </w:rPr>
            </w:pPr>
            <w:r>
              <w:rPr>
                <w:rFonts w:ascii="Arial" w:cs="Arial" w:eastAsia="Arial" w:hAnsi="Arial"/>
                <w:sz w:val="13"/>
                <w:szCs w:val="13"/>
                <w:b w:val="1"/>
                <w:bCs w:val="1"/>
                <w:color w:val="FFFFFF"/>
                <w:w w:val="97"/>
              </w:rPr>
              <w:t>Other</w:t>
            </w:r>
          </w:p>
        </w:tc>
        <w:tc>
          <w:tcPr>
            <w:tcW w:w="980" w:type="dxa"/>
            <w:vAlign w:val="bottom"/>
            <w:shd w:val="clear" w:color="auto" w:fill="008A5F"/>
          </w:tcPr>
          <w:p>
            <w:pPr>
              <w:spacing w:after="0"/>
              <w:rPr>
                <w:sz w:val="11"/>
                <w:szCs w:val="11"/>
                <w:color w:val="auto"/>
              </w:rPr>
            </w:pPr>
          </w:p>
        </w:tc>
        <w:tc>
          <w:tcPr>
            <w:tcW w:w="220" w:type="dxa"/>
            <w:vAlign w:val="bottom"/>
            <w:shd w:val="clear" w:color="auto" w:fill="008A5F"/>
          </w:tcPr>
          <w:p>
            <w:pPr>
              <w:spacing w:after="0"/>
              <w:rPr>
                <w:sz w:val="11"/>
                <w:szCs w:val="11"/>
                <w:color w:val="auto"/>
              </w:rPr>
            </w:pPr>
          </w:p>
        </w:tc>
        <w:tc>
          <w:tcPr>
            <w:tcW w:w="740" w:type="dxa"/>
            <w:vAlign w:val="bottom"/>
            <w:shd w:val="clear" w:color="auto" w:fill="008A5F"/>
          </w:tcPr>
          <w:p>
            <w:pPr>
              <w:jc w:val="right"/>
              <w:ind w:right="249"/>
              <w:spacing w:after="0" w:line="135" w:lineRule="exact"/>
              <w:rPr>
                <w:sz w:val="20"/>
                <w:szCs w:val="20"/>
                <w:color w:val="auto"/>
              </w:rPr>
            </w:pPr>
            <w:r>
              <w:rPr>
                <w:rFonts w:ascii="Arial" w:cs="Arial" w:eastAsia="Arial" w:hAnsi="Arial"/>
                <w:sz w:val="13"/>
                <w:szCs w:val="13"/>
                <w:b w:val="1"/>
                <w:bCs w:val="1"/>
                <w:color w:val="FFFFFF"/>
              </w:rPr>
              <w:t>Total</w:t>
            </w:r>
          </w:p>
        </w:tc>
        <w:tc>
          <w:tcPr>
            <w:tcW w:w="160" w:type="dxa"/>
            <w:vAlign w:val="bottom"/>
            <w:shd w:val="clear" w:color="auto" w:fill="008A5F"/>
          </w:tcPr>
          <w:p>
            <w:pPr>
              <w:spacing w:after="0"/>
              <w:rPr>
                <w:sz w:val="11"/>
                <w:szCs w:val="11"/>
                <w:color w:val="auto"/>
              </w:rPr>
            </w:pPr>
          </w:p>
        </w:tc>
        <w:tc>
          <w:tcPr>
            <w:tcW w:w="680" w:type="dxa"/>
            <w:vAlign w:val="bottom"/>
            <w:shd w:val="clear" w:color="auto" w:fill="008A5F"/>
          </w:tcPr>
          <w:p>
            <w:pPr>
              <w:jc w:val="right"/>
              <w:ind w:right="209"/>
              <w:spacing w:after="0" w:line="135" w:lineRule="exact"/>
              <w:rPr>
                <w:sz w:val="20"/>
                <w:szCs w:val="20"/>
                <w:color w:val="auto"/>
              </w:rPr>
            </w:pPr>
            <w:r>
              <w:rPr>
                <w:rFonts w:ascii="Arial" w:cs="Arial" w:eastAsia="Arial" w:hAnsi="Arial"/>
                <w:sz w:val="13"/>
                <w:szCs w:val="13"/>
                <w:b w:val="1"/>
                <w:bCs w:val="1"/>
                <w:color w:val="FFFFFF"/>
              </w:rPr>
              <w:t>Non-</w:t>
            </w:r>
          </w:p>
        </w:tc>
        <w:tc>
          <w:tcPr>
            <w:tcW w:w="88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8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80" w:type="dxa"/>
            <w:vAlign w:val="bottom"/>
            <w:shd w:val="clear" w:color="auto" w:fill="008A5F"/>
          </w:tcPr>
          <w:p>
            <w:pPr>
              <w:spacing w:after="0"/>
              <w:rPr>
                <w:sz w:val="11"/>
                <w:szCs w:val="11"/>
                <w:color w:val="auto"/>
              </w:rPr>
            </w:pPr>
          </w:p>
        </w:tc>
        <w:tc>
          <w:tcPr>
            <w:tcW w:w="76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82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6"/>
              </w:rPr>
              <w:t>Paid-in-</w:t>
            </w:r>
          </w:p>
        </w:tc>
        <w:tc>
          <w:tcPr>
            <w:tcW w:w="110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80" w:type="dxa"/>
            <w:vAlign w:val="bottom"/>
            <w:shd w:val="clear" w:color="auto" w:fill="008A5F"/>
          </w:tcPr>
          <w:p>
            <w:pPr>
              <w:jc w:val="right"/>
              <w:ind w:right="29"/>
              <w:spacing w:after="0" w:line="135" w:lineRule="exact"/>
              <w:rPr>
                <w:sz w:val="20"/>
                <w:szCs w:val="20"/>
                <w:color w:val="auto"/>
              </w:rPr>
            </w:pPr>
            <w:r>
              <w:rPr>
                <w:rFonts w:ascii="Arial" w:cs="Arial" w:eastAsia="Arial" w:hAnsi="Arial"/>
                <w:sz w:val="13"/>
                <w:szCs w:val="13"/>
                <w:b w:val="1"/>
                <w:bCs w:val="1"/>
                <w:color w:val="FFFFFF"/>
              </w:rPr>
              <w:t>Accumulated</w:t>
            </w:r>
          </w:p>
        </w:tc>
        <w:tc>
          <w:tcPr>
            <w:tcW w:w="960" w:type="dxa"/>
            <w:vAlign w:val="bottom"/>
            <w:gridSpan w:val="2"/>
            <w:shd w:val="clear" w:color="auto" w:fill="008A5F"/>
          </w:tcPr>
          <w:p>
            <w:pPr>
              <w:ind w:left="80"/>
              <w:spacing w:after="0" w:line="135" w:lineRule="exact"/>
              <w:rPr>
                <w:sz w:val="20"/>
                <w:szCs w:val="20"/>
                <w:color w:val="auto"/>
              </w:rPr>
            </w:pPr>
            <w:r>
              <w:rPr>
                <w:rFonts w:ascii="Arial" w:cs="Arial" w:eastAsia="Arial" w:hAnsi="Arial"/>
                <w:sz w:val="13"/>
                <w:szCs w:val="13"/>
                <w:b w:val="1"/>
                <w:bCs w:val="1"/>
                <w:color w:val="FFFFFF"/>
                <w:w w:val="99"/>
              </w:rPr>
              <w:t>Shareholders'</w:t>
            </w:r>
          </w:p>
        </w:tc>
        <w:tc>
          <w:tcPr>
            <w:tcW w:w="840" w:type="dxa"/>
            <w:vAlign w:val="bottom"/>
            <w:gridSpan w:val="2"/>
            <w:shd w:val="clear" w:color="auto" w:fill="008A5F"/>
          </w:tcPr>
          <w:p>
            <w:pPr>
              <w:ind w:left="80"/>
              <w:spacing w:after="0" w:line="135" w:lineRule="exact"/>
              <w:rPr>
                <w:sz w:val="20"/>
                <w:szCs w:val="20"/>
                <w:color w:val="auto"/>
              </w:rPr>
            </w:pPr>
            <w:r>
              <w:rPr>
                <w:rFonts w:ascii="Arial" w:cs="Arial" w:eastAsia="Arial" w:hAnsi="Arial"/>
                <w:sz w:val="13"/>
                <w:szCs w:val="13"/>
                <w:b w:val="1"/>
                <w:bCs w:val="1"/>
                <w:color w:val="FFFFFF"/>
              </w:rPr>
              <w:t>Controlling</w:t>
            </w:r>
          </w:p>
        </w:tc>
        <w:tc>
          <w:tcPr>
            <w:tcW w:w="880" w:type="dxa"/>
            <w:vAlign w:val="bottom"/>
            <w:shd w:val="clear" w:color="auto" w:fill="008A5F"/>
          </w:tcPr>
          <w:p>
            <w:pPr>
              <w:jc w:val="right"/>
              <w:ind w:right="249"/>
              <w:spacing w:after="0" w:line="135"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4"/>
        </w:trPr>
        <w:tc>
          <w:tcPr>
            <w:tcW w:w="2240" w:type="dxa"/>
            <w:vAlign w:val="bottom"/>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69"/>
              <w:spacing w:after="0"/>
              <w:rPr>
                <w:sz w:val="20"/>
                <w:szCs w:val="20"/>
                <w:color w:val="auto"/>
              </w:rPr>
            </w:pPr>
            <w:r>
              <w:rPr>
                <w:rFonts w:ascii="Arial" w:cs="Arial" w:eastAsia="Arial" w:hAnsi="Arial"/>
                <w:sz w:val="13"/>
                <w:szCs w:val="13"/>
                <w:b w:val="1"/>
                <w:bCs w:val="1"/>
                <w:color w:val="FFFFFF"/>
                <w:w w:val="97"/>
              </w:rPr>
              <w:t>Amount</w:t>
            </w:r>
          </w:p>
        </w:tc>
        <w:tc>
          <w:tcPr>
            <w:tcW w:w="80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008A5F"/>
          </w:tcPr>
          <w:p>
            <w:pPr>
              <w:spacing w:after="0"/>
              <w:rPr>
                <w:sz w:val="16"/>
                <w:szCs w:val="16"/>
                <w:color w:val="auto"/>
              </w:rPr>
            </w:pPr>
          </w:p>
        </w:tc>
        <w:tc>
          <w:tcPr>
            <w:tcW w:w="760" w:type="dxa"/>
            <w:vAlign w:val="bottom"/>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w w:val="97"/>
              </w:rPr>
              <w:t>Amount</w:t>
            </w:r>
          </w:p>
        </w:tc>
        <w:tc>
          <w:tcPr>
            <w:tcW w:w="120" w:type="dxa"/>
            <w:vAlign w:val="bottom"/>
            <w:shd w:val="clear" w:color="auto" w:fill="008A5F"/>
          </w:tcPr>
          <w:p>
            <w:pPr>
              <w:spacing w:after="0"/>
              <w:rPr>
                <w:sz w:val="16"/>
                <w:szCs w:val="16"/>
                <w:color w:val="auto"/>
              </w:rPr>
            </w:pPr>
          </w:p>
        </w:tc>
        <w:tc>
          <w:tcPr>
            <w:tcW w:w="820" w:type="dxa"/>
            <w:vAlign w:val="bottom"/>
            <w:shd w:val="clear" w:color="auto" w:fill="008A5F"/>
          </w:tcPr>
          <w:p>
            <w:pPr>
              <w:jc w:val="center"/>
              <w:ind w:right="90"/>
              <w:spacing w:after="0"/>
              <w:rPr>
                <w:sz w:val="20"/>
                <w:szCs w:val="20"/>
                <w:color w:val="auto"/>
              </w:rPr>
            </w:pPr>
            <w:r>
              <w:rPr>
                <w:rFonts w:ascii="Arial" w:cs="Arial" w:eastAsia="Arial" w:hAnsi="Arial"/>
                <w:sz w:val="13"/>
                <w:szCs w:val="13"/>
                <w:b w:val="1"/>
                <w:bCs w:val="1"/>
                <w:color w:val="FFFFFF"/>
                <w:w w:val="96"/>
              </w:rPr>
              <w:t>Capital</w:t>
            </w:r>
          </w:p>
        </w:tc>
        <w:tc>
          <w:tcPr>
            <w:tcW w:w="240" w:type="dxa"/>
            <w:vAlign w:val="bottom"/>
            <w:shd w:val="clear" w:color="auto" w:fill="008A5F"/>
          </w:tcPr>
          <w:p>
            <w:pPr>
              <w:spacing w:after="0"/>
              <w:rPr>
                <w:sz w:val="16"/>
                <w:szCs w:val="16"/>
                <w:color w:val="auto"/>
              </w:rPr>
            </w:pPr>
          </w:p>
        </w:tc>
        <w:tc>
          <w:tcPr>
            <w:tcW w:w="860" w:type="dxa"/>
            <w:vAlign w:val="bottom"/>
            <w:shd w:val="clear" w:color="auto" w:fill="008A5F"/>
          </w:tcPr>
          <w:p>
            <w:pPr>
              <w:jc w:val="center"/>
              <w:ind w:right="189"/>
              <w:spacing w:after="0"/>
              <w:rPr>
                <w:sz w:val="20"/>
                <w:szCs w:val="20"/>
                <w:color w:val="auto"/>
              </w:rPr>
            </w:pPr>
            <w:r>
              <w:rPr>
                <w:rFonts w:ascii="Arial" w:cs="Arial" w:eastAsia="Arial" w:hAnsi="Arial"/>
                <w:sz w:val="13"/>
                <w:szCs w:val="13"/>
                <w:b w:val="1"/>
                <w:bCs w:val="1"/>
                <w:color w:val="FFFFFF"/>
                <w:w w:val="96"/>
              </w:rPr>
              <w:t>Income</w:t>
            </w:r>
          </w:p>
        </w:tc>
        <w:tc>
          <w:tcPr>
            <w:tcW w:w="980" w:type="dxa"/>
            <w:vAlign w:val="bottom"/>
            <w:shd w:val="clear" w:color="auto" w:fill="008A5F"/>
          </w:tcPr>
          <w:p>
            <w:pPr>
              <w:jc w:val="right"/>
              <w:ind w:right="249"/>
              <w:spacing w:after="0"/>
              <w:rPr>
                <w:sz w:val="20"/>
                <w:szCs w:val="20"/>
                <w:color w:val="auto"/>
              </w:rPr>
            </w:pPr>
            <w:r>
              <w:rPr>
                <w:rFonts w:ascii="Arial" w:cs="Arial" w:eastAsia="Arial" w:hAnsi="Arial"/>
                <w:sz w:val="13"/>
                <w:szCs w:val="13"/>
                <w:b w:val="1"/>
                <w:bCs w:val="1"/>
                <w:color w:val="FFFFFF"/>
              </w:rPr>
              <w:t>Deficit</w:t>
            </w:r>
          </w:p>
        </w:tc>
        <w:tc>
          <w:tcPr>
            <w:tcW w:w="22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229"/>
              <w:spacing w:after="0"/>
              <w:rPr>
                <w:sz w:val="20"/>
                <w:szCs w:val="20"/>
                <w:color w:val="auto"/>
              </w:rPr>
            </w:pPr>
            <w:r>
              <w:rPr>
                <w:rFonts w:ascii="Arial" w:cs="Arial" w:eastAsia="Arial" w:hAnsi="Arial"/>
                <w:sz w:val="13"/>
                <w:szCs w:val="13"/>
                <w:b w:val="1"/>
                <w:bCs w:val="1"/>
                <w:color w:val="FFFFFF"/>
              </w:rPr>
              <w:t>Equity</w:t>
            </w:r>
          </w:p>
        </w:tc>
        <w:tc>
          <w:tcPr>
            <w:tcW w:w="160" w:type="dxa"/>
            <w:vAlign w:val="bottom"/>
            <w:shd w:val="clear" w:color="auto" w:fill="008A5F"/>
          </w:tcPr>
          <w:p>
            <w:pPr>
              <w:spacing w:after="0"/>
              <w:rPr>
                <w:sz w:val="16"/>
                <w:szCs w:val="16"/>
                <w:color w:val="auto"/>
              </w:rPr>
            </w:pPr>
          </w:p>
        </w:tc>
        <w:tc>
          <w:tcPr>
            <w:tcW w:w="68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w w:val="97"/>
              </w:rPr>
              <w:t>Interest</w:t>
            </w:r>
          </w:p>
        </w:tc>
        <w:tc>
          <w:tcPr>
            <w:tcW w:w="880" w:type="dxa"/>
            <w:vAlign w:val="bottom"/>
            <w:shd w:val="clear" w:color="auto" w:fill="008A5F"/>
          </w:tcPr>
          <w:p>
            <w:pPr>
              <w:jc w:val="right"/>
              <w:ind w:right="209"/>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216"/>
        </w:trPr>
        <w:tc>
          <w:tcPr>
            <w:tcW w:w="22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2018</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108,509</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2,389,548</w:t>
            </w:r>
          </w:p>
        </w:tc>
        <w:tc>
          <w:tcPr>
            <w:tcW w:w="240" w:type="dxa"/>
            <w:vAlign w:val="bottom"/>
            <w:shd w:val="clear" w:color="auto" w:fill="E7E7E8"/>
          </w:tcPr>
          <w:p>
            <w:pPr>
              <w:jc w:val="right"/>
              <w:ind w:right="13"/>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(68,026)</w:t>
            </w: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(1,683,319)</w:t>
            </w:r>
          </w:p>
        </w:tc>
        <w:tc>
          <w:tcPr>
            <w:tcW w:w="22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638,215</w:t>
            </w:r>
          </w:p>
        </w:tc>
        <w:tc>
          <w:tcPr>
            <w:tcW w:w="16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63,982</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$ 702,197</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(10,301)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(860)</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(11,161)</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1,748</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1,748</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166</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Adoption of ASC 606</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345</w:t>
            </w:r>
          </w:p>
        </w:tc>
        <w:tc>
          <w:tcPr>
            <w:tcW w:w="2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345</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184</w:t>
            </w:r>
          </w:p>
        </w:tc>
        <w:tc>
          <w:tcPr>
            <w:tcW w:w="1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7E7E8"/>
          </w:tcPr>
          <w:p>
            <w:pPr>
              <w:spacing w:after="0"/>
              <w:rPr>
                <w:sz w:val="19"/>
                <w:szCs w:val="19"/>
                <w:color w:val="auto"/>
              </w:rPr>
            </w:pPr>
          </w:p>
        </w:tc>
        <w:tc>
          <w:tcPr>
            <w:tcW w:w="7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ind w:right="10"/>
              <w:spacing w:after="0"/>
              <w:rPr>
                <w:sz w:val="20"/>
                <w:szCs w:val="20"/>
                <w:color w:val="auto"/>
              </w:rPr>
            </w:pPr>
            <w:r>
              <w:rPr>
                <w:rFonts w:ascii="Arial" w:cs="Arial" w:eastAsia="Arial" w:hAnsi="Arial"/>
                <w:sz w:val="14"/>
                <w:szCs w:val="14"/>
                <w:color w:val="auto"/>
              </w:rPr>
              <w:t>636</w:t>
            </w:r>
          </w:p>
        </w:tc>
        <w:tc>
          <w:tcPr>
            <w:tcW w:w="24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636</w:t>
            </w:r>
          </w:p>
        </w:tc>
        <w:tc>
          <w:tcPr>
            <w:tcW w:w="160" w:type="dxa"/>
            <w:vAlign w:val="bottom"/>
            <w:tcBorders>
              <w:bottom w:val="single" w:sz="8" w:color="auto"/>
            </w:tcBorders>
            <w:shd w:val="clear" w:color="auto" w:fill="E7E7E8"/>
          </w:tcPr>
          <w:p>
            <w:pPr>
              <w:spacing w:after="0"/>
              <w:rPr>
                <w:sz w:val="19"/>
                <w:szCs w:val="19"/>
                <w:color w:val="auto"/>
              </w:rPr>
            </w:pP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color w:val="auto"/>
              </w:rPr>
              <w:t>Balance at March 31, 2019</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108,693</w:t>
            </w:r>
          </w:p>
        </w:tc>
        <w:tc>
          <w:tcPr>
            <w:tcW w:w="18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2,390,184</w:t>
            </w:r>
          </w:p>
        </w:tc>
        <w:tc>
          <w:tcPr>
            <w:tcW w:w="24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(66,278)</w:t>
            </w:r>
          </w:p>
        </w:tc>
        <w:tc>
          <w:tcPr>
            <w:tcW w:w="980" w:type="dxa"/>
            <w:vAlign w:val="bottom"/>
          </w:tcPr>
          <w:p>
            <w:pPr>
              <w:jc w:val="right"/>
              <w:spacing w:after="0"/>
              <w:rPr>
                <w:sz w:val="20"/>
                <w:szCs w:val="20"/>
                <w:color w:val="auto"/>
              </w:rPr>
            </w:pPr>
            <w:r>
              <w:rPr>
                <w:rFonts w:ascii="Arial" w:cs="Arial" w:eastAsia="Arial" w:hAnsi="Arial"/>
                <w:sz w:val="14"/>
                <w:szCs w:val="14"/>
                <w:color w:val="auto"/>
              </w:rPr>
              <w:t>(1,693,275)</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630,643</w:t>
            </w:r>
          </w:p>
        </w:tc>
        <w:tc>
          <w:tcPr>
            <w:tcW w:w="1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63,288</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693,931</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(10,913)</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(10,913)</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(862)</w:t>
            </w:r>
          </w:p>
        </w:tc>
        <w:tc>
          <w:tcPr>
            <w:tcW w:w="8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(11,775)</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368</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368</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45</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7E7E8"/>
          </w:tcPr>
          <w:p>
            <w:pPr>
              <w:spacing w:after="0"/>
              <w:rPr>
                <w:sz w:val="19"/>
                <w:szCs w:val="19"/>
                <w:color w:val="auto"/>
              </w:rPr>
            </w:pPr>
          </w:p>
        </w:tc>
        <w:tc>
          <w:tcPr>
            <w:tcW w:w="7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ind w:right="10"/>
              <w:spacing w:after="0"/>
              <w:rPr>
                <w:sz w:val="20"/>
                <w:szCs w:val="20"/>
                <w:color w:val="auto"/>
              </w:rPr>
            </w:pPr>
            <w:r>
              <w:rPr>
                <w:rFonts w:ascii="Arial" w:cs="Arial" w:eastAsia="Arial" w:hAnsi="Arial"/>
                <w:sz w:val="14"/>
                <w:szCs w:val="14"/>
                <w:color w:val="auto"/>
              </w:rPr>
              <w:t>1,901</w:t>
            </w:r>
          </w:p>
        </w:tc>
        <w:tc>
          <w:tcPr>
            <w:tcW w:w="24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1,901</w:t>
            </w:r>
          </w:p>
        </w:tc>
        <w:tc>
          <w:tcPr>
            <w:tcW w:w="160" w:type="dxa"/>
            <w:vAlign w:val="bottom"/>
            <w:tcBorders>
              <w:bottom w:val="single" w:sz="8" w:color="auto"/>
            </w:tcBorders>
            <w:shd w:val="clear" w:color="auto" w:fill="E7E7E8"/>
          </w:tcPr>
          <w:p>
            <w:pPr>
              <w:spacing w:after="0"/>
              <w:rPr>
                <w:sz w:val="19"/>
                <w:szCs w:val="19"/>
                <w:color w:val="auto"/>
              </w:rPr>
            </w:pP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108,699</w:t>
            </w:r>
          </w:p>
        </w:tc>
        <w:tc>
          <w:tcPr>
            <w:tcW w:w="18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2,392,085</w:t>
            </w:r>
          </w:p>
        </w:tc>
        <w:tc>
          <w:tcPr>
            <w:tcW w:w="24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(65,910)</w:t>
            </w:r>
          </w:p>
        </w:tc>
        <w:tc>
          <w:tcPr>
            <w:tcW w:w="980" w:type="dxa"/>
            <w:vAlign w:val="bottom"/>
          </w:tcPr>
          <w:p>
            <w:pPr>
              <w:jc w:val="right"/>
              <w:spacing w:after="0"/>
              <w:rPr>
                <w:sz w:val="20"/>
                <w:szCs w:val="20"/>
                <w:color w:val="auto"/>
              </w:rPr>
            </w:pPr>
            <w:r>
              <w:rPr>
                <w:rFonts w:ascii="Arial" w:cs="Arial" w:eastAsia="Arial" w:hAnsi="Arial"/>
                <w:sz w:val="14"/>
                <w:szCs w:val="14"/>
                <w:color w:val="auto"/>
              </w:rPr>
              <w:t>(1,704,188)</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621,999</w:t>
            </w:r>
          </w:p>
        </w:tc>
        <w:tc>
          <w:tcPr>
            <w:tcW w:w="1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62,471</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684,470</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489</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489</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273</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(2,998)</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(301)</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200"/>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Issuance of common stock</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14</w:t>
            </w:r>
          </w:p>
        </w:tc>
        <w:tc>
          <w:tcPr>
            <w:tcW w:w="18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7"/>
                <w:szCs w:val="17"/>
                <w:color w:val="auto"/>
              </w:rPr>
            </w:pPr>
          </w:p>
        </w:tc>
        <w:tc>
          <w:tcPr>
            <w:tcW w:w="82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194</w:t>
            </w:r>
          </w:p>
        </w:tc>
        <w:tc>
          <w:tcPr>
            <w:tcW w:w="240" w:type="dxa"/>
            <w:vAlign w:val="bottom"/>
            <w:shd w:val="clear" w:color="auto" w:fill="E7E7E8"/>
          </w:tcPr>
          <w:p>
            <w:pPr>
              <w:spacing w:after="0"/>
              <w:rPr>
                <w:sz w:val="17"/>
                <w:szCs w:val="17"/>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E7E7E8"/>
          </w:tcPr>
          <w:p>
            <w:pPr>
              <w:spacing w:after="0"/>
              <w:rPr>
                <w:sz w:val="17"/>
                <w:szCs w:val="17"/>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4"/>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from the exercise of options</w:t>
            </w:r>
          </w:p>
        </w:tc>
        <w:tc>
          <w:tcPr>
            <w:tcW w:w="800" w:type="dxa"/>
            <w:vAlign w:val="bottom"/>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800" w:type="dxa"/>
            <w:vAlign w:val="bottom"/>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82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1,812</w:t>
            </w:r>
          </w:p>
        </w:tc>
        <w:tc>
          <w:tcPr>
            <w:tcW w:w="24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1,812</w:t>
            </w:r>
          </w:p>
        </w:tc>
        <w:tc>
          <w:tcPr>
            <w:tcW w:w="1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162"/>
        </w:trPr>
        <w:tc>
          <w:tcPr>
            <w:tcW w:w="2240" w:type="dxa"/>
            <w:vAlign w:val="bottom"/>
          </w:tcPr>
          <w:p>
            <w:pPr>
              <w:ind w:left="220"/>
              <w:spacing w:after="0"/>
              <w:rPr>
                <w:sz w:val="20"/>
                <w:szCs w:val="20"/>
                <w:color w:val="auto"/>
              </w:rPr>
            </w:pPr>
            <w:r>
              <w:rPr>
                <w:rFonts w:ascii="Arial" w:cs="Arial" w:eastAsia="Arial" w:hAnsi="Arial"/>
                <w:sz w:val="14"/>
                <w:szCs w:val="14"/>
                <w:color w:val="auto"/>
              </w:rPr>
              <w:t>and issuance of common stock</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4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from vesting</w:t>
            </w: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Balance at September 30, 2019</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108,751</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7E7E8"/>
          </w:tcPr>
          <w:p>
            <w:pPr>
              <w:jc w:val="right"/>
              <w:ind w:right="10"/>
              <w:spacing w:after="0"/>
              <w:rPr>
                <w:sz w:val="20"/>
                <w:szCs w:val="20"/>
                <w:color w:val="auto"/>
              </w:rPr>
            </w:pPr>
            <w:r>
              <w:rPr>
                <w:rFonts w:ascii="Arial" w:cs="Arial" w:eastAsia="Arial" w:hAnsi="Arial"/>
                <w:sz w:val="14"/>
                <w:szCs w:val="14"/>
                <w:color w:val="auto"/>
              </w:rPr>
              <w:t>2,394,091</w:t>
            </w:r>
          </w:p>
        </w:tc>
        <w:tc>
          <w:tcPr>
            <w:tcW w:w="240" w:type="dxa"/>
            <w:vAlign w:val="bottom"/>
            <w:tcBorders>
              <w:bottom w:val="single" w:sz="8" w:color="auto"/>
            </w:tcBorders>
            <w:shd w:val="clear" w:color="auto" w:fill="E7E7E8"/>
          </w:tcPr>
          <w:p>
            <w:pPr>
              <w:jc w:val="right"/>
              <w:ind w:right="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(68,908)</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 (1,703,699)</w:t>
            </w:r>
          </w:p>
        </w:tc>
        <w:tc>
          <w:tcPr>
            <w:tcW w:w="220" w:type="dxa"/>
            <w:vAlign w:val="bottom"/>
            <w:tcBorders>
              <w:bottom w:val="single" w:sz="8" w:color="auto"/>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621,496</w:t>
            </w:r>
          </w:p>
        </w:tc>
        <w:tc>
          <w:tcPr>
            <w:tcW w:w="16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62,443</w:t>
            </w:r>
          </w:p>
        </w:tc>
        <w:tc>
          <w:tcPr>
            <w:tcW w:w="88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$ 683,939</w:t>
            </w:r>
          </w:p>
        </w:tc>
        <w:tc>
          <w:tcPr>
            <w:tcW w:w="0" w:type="dxa"/>
            <w:vAlign w:val="bottom"/>
          </w:tcPr>
          <w:p>
            <w:pPr>
              <w:spacing w:after="0"/>
              <w:rPr>
                <w:sz w:val="1"/>
                <w:szCs w:val="1"/>
                <w:color w:val="auto"/>
              </w:rPr>
            </w:pPr>
          </w:p>
        </w:tc>
      </w:tr>
      <w:tr>
        <w:trPr>
          <w:trHeight w:val="20"/>
        </w:trPr>
        <w:tc>
          <w:tcPr>
            <w:tcW w:w="2240" w:type="dxa"/>
            <w:vAlign w:val="bottom"/>
            <w:tcBorders>
              <w:top w:val="single" w:sz="8" w:color="E7E7E8"/>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7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68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377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54305"/>
                    </a:xfrm>
                    <a:prstGeom prst="rect">
                      <a:avLst/>
                    </a:prstGeom>
                    <a:noFill/>
                  </pic:spPr>
                </pic:pic>
              </a:graphicData>
            </a:graphic>
          </wp:anchor>
        </w:drawing>
        <w:t>Nine Months Ended September 30,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shd w:val="clear" w:color="auto" w:fill="008A5F"/>
          </w:tcPr>
          <w:p>
            <w:pPr>
              <w:spacing w:after="0"/>
              <w:rPr>
                <w:sz w:val="13"/>
                <w:szCs w:val="13"/>
                <w:color w:val="auto"/>
              </w:rPr>
            </w:pPr>
          </w:p>
        </w:tc>
        <w:tc>
          <w:tcPr>
            <w:tcW w:w="1720" w:type="dxa"/>
            <w:vAlign w:val="bottom"/>
            <w:gridSpan w:val="3"/>
            <w:vMerge w:val="restart"/>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Class A Common Stock</w:t>
            </w:r>
          </w:p>
        </w:tc>
        <w:tc>
          <w:tcPr>
            <w:tcW w:w="1740" w:type="dxa"/>
            <w:vAlign w:val="bottom"/>
            <w:gridSpan w:val="3"/>
            <w:vMerge w:val="restart"/>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Class B Common Stock</w:t>
            </w:r>
          </w:p>
        </w:tc>
        <w:tc>
          <w:tcPr>
            <w:tcW w:w="12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100" w:type="dxa"/>
            <w:vAlign w:val="bottom"/>
            <w:gridSpan w:val="2"/>
            <w:shd w:val="clear" w:color="auto" w:fill="008A5F"/>
          </w:tcPr>
          <w:p>
            <w:pPr>
              <w:jc w:val="center"/>
              <w:spacing w:after="0"/>
              <w:rPr>
                <w:sz w:val="20"/>
                <w:szCs w:val="20"/>
                <w:color w:val="auto"/>
              </w:rPr>
            </w:pPr>
            <w:r>
              <w:rPr>
                <w:rFonts w:ascii="Arial" w:cs="Arial" w:eastAsia="Arial" w:hAnsi="Arial"/>
                <w:sz w:val="13"/>
                <w:szCs w:val="13"/>
                <w:b w:val="1"/>
                <w:bCs w:val="1"/>
                <w:color w:val="FFFFFF"/>
                <w:w w:val="97"/>
              </w:rPr>
              <w:t>Accumulated</w:t>
            </w:r>
          </w:p>
        </w:tc>
        <w:tc>
          <w:tcPr>
            <w:tcW w:w="980" w:type="dxa"/>
            <w:vAlign w:val="bottom"/>
            <w:shd w:val="clear" w:color="auto" w:fill="008A5F"/>
          </w:tcPr>
          <w:p>
            <w:pPr>
              <w:spacing w:after="0"/>
              <w:rPr>
                <w:sz w:val="13"/>
                <w:szCs w:val="13"/>
                <w:color w:val="auto"/>
              </w:rPr>
            </w:pPr>
          </w:p>
        </w:tc>
        <w:tc>
          <w:tcPr>
            <w:tcW w:w="220" w:type="dxa"/>
            <w:vAlign w:val="bottom"/>
            <w:shd w:val="clear" w:color="auto" w:fill="008A5F"/>
          </w:tcPr>
          <w:p>
            <w:pPr>
              <w:spacing w:after="0"/>
              <w:rPr>
                <w:sz w:val="13"/>
                <w:szCs w:val="13"/>
                <w:color w:val="auto"/>
              </w:rPr>
            </w:pPr>
          </w:p>
        </w:tc>
        <w:tc>
          <w:tcPr>
            <w:tcW w:w="740" w:type="dxa"/>
            <w:vAlign w:val="bottom"/>
            <w:shd w:val="clear" w:color="auto" w:fill="008A5F"/>
          </w:tcPr>
          <w:p>
            <w:pPr>
              <w:spacing w:after="0"/>
              <w:rPr>
                <w:sz w:val="13"/>
                <w:szCs w:val="13"/>
                <w:color w:val="auto"/>
              </w:rPr>
            </w:pPr>
          </w:p>
        </w:tc>
        <w:tc>
          <w:tcPr>
            <w:tcW w:w="160" w:type="dxa"/>
            <w:vAlign w:val="bottom"/>
            <w:shd w:val="clear" w:color="auto" w:fill="008A5F"/>
          </w:tcPr>
          <w:p>
            <w:pPr>
              <w:spacing w:after="0"/>
              <w:rPr>
                <w:sz w:val="13"/>
                <w:szCs w:val="13"/>
                <w:color w:val="auto"/>
              </w:rPr>
            </w:pPr>
          </w:p>
        </w:tc>
        <w:tc>
          <w:tcPr>
            <w:tcW w:w="680" w:type="dxa"/>
            <w:vAlign w:val="bottom"/>
            <w:shd w:val="clear" w:color="auto" w:fill="008A5F"/>
          </w:tcPr>
          <w:p>
            <w:pPr>
              <w:spacing w:after="0"/>
              <w:rPr>
                <w:sz w:val="13"/>
                <w:szCs w:val="13"/>
                <w:color w:val="auto"/>
              </w:rPr>
            </w:pPr>
          </w:p>
        </w:tc>
        <w:tc>
          <w:tcPr>
            <w:tcW w:w="88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008A5F"/>
          </w:tcPr>
          <w:p>
            <w:pPr>
              <w:spacing w:after="0"/>
              <w:rPr>
                <w:sz w:val="11"/>
                <w:szCs w:val="11"/>
                <w:color w:val="auto"/>
              </w:rPr>
            </w:pPr>
          </w:p>
        </w:tc>
        <w:tc>
          <w:tcPr>
            <w:tcW w:w="1720" w:type="dxa"/>
            <w:vAlign w:val="bottom"/>
            <w:gridSpan w:val="3"/>
            <w:vMerge w:val="continue"/>
            <w:shd w:val="clear" w:color="auto" w:fill="008A5F"/>
          </w:tcPr>
          <w:p>
            <w:pPr>
              <w:spacing w:after="0"/>
              <w:rPr>
                <w:sz w:val="11"/>
                <w:szCs w:val="11"/>
                <w:color w:val="auto"/>
              </w:rPr>
            </w:pPr>
          </w:p>
        </w:tc>
        <w:tc>
          <w:tcPr>
            <w:tcW w:w="1740" w:type="dxa"/>
            <w:vAlign w:val="bottom"/>
            <w:gridSpan w:val="3"/>
            <w:vMerge w:val="continue"/>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820" w:type="dxa"/>
            <w:vAlign w:val="bottom"/>
            <w:shd w:val="clear" w:color="auto" w:fill="008A5F"/>
          </w:tcPr>
          <w:p>
            <w:pPr>
              <w:jc w:val="center"/>
              <w:ind w:right="69"/>
              <w:spacing w:after="0" w:line="135" w:lineRule="exact"/>
              <w:rPr>
                <w:sz w:val="20"/>
                <w:szCs w:val="20"/>
                <w:color w:val="auto"/>
              </w:rPr>
            </w:pPr>
            <w:r>
              <w:rPr>
                <w:rFonts w:ascii="Arial" w:cs="Arial" w:eastAsia="Arial" w:hAnsi="Arial"/>
                <w:sz w:val="13"/>
                <w:szCs w:val="13"/>
                <w:b w:val="1"/>
                <w:bCs w:val="1"/>
                <w:color w:val="FFFFFF"/>
                <w:w w:val="94"/>
              </w:rPr>
              <w:t>Additional</w:t>
            </w:r>
          </w:p>
        </w:tc>
        <w:tc>
          <w:tcPr>
            <w:tcW w:w="240" w:type="dxa"/>
            <w:vAlign w:val="bottom"/>
            <w:shd w:val="clear" w:color="auto" w:fill="008A5F"/>
          </w:tcPr>
          <w:p>
            <w:pPr>
              <w:spacing w:after="0"/>
              <w:rPr>
                <w:sz w:val="11"/>
                <w:szCs w:val="11"/>
                <w:color w:val="auto"/>
              </w:rPr>
            </w:pPr>
          </w:p>
        </w:tc>
        <w:tc>
          <w:tcPr>
            <w:tcW w:w="860" w:type="dxa"/>
            <w:vAlign w:val="bottom"/>
            <w:shd w:val="clear" w:color="auto" w:fill="008A5F"/>
          </w:tcPr>
          <w:p>
            <w:pPr>
              <w:jc w:val="center"/>
              <w:ind w:right="169"/>
              <w:spacing w:after="0" w:line="135" w:lineRule="exact"/>
              <w:rPr>
                <w:sz w:val="20"/>
                <w:szCs w:val="20"/>
                <w:color w:val="auto"/>
              </w:rPr>
            </w:pPr>
            <w:r>
              <w:rPr>
                <w:rFonts w:ascii="Arial" w:cs="Arial" w:eastAsia="Arial" w:hAnsi="Arial"/>
                <w:sz w:val="13"/>
                <w:szCs w:val="13"/>
                <w:b w:val="1"/>
                <w:bCs w:val="1"/>
                <w:color w:val="FFFFFF"/>
                <w:w w:val="97"/>
              </w:rPr>
              <w:t>Other</w:t>
            </w:r>
          </w:p>
        </w:tc>
        <w:tc>
          <w:tcPr>
            <w:tcW w:w="980" w:type="dxa"/>
            <w:vAlign w:val="bottom"/>
            <w:shd w:val="clear" w:color="auto" w:fill="008A5F"/>
          </w:tcPr>
          <w:p>
            <w:pPr>
              <w:spacing w:after="0"/>
              <w:rPr>
                <w:sz w:val="11"/>
                <w:szCs w:val="11"/>
                <w:color w:val="auto"/>
              </w:rPr>
            </w:pPr>
          </w:p>
        </w:tc>
        <w:tc>
          <w:tcPr>
            <w:tcW w:w="220" w:type="dxa"/>
            <w:vAlign w:val="bottom"/>
            <w:shd w:val="clear" w:color="auto" w:fill="008A5F"/>
          </w:tcPr>
          <w:p>
            <w:pPr>
              <w:spacing w:after="0"/>
              <w:rPr>
                <w:sz w:val="11"/>
                <w:szCs w:val="11"/>
                <w:color w:val="auto"/>
              </w:rPr>
            </w:pPr>
          </w:p>
        </w:tc>
        <w:tc>
          <w:tcPr>
            <w:tcW w:w="740" w:type="dxa"/>
            <w:vAlign w:val="bottom"/>
            <w:shd w:val="clear" w:color="auto" w:fill="008A5F"/>
          </w:tcPr>
          <w:p>
            <w:pPr>
              <w:jc w:val="right"/>
              <w:ind w:right="249"/>
              <w:spacing w:after="0" w:line="135" w:lineRule="exact"/>
              <w:rPr>
                <w:sz w:val="20"/>
                <w:szCs w:val="20"/>
                <w:color w:val="auto"/>
              </w:rPr>
            </w:pPr>
            <w:r>
              <w:rPr>
                <w:rFonts w:ascii="Arial" w:cs="Arial" w:eastAsia="Arial" w:hAnsi="Arial"/>
                <w:sz w:val="13"/>
                <w:szCs w:val="13"/>
                <w:b w:val="1"/>
                <w:bCs w:val="1"/>
                <w:color w:val="FFFFFF"/>
              </w:rPr>
              <w:t>Total</w:t>
            </w:r>
          </w:p>
        </w:tc>
        <w:tc>
          <w:tcPr>
            <w:tcW w:w="160" w:type="dxa"/>
            <w:vAlign w:val="bottom"/>
            <w:shd w:val="clear" w:color="auto" w:fill="008A5F"/>
          </w:tcPr>
          <w:p>
            <w:pPr>
              <w:spacing w:after="0"/>
              <w:rPr>
                <w:sz w:val="11"/>
                <w:szCs w:val="11"/>
                <w:color w:val="auto"/>
              </w:rPr>
            </w:pPr>
          </w:p>
        </w:tc>
        <w:tc>
          <w:tcPr>
            <w:tcW w:w="680" w:type="dxa"/>
            <w:vAlign w:val="bottom"/>
            <w:shd w:val="clear" w:color="auto" w:fill="008A5F"/>
          </w:tcPr>
          <w:p>
            <w:pPr>
              <w:jc w:val="right"/>
              <w:ind w:right="209"/>
              <w:spacing w:after="0" w:line="135" w:lineRule="exact"/>
              <w:rPr>
                <w:sz w:val="20"/>
                <w:szCs w:val="20"/>
                <w:color w:val="auto"/>
              </w:rPr>
            </w:pPr>
            <w:r>
              <w:rPr>
                <w:rFonts w:ascii="Arial" w:cs="Arial" w:eastAsia="Arial" w:hAnsi="Arial"/>
                <w:sz w:val="13"/>
                <w:szCs w:val="13"/>
                <w:b w:val="1"/>
                <w:bCs w:val="1"/>
                <w:color w:val="FFFFFF"/>
              </w:rPr>
              <w:t>Non-</w:t>
            </w:r>
          </w:p>
        </w:tc>
        <w:tc>
          <w:tcPr>
            <w:tcW w:w="88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8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80" w:type="dxa"/>
            <w:vAlign w:val="bottom"/>
            <w:shd w:val="clear" w:color="auto" w:fill="008A5F"/>
          </w:tcPr>
          <w:p>
            <w:pPr>
              <w:spacing w:after="0"/>
              <w:rPr>
                <w:sz w:val="11"/>
                <w:szCs w:val="11"/>
                <w:color w:val="auto"/>
              </w:rPr>
            </w:pPr>
          </w:p>
        </w:tc>
        <w:tc>
          <w:tcPr>
            <w:tcW w:w="76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820" w:type="dxa"/>
            <w:vAlign w:val="bottom"/>
            <w:shd w:val="clear" w:color="auto" w:fill="008A5F"/>
          </w:tcPr>
          <w:p>
            <w:pPr>
              <w:jc w:val="center"/>
              <w:ind w:right="49"/>
              <w:spacing w:after="0" w:line="135" w:lineRule="exact"/>
              <w:rPr>
                <w:sz w:val="20"/>
                <w:szCs w:val="20"/>
                <w:color w:val="auto"/>
              </w:rPr>
            </w:pPr>
            <w:r>
              <w:rPr>
                <w:rFonts w:ascii="Arial" w:cs="Arial" w:eastAsia="Arial" w:hAnsi="Arial"/>
                <w:sz w:val="13"/>
                <w:szCs w:val="13"/>
                <w:b w:val="1"/>
                <w:bCs w:val="1"/>
                <w:color w:val="FFFFFF"/>
                <w:w w:val="96"/>
              </w:rPr>
              <w:t>Paid-in-</w:t>
            </w:r>
          </w:p>
        </w:tc>
        <w:tc>
          <w:tcPr>
            <w:tcW w:w="110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80" w:type="dxa"/>
            <w:vAlign w:val="bottom"/>
            <w:shd w:val="clear" w:color="auto" w:fill="008A5F"/>
          </w:tcPr>
          <w:p>
            <w:pPr>
              <w:jc w:val="right"/>
              <w:ind w:right="29"/>
              <w:spacing w:after="0" w:line="135" w:lineRule="exact"/>
              <w:rPr>
                <w:sz w:val="20"/>
                <w:szCs w:val="20"/>
                <w:color w:val="auto"/>
              </w:rPr>
            </w:pPr>
            <w:r>
              <w:rPr>
                <w:rFonts w:ascii="Arial" w:cs="Arial" w:eastAsia="Arial" w:hAnsi="Arial"/>
                <w:sz w:val="13"/>
                <w:szCs w:val="13"/>
                <w:b w:val="1"/>
                <w:bCs w:val="1"/>
                <w:color w:val="FFFFFF"/>
              </w:rPr>
              <w:t>Accumulated</w:t>
            </w:r>
          </w:p>
        </w:tc>
        <w:tc>
          <w:tcPr>
            <w:tcW w:w="960" w:type="dxa"/>
            <w:vAlign w:val="bottom"/>
            <w:gridSpan w:val="2"/>
            <w:shd w:val="clear" w:color="auto" w:fill="008A5F"/>
          </w:tcPr>
          <w:p>
            <w:pPr>
              <w:ind w:left="80"/>
              <w:spacing w:after="0" w:line="135" w:lineRule="exact"/>
              <w:rPr>
                <w:sz w:val="20"/>
                <w:szCs w:val="20"/>
                <w:color w:val="auto"/>
              </w:rPr>
            </w:pPr>
            <w:r>
              <w:rPr>
                <w:rFonts w:ascii="Arial" w:cs="Arial" w:eastAsia="Arial" w:hAnsi="Arial"/>
                <w:sz w:val="13"/>
                <w:szCs w:val="13"/>
                <w:b w:val="1"/>
                <w:bCs w:val="1"/>
                <w:color w:val="FFFFFF"/>
                <w:w w:val="99"/>
              </w:rPr>
              <w:t>Shareholders'</w:t>
            </w:r>
          </w:p>
        </w:tc>
        <w:tc>
          <w:tcPr>
            <w:tcW w:w="840" w:type="dxa"/>
            <w:vAlign w:val="bottom"/>
            <w:gridSpan w:val="2"/>
            <w:shd w:val="clear" w:color="auto" w:fill="008A5F"/>
          </w:tcPr>
          <w:p>
            <w:pPr>
              <w:ind w:left="80"/>
              <w:spacing w:after="0" w:line="135" w:lineRule="exact"/>
              <w:rPr>
                <w:sz w:val="20"/>
                <w:szCs w:val="20"/>
                <w:color w:val="auto"/>
              </w:rPr>
            </w:pPr>
            <w:r>
              <w:rPr>
                <w:rFonts w:ascii="Arial" w:cs="Arial" w:eastAsia="Arial" w:hAnsi="Arial"/>
                <w:sz w:val="13"/>
                <w:szCs w:val="13"/>
                <w:b w:val="1"/>
                <w:bCs w:val="1"/>
                <w:color w:val="FFFFFF"/>
              </w:rPr>
              <w:t>Controlling</w:t>
            </w:r>
          </w:p>
        </w:tc>
        <w:tc>
          <w:tcPr>
            <w:tcW w:w="880" w:type="dxa"/>
            <w:vAlign w:val="bottom"/>
            <w:shd w:val="clear" w:color="auto" w:fill="008A5F"/>
          </w:tcPr>
          <w:p>
            <w:pPr>
              <w:jc w:val="right"/>
              <w:ind w:right="249"/>
              <w:spacing w:after="0" w:line="135"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4"/>
        </w:trPr>
        <w:tc>
          <w:tcPr>
            <w:tcW w:w="2240" w:type="dxa"/>
            <w:vAlign w:val="bottom"/>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69"/>
              <w:spacing w:after="0"/>
              <w:rPr>
                <w:sz w:val="20"/>
                <w:szCs w:val="20"/>
                <w:color w:val="auto"/>
              </w:rPr>
            </w:pPr>
            <w:r>
              <w:rPr>
                <w:rFonts w:ascii="Arial" w:cs="Arial" w:eastAsia="Arial" w:hAnsi="Arial"/>
                <w:sz w:val="13"/>
                <w:szCs w:val="13"/>
                <w:b w:val="1"/>
                <w:bCs w:val="1"/>
                <w:color w:val="FFFFFF"/>
                <w:w w:val="97"/>
              </w:rPr>
              <w:t>Amount</w:t>
            </w:r>
          </w:p>
        </w:tc>
        <w:tc>
          <w:tcPr>
            <w:tcW w:w="80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008A5F"/>
          </w:tcPr>
          <w:p>
            <w:pPr>
              <w:spacing w:after="0"/>
              <w:rPr>
                <w:sz w:val="16"/>
                <w:szCs w:val="16"/>
                <w:color w:val="auto"/>
              </w:rPr>
            </w:pPr>
          </w:p>
        </w:tc>
        <w:tc>
          <w:tcPr>
            <w:tcW w:w="760" w:type="dxa"/>
            <w:vAlign w:val="bottom"/>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w w:val="97"/>
              </w:rPr>
              <w:t>Amount</w:t>
            </w:r>
          </w:p>
        </w:tc>
        <w:tc>
          <w:tcPr>
            <w:tcW w:w="120" w:type="dxa"/>
            <w:vAlign w:val="bottom"/>
            <w:shd w:val="clear" w:color="auto" w:fill="008A5F"/>
          </w:tcPr>
          <w:p>
            <w:pPr>
              <w:spacing w:after="0"/>
              <w:rPr>
                <w:sz w:val="16"/>
                <w:szCs w:val="16"/>
                <w:color w:val="auto"/>
              </w:rPr>
            </w:pPr>
          </w:p>
        </w:tc>
        <w:tc>
          <w:tcPr>
            <w:tcW w:w="820" w:type="dxa"/>
            <w:vAlign w:val="bottom"/>
            <w:shd w:val="clear" w:color="auto" w:fill="008A5F"/>
          </w:tcPr>
          <w:p>
            <w:pPr>
              <w:jc w:val="center"/>
              <w:ind w:right="89"/>
              <w:spacing w:after="0"/>
              <w:rPr>
                <w:sz w:val="20"/>
                <w:szCs w:val="20"/>
                <w:color w:val="auto"/>
              </w:rPr>
            </w:pPr>
            <w:r>
              <w:rPr>
                <w:rFonts w:ascii="Arial" w:cs="Arial" w:eastAsia="Arial" w:hAnsi="Arial"/>
                <w:sz w:val="13"/>
                <w:szCs w:val="13"/>
                <w:b w:val="1"/>
                <w:bCs w:val="1"/>
                <w:color w:val="FFFFFF"/>
                <w:w w:val="96"/>
              </w:rPr>
              <w:t>Capital</w:t>
            </w:r>
          </w:p>
        </w:tc>
        <w:tc>
          <w:tcPr>
            <w:tcW w:w="240" w:type="dxa"/>
            <w:vAlign w:val="bottom"/>
            <w:shd w:val="clear" w:color="auto" w:fill="008A5F"/>
          </w:tcPr>
          <w:p>
            <w:pPr>
              <w:spacing w:after="0"/>
              <w:rPr>
                <w:sz w:val="16"/>
                <w:szCs w:val="16"/>
                <w:color w:val="auto"/>
              </w:rPr>
            </w:pPr>
          </w:p>
        </w:tc>
        <w:tc>
          <w:tcPr>
            <w:tcW w:w="860" w:type="dxa"/>
            <w:vAlign w:val="bottom"/>
            <w:shd w:val="clear" w:color="auto" w:fill="008A5F"/>
          </w:tcPr>
          <w:p>
            <w:pPr>
              <w:jc w:val="center"/>
              <w:ind w:right="189"/>
              <w:spacing w:after="0"/>
              <w:rPr>
                <w:sz w:val="20"/>
                <w:szCs w:val="20"/>
                <w:color w:val="auto"/>
              </w:rPr>
            </w:pPr>
            <w:r>
              <w:rPr>
                <w:rFonts w:ascii="Arial" w:cs="Arial" w:eastAsia="Arial" w:hAnsi="Arial"/>
                <w:sz w:val="13"/>
                <w:szCs w:val="13"/>
                <w:b w:val="1"/>
                <w:bCs w:val="1"/>
                <w:color w:val="FFFFFF"/>
                <w:w w:val="96"/>
              </w:rPr>
              <w:t>Income</w:t>
            </w:r>
          </w:p>
        </w:tc>
        <w:tc>
          <w:tcPr>
            <w:tcW w:w="980" w:type="dxa"/>
            <w:vAlign w:val="bottom"/>
            <w:shd w:val="clear" w:color="auto" w:fill="008A5F"/>
          </w:tcPr>
          <w:p>
            <w:pPr>
              <w:jc w:val="right"/>
              <w:ind w:right="249"/>
              <w:spacing w:after="0"/>
              <w:rPr>
                <w:sz w:val="20"/>
                <w:szCs w:val="20"/>
                <w:color w:val="auto"/>
              </w:rPr>
            </w:pPr>
            <w:r>
              <w:rPr>
                <w:rFonts w:ascii="Arial" w:cs="Arial" w:eastAsia="Arial" w:hAnsi="Arial"/>
                <w:sz w:val="13"/>
                <w:szCs w:val="13"/>
                <w:b w:val="1"/>
                <w:bCs w:val="1"/>
                <w:color w:val="FFFFFF"/>
              </w:rPr>
              <w:t>Deficit</w:t>
            </w:r>
          </w:p>
        </w:tc>
        <w:tc>
          <w:tcPr>
            <w:tcW w:w="22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229"/>
              <w:spacing w:after="0"/>
              <w:rPr>
                <w:sz w:val="20"/>
                <w:szCs w:val="20"/>
                <w:color w:val="auto"/>
              </w:rPr>
            </w:pPr>
            <w:r>
              <w:rPr>
                <w:rFonts w:ascii="Arial" w:cs="Arial" w:eastAsia="Arial" w:hAnsi="Arial"/>
                <w:sz w:val="13"/>
                <w:szCs w:val="13"/>
                <w:b w:val="1"/>
                <w:bCs w:val="1"/>
                <w:color w:val="FFFFFF"/>
              </w:rPr>
              <w:t>Equity</w:t>
            </w:r>
          </w:p>
        </w:tc>
        <w:tc>
          <w:tcPr>
            <w:tcW w:w="160" w:type="dxa"/>
            <w:vAlign w:val="bottom"/>
            <w:shd w:val="clear" w:color="auto" w:fill="008A5F"/>
          </w:tcPr>
          <w:p>
            <w:pPr>
              <w:spacing w:after="0"/>
              <w:rPr>
                <w:sz w:val="16"/>
                <w:szCs w:val="16"/>
                <w:color w:val="auto"/>
              </w:rPr>
            </w:pPr>
          </w:p>
        </w:tc>
        <w:tc>
          <w:tcPr>
            <w:tcW w:w="68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w w:val="97"/>
              </w:rPr>
              <w:t>Interest</w:t>
            </w:r>
          </w:p>
        </w:tc>
        <w:tc>
          <w:tcPr>
            <w:tcW w:w="880" w:type="dxa"/>
            <w:vAlign w:val="bottom"/>
            <w:shd w:val="clear" w:color="auto" w:fill="008A5F"/>
          </w:tcPr>
          <w:p>
            <w:pPr>
              <w:jc w:val="right"/>
              <w:ind w:right="209"/>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216"/>
        </w:trPr>
        <w:tc>
          <w:tcPr>
            <w:tcW w:w="22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2017</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84,645</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8</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2,121,926</w:t>
            </w:r>
          </w:p>
        </w:tc>
        <w:tc>
          <w:tcPr>
            <w:tcW w:w="240" w:type="dxa"/>
            <w:vAlign w:val="bottom"/>
            <w:shd w:val="clear" w:color="auto" w:fill="E7E7E8"/>
          </w:tcPr>
          <w:p>
            <w:pPr>
              <w:jc w:val="right"/>
              <w:ind w:right="13"/>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(49,497)</w:t>
            </w: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(1,636,819)</w:t>
            </w:r>
          </w:p>
        </w:tc>
        <w:tc>
          <w:tcPr>
            <w:tcW w:w="220" w:type="dxa"/>
            <w:vAlign w:val="bottom"/>
            <w:shd w:val="clear" w:color="auto" w:fill="E7E7E8"/>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435,619</w:t>
            </w:r>
          </w:p>
        </w:tc>
        <w:tc>
          <w:tcPr>
            <w:tcW w:w="16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48,931</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$ 484,550</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(6,187)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(6,187)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(648)</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239</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239</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24</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Adoption of ASU 2018-02</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(2,540)</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2,540</w:t>
            </w:r>
          </w:p>
        </w:tc>
        <w:tc>
          <w:tcPr>
            <w:tcW w:w="2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7E7E8"/>
          </w:tcPr>
          <w:p>
            <w:pPr>
              <w:spacing w:after="0"/>
              <w:rPr>
                <w:sz w:val="19"/>
                <w:szCs w:val="19"/>
                <w:color w:val="auto"/>
              </w:rPr>
            </w:pPr>
          </w:p>
        </w:tc>
        <w:tc>
          <w:tcPr>
            <w:tcW w:w="7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121</w:t>
            </w:r>
          </w:p>
        </w:tc>
        <w:tc>
          <w:tcPr>
            <w:tcW w:w="24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121</w:t>
            </w:r>
          </w:p>
        </w:tc>
        <w:tc>
          <w:tcPr>
            <w:tcW w:w="160" w:type="dxa"/>
            <w:vAlign w:val="bottom"/>
            <w:tcBorders>
              <w:bottom w:val="single" w:sz="8" w:color="auto"/>
            </w:tcBorders>
            <w:shd w:val="clear" w:color="auto" w:fill="E7E7E8"/>
          </w:tcPr>
          <w:p>
            <w:pPr>
              <w:spacing w:after="0"/>
              <w:rPr>
                <w:sz w:val="19"/>
                <w:szCs w:val="19"/>
                <w:color w:val="auto"/>
              </w:rPr>
            </w:pP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color w:val="auto"/>
              </w:rPr>
              <w:t>Balance at March 31, 2018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84,645</w:t>
            </w:r>
          </w:p>
        </w:tc>
        <w:tc>
          <w:tcPr>
            <w:tcW w:w="18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2,122,047</w:t>
            </w:r>
          </w:p>
        </w:tc>
        <w:tc>
          <w:tcPr>
            <w:tcW w:w="24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(51,798)</w:t>
            </w:r>
          </w:p>
        </w:tc>
        <w:tc>
          <w:tcPr>
            <w:tcW w:w="980" w:type="dxa"/>
            <w:vAlign w:val="bottom"/>
          </w:tcPr>
          <w:p>
            <w:pPr>
              <w:jc w:val="right"/>
              <w:spacing w:after="0"/>
              <w:rPr>
                <w:sz w:val="20"/>
                <w:szCs w:val="20"/>
                <w:color w:val="auto"/>
              </w:rPr>
            </w:pPr>
            <w:r>
              <w:rPr>
                <w:rFonts w:ascii="Arial" w:cs="Arial" w:eastAsia="Arial" w:hAnsi="Arial"/>
                <w:sz w:val="14"/>
                <w:szCs w:val="14"/>
                <w:color w:val="auto"/>
              </w:rPr>
              <w:t>(1,640,466)</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429,792</w:t>
            </w:r>
          </w:p>
        </w:tc>
        <w:tc>
          <w:tcPr>
            <w:tcW w:w="1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48,307</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478,099</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236</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236</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143</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(2,619)</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(293)</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7E7E8"/>
          </w:tcPr>
          <w:p>
            <w:pPr>
              <w:spacing w:after="0"/>
              <w:rPr>
                <w:sz w:val="19"/>
                <w:szCs w:val="19"/>
                <w:color w:val="auto"/>
              </w:rPr>
            </w:pPr>
          </w:p>
        </w:tc>
        <w:tc>
          <w:tcPr>
            <w:tcW w:w="7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1,054</w:t>
            </w:r>
          </w:p>
        </w:tc>
        <w:tc>
          <w:tcPr>
            <w:tcW w:w="24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1,054</w:t>
            </w:r>
          </w:p>
        </w:tc>
        <w:tc>
          <w:tcPr>
            <w:tcW w:w="160" w:type="dxa"/>
            <w:vAlign w:val="bottom"/>
            <w:tcBorders>
              <w:bottom w:val="single" w:sz="8" w:color="auto"/>
            </w:tcBorders>
            <w:shd w:val="clear" w:color="auto" w:fill="E7E7E8"/>
          </w:tcPr>
          <w:p>
            <w:pPr>
              <w:spacing w:after="0"/>
              <w:rPr>
                <w:sz w:val="19"/>
                <w:szCs w:val="19"/>
                <w:color w:val="auto"/>
              </w:rPr>
            </w:pP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color w:val="auto"/>
              </w:rPr>
              <w:t>Balance at June 30, 2018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84,645</w:t>
            </w:r>
          </w:p>
        </w:tc>
        <w:tc>
          <w:tcPr>
            <w:tcW w:w="18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2,123,101</w:t>
            </w:r>
          </w:p>
        </w:tc>
        <w:tc>
          <w:tcPr>
            <w:tcW w:w="24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(54,417)</w:t>
            </w:r>
          </w:p>
        </w:tc>
        <w:tc>
          <w:tcPr>
            <w:tcW w:w="980" w:type="dxa"/>
            <w:vAlign w:val="bottom"/>
          </w:tcPr>
          <w:p>
            <w:pPr>
              <w:jc w:val="right"/>
              <w:spacing w:after="0"/>
              <w:rPr>
                <w:sz w:val="20"/>
                <w:szCs w:val="20"/>
                <w:color w:val="auto"/>
              </w:rPr>
            </w:pPr>
            <w:r>
              <w:rPr>
                <w:rFonts w:ascii="Arial" w:cs="Arial" w:eastAsia="Arial" w:hAnsi="Arial"/>
                <w:sz w:val="14"/>
                <w:szCs w:val="14"/>
                <w:color w:val="auto"/>
              </w:rPr>
              <w:t>(1,640,230)</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428,463</w:t>
            </w:r>
          </w:p>
        </w:tc>
        <w:tc>
          <w:tcPr>
            <w:tcW w:w="1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48,157</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476,620</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(33,519)</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(33,519)</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(3,210)</w:t>
            </w:r>
          </w:p>
        </w:tc>
        <w:tc>
          <w:tcPr>
            <w:tcW w:w="8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(36,729)</w:t>
            </w: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2,298</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2,298</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243</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2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1,050</w:t>
            </w:r>
          </w:p>
        </w:tc>
        <w:tc>
          <w:tcPr>
            <w:tcW w:w="240" w:type="dxa"/>
            <w:vAlign w:val="bottom"/>
            <w:shd w:val="clear" w:color="auto" w:fill="E7E7E8"/>
          </w:tcPr>
          <w:p>
            <w:pPr>
              <w:spacing w:after="0"/>
              <w:rPr>
                <w:sz w:val="19"/>
                <w:szCs w:val="19"/>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1,050</w:t>
            </w:r>
          </w:p>
        </w:tc>
        <w:tc>
          <w:tcPr>
            <w:tcW w:w="160" w:type="dxa"/>
            <w:vAlign w:val="bottom"/>
            <w:shd w:val="clear" w:color="auto" w:fill="E7E7E8"/>
          </w:tcPr>
          <w:p>
            <w:pPr>
              <w:spacing w:after="0"/>
              <w:rPr>
                <w:sz w:val="19"/>
                <w:szCs w:val="19"/>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94"/>
        </w:trPr>
        <w:tc>
          <w:tcPr>
            <w:tcW w:w="2240" w:type="dxa"/>
            <w:vAlign w:val="bottom"/>
          </w:tcPr>
          <w:p>
            <w:pPr>
              <w:ind w:left="220"/>
              <w:spacing w:after="0"/>
              <w:rPr>
                <w:sz w:val="20"/>
                <w:szCs w:val="20"/>
                <w:color w:val="auto"/>
              </w:rPr>
            </w:pPr>
            <w:r>
              <w:rPr>
                <w:rFonts w:ascii="Arial" w:cs="Arial" w:eastAsia="Arial" w:hAnsi="Arial"/>
                <w:sz w:val="14"/>
                <w:szCs w:val="14"/>
                <w:color w:val="auto"/>
              </w:rPr>
              <w:t>Issuance of common stock and</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9,200</w:t>
            </w:r>
          </w:p>
        </w:tc>
        <w:tc>
          <w:tcPr>
            <w:tcW w:w="18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131,544</w:t>
            </w:r>
          </w:p>
        </w:tc>
        <w:tc>
          <w:tcPr>
            <w:tcW w:w="24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131,545</w:t>
            </w:r>
          </w:p>
        </w:tc>
        <w:tc>
          <w:tcPr>
            <w:tcW w:w="1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7,574</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139,119</w:t>
            </w:r>
          </w:p>
        </w:tc>
        <w:tc>
          <w:tcPr>
            <w:tcW w:w="0" w:type="dxa"/>
            <w:vAlign w:val="bottom"/>
          </w:tcPr>
          <w:p>
            <w:pPr>
              <w:spacing w:after="0"/>
              <w:rPr>
                <w:sz w:val="1"/>
                <w:szCs w:val="1"/>
                <w:color w:val="auto"/>
              </w:rPr>
            </w:pPr>
          </w:p>
        </w:tc>
      </w:tr>
      <w:tr>
        <w:trPr>
          <w:trHeight w:val="162"/>
        </w:trPr>
        <w:tc>
          <w:tcPr>
            <w:tcW w:w="2240" w:type="dxa"/>
            <w:vAlign w:val="bottom"/>
          </w:tcPr>
          <w:p>
            <w:pPr>
              <w:ind w:left="220"/>
              <w:spacing w:after="0"/>
              <w:rPr>
                <w:sz w:val="20"/>
                <w:szCs w:val="20"/>
                <w:color w:val="auto"/>
              </w:rPr>
            </w:pPr>
            <w:r>
              <w:rPr>
                <w:rFonts w:ascii="Arial" w:cs="Arial" w:eastAsia="Arial" w:hAnsi="Arial"/>
                <w:sz w:val="14"/>
                <w:szCs w:val="14"/>
                <w:color w:val="auto"/>
              </w:rPr>
              <w:t>contribution of proceeds to</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20"/>
              <w:spacing w:after="0"/>
              <w:rPr>
                <w:sz w:val="20"/>
                <w:szCs w:val="20"/>
                <w:color w:val="auto"/>
              </w:rPr>
            </w:pPr>
            <w:r>
              <w:rPr>
                <w:rFonts w:ascii="Arial" w:cs="Arial" w:eastAsia="Arial" w:hAnsi="Arial"/>
                <w:sz w:val="14"/>
                <w:szCs w:val="14"/>
                <w:color w:val="auto"/>
              </w:rPr>
              <w:t>WSII</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Acquisition of ModSpace and</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6,458</w:t>
            </w:r>
          </w:p>
        </w:tc>
        <w:tc>
          <w:tcPr>
            <w:tcW w:w="18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1</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7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7"/>
                <w:szCs w:val="17"/>
                <w:color w:val="auto"/>
              </w:rPr>
            </w:pPr>
          </w:p>
        </w:tc>
        <w:tc>
          <w:tcPr>
            <w:tcW w:w="82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134,493</w:t>
            </w:r>
          </w:p>
        </w:tc>
        <w:tc>
          <w:tcPr>
            <w:tcW w:w="240" w:type="dxa"/>
            <w:vAlign w:val="bottom"/>
            <w:shd w:val="clear" w:color="auto" w:fill="E7E7E8"/>
          </w:tcPr>
          <w:p>
            <w:pPr>
              <w:spacing w:after="0"/>
              <w:rPr>
                <w:sz w:val="17"/>
                <w:szCs w:val="17"/>
                <w:color w:val="auto"/>
              </w:rPr>
            </w:pPr>
          </w:p>
        </w:tc>
        <w:tc>
          <w:tcPr>
            <w:tcW w:w="8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134,494</w:t>
            </w:r>
          </w:p>
        </w:tc>
        <w:tc>
          <w:tcPr>
            <w:tcW w:w="160" w:type="dxa"/>
            <w:vAlign w:val="bottom"/>
            <w:shd w:val="clear" w:color="auto" w:fill="E7E7E8"/>
          </w:tcPr>
          <w:p>
            <w:pPr>
              <w:spacing w:after="0"/>
              <w:rPr>
                <w:sz w:val="17"/>
                <w:szCs w:val="17"/>
                <w:color w:val="auto"/>
              </w:rPr>
            </w:pP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13,614</w:t>
            </w:r>
          </w:p>
        </w:tc>
        <w:tc>
          <w:tcPr>
            <w:tcW w:w="88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148,108</w:t>
            </w:r>
          </w:p>
        </w:tc>
        <w:tc>
          <w:tcPr>
            <w:tcW w:w="0" w:type="dxa"/>
            <w:vAlign w:val="bottom"/>
          </w:tcPr>
          <w:p>
            <w:pPr>
              <w:spacing w:after="0"/>
              <w:rPr>
                <w:sz w:val="1"/>
                <w:szCs w:val="1"/>
                <w:color w:val="auto"/>
              </w:rPr>
            </w:pPr>
          </w:p>
        </w:tc>
      </w:tr>
      <w:tr>
        <w:trPr>
          <w:trHeight w:val="16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the related financing</w:t>
            </w:r>
          </w:p>
        </w:tc>
        <w:tc>
          <w:tcPr>
            <w:tcW w:w="80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transactions including stock</w:t>
            </w:r>
          </w:p>
        </w:tc>
        <w:tc>
          <w:tcPr>
            <w:tcW w:w="80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and warrants</w:t>
            </w:r>
          </w:p>
        </w:tc>
        <w:tc>
          <w:tcPr>
            <w:tcW w:w="800" w:type="dxa"/>
            <w:vAlign w:val="bottom"/>
            <w:tcBorders>
              <w:bottom w:val="single" w:sz="8" w:color="auto"/>
            </w:tcBorders>
            <w:shd w:val="clear" w:color="auto" w:fill="E7E7E8"/>
          </w:tcPr>
          <w:p>
            <w:pPr>
              <w:spacing w:after="0"/>
              <w:rPr>
                <w:sz w:val="16"/>
                <w:szCs w:val="16"/>
                <w:color w:val="auto"/>
              </w:rPr>
            </w:pPr>
          </w:p>
        </w:tc>
        <w:tc>
          <w:tcPr>
            <w:tcW w:w="18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800" w:type="dxa"/>
            <w:vAlign w:val="bottom"/>
            <w:tcBorders>
              <w:bottom w:val="single" w:sz="8" w:color="auto"/>
            </w:tcBorders>
            <w:shd w:val="clear" w:color="auto" w:fill="E7E7E8"/>
          </w:tcPr>
          <w:p>
            <w:pPr>
              <w:spacing w:after="0"/>
              <w:rPr>
                <w:sz w:val="16"/>
                <w:szCs w:val="16"/>
                <w:color w:val="auto"/>
              </w:rPr>
            </w:pPr>
          </w:p>
        </w:tc>
        <w:tc>
          <w:tcPr>
            <w:tcW w:w="180" w:type="dxa"/>
            <w:vAlign w:val="bottom"/>
            <w:tcBorders>
              <w:bottom w:val="single" w:sz="8" w:color="auto"/>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240" w:type="dxa"/>
            <w:vAlign w:val="bottom"/>
            <w:tcBorders>
              <w:bottom w:val="single" w:sz="8" w:color="auto"/>
            </w:tcBorders>
            <w:shd w:val="clear" w:color="auto" w:fill="E7E7E8"/>
          </w:tcPr>
          <w:p>
            <w:pPr>
              <w:spacing w:after="0"/>
              <w:rPr>
                <w:sz w:val="16"/>
                <w:szCs w:val="16"/>
                <w:color w:val="auto"/>
              </w:rPr>
            </w:pPr>
          </w:p>
        </w:tc>
        <w:tc>
          <w:tcPr>
            <w:tcW w:w="860" w:type="dxa"/>
            <w:vAlign w:val="bottom"/>
            <w:tcBorders>
              <w:bottom w:val="single" w:sz="8" w:color="auto"/>
            </w:tcBorders>
            <w:shd w:val="clear" w:color="auto" w:fill="E7E7E8"/>
          </w:tcPr>
          <w:p>
            <w:pPr>
              <w:spacing w:after="0"/>
              <w:rPr>
                <w:sz w:val="16"/>
                <w:szCs w:val="16"/>
                <w:color w:val="auto"/>
              </w:rPr>
            </w:pPr>
          </w:p>
        </w:tc>
        <w:tc>
          <w:tcPr>
            <w:tcW w:w="980" w:type="dxa"/>
            <w:vAlign w:val="bottom"/>
            <w:tcBorders>
              <w:bottom w:val="single" w:sz="8" w:color="auto"/>
            </w:tcBorders>
            <w:shd w:val="clear" w:color="auto" w:fill="E7E7E8"/>
          </w:tcPr>
          <w:p>
            <w:pPr>
              <w:spacing w:after="0"/>
              <w:rPr>
                <w:sz w:val="16"/>
                <w:szCs w:val="16"/>
                <w:color w:val="auto"/>
              </w:rPr>
            </w:pPr>
          </w:p>
        </w:tc>
        <w:tc>
          <w:tcPr>
            <w:tcW w:w="22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160" w:type="dxa"/>
            <w:vAlign w:val="bottom"/>
            <w:tcBorders>
              <w:bottom w:val="single" w:sz="8" w:color="auto"/>
            </w:tcBorders>
            <w:shd w:val="clear" w:color="auto" w:fill="E7E7E8"/>
          </w:tcPr>
          <w:p>
            <w:pPr>
              <w:spacing w:after="0"/>
              <w:rPr>
                <w:sz w:val="16"/>
                <w:szCs w:val="16"/>
                <w:color w:val="auto"/>
              </w:rPr>
            </w:pPr>
          </w:p>
        </w:tc>
        <w:tc>
          <w:tcPr>
            <w:tcW w:w="680" w:type="dxa"/>
            <w:vAlign w:val="bottom"/>
            <w:tcBorders>
              <w:bottom w:val="single" w:sz="8" w:color="auto"/>
            </w:tcBorders>
            <w:shd w:val="clear" w:color="auto" w:fill="E7E7E8"/>
          </w:tcPr>
          <w:p>
            <w:pPr>
              <w:spacing w:after="0"/>
              <w:rPr>
                <w:sz w:val="16"/>
                <w:szCs w:val="16"/>
                <w:color w:val="auto"/>
              </w:rPr>
            </w:pPr>
          </w:p>
        </w:tc>
        <w:tc>
          <w:tcPr>
            <w:tcW w:w="880" w:type="dxa"/>
            <w:vAlign w:val="bottom"/>
            <w:tcBorders>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color w:val="auto"/>
              </w:rPr>
              <w:t>Balance at September 30, 2018</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100,303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2,390,188</w:t>
            </w: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(52,119)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(1,673,749)</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664,331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66,378</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$ 730,709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Cash Flows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shd w:val="clear" w:color="auto" w:fill="008A5F"/>
          </w:tcPr>
          <w:p>
            <w:pPr>
              <w:spacing w:after="0"/>
              <w:rPr>
                <w:sz w:val="16"/>
                <w:szCs w:val="16"/>
                <w:color w:val="auto"/>
              </w:rPr>
            </w:pPr>
          </w:p>
        </w:tc>
        <w:tc>
          <w:tcPr>
            <w:tcW w:w="380" w:type="dxa"/>
            <w:vAlign w:val="bottom"/>
            <w:shd w:val="clear" w:color="auto" w:fill="008A5F"/>
          </w:tcPr>
          <w:p>
            <w:pPr>
              <w:spacing w:after="0"/>
              <w:rPr>
                <w:sz w:val="16"/>
                <w:szCs w:val="16"/>
                <w:color w:val="auto"/>
              </w:rPr>
            </w:pPr>
          </w:p>
        </w:tc>
        <w:tc>
          <w:tcPr>
            <w:tcW w:w="3040" w:type="dxa"/>
            <w:vAlign w:val="bottom"/>
            <w:gridSpan w:val="4"/>
            <w:shd w:val="clear" w:color="auto" w:fill="008A5F"/>
          </w:tcPr>
          <w:p>
            <w:pPr>
              <w:jc w:val="right"/>
              <w:ind w:right="87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5"/>
        </w:trPr>
        <w:tc>
          <w:tcPr>
            <w:tcW w:w="798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6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19"/>
                <w:szCs w:val="19"/>
                <w:color w:val="auto"/>
              </w:rPr>
            </w:pPr>
          </w:p>
        </w:tc>
        <w:tc>
          <w:tcPr>
            <w:tcW w:w="12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19"/>
                <w:szCs w:val="19"/>
                <w:color w:val="auto"/>
              </w:rPr>
            </w:pPr>
          </w:p>
        </w:tc>
        <w:tc>
          <w:tcPr>
            <w:tcW w:w="560" w:type="dxa"/>
            <w:vAlign w:val="bottom"/>
            <w:shd w:val="clear" w:color="auto" w:fill="008A5F"/>
          </w:tcPr>
          <w:p>
            <w:pPr>
              <w:spacing w:after="0"/>
              <w:rPr>
                <w:sz w:val="19"/>
                <w:szCs w:val="19"/>
                <w:color w:val="auto"/>
              </w:rPr>
            </w:pPr>
          </w:p>
        </w:tc>
        <w:tc>
          <w:tcPr>
            <w:tcW w:w="10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82"/>
        </w:trPr>
        <w:tc>
          <w:tcPr>
            <w:tcW w:w="7980" w:type="dxa"/>
            <w:vAlign w:val="bottom"/>
            <w:shd w:val="clear" w:color="auto" w:fill="008A5F"/>
          </w:tcPr>
          <w:p>
            <w:pPr>
              <w:spacing w:after="0"/>
              <w:rPr>
                <w:sz w:val="15"/>
                <w:szCs w:val="15"/>
                <w:color w:val="auto"/>
              </w:rPr>
            </w:pPr>
          </w:p>
        </w:tc>
        <w:tc>
          <w:tcPr>
            <w:tcW w:w="380" w:type="dxa"/>
            <w:vAlign w:val="bottom"/>
            <w:shd w:val="clear" w:color="auto" w:fill="008A5F"/>
          </w:tcPr>
          <w:p>
            <w:pPr>
              <w:spacing w:after="0"/>
              <w:rPr>
                <w:sz w:val="15"/>
                <w:szCs w:val="15"/>
                <w:color w:val="auto"/>
              </w:rPr>
            </w:pPr>
          </w:p>
        </w:tc>
        <w:tc>
          <w:tcPr>
            <w:tcW w:w="1280" w:type="dxa"/>
            <w:vAlign w:val="bottom"/>
            <w:vMerge w:val="continue"/>
            <w:shd w:val="clear" w:color="auto" w:fill="008A5F"/>
          </w:tcPr>
          <w:p>
            <w:pPr>
              <w:spacing w:after="0"/>
              <w:rPr>
                <w:sz w:val="15"/>
                <w:szCs w:val="15"/>
                <w:color w:val="auto"/>
              </w:rPr>
            </w:pPr>
          </w:p>
        </w:tc>
        <w:tc>
          <w:tcPr>
            <w:tcW w:w="120" w:type="dxa"/>
            <w:vAlign w:val="bottom"/>
            <w:shd w:val="clear" w:color="auto" w:fill="008A5F"/>
          </w:tcPr>
          <w:p>
            <w:pPr>
              <w:spacing w:after="0"/>
              <w:rPr>
                <w:sz w:val="15"/>
                <w:szCs w:val="15"/>
                <w:color w:val="auto"/>
              </w:rPr>
            </w:pPr>
          </w:p>
        </w:tc>
        <w:tc>
          <w:tcPr>
            <w:tcW w:w="560" w:type="dxa"/>
            <w:vAlign w:val="bottom"/>
            <w:shd w:val="clear" w:color="auto" w:fill="008A5F"/>
          </w:tcPr>
          <w:p>
            <w:pPr>
              <w:spacing w:after="0"/>
              <w:rPr>
                <w:sz w:val="15"/>
                <w:szCs w:val="15"/>
                <w:color w:val="auto"/>
              </w:rPr>
            </w:pPr>
          </w:p>
        </w:tc>
        <w:tc>
          <w:tcPr>
            <w:tcW w:w="1080" w:type="dxa"/>
            <w:vAlign w:val="bottom"/>
            <w:vMerge w:val="continue"/>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(22,174)</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(43,185)</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140,712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91,587</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Provision for doubtful accounts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11,817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Impairment losses on long-lived assets</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5,076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(8,553)</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(11,194)</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Amortization of debt discounts and debt issuance costs</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4,801</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Deferred income tax benefit</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(2,456)</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Unrealized currency (gains) losses</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Trade receivables</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(64,385)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(26,229)</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Prepaid and other assets</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Accrued interest</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(6,851)</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12,902</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Accounts payable and other accrued liabilities</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7,324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(11,969)</w:t>
            </w:r>
          </w:p>
        </w:tc>
        <w:tc>
          <w:tcPr>
            <w:tcW w:w="0" w:type="dxa"/>
            <w:vAlign w:val="bottom"/>
          </w:tcPr>
          <w:p>
            <w:pPr>
              <w:spacing w:after="0"/>
              <w:rPr>
                <w:sz w:val="1"/>
                <w:szCs w:val="1"/>
                <w:color w:val="auto"/>
              </w:rPr>
            </w:pPr>
          </w:p>
        </w:tc>
      </w:tr>
      <w:tr>
        <w:trPr>
          <w:trHeight w:val="246"/>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Deferred revenue and customer deposits</w:t>
            </w:r>
          </w:p>
        </w:tc>
        <w:tc>
          <w:tcPr>
            <w:tcW w:w="38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19,464</w:t>
            </w:r>
          </w:p>
        </w:tc>
        <w:tc>
          <w:tcPr>
            <w:tcW w:w="12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33"/>
        </w:trPr>
        <w:tc>
          <w:tcPr>
            <w:tcW w:w="7980" w:type="dxa"/>
            <w:vAlign w:val="bottom"/>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99,076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15,580</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Investing activities: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Acquisition of a business - ModSpace</w:t>
            </w:r>
          </w:p>
        </w:tc>
        <w:tc>
          <w:tcPr>
            <w:tcW w:w="3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(1,060,140)</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Acquisition of a business - Tyson</w:t>
            </w:r>
          </w:p>
        </w:tc>
        <w:tc>
          <w:tcPr>
            <w:tcW w:w="380" w:type="dxa"/>
            <w:vAlign w:val="bottom"/>
            <w:shd w:val="clear" w:color="auto" w:fill="E7E7E8"/>
          </w:tcPr>
          <w:p>
            <w:pPr>
              <w:spacing w:after="0"/>
              <w:rPr>
                <w:sz w:val="21"/>
                <w:szCs w:val="21"/>
                <w:color w:val="auto"/>
              </w:rPr>
            </w:pPr>
          </w:p>
        </w:tc>
        <w:tc>
          <w:tcPr>
            <w:tcW w:w="140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(24,006)</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Proceeds from sale of rental equipment</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31,504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21,593</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Purchase of rental equipment and refurbishments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(160,877)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(111,505)</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Proceeds from the sale of property, plant and equipment</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13,199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Purchase of property, plant and equipment</w:t>
            </w:r>
          </w:p>
        </w:tc>
        <w:tc>
          <w:tcPr>
            <w:tcW w:w="38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(6,600)</w:t>
            </w:r>
          </w:p>
        </w:tc>
        <w:tc>
          <w:tcPr>
            <w:tcW w:w="12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27"/>
        </w:trPr>
        <w:tc>
          <w:tcPr>
            <w:tcW w:w="7980" w:type="dxa"/>
            <w:vAlign w:val="bottom"/>
          </w:tcPr>
          <w:p>
            <w:pPr>
              <w:ind w:left="64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(122,774)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(1,176,468)</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Receipts from issuance of common stock</w:t>
            </w:r>
          </w:p>
        </w:tc>
        <w:tc>
          <w:tcPr>
            <w:tcW w:w="38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147,200</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Receipts from borrowings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489,207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1,184,601</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Payment of financing costs</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(34,770)</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Repayment of borrowings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(461,162)</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(135,537)</w:t>
            </w:r>
          </w:p>
        </w:tc>
        <w:tc>
          <w:tcPr>
            <w:tcW w:w="0" w:type="dxa"/>
            <w:vAlign w:val="bottom"/>
          </w:tcPr>
          <w:p>
            <w:pPr>
              <w:spacing w:after="0"/>
              <w:rPr>
                <w:sz w:val="1"/>
                <w:szCs w:val="1"/>
                <w:color w:val="auto"/>
              </w:rPr>
            </w:pPr>
          </w:p>
        </w:tc>
      </w:tr>
      <w:tr>
        <w:trPr>
          <w:trHeight w:val="233"/>
        </w:trPr>
        <w:tc>
          <w:tcPr>
            <w:tcW w:w="7980" w:type="dxa"/>
            <w:vAlign w:val="bottom"/>
          </w:tcPr>
          <w:p>
            <w:pPr>
              <w:ind w:left="420"/>
              <w:spacing w:after="0"/>
              <w:rPr>
                <w:sz w:val="20"/>
                <w:szCs w:val="20"/>
                <w:color w:val="auto"/>
              </w:rPr>
            </w:pPr>
            <w:r>
              <w:rPr>
                <w:rFonts w:ascii="Arial" w:cs="Arial" w:eastAsia="Arial" w:hAnsi="Arial"/>
                <w:sz w:val="16"/>
                <w:szCs w:val="16"/>
                <w:color w:val="auto"/>
              </w:rPr>
              <w:t>Principal payments on capital lease obligations</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Withholding taxes paid on behalf of employees on net settled stock-based awards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E7E7E8"/>
            </w:tcBorders>
          </w:tcPr>
          <w:p>
            <w:pPr>
              <w:ind w:left="420"/>
              <w:spacing w:after="0"/>
              <w:rPr>
                <w:sz w:val="20"/>
                <w:szCs w:val="20"/>
                <w:color w:val="auto"/>
              </w:rPr>
            </w:pPr>
            <w:r>
              <w:rPr>
                <w:rFonts w:ascii="Arial" w:cs="Arial" w:eastAsia="Arial" w:hAnsi="Arial"/>
                <w:sz w:val="16"/>
                <w:szCs w:val="16"/>
                <w:color w:val="auto"/>
              </w:rPr>
              <w:t>Payment of make-whole premium on Unsecured Notes redemption</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(6,252)</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18,627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1,161,406</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3"/>
        </w:trPr>
        <w:tc>
          <w:tcPr>
            <w:tcW w:w="7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(5,007)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8,958</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68"/>
        </w:trPr>
        <w:tc>
          <w:tcPr>
            <w:tcW w:w="7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3,951</w:t>
            </w:r>
          </w:p>
        </w:tc>
        <w:tc>
          <w:tcPr>
            <w:tcW w:w="120" w:type="dxa"/>
            <w:vAlign w:val="bottom"/>
            <w:tcBorders>
              <w:bottom w:val="single" w:sz="8" w:color="E7E7E8"/>
            </w:tcBorders>
            <w:shd w:val="clear" w:color="auto" w:fill="E7E7E8"/>
          </w:tcPr>
          <w:p>
            <w:pPr>
              <w:spacing w:after="0"/>
              <w:rPr>
                <w:sz w:val="22"/>
                <w:szCs w:val="22"/>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9,771</w:t>
            </w:r>
          </w:p>
        </w:tc>
        <w:tc>
          <w:tcPr>
            <w:tcW w:w="0" w:type="dxa"/>
            <w:vAlign w:val="bottom"/>
          </w:tcPr>
          <w:p>
            <w:pPr>
              <w:spacing w:after="0"/>
              <w:rPr>
                <w:sz w:val="1"/>
                <w:szCs w:val="1"/>
                <w:color w:val="auto"/>
              </w:rPr>
            </w:pPr>
          </w:p>
        </w:tc>
      </w:tr>
      <w:tr>
        <w:trPr>
          <w:trHeight w:val="20"/>
        </w:trPr>
        <w:tc>
          <w:tcPr>
            <w:tcW w:w="798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9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94,908</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28,721</w:t>
            </w:r>
          </w:p>
        </w:tc>
        <w:tc>
          <w:tcPr>
            <w:tcW w:w="0" w:type="dxa"/>
            <w:vAlign w:val="bottom"/>
          </w:tcPr>
          <w:p>
            <w:pPr>
              <w:spacing w:after="0"/>
              <w:rPr>
                <w:sz w:val="1"/>
                <w:szCs w:val="1"/>
                <w:color w:val="auto"/>
              </w:rPr>
            </w:pPr>
          </w:p>
        </w:tc>
      </w:tr>
      <w:tr>
        <w:trPr>
          <w:trHeight w:val="233"/>
        </w:trPr>
        <w:tc>
          <w:tcPr>
            <w:tcW w:w="7980" w:type="dxa"/>
            <w:vAlign w:val="bottom"/>
          </w:tcPr>
          <w:p>
            <w:pPr>
              <w:ind w:left="220"/>
              <w:spacing w:after="0"/>
              <w:rPr>
                <w:sz w:val="20"/>
                <w:szCs w:val="20"/>
                <w:color w:val="auto"/>
              </w:rPr>
            </w:pPr>
            <w:r>
              <w:rPr>
                <w:rFonts w:ascii="Arial" w:cs="Arial" w:eastAsia="Arial" w:hAnsi="Arial"/>
                <w:sz w:val="16"/>
                <w:szCs w:val="16"/>
                <w:color w:val="auto"/>
              </w:rPr>
              <w:t>Income taxes paid, net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253"/>
        </w:trPr>
        <w:tc>
          <w:tcPr>
            <w:tcW w:w="7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26,444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17,478</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00"/>
          </w:cols>
          <w:pgMar w:left="260" w:top="1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224155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60" w:top="111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ind w:right="1960" w:firstLine="1959"/>
        <w:spacing w:after="0" w:line="306" w:lineRule="auto"/>
        <w:rPr>
          <w:sz w:val="20"/>
          <w:szCs w:val="20"/>
          <w:color w:val="auto"/>
        </w:rPr>
      </w:pPr>
      <w:r>
        <w:rPr>
          <w:rFonts w:ascii="Arial" w:cs="Arial" w:eastAsia="Arial" w:hAnsi="Arial"/>
          <w:sz w:val="23"/>
          <w:szCs w:val="23"/>
          <w:color w:val="008A5F"/>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the Company’s assets and operations are owned through Williams Scotsman Holdings Corp. (“WS Holdings”). WillScot operates and owns 91.0% of WS Holdings, and Sapphire Holding S.à r.l. (“Sapphire”), an affiliate of TDR Capital LLP (“TDR Capital”), owns the remaining 9.0%.</w:t>
      </w: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is majority owned by an investment fund managed by TDR Capital. As part of the transaction (the “Business Combination”), Double Eagle domesticated to Delaware and changed its name to WillScot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Quarterly Report on Form 10-Q and do not include all the information and notes required by accounting principles generally accepted in the US (“GAAP”) for complete financial statements. The accompanying unaudited condensed consolidated financial statements contain all adjustments, which are of a normal and recurring nature, necessary to present fairly the financial position, the results of operations and cash flows for the interim periods presented.</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operations for the three and nine months ended September 30, 2019 are not necessarily indicative of the results to be expected for the full year. For further information, refer to the consolidated financial statements and notes included in WillScot's Annual Report on Form 10-K for the year ended December 31, 2018.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unaudited condensed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WillScot will be deemed to be a large accelerated filer, and cease to qualify as an EGC, as of December 31, 2019.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w:t>
      </w:r>
      <w:r>
        <w:rPr>
          <w:rFonts w:ascii="Arial" w:cs="Arial" w:eastAsia="Arial" w:hAnsi="Arial"/>
          <w:sz w:val="16"/>
          <w:szCs w:val="16"/>
          <w:color w:val="auto"/>
        </w:rPr>
        <w:t>, which prescribes that financial assets (or a group of financial assets) should be measured at amortized cost basis to be presented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amount expected to be collected. Credit losses relating to these financial assets should be recorded through an allowance for credit losses. The new standard is effective for the Company for fiscal years beginning after December 15, 2019, including interim periods within that fiscal year. The Company continues to evaluate the impacts of adopting the standard on the financial statements and will adopt the standard effective January 1, 2020.</w:t>
      </w:r>
    </w:p>
    <w:p>
      <w:pPr>
        <w:spacing w:after="0" w:line="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establishes a right-of-use (“ROU”) model that requires a lessee to record a ROU asset and lease liability on the balance sheet for all leases with terms longer than twelve months. Leases will be classified as either finance or operating, with classification affecting the pattern of expense recognition in the income statement. This guidance also expands the requirements for lessees to record leases embedded in other arrangements and the required quantitative and qualitative disclosures surrounding leases. Accounting guidance for lessors is largely unchanged. This guidance is effective for non-public entities for fiscal years beginning after December 15, 2019 and interim periods within those annual periods using a modified retrospective transition approach. Early adoption is permitted for all entities. However, based on WillScot's expectation that it will cease to be an EGC as of December 31, 2019, the Company will adopt the new standard in the fourth quarter of 2019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a retroactive adoption to January 1, 2019.</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plans to take advantage of the transition package of practical expedients permitted within ASC 842 which allows the Company not to reassess (i) whether any expired or existing lease contracts are or contain leases, (ii) the historical lease classification for any expired or existing leases and (iii) initial direct costs for any existing leases. Upon adoption, the Company currently expects to record ROU assets between $135.0 million and $145.0 million,</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and operating lease liabilities between $135.0 million and $145.0 million, as of January 1, 2019, primarily related to its real estate and equipment leases. In connection with the adoption of ASC 842, the Company will also reverse the previous accounting for certain sale-leaseback transactions (as discussed in Note 8), and reduce property, plant and equipment by $31.0 million, reduce outstanding debt by $36.0 million and increase January 1, 2019 equity by $5.0 million.</w:t>
      </w:r>
    </w:p>
    <w:p>
      <w:pPr>
        <w:spacing w:after="0" w:line="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Additionally, as discussed in Note 3, the Company's equipment rental revenues will be accounted for under the current lease accounting standard, ASC 840, until the adoption of the new lease accounting standard ASC 842. There may be changes in the timing of recognition under the new standard, but the Company does not anticipate a significant change to modular leasing revenue at adoption.</w:t>
      </w:r>
    </w:p>
    <w:p>
      <w:pPr>
        <w:spacing w:after="0" w:line="285" w:lineRule="exact"/>
        <w:rPr>
          <w:sz w:val="20"/>
          <w:szCs w:val="20"/>
          <w:color w:val="auto"/>
        </w:rPr>
      </w:pPr>
    </w:p>
    <w:p>
      <w:pPr>
        <w:spacing w:after="0"/>
        <w:rPr>
          <w:sz w:val="20"/>
          <w:szCs w:val="20"/>
          <w:color w:val="auto"/>
        </w:rPr>
      </w:pPr>
      <w:r>
        <w:rPr>
          <w:rFonts w:ascii="Arial" w:cs="Arial" w:eastAsia="Arial" w:hAnsi="Arial"/>
          <w:sz w:val="23"/>
          <w:szCs w:val="23"/>
          <w:color w:val="008A5F"/>
        </w:rPr>
        <w:t>NOTE 2 - Acquisitions and Assets Held for Sale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On August 15, 2018, the Company acquired Modular Space Holdings, Inc. ("ModSpace"), a privately-owned national provider of office trailers, portable storage units and modular buildings. The acquisition was consummated by merging a special purpose subsidiary of the Company with and into ModSpace, with ModSpace surviving the merger as a subsidiary of WSII.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(the "Stock Consideration") with a fair market value of $95.8 million and (iii) warrants to purchase an aggregate of 10,000,000 shares of WillScot’s Class A common stock at an exercise price of $15.50 per share (the "2018 Warrants") with a fair market value of $52.3 million, and (iv) a working capital adjustment of $4.7 million.</w:t>
      </w:r>
    </w:p>
    <w:p>
      <w:pPr>
        <w:spacing w:after="0" w:line="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acquisition was funded by the net proceeds of WillScot's issuance of 9,200,000 shares of Class A common stock, the net proceeds of WSII’s issuance of $300.0 million in senior secured notes and $200.0 million in senior unsecured notes (see Note 8), and borrowings under the ABL Facility (see Note 8).</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the date of acquisition, August 15, 2018, the fair market values of the Stock Consideration and 2018 Warrants were $14.83 per share and $5.23 per warrant, respectively, with the warrant values determined using a Black-Scholes valuation model. The fair market value of the Class A shares was determined utilizing the $15.78 per share closing price of the Company's shares on August 15, 2018, discounted by 6.0%, to reflect a lack of marketability based on the lock-up restrictions contemplated by the merger agreement.</w:t>
      </w:r>
    </w:p>
    <w:p>
      <w:pPr>
        <w:spacing w:after="0" w:line="2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The estimated fair values of the Stock Consideration and 2018 Warrants are Level 3 fair value measurements. The fair value of each share and warrant was estimated using the Black-Scholes model with the following assumptions: expected dividend yield, expected stock price volatility, weighted average risk-free interest rate, the average expected term of the lock up period on the shares, and the weighted average expected term of the warrants. The volatility assumption used in the Black-Scholes model is derived from the historical daily change in the market price of the Company's common stock, as well as the historical daily changes in the market price of its peer group, based on weighting, as determined by the Company, and over a time period equivalent to the lock-up restriction (for the shares) and the warrant term. The risk-free interest rate used in the Black-Scholes model is based on the implied US Treasury bill yield curve at the date of grant with a remaining term equal to the Company’s expected term assumption. The Company has never declared or paid a cash dividend on common shares. The following table summarizes the key inputs utilized to determine the fair value of the Stock Consideration and 2018 Warrants included within the purchase price of ModSpace.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shd w:val="clear" w:color="auto" w:fill="008A5F"/>
          </w:tcPr>
          <w:p>
            <w:pPr>
              <w:spacing w:after="0"/>
              <w:rPr>
                <w:sz w:val="17"/>
                <w:szCs w:val="17"/>
                <w:color w:val="auto"/>
              </w:rPr>
            </w:pPr>
          </w:p>
        </w:tc>
        <w:tc>
          <w:tcPr>
            <w:tcW w:w="4860" w:type="dxa"/>
            <w:vAlign w:val="bottom"/>
            <w:gridSpan w:val="2"/>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Stock Consideration</w:t>
            </w:r>
          </w:p>
        </w:tc>
        <w:tc>
          <w:tcPr>
            <w:tcW w:w="156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 Warrants fair</w:t>
            </w:r>
          </w:p>
        </w:tc>
        <w:tc>
          <w:tcPr>
            <w:tcW w:w="160" w:type="dxa"/>
            <w:vAlign w:val="bottom"/>
            <w:shd w:val="clear" w:color="auto" w:fill="008A5F"/>
          </w:tcPr>
          <w:p>
            <w:pPr>
              <w:spacing w:after="0"/>
              <w:rPr>
                <w:sz w:val="17"/>
                <w:szCs w:val="17"/>
                <w:color w:val="auto"/>
              </w:rPr>
            </w:pPr>
          </w:p>
        </w:tc>
      </w:tr>
      <w:tr>
        <w:trPr>
          <w:trHeight w:val="234"/>
        </w:trPr>
        <w:tc>
          <w:tcPr>
            <w:tcW w:w="4820" w:type="dxa"/>
            <w:vAlign w:val="bottom"/>
            <w:shd w:val="clear" w:color="auto" w:fill="008A5F"/>
          </w:tcPr>
          <w:p>
            <w:pPr>
              <w:spacing w:after="0"/>
              <w:rPr>
                <w:sz w:val="20"/>
                <w:szCs w:val="20"/>
                <w:color w:val="auto"/>
              </w:rPr>
            </w:pPr>
          </w:p>
        </w:tc>
        <w:tc>
          <w:tcPr>
            <w:tcW w:w="45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fair value inputs</w:t>
            </w:r>
          </w:p>
        </w:tc>
        <w:tc>
          <w:tcPr>
            <w:tcW w:w="32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value inputs</w:t>
            </w:r>
          </w:p>
        </w:tc>
        <w:tc>
          <w:tcPr>
            <w:tcW w:w="160" w:type="dxa"/>
            <w:vAlign w:val="bottom"/>
            <w:shd w:val="clear" w:color="auto" w:fill="008A5F"/>
          </w:tcPr>
          <w:p>
            <w:pPr>
              <w:spacing w:after="0"/>
              <w:rPr>
                <w:sz w:val="20"/>
                <w:szCs w:val="20"/>
                <w:color w:val="auto"/>
              </w:rPr>
            </w:pPr>
          </w:p>
        </w:tc>
      </w:tr>
      <w:tr>
        <w:trPr>
          <w:trHeight w:val="243"/>
        </w:trPr>
        <w:tc>
          <w:tcPr>
            <w:tcW w:w="4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4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4"/>
              </w:rPr>
              <w:t>%</w:t>
            </w:r>
          </w:p>
        </w:tc>
      </w:tr>
      <w:tr>
        <w:trPr>
          <w:trHeight w:val="233"/>
        </w:trPr>
        <w:tc>
          <w:tcPr>
            <w:tcW w:w="4820" w:type="dxa"/>
            <w:vAlign w:val="bottom"/>
          </w:tcPr>
          <w:p>
            <w:pPr>
              <w:ind w:left="20"/>
              <w:spacing w:after="0"/>
              <w:rPr>
                <w:sz w:val="20"/>
                <w:szCs w:val="20"/>
                <w:color w:val="auto"/>
              </w:rPr>
            </w:pPr>
            <w:r>
              <w:rPr>
                <w:rFonts w:ascii="Arial" w:cs="Arial" w:eastAsia="Arial" w:hAnsi="Arial"/>
                <w:sz w:val="16"/>
                <w:szCs w:val="16"/>
                <w:color w:val="auto"/>
              </w:rPr>
              <w:t>Risk-free rate of interest</w:t>
            </w:r>
          </w:p>
        </w:tc>
        <w:tc>
          <w:tcPr>
            <w:tcW w:w="454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53"/>
        </w:trPr>
        <w:tc>
          <w:tcPr>
            <w:tcW w:w="4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Dividend yield</w:t>
            </w:r>
          </w:p>
        </w:tc>
        <w:tc>
          <w:tcPr>
            <w:tcW w:w="486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rPr>
              <w:t>— %</w:t>
            </w:r>
          </w:p>
        </w:tc>
        <w:tc>
          <w:tcPr>
            <w:tcW w:w="17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4860" w:type="dxa"/>
            <w:vAlign w:val="bottom"/>
            <w:gridSpan w:val="2"/>
          </w:tcPr>
          <w:p>
            <w:pPr>
              <w:jc w:val="right"/>
              <w:ind w:right="59"/>
              <w:spacing w:after="0"/>
              <w:rPr>
                <w:sz w:val="20"/>
                <w:szCs w:val="20"/>
                <w:color w:val="auto"/>
              </w:rPr>
            </w:pPr>
            <w:r>
              <w:rPr>
                <w:rFonts w:ascii="Arial" w:cs="Arial" w:eastAsia="Arial" w:hAnsi="Arial"/>
                <w:sz w:val="16"/>
                <w:szCs w:val="16"/>
                <w:color w:val="auto"/>
              </w:rPr>
              <w:t>0.5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008A5F"/>
        </w:rPr>
        <w:t>Opening Balance Sheet</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purchase price of ModSpace was assigned to the underlying assets acquired and liabilities assumed based upon their estimated fair values at the date of acquisition, August 15, 2018. The Company estimated the fair values based on independent valuations, discounted cash flow analyses, quoted market prices, contributory asset charges, and estimates made by management. The Company completed the final assignment of the fair value of the ModSpace acquisition, including the final assignment of goodwill to the Company's reporting units as of August 15, 2019. The following table summarizes the fair values of the assets acquired and liabilities assumed as of the acquisition date, August 15, 2018 and the adjustments made to these balances during the period ended September 30, 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008A5F"/>
          </w:tcPr>
          <w:p>
            <w:pPr>
              <w:spacing w:after="0"/>
              <w:rPr>
                <w:sz w:val="21"/>
                <w:szCs w:val="21"/>
                <w:color w:val="auto"/>
              </w:rPr>
            </w:pPr>
          </w:p>
        </w:tc>
        <w:tc>
          <w:tcPr>
            <w:tcW w:w="182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2018</w:t>
            </w:r>
          </w:p>
        </w:tc>
        <w:tc>
          <w:tcPr>
            <w:tcW w:w="220" w:type="dxa"/>
            <w:vAlign w:val="bottom"/>
            <w:shd w:val="clear" w:color="auto" w:fill="008A5F"/>
          </w:tcPr>
          <w:p>
            <w:pPr>
              <w:spacing w:after="0"/>
              <w:rPr>
                <w:sz w:val="21"/>
                <w:szCs w:val="21"/>
                <w:color w:val="auto"/>
              </w:rPr>
            </w:pPr>
          </w:p>
        </w:tc>
        <w:tc>
          <w:tcPr>
            <w:tcW w:w="154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Adjustments</w:t>
            </w:r>
          </w:p>
        </w:tc>
        <w:tc>
          <w:tcPr>
            <w:tcW w:w="160" w:type="dxa"/>
            <w:vAlign w:val="bottom"/>
            <w:shd w:val="clear" w:color="auto" w:fill="008A5F"/>
          </w:tcPr>
          <w:p>
            <w:pPr>
              <w:spacing w:after="0"/>
              <w:rPr>
                <w:sz w:val="21"/>
                <w:szCs w:val="21"/>
                <w:color w:val="auto"/>
              </w:rPr>
            </w:pPr>
          </w:p>
        </w:tc>
        <w:tc>
          <w:tcPr>
            <w:tcW w:w="154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August 15, 2019</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receivables, net (a)</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81,320</w:t>
            </w:r>
          </w:p>
        </w:tc>
        <w:tc>
          <w:tcPr>
            <w:tcW w:w="80" w:type="dxa"/>
            <w:vAlign w:val="bottom"/>
            <w:shd w:val="clear" w:color="auto" w:fill="E7E7E8"/>
          </w:tcPr>
          <w:p>
            <w:pPr>
              <w:spacing w:after="0"/>
              <w:rPr>
                <w:sz w:val="21"/>
                <w:szCs w:val="21"/>
                <w:color w:val="auto"/>
              </w:rPr>
            </w:pP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(8,175)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73,145</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17,342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18,307</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E7E7E8"/>
          </w:tcPr>
          <w:p>
            <w:pPr>
              <w:spacing w:after="0"/>
              <w:rPr>
                <w:sz w:val="21"/>
                <w:szCs w:val="21"/>
                <w:color w:val="auto"/>
              </w:rPr>
            </w:pPr>
          </w:p>
        </w:tc>
        <w:tc>
          <w:tcPr>
            <w:tcW w:w="17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4,757</w:t>
            </w:r>
          </w:p>
        </w:tc>
        <w:tc>
          <w:tcPr>
            <w:tcW w:w="8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4,757</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16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853,986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852,776</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 (b)</w:t>
            </w:r>
          </w:p>
        </w:tc>
        <w:tc>
          <w:tcPr>
            <w:tcW w:w="160" w:type="dxa"/>
            <w:vAlign w:val="bottom"/>
            <w:shd w:val="clear" w:color="auto" w:fill="E7E7E8"/>
          </w:tcPr>
          <w:p>
            <w:pPr>
              <w:spacing w:after="0"/>
              <w:rPr>
                <w:sz w:val="21"/>
                <w:szCs w:val="21"/>
                <w:color w:val="auto"/>
              </w:rPr>
            </w:pPr>
          </w:p>
        </w:tc>
        <w:tc>
          <w:tcPr>
            <w:tcW w:w="17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110,413</w:t>
            </w:r>
          </w:p>
        </w:tc>
        <w:tc>
          <w:tcPr>
            <w:tcW w:w="8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27,248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137,661</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Favorable leases (c)</w:t>
            </w:r>
          </w:p>
        </w:tc>
        <w:tc>
          <w:tcPr>
            <w:tcW w:w="160" w:type="dxa"/>
            <w:vAlign w:val="bottom"/>
            <w:shd w:val="clear" w:color="auto" w:fill="E7E7E8"/>
          </w:tcPr>
          <w:p>
            <w:pPr>
              <w:spacing w:after="0"/>
              <w:rPr>
                <w:sz w:val="21"/>
                <w:szCs w:val="21"/>
                <w:color w:val="auto"/>
              </w:rPr>
            </w:pPr>
          </w:p>
        </w:tc>
        <w:tc>
          <w:tcPr>
            <w:tcW w:w="17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3,976</w:t>
            </w:r>
          </w:p>
        </w:tc>
        <w:tc>
          <w:tcPr>
            <w:tcW w:w="8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3,976</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Trade name (c)</w:t>
            </w:r>
          </w:p>
        </w:tc>
        <w:tc>
          <w:tcPr>
            <w:tcW w:w="16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3,000</w:t>
            </w:r>
          </w:p>
        </w:tc>
      </w:tr>
      <w:tr>
        <w:trPr>
          <w:trHeight w:val="246"/>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 net</w:t>
            </w:r>
          </w:p>
        </w:tc>
        <w:tc>
          <w:tcPr>
            <w:tcW w:w="160" w:type="dxa"/>
            <w:vAlign w:val="bottom"/>
            <w:tcBorders>
              <w:bottom w:val="single" w:sz="8" w:color="auto"/>
            </w:tcBorders>
            <w:shd w:val="clear" w:color="auto" w:fill="E7E7E8"/>
          </w:tcPr>
          <w:p>
            <w:pPr>
              <w:spacing w:after="0"/>
              <w:rPr>
                <w:sz w:val="21"/>
                <w:szCs w:val="21"/>
                <w:color w:val="auto"/>
              </w:rPr>
            </w:pPr>
          </w:p>
        </w:tc>
        <w:tc>
          <w:tcPr>
            <w:tcW w:w="17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1,855</w:t>
            </w:r>
          </w:p>
        </w:tc>
        <w:tc>
          <w:tcPr>
            <w:tcW w:w="80" w:type="dxa"/>
            <w:vAlign w:val="bottom"/>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5960" w:type="dxa"/>
            <w:vAlign w:val="bottom"/>
          </w:tcPr>
          <w:p>
            <w:pPr>
              <w:ind w:left="20"/>
              <w:spacing w:after="0"/>
              <w:rPr>
                <w:sz w:val="20"/>
                <w:szCs w:val="20"/>
                <w:color w:val="auto"/>
              </w:rPr>
            </w:pPr>
            <w:r>
              <w:rPr>
                <w:rFonts w:ascii="Arial" w:cs="Arial" w:eastAsia="Arial" w:hAnsi="Arial"/>
                <w:sz w:val="16"/>
                <w:szCs w:val="16"/>
                <w:color w:val="auto"/>
              </w:rPr>
              <w:t>Total identifiable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1,076,649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16,973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1,093,622</w:t>
            </w:r>
          </w:p>
        </w:tc>
      </w:tr>
      <w:tr>
        <w:trPr>
          <w:trHeight w:val="20"/>
        </w:trPr>
        <w:tc>
          <w:tcPr>
            <w:tcW w:w="596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16"/>
        </w:trPr>
        <w:tc>
          <w:tcPr>
            <w:tcW w:w="596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1740" w:type="dxa"/>
            <w:vAlign w:val="bottom"/>
            <w:shd w:val="clear" w:color="auto" w:fill="E7E7E8"/>
          </w:tcPr>
          <w:p>
            <w:pPr>
              <w:spacing w:after="0"/>
              <w:rPr>
                <w:sz w:val="10"/>
                <w:szCs w:val="10"/>
                <w:color w:val="auto"/>
              </w:rPr>
            </w:pPr>
          </w:p>
        </w:tc>
        <w:tc>
          <w:tcPr>
            <w:tcW w:w="8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31,551</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33,487</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E7E7E8"/>
          </w:tcPr>
          <w:p>
            <w:pPr>
              <w:spacing w:after="0"/>
              <w:rPr>
                <w:sz w:val="21"/>
                <w:szCs w:val="21"/>
                <w:color w:val="auto"/>
              </w:rPr>
            </w:pPr>
          </w:p>
        </w:tc>
        <w:tc>
          <w:tcPr>
            <w:tcW w:w="17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37,678</w:t>
            </w:r>
          </w:p>
        </w:tc>
        <w:tc>
          <w:tcPr>
            <w:tcW w:w="8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38,099</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Deferred revenue and customer deposits</w:t>
            </w:r>
          </w:p>
        </w:tc>
        <w:tc>
          <w:tcPr>
            <w:tcW w:w="16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15,938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15,938</w:t>
            </w:r>
          </w:p>
        </w:tc>
      </w:tr>
      <w:tr>
        <w:trPr>
          <w:trHeight w:val="246"/>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E7E7E8"/>
          </w:tcPr>
          <w:p>
            <w:pPr>
              <w:spacing w:after="0"/>
              <w:rPr>
                <w:sz w:val="21"/>
                <w:szCs w:val="21"/>
                <w:color w:val="auto"/>
              </w:rPr>
            </w:pPr>
          </w:p>
        </w:tc>
        <w:tc>
          <w:tcPr>
            <w:tcW w:w="18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1,154</w:t>
            </w:r>
          </w:p>
        </w:tc>
      </w:tr>
      <w:tr>
        <w:trPr>
          <w:trHeight w:val="243"/>
        </w:trPr>
        <w:tc>
          <w:tcPr>
            <w:tcW w:w="5960" w:type="dxa"/>
            <w:vAlign w:val="bottom"/>
          </w:tcPr>
          <w:p>
            <w:pPr>
              <w:ind w:left="20"/>
              <w:spacing w:after="0"/>
              <w:rPr>
                <w:sz w:val="20"/>
                <w:szCs w:val="20"/>
                <w:color w:val="auto"/>
              </w:rPr>
            </w:pPr>
            <w:r>
              <w:rPr>
                <w:rFonts w:ascii="Arial" w:cs="Arial" w:eastAsia="Arial" w:hAnsi="Arial"/>
                <w:sz w:val="16"/>
                <w:szCs w:val="16"/>
                <w:color w:val="auto"/>
              </w:rPr>
              <w:t>Total liabilities assumed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85,167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88,678</w:t>
            </w:r>
          </w:p>
        </w:tc>
      </w:tr>
      <w:tr>
        <w:trPr>
          <w:trHeight w:val="20"/>
        </w:trPr>
        <w:tc>
          <w:tcPr>
            <w:tcW w:w="596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16"/>
        </w:trPr>
        <w:tc>
          <w:tcPr>
            <w:tcW w:w="596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1740" w:type="dxa"/>
            <w:vAlign w:val="bottom"/>
            <w:shd w:val="clear" w:color="auto" w:fill="E7E7E8"/>
          </w:tcPr>
          <w:p>
            <w:pPr>
              <w:spacing w:after="0"/>
              <w:rPr>
                <w:sz w:val="10"/>
                <w:szCs w:val="10"/>
                <w:color w:val="auto"/>
              </w:rPr>
            </w:pPr>
          </w:p>
        </w:tc>
        <w:tc>
          <w:tcPr>
            <w:tcW w:w="8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6"/>
                <w:szCs w:val="16"/>
                <w:color w:val="auto"/>
              </w:rPr>
              <w:t>Total goodwill (d)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215,764</w:t>
            </w:r>
          </w:p>
        </w:tc>
        <w:tc>
          <w:tcPr>
            <w:tcW w:w="8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(13,462)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202,302</w:t>
            </w:r>
          </w:p>
        </w:tc>
      </w:tr>
    </w:tbl>
    <w:p>
      <w:pPr>
        <w:spacing w:after="0" w:line="132" w:lineRule="exact"/>
        <w:rPr>
          <w:sz w:val="20"/>
          <w:szCs w:val="20"/>
          <w:color w:val="auto"/>
        </w:rPr>
      </w:pPr>
    </w:p>
    <w:p>
      <w:pPr>
        <w:jc w:val="both"/>
        <w:ind w:firstLine="8"/>
        <w:spacing w:after="0" w:line="241" w:lineRule="auto"/>
        <w:tabs>
          <w:tab w:leader="none" w:pos="231"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the acquisition date, the fair value of accounts receivable was $73.1 million and the gross contractual amount was $89.0 million. The Company analyzed information available at the time of acquisition in estimating uncollectible receivables and the fair value of remaining receivables. The Company's analysis, as of the acquisition date, included an assessment of the risk of collectability of receivables by analyzing historical payment trends, the status of collection efforts, and any other pertinent customer specific information that existed as of the acquisition date.</w:t>
      </w:r>
    </w:p>
    <w:p>
      <w:pPr>
        <w:spacing w:after="0" w:line="1" w:lineRule="exact"/>
        <w:rPr>
          <w:rFonts w:ascii="Arial" w:cs="Arial" w:eastAsia="Arial" w:hAnsi="Arial"/>
          <w:sz w:val="14"/>
          <w:szCs w:val="14"/>
          <w:color w:val="auto"/>
        </w:rPr>
      </w:pPr>
    </w:p>
    <w:p>
      <w:pPr>
        <w:jc w:val="both"/>
        <w:ind w:firstLine="8"/>
        <w:spacing w:after="0" w:line="241" w:lineRule="auto"/>
        <w:tabs>
          <w:tab w:leader="none" w:pos="217"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completion of the valuation analysis, the Company recorded a net increase in property, plant and equipment of $27.2 million related to the finalization of our acquired land valuations. The fair value of acquired land was determined using valuations from third party specialists which were based on sales prices for comparable assets at the date of acquisition.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trade name has an estimated useful life of 3 years. The favorable lease assets have an estimated useful life equivalent to the term of the lease.</w:t>
      </w:r>
    </w:p>
    <w:p>
      <w:pPr>
        <w:spacing w:after="0" w:line="1" w:lineRule="exact"/>
        <w:rPr>
          <w:rFonts w:ascii="Arial" w:cs="Arial" w:eastAsia="Arial" w:hAnsi="Arial"/>
          <w:sz w:val="14"/>
          <w:szCs w:val="14"/>
          <w:color w:val="auto"/>
        </w:rPr>
      </w:pPr>
    </w:p>
    <w:p>
      <w:pPr>
        <w:jc w:val="both"/>
        <w:ind w:firstLine="8"/>
        <w:spacing w:after="0" w:line="250" w:lineRule="auto"/>
        <w:tabs>
          <w:tab w:leader="none" w:pos="23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goodwill is reflective of ModSpace’s going concern value and operational synergies that the Company expects to achieve that would not be available to other market participants. The goodwill presented on the balance sheet is not deductible for income tax purposes. The goodwill is assigned to the Modular – US and Modular – Other North America segments, defined in Note 16, in the amounts of $171.3 million and $31.0 million,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008A5F"/>
        </w:rPr>
        <w:t>Pro Forma Information</w:t>
      </w:r>
    </w:p>
    <w:p>
      <w:pPr>
        <w:spacing w:after="0" w:line="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pro forma information below has been prepared using the purchase method of accounting, giving effect to the ModSpace acquisition as if it had been completed on January 1, 2018. The pro forma information is not necessarily indicative of the Company’s results of operations had the acquisition been completed on the above date, nor is it necessarily indicative of the Company’s future results. The pro forma information does not reflect any cost savings from operating efficiencies or synergies that could result from the acquisition and also does not reflect additional revenue opportunities following the acquisition. The tables below present unaudited pro forma consolidated statements of operations information as if ModSpace had been included in the Company’s consolidated results for the nine months ended September 30, 2018: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700" w:type="dxa"/>
            <w:vAlign w:val="bottom"/>
            <w:shd w:val="clear" w:color="auto" w:fill="008A5F"/>
          </w:tcPr>
          <w:p>
            <w:pPr>
              <w:spacing w:after="0"/>
              <w:rPr>
                <w:sz w:val="17"/>
                <w:szCs w:val="17"/>
                <w:color w:val="auto"/>
              </w:rPr>
            </w:pP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r>
      <w:tr>
        <w:trPr>
          <w:trHeight w:val="234"/>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September 30, 2018</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494,008</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revenues</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312,609</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revenues</w:t>
            </w: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806,617</w:t>
            </w:r>
          </w:p>
        </w:tc>
      </w:tr>
      <w:tr>
        <w:trPr>
          <w:trHeight w:val="203"/>
        </w:trPr>
        <w:tc>
          <w:tcPr>
            <w:tcW w:w="9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loss from operations before income tax</w:t>
            </w: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(56,757)</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loss from operations before income tax</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(7,456)</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 before pro forma adjustments</w:t>
            </w: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(64,213)</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Pro forma adjustments to combined loss from operations before income tax:</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9700" w:type="dxa"/>
            <w:vAlign w:val="bottom"/>
            <w:shd w:val="clear" w:color="auto" w:fill="E7E7E8"/>
          </w:tcPr>
          <w:p>
            <w:pPr>
              <w:ind w:left="340"/>
              <w:spacing w:after="0"/>
              <w:rPr>
                <w:sz w:val="20"/>
                <w:szCs w:val="20"/>
                <w:color w:val="auto"/>
              </w:rPr>
            </w:pPr>
            <w:r>
              <w:rPr>
                <w:rFonts w:ascii="Arial" w:cs="Arial" w:eastAsia="Arial" w:hAnsi="Arial"/>
                <w:sz w:val="16"/>
                <w:szCs w:val="16"/>
                <w:color w:val="auto"/>
              </w:rPr>
              <w:t>Impact of fair value adjustments/useful life changes on depreciation (a)</w:t>
            </w: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(10,331)</w:t>
            </w:r>
          </w:p>
        </w:tc>
      </w:tr>
      <w:tr>
        <w:trPr>
          <w:trHeight w:val="233"/>
        </w:trPr>
        <w:tc>
          <w:tcPr>
            <w:tcW w:w="9700" w:type="dxa"/>
            <w:vAlign w:val="bottom"/>
          </w:tcPr>
          <w:p>
            <w:pPr>
              <w:ind w:left="340"/>
              <w:spacing w:after="0"/>
              <w:rPr>
                <w:sz w:val="20"/>
                <w:szCs w:val="20"/>
                <w:color w:val="auto"/>
              </w:rPr>
            </w:pPr>
            <w:r>
              <w:rPr>
                <w:rFonts w:ascii="Arial" w:cs="Arial" w:eastAsia="Arial" w:hAnsi="Arial"/>
                <w:sz w:val="16"/>
                <w:szCs w:val="16"/>
                <w:color w:val="auto"/>
              </w:rPr>
              <w:t>Intangible asset amortization (b)</w:t>
            </w:r>
          </w:p>
        </w:tc>
        <w:tc>
          <w:tcPr>
            <w:tcW w:w="5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(750)</w:t>
            </w:r>
          </w:p>
        </w:tc>
      </w:tr>
      <w:tr>
        <w:trPr>
          <w:trHeight w:val="253"/>
        </w:trPr>
        <w:tc>
          <w:tcPr>
            <w:tcW w:w="9700" w:type="dxa"/>
            <w:vAlign w:val="bottom"/>
            <w:shd w:val="clear" w:color="auto" w:fill="E7E7E8"/>
          </w:tcPr>
          <w:p>
            <w:pPr>
              <w:ind w:left="340"/>
              <w:spacing w:after="0"/>
              <w:rPr>
                <w:sz w:val="20"/>
                <w:szCs w:val="20"/>
                <w:color w:val="auto"/>
              </w:rPr>
            </w:pPr>
            <w:r>
              <w:rPr>
                <w:rFonts w:ascii="Arial" w:cs="Arial" w:eastAsia="Arial" w:hAnsi="Arial"/>
                <w:sz w:val="16"/>
                <w:szCs w:val="16"/>
                <w:color w:val="auto"/>
              </w:rPr>
              <w:t>Interest expense (c)</w:t>
            </w: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(49,467)</w:t>
            </w:r>
          </w:p>
        </w:tc>
      </w:tr>
      <w:tr>
        <w:trPr>
          <w:trHeight w:val="237"/>
        </w:trPr>
        <w:tc>
          <w:tcPr>
            <w:tcW w:w="9700" w:type="dxa"/>
            <w:vAlign w:val="bottom"/>
            <w:tcBorders>
              <w:bottom w:val="single" w:sz="8" w:color="E7E7E8"/>
            </w:tcBorders>
          </w:tcPr>
          <w:p>
            <w:pPr>
              <w:ind w:left="340"/>
              <w:spacing w:after="0"/>
              <w:rPr>
                <w:sz w:val="20"/>
                <w:szCs w:val="20"/>
                <w:color w:val="auto"/>
              </w:rPr>
            </w:pPr>
            <w:r>
              <w:rPr>
                <w:rFonts w:ascii="Arial" w:cs="Arial" w:eastAsia="Arial" w:hAnsi="Arial"/>
                <w:sz w:val="16"/>
                <w:szCs w:val="16"/>
                <w:color w:val="auto"/>
              </w:rPr>
              <w:t>Elimination of ModSpace interest (d)</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20,279</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loss from operations before income tax (e)</w:t>
            </w: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(104,482)</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 (f)</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(24,971)</w:t>
            </w:r>
          </w:p>
        </w:tc>
      </w:tr>
      <w:tr>
        <w:trPr>
          <w:trHeight w:val="262"/>
        </w:trPr>
        <w:tc>
          <w:tcPr>
            <w:tcW w:w="97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net loss</w:t>
            </w:r>
          </w:p>
        </w:tc>
        <w:tc>
          <w:tcPr>
            <w:tcW w:w="50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(79,511)</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5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29" w:lineRule="auto"/>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adjustments of equipment acquired in the ModSpace acquisition. The useful lives assigned did not change significantly from the useful lives used by ModSpace.</w:t>
      </w:r>
    </w:p>
    <w:p>
      <w:pPr>
        <w:spacing w:after="0" w:line="16"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Amortization of the trade name acquired in ModSpace acquisition.</w:t>
      </w:r>
    </w:p>
    <w:p>
      <w:pPr>
        <w:spacing w:after="0" w:line="41" w:lineRule="exact"/>
        <w:rPr>
          <w:rFonts w:ascii="Arial" w:cs="Arial" w:eastAsia="Arial" w:hAnsi="Arial"/>
          <w:sz w:val="14"/>
          <w:szCs w:val="14"/>
          <w:color w:val="auto"/>
        </w:rPr>
      </w:pPr>
    </w:p>
    <w:p>
      <w:pPr>
        <w:jc w:val="both"/>
        <w:ind w:right="20" w:firstLine="8"/>
        <w:spacing w:after="0" w:line="250" w:lineRule="auto"/>
        <w:tabs>
          <w:tab w:leader="none" w:pos="213"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$419.0 million on the ABL Facility, as defined in Note 8, and issued $300.0 million of secured notes and $200.0 million of unsecured notes. The weighted average interest rate for the aforementioned borrowings was 6.54%. Interest expense includes amortization of related deferred financing fees on debt incurred in conjunction with ModSpace acquisition.</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on ModSpace historical debt was eliminated.</w:t>
      </w:r>
    </w:p>
    <w:p>
      <w:pPr>
        <w:spacing w:after="0" w:line="28" w:lineRule="exact"/>
        <w:rPr>
          <w:rFonts w:ascii="Arial" w:cs="Arial" w:eastAsia="Arial" w:hAnsi="Arial"/>
          <w:sz w:val="14"/>
          <w:szCs w:val="14"/>
          <w:color w:val="auto"/>
        </w:rPr>
      </w:pPr>
    </w:p>
    <w:p>
      <w:pPr>
        <w:jc w:val="both"/>
        <w:ind w:firstLine="8"/>
        <w:spacing w:after="0" w:line="219" w:lineRule="auto"/>
        <w:tabs>
          <w:tab w:leader="none" w:pos="238"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loss from operations before income tax includes $7.2 million of restructuring expense, $14.9 million of integration costs, and $14.8 million of transaction costs incurred by WillScot for the nine months ended September 30, 2018. Additionally, pro forma loss from operations before income tax for the nine months ended September 30, 2018 also includes $20.5 million of interest expense associated with bridge financing fees incurred in connection with the acquisition of ModSpace.</w:t>
      </w:r>
    </w:p>
    <w:p>
      <w:pPr>
        <w:spacing w:after="0" w:line="18" w:lineRule="exact"/>
        <w:rPr>
          <w:rFonts w:ascii="Arial" w:cs="Arial" w:eastAsia="Arial" w:hAnsi="Arial"/>
          <w:sz w:val="14"/>
          <w:szCs w:val="14"/>
          <w:color w:val="auto"/>
        </w:rPr>
      </w:pPr>
    </w:p>
    <w:p>
      <w:pPr>
        <w:ind w:left="180" w:hanging="172"/>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pro forma tax rate applied to the ModSpace loss from operations before income tax is the same as the WillScot effective rate for the period.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incurred $5.5 million and $23.9 million in integration costs within selling, general and administrative ("SG&amp;A") expenses for the three and nine months ended September 30, 2019, respectively, related to the ModSpace acquisition. The Company incurred $7.5 million and $14.9 million in integration costs for the three and nine months ended September 30, 2018, respectively, related to the acquisitions of ModSpace, Acton Mobile Holdings LLC (“Acton”) and Onsite Space LLC (d/b/a Tyson Onsite (“Tyson”)).</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incurred $10.7 million and $14.8 million in transaction costs for both the three and nine months ended September 30, 2018 related to the ModSpace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integration of ModSpace, during the nine months ended September 30, 2019, the Company reclassified eight branch facilities from property, plant and equipment to held for sale, in addition to the three held for sale properties that were recognized at December 31, 2018. During the nine months ended September 30, 2019, an impairment of $2.6 million was recorded related to these properties, and seven of these properties were sold for net cash proceeds of $12.9 million.</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the assets held for sale was determined using valuations from third party brokers, which were based on current sales prices for comparable assets, a Level 2 measurement.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3" w:name="page14"/>
    <w:bookmarkEnd w:id="13"/>
    <w:p>
      <w:pPr>
        <w:spacing w:after="0"/>
        <w:rPr>
          <w:sz w:val="20"/>
          <w:szCs w:val="20"/>
          <w:color w:val="auto"/>
        </w:rPr>
      </w:pPr>
      <w:r>
        <w:rPr>
          <w:rFonts w:ascii="Arial" w:cs="Arial" w:eastAsia="Arial" w:hAnsi="Arial"/>
          <w:sz w:val="23"/>
          <w:szCs w:val="23"/>
          <w:color w:val="008A5F"/>
        </w:rPr>
        <w:t>NOTE 3 - Revenue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2014-09</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("ASC 606") as well as subsequent updates using the modified retrospective method applied to those contracts that were not completed as of January 1, 2019. Results for reporting periods beginning after January 1, 2019 are presented under the guidance required by ASC 606, while prior period amounts are not adjusted and continue to be reported in accordance with the Company’s historical accounting under ASC 605, Revenue Recognition ("ASC 605"). The implementation of ASC 606 did not have a material impact on the Company’s financial results for the period ending September 30, 2019.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Policy</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majority of revenue (69% for both the three and nine months ended September 30, 2019, and 63% and 67% for the three and nine months ended September 30, 2018, respectively) is generated by rental income subject to the guidance of ASC 840. The remaining revenue for 2019 and 2018 is generated by performance obligations in contracts with customers for services or sale of units subject to the guidance in ASC 606 or ASC 605.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Leasing Revenue (ASC 840)</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operating leases is recognized on a straight-line basis over the lease term. The Company's lease arrangements typically include multiple lease and non-lease components. Examples of lease components include, but are not limited to, the lease of modular space or portable storage units, and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generally range from 1 month to 60 months and averaged approximately 10 months across the Company's rental fleet for the nine months ended September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Services Revenue (ASC 606)</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59"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Maintenance and other ad hoc services performed during the lease term;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margin approach. Revenue from these activities is recognized as the services are performed.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 (ASC 606)</w:t>
      </w:r>
    </w:p>
    <w:p>
      <w:pPr>
        <w:spacing w:after="0" w:line="6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Sales revenue is generated by the sale of new and used units. Revenue from the sale of new and used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and nine months ended September 30,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8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3100" w:type="dxa"/>
            <w:vAlign w:val="bottom"/>
            <w:gridSpan w:val="5"/>
            <w:shd w:val="clear" w:color="auto" w:fill="008A5F"/>
          </w:tcPr>
          <w:p>
            <w:pPr>
              <w:ind w:left="520"/>
              <w:spacing w:after="0"/>
              <w:rPr>
                <w:sz w:val="20"/>
                <w:szCs w:val="20"/>
                <w:color w:val="auto"/>
              </w:rPr>
            </w:pPr>
            <w:r>
              <w:rPr>
                <w:rFonts w:ascii="Arial" w:cs="Arial" w:eastAsia="Arial" w:hAnsi="Arial"/>
                <w:sz w:val="16"/>
                <w:szCs w:val="16"/>
                <w:b w:val="1"/>
                <w:bCs w:val="1"/>
                <w:color w:val="FFFFFF"/>
              </w:rPr>
              <w:t>Three Months Ended</w:t>
            </w:r>
          </w:p>
        </w:tc>
        <w:tc>
          <w:tcPr>
            <w:tcW w:w="380" w:type="dxa"/>
            <w:vAlign w:val="bottom"/>
            <w:shd w:val="clear" w:color="auto" w:fill="008A5F"/>
          </w:tcPr>
          <w:p>
            <w:pPr>
              <w:spacing w:after="0"/>
              <w:rPr>
                <w:sz w:val="17"/>
                <w:szCs w:val="17"/>
                <w:color w:val="auto"/>
              </w:rPr>
            </w:pPr>
          </w:p>
        </w:tc>
        <w:tc>
          <w:tcPr>
            <w:tcW w:w="2980" w:type="dxa"/>
            <w:vAlign w:val="bottom"/>
            <w:gridSpan w:val="4"/>
            <w:shd w:val="clear" w:color="auto" w:fill="008A5F"/>
          </w:tcPr>
          <w:p>
            <w:pPr>
              <w:jc w:val="right"/>
              <w:ind w:right="83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458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94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2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008A5F"/>
          </w:tcPr>
          <w:p>
            <w:pPr>
              <w:spacing w:after="0"/>
              <w:rPr>
                <w:sz w:val="18"/>
                <w:szCs w:val="18"/>
                <w:color w:val="auto"/>
              </w:rPr>
            </w:pPr>
          </w:p>
        </w:tc>
      </w:tr>
      <w:tr>
        <w:trPr>
          <w:trHeight w:val="263"/>
        </w:trPr>
        <w:tc>
          <w:tcPr>
            <w:tcW w:w="45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80" w:type="dxa"/>
            <w:vAlign w:val="bottom"/>
            <w:shd w:val="clear" w:color="auto" w:fill="008A5F"/>
          </w:tcPr>
          <w:p>
            <w:pPr>
              <w:spacing w:after="0"/>
              <w:rPr>
                <w:sz w:val="22"/>
                <w:szCs w:val="22"/>
                <w:color w:val="auto"/>
              </w:rPr>
            </w:pPr>
          </w:p>
        </w:tc>
        <w:tc>
          <w:tcPr>
            <w:tcW w:w="10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8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60" w:type="dxa"/>
            <w:vAlign w:val="bottom"/>
            <w:shd w:val="clear" w:color="auto" w:fill="008A5F"/>
          </w:tcPr>
          <w:p>
            <w:pPr>
              <w:spacing w:after="0"/>
              <w:rPr>
                <w:sz w:val="22"/>
                <w:szCs w:val="22"/>
                <w:color w:val="auto"/>
              </w:rPr>
            </w:pPr>
          </w:p>
        </w:tc>
        <w:tc>
          <w:tcPr>
            <w:tcW w:w="10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249,108</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199,771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722,322</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450,874</w:t>
            </w: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19,309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14,351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58,982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31,196</w:t>
            </w:r>
          </w:p>
        </w:tc>
      </w:tr>
      <w:tr>
        <w:trPr>
          <w:trHeight w:val="246"/>
        </w:trPr>
        <w:tc>
          <w:tcPr>
            <w:tcW w:w="4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3,923</w:t>
            </w:r>
          </w:p>
        </w:tc>
        <w:tc>
          <w:tcPr>
            <w:tcW w:w="100" w:type="dxa"/>
            <w:vAlign w:val="bottom"/>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4,802</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12,169</w:t>
            </w:r>
          </w:p>
        </w:tc>
        <w:tc>
          <w:tcPr>
            <w:tcW w:w="10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11,938</w:t>
            </w:r>
          </w:p>
        </w:tc>
      </w:tr>
      <w:tr>
        <w:trPr>
          <w:trHeight w:val="243"/>
        </w:trPr>
        <w:tc>
          <w:tcPr>
            <w:tcW w:w="458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272,340</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218,924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793,473</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494,008</w:t>
            </w:r>
          </w:p>
        </w:tc>
      </w:tr>
      <w:tr>
        <w:trPr>
          <w:trHeight w:val="21"/>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008A5F"/>
        </w:rPr>
        <w:t>Major Product and Service Lines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leasing is the Company’s core business, which significantly impacts the nature, timing, and uncertainty of the Company’s revenue and cash flows. This includes rental of both modular space and portable storage units along with value added products and services ("VAPS"), which include furniture, steps, ramps, basic appliances, internet connectivity devices, and other items used by customers in connection with the Company's products. Rental equipment leasing is complemented by new product sales and sales of rental units. In connection with its leasing and sales activities, the Company provides services including delivery and installation, maintenance and ad hoc services, and removal services at the end of lease transactions.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and nine months ended September 30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3080" w:type="dxa"/>
            <w:vAlign w:val="bottom"/>
            <w:gridSpan w:val="5"/>
            <w:shd w:val="clear" w:color="auto" w:fill="008A5F"/>
          </w:tcPr>
          <w:p>
            <w:pPr>
              <w:ind w:left="520"/>
              <w:spacing w:after="0"/>
              <w:rPr>
                <w:sz w:val="20"/>
                <w:szCs w:val="20"/>
                <w:color w:val="auto"/>
              </w:rPr>
            </w:pPr>
            <w:r>
              <w:rPr>
                <w:rFonts w:ascii="Arial" w:cs="Arial" w:eastAsia="Arial" w:hAnsi="Arial"/>
                <w:sz w:val="16"/>
                <w:szCs w:val="16"/>
                <w:b w:val="1"/>
                <w:bCs w:val="1"/>
                <w:color w:val="FFFFFF"/>
              </w:rPr>
              <w:t>Three Months Ended</w:t>
            </w:r>
          </w:p>
        </w:tc>
        <w:tc>
          <w:tcPr>
            <w:tcW w:w="380" w:type="dxa"/>
            <w:vAlign w:val="bottom"/>
            <w:shd w:val="clear" w:color="auto" w:fill="008A5F"/>
          </w:tcPr>
          <w:p>
            <w:pPr>
              <w:spacing w:after="0"/>
              <w:rPr>
                <w:sz w:val="17"/>
                <w:szCs w:val="17"/>
                <w:color w:val="auto"/>
              </w:rPr>
            </w:pPr>
          </w:p>
        </w:tc>
        <w:tc>
          <w:tcPr>
            <w:tcW w:w="2980" w:type="dxa"/>
            <w:vAlign w:val="bottom"/>
            <w:gridSpan w:val="4"/>
            <w:shd w:val="clear" w:color="auto" w:fill="008A5F"/>
          </w:tcPr>
          <w:p>
            <w:pPr>
              <w:jc w:val="right"/>
              <w:ind w:right="83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460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920" w:type="dxa"/>
            <w:vAlign w:val="bottom"/>
            <w:gridSpan w:val="3"/>
            <w:shd w:val="clear" w:color="auto" w:fill="008A5F"/>
          </w:tcPr>
          <w:p>
            <w:pPr>
              <w:jc w:val="right"/>
              <w:ind w:right="60"/>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2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008A5F"/>
          </w:tcPr>
          <w:p>
            <w:pPr>
              <w:spacing w:after="0"/>
              <w:rPr>
                <w:sz w:val="18"/>
                <w:szCs w:val="18"/>
                <w:color w:val="auto"/>
              </w:rPr>
            </w:pPr>
          </w:p>
        </w:tc>
      </w:tr>
      <w:tr>
        <w:trPr>
          <w:trHeight w:val="243"/>
        </w:trPr>
        <w:tc>
          <w:tcPr>
            <w:tcW w:w="46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56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56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63"/>
        </w:trPr>
        <w:tc>
          <w:tcPr>
            <w:tcW w:w="46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c>
          <w:tcPr>
            <w:tcW w:w="100" w:type="dxa"/>
            <w:vAlign w:val="bottom"/>
            <w:shd w:val="clear" w:color="auto" w:fill="008A5F"/>
          </w:tcPr>
          <w:p>
            <w:pPr>
              <w:spacing w:after="0"/>
              <w:rPr>
                <w:sz w:val="22"/>
                <w:szCs w:val="22"/>
                <w:color w:val="auto"/>
              </w:rPr>
            </w:pPr>
          </w:p>
        </w:tc>
        <w:tc>
          <w:tcPr>
            <w:tcW w:w="560" w:type="dxa"/>
            <w:vAlign w:val="bottom"/>
            <w:shd w:val="clear" w:color="auto" w:fill="008A5F"/>
          </w:tcPr>
          <w:p>
            <w:pPr>
              <w:spacing w:after="0"/>
              <w:rPr>
                <w:sz w:val="22"/>
                <w:szCs w:val="22"/>
                <w:color w:val="auto"/>
              </w:rPr>
            </w:pPr>
          </w:p>
        </w:tc>
        <w:tc>
          <w:tcPr>
            <w:tcW w:w="116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Total</w:t>
            </w:r>
          </w:p>
        </w:tc>
        <w:tc>
          <w:tcPr>
            <w:tcW w:w="380" w:type="dxa"/>
            <w:vAlign w:val="bottom"/>
            <w:shd w:val="clear" w:color="auto" w:fill="008A5F"/>
          </w:tcPr>
          <w:p>
            <w:pPr>
              <w:spacing w:after="0"/>
              <w:rPr>
                <w:sz w:val="22"/>
                <w:szCs w:val="22"/>
                <w:color w:val="auto"/>
              </w:rPr>
            </w:pPr>
          </w:p>
        </w:tc>
        <w:tc>
          <w:tcPr>
            <w:tcW w:w="136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Total</w:t>
            </w:r>
          </w:p>
        </w:tc>
        <w:tc>
          <w:tcPr>
            <w:tcW w:w="560" w:type="dxa"/>
            <w:vAlign w:val="bottom"/>
            <w:shd w:val="clear" w:color="auto" w:fill="008A5F"/>
          </w:tcPr>
          <w:p>
            <w:pPr>
              <w:spacing w:after="0"/>
              <w:rPr>
                <w:sz w:val="22"/>
                <w:szCs w:val="22"/>
                <w:color w:val="auto"/>
              </w:rPr>
            </w:pPr>
          </w:p>
        </w:tc>
        <w:tc>
          <w:tcPr>
            <w:tcW w:w="10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131,555</w:t>
            </w:r>
          </w:p>
        </w:tc>
        <w:tc>
          <w:tcPr>
            <w:tcW w:w="660" w:type="dxa"/>
            <w:vAlign w:val="bottom"/>
            <w:gridSpan w:val="2"/>
            <w:shd w:val="clear" w:color="auto" w:fill="E7E7E8"/>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98,793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384,580</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235,652</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6,033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18,295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15,169</w:t>
            </w:r>
          </w:p>
        </w:tc>
      </w:tr>
      <w:tr>
        <w:trPr>
          <w:trHeight w:val="253"/>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VAPS (a)</w:t>
            </w: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40,944</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28,469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118,005</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68,478</w:t>
            </w:r>
          </w:p>
        </w:tc>
      </w:tr>
      <w:tr>
        <w:trPr>
          <w:trHeight w:val="237"/>
        </w:trPr>
        <w:tc>
          <w:tcPr>
            <w:tcW w:w="46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leasing-related revenue (b)</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12,762</w:t>
            </w:r>
          </w:p>
        </w:tc>
        <w:tc>
          <w:tcPr>
            <w:tcW w:w="10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8,996</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36,145</w:t>
            </w:r>
          </w:p>
        </w:tc>
        <w:tc>
          <w:tcPr>
            <w:tcW w:w="10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20,872</w:t>
            </w:r>
          </w:p>
        </w:tc>
      </w:tr>
      <w:tr>
        <w:trPr>
          <w:trHeight w:val="243"/>
        </w:trPr>
        <w:tc>
          <w:tcPr>
            <w:tcW w:w="46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 revenue</w:t>
            </w: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191,294</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141,660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557,025</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340,171</w:t>
            </w:r>
          </w:p>
        </w:tc>
      </w:tr>
      <w:tr>
        <w:trPr>
          <w:trHeight w:val="237"/>
        </w:trPr>
        <w:tc>
          <w:tcPr>
            <w:tcW w:w="46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61,883</w:t>
            </w:r>
          </w:p>
        </w:tc>
        <w:tc>
          <w:tcPr>
            <w:tcW w:w="10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46,777</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168,643</w:t>
            </w:r>
          </w:p>
        </w:tc>
        <w:tc>
          <w:tcPr>
            <w:tcW w:w="10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104,440</w:t>
            </w:r>
          </w:p>
        </w:tc>
      </w:tr>
      <w:tr>
        <w:trPr>
          <w:trHeight w:val="243"/>
        </w:trPr>
        <w:tc>
          <w:tcPr>
            <w:tcW w:w="46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leasing and services revenue</w:t>
            </w: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253,177</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188,437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725,668</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444,611</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Sale of new units</w:t>
            </w: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11,536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20,920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38,064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33,584</w:t>
            </w:r>
          </w:p>
        </w:tc>
      </w:tr>
      <w:tr>
        <w:trPr>
          <w:trHeight w:val="246"/>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 of rental units</w:t>
            </w: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7,627</w:t>
            </w:r>
          </w:p>
        </w:tc>
        <w:tc>
          <w:tcPr>
            <w:tcW w:w="10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9,567</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29,741</w:t>
            </w:r>
          </w:p>
        </w:tc>
        <w:tc>
          <w:tcPr>
            <w:tcW w:w="10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15,813</w:t>
            </w:r>
          </w:p>
        </w:tc>
      </w:tr>
      <w:tr>
        <w:trPr>
          <w:trHeight w:val="243"/>
        </w:trPr>
        <w:tc>
          <w:tcPr>
            <w:tcW w:w="46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272,340</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218,924</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793,473</w:t>
            </w:r>
          </w:p>
        </w:tc>
        <w:tc>
          <w:tcPr>
            <w:tcW w:w="100" w:type="dxa"/>
            <w:vAlign w:val="bottom"/>
          </w:tcPr>
          <w:p>
            <w:pPr>
              <w:spacing w:after="0"/>
              <w:rPr>
                <w:sz w:val="21"/>
                <w:szCs w:val="21"/>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494,008</w:t>
            </w:r>
          </w:p>
        </w:tc>
      </w:tr>
      <w:tr>
        <w:trPr>
          <w:trHeight w:val="21"/>
        </w:trPr>
        <w:tc>
          <w:tcPr>
            <w:tcW w:w="4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1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$4.0 million and $3.0 million of VAPS service revenue for the three months ended September 30, 2019 and 2018, respectively, and $11.9 million and $7.9 million of VAPS service revenue for the nine months ended September 30, 2019 and 2018, respectively.</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reflected above, approximately 69% of the Company's rental revenue is accounted for under ASC 840 for both the three and nine months ended September 30, 2019. The customers that are responsible for the remaining revenue that is accounted for under ASC 606 (and ASC 605 prior to 2019) are generally the same customers that rent the Company's equipment. The Company manages credit risk associated with its accounts receivables at the customer level. Because the same customers generate the revenues that are accounted for under both ASC 606 and ASC 840, the discussions below on credit risk and the Company's allowance for doubtful accounts address the Company's total revenues.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Concentration of credit risk with respect to the Company's receivables is limited because of a large number of geographically diverse customers who operate in a variety of end user markets. The Company's top five customers with the largest open receivables balances represented 2.4% of the total receivables balance as of September 30, 2019. The Company manages credit risk through credit approvals, credit limits, and other monitoring procedures.</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allowance for doubtful accounts reflects its estimate of the amount of receivables that it will be unable to collect based on specific customer risk and historical write-off experience. The Company's estimates reflect changing circumstances, including changes in the economy or in the particular circumstances of individual customers. Accordingly, the Company may be required to increase or decrease its allowance. During the three and nine months ended September 30, 2019, the Company recognized bad debt expenses of $5.5 million and $11.8 million, respectively, within SG&amp;A in its condensed consolidated statements of income, which included amounts written-off and changes in its allowances for doubtful accounts. During the three and nine months ended September 30, 2018, the Company recognized bad debt expenses of $3.1 million and $5.4 million, respectively.</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When customers are billed in advance, the Company defers recognition of revenue until the related services are performed, which generally occurs at the end of the contract. As of January 1, 2019, the Company had approximately $32.1 million of deferred revenue that relates to removal services for lease transactions and advance billings for sale transactions, which are within the scope of ASC 606. As of September 30, 2019, the Company had approximately $46.3 million of deferred revenue relating to these services which are included in deferred revenue and customer deposits in the condensed consolidated balance sheets. During the nine months ended September 30, 2019, $8.2 million of previously deferred revenue relating to removal services for lease transactions and advance billings for sale transactions was recognized as revenue.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any contract assets.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5" w:name="page16"/>
    <w:bookmarkEnd w:id="15"/>
    <w:p>
      <w:pPr>
        <w:jc w:val="both"/>
        <w:ind w:firstLine="648"/>
        <w:spacing w:after="0" w:line="250"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will expense commissions as incurred.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Other Matters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ASC 606 revenues do not include material amounts of variable consideration, other than the variability noted for services arrangements expected to be performed beyond a twelve month period.</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most significant estimates and judgments relating to ASC 606 revenues involve the estimation of relative stand-alone selling prices for the purpose of allocating consideration to the performance obligations in the Company's lease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4 - Inventories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2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September 30, 2019</w:t>
            </w:r>
          </w:p>
        </w:tc>
        <w:tc>
          <w:tcPr>
            <w:tcW w:w="10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consumables</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15,956</w:t>
            </w:r>
          </w:p>
        </w:tc>
        <w:tc>
          <w:tcPr>
            <w:tcW w:w="10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16,022</w:t>
            </w: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5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196</w:t>
            </w:r>
          </w:p>
        </w:tc>
      </w:tr>
      <w:tr>
        <w:trPr>
          <w:trHeight w:val="262"/>
        </w:trPr>
        <w:tc>
          <w:tcPr>
            <w:tcW w:w="7880" w:type="dxa"/>
            <w:vAlign w:val="bottom"/>
            <w:tcBorders>
              <w:top w:val="single" w:sz="8" w:color="E7E7E8"/>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inventories</w:t>
            </w:r>
          </w:p>
        </w:tc>
        <w:tc>
          <w:tcPr>
            <w:tcW w:w="580" w:type="dxa"/>
            <w:vAlign w:val="bottom"/>
            <w:tcBorders>
              <w:top w:val="single" w:sz="8" w:color="auto"/>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15,956</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1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16,218</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008A5F"/>
        </w:rPr>
        <w:t>NOTE 5 - Rental Equipment, net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40" w:type="dxa"/>
            <w:vAlign w:val="bottom"/>
            <w:gridSpan w:val="3"/>
            <w:vMerge w:val="restart"/>
            <w:shd w:val="clear" w:color="auto" w:fill="008A5F"/>
          </w:tcPr>
          <w:p>
            <w:pPr>
              <w:jc w:val="right"/>
              <w:ind w:right="220"/>
              <w:spacing w:after="0"/>
              <w:rPr>
                <w:sz w:val="20"/>
                <w:szCs w:val="20"/>
                <w:color w:val="auto"/>
              </w:rPr>
            </w:pPr>
            <w:r>
              <w:rPr>
                <w:rFonts w:ascii="Arial" w:cs="Arial" w:eastAsia="Arial" w:hAnsi="Arial"/>
                <w:sz w:val="16"/>
                <w:szCs w:val="16"/>
                <w:b w:val="1"/>
                <w:bCs w:val="1"/>
                <w:color w:val="FFFFFF"/>
              </w:rPr>
              <w:t>September 30, 2019</w:t>
            </w:r>
          </w:p>
        </w:tc>
        <w:tc>
          <w:tcPr>
            <w:tcW w:w="100" w:type="dxa"/>
            <w:vAlign w:val="bottom"/>
            <w:shd w:val="clear" w:color="auto" w:fill="008A5F"/>
          </w:tcPr>
          <w:p>
            <w:pPr>
              <w:spacing w:after="0"/>
              <w:rPr>
                <w:sz w:val="20"/>
                <w:szCs w:val="20"/>
                <w:color w:val="auto"/>
              </w:rPr>
            </w:pPr>
          </w:p>
        </w:tc>
        <w:tc>
          <w:tcPr>
            <w:tcW w:w="1600" w:type="dxa"/>
            <w:vAlign w:val="bottom"/>
            <w:vMerge w:val="restart"/>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December 31, 2018</w:t>
            </w:r>
          </w:p>
        </w:tc>
        <w:tc>
          <w:tcPr>
            <w:tcW w:w="0" w:type="dxa"/>
            <w:vAlign w:val="bottom"/>
          </w:tcPr>
          <w:p>
            <w:pPr>
              <w:spacing w:after="0"/>
              <w:rPr>
                <w:sz w:val="1"/>
                <w:szCs w:val="1"/>
                <w:color w:val="auto"/>
              </w:rPr>
            </w:pPr>
          </w:p>
        </w:tc>
      </w:tr>
      <w:tr>
        <w:trPr>
          <w:trHeight w:val="76"/>
        </w:trPr>
        <w:tc>
          <w:tcPr>
            <w:tcW w:w="7860" w:type="dxa"/>
            <w:vAlign w:val="bottom"/>
            <w:shd w:val="clear" w:color="auto" w:fill="008A5F"/>
          </w:tcPr>
          <w:p>
            <w:pPr>
              <w:spacing w:after="0"/>
              <w:rPr>
                <w:sz w:val="6"/>
                <w:szCs w:val="6"/>
                <w:color w:val="auto"/>
              </w:rPr>
            </w:pPr>
          </w:p>
        </w:tc>
        <w:tc>
          <w:tcPr>
            <w:tcW w:w="1840" w:type="dxa"/>
            <w:vAlign w:val="bottom"/>
            <w:gridSpan w:val="3"/>
            <w:vMerge w:val="continue"/>
            <w:shd w:val="clear" w:color="auto" w:fill="008A5F"/>
          </w:tcPr>
          <w:p>
            <w:pPr>
              <w:spacing w:after="0"/>
              <w:rPr>
                <w:sz w:val="6"/>
                <w:szCs w:val="6"/>
                <w:color w:val="auto"/>
              </w:rPr>
            </w:pPr>
          </w:p>
        </w:tc>
        <w:tc>
          <w:tcPr>
            <w:tcW w:w="100" w:type="dxa"/>
            <w:vAlign w:val="bottom"/>
            <w:shd w:val="clear" w:color="auto" w:fill="008A5F"/>
          </w:tcPr>
          <w:p>
            <w:pPr>
              <w:spacing w:after="0"/>
              <w:rPr>
                <w:sz w:val="6"/>
                <w:szCs w:val="6"/>
                <w:color w:val="auto"/>
              </w:rPr>
            </w:pPr>
          </w:p>
        </w:tc>
        <w:tc>
          <w:tcPr>
            <w:tcW w:w="1600" w:type="dxa"/>
            <w:vAlign w:val="bottom"/>
            <w:vMerge w:val="continue"/>
            <w:shd w:val="clear" w:color="auto" w:fill="008A5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units and portable storage</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2,430,505</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2,333,776</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Value added products</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115,762</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90,526</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rental equipment</w:t>
            </w:r>
          </w:p>
        </w:tc>
        <w:tc>
          <w:tcPr>
            <w:tcW w:w="48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2,546,267</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2,424,302</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(593,438)</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(495,012)</w:t>
            </w:r>
          </w:p>
        </w:tc>
        <w:tc>
          <w:tcPr>
            <w:tcW w:w="0" w:type="dxa"/>
            <w:vAlign w:val="bottom"/>
          </w:tcPr>
          <w:p>
            <w:pPr>
              <w:spacing w:after="0"/>
              <w:rPr>
                <w:sz w:val="1"/>
                <w:szCs w:val="1"/>
                <w:color w:val="auto"/>
              </w:rPr>
            </w:pPr>
          </w:p>
        </w:tc>
      </w:tr>
      <w:tr>
        <w:trPr>
          <w:trHeight w:val="262"/>
        </w:trPr>
        <w:tc>
          <w:tcPr>
            <w:tcW w:w="78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4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1,952,829</w:t>
            </w:r>
          </w:p>
        </w:tc>
        <w:tc>
          <w:tcPr>
            <w:tcW w:w="1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1,929,290</w:t>
            </w:r>
          </w:p>
        </w:tc>
        <w:tc>
          <w:tcPr>
            <w:tcW w:w="0" w:type="dxa"/>
            <w:vAlign w:val="bottom"/>
          </w:tcPr>
          <w:p>
            <w:pPr>
              <w:spacing w:after="0"/>
              <w:rPr>
                <w:sz w:val="1"/>
                <w:szCs w:val="1"/>
                <w:color w:val="auto"/>
              </w:rPr>
            </w:pP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three and nine months ended September 30, 2019, the Company received $1.3 million and $2.4 million, respectively, in insurance proceeds related to assets damaged during Hurricane Harvey and Hurricane Irma. The insurance proceeds exceeded the book value of damaged assets, and the Company recorded gains of $0.4 million and $2.3 million which are reflected in other income, net, on the condensed consolidated statements of operations for three and nine months ended September 30, 2019, respectively.</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three and nine months ended September 30, 2018, the Company received $0.0 million and $9.3 million, respectively, in insurance proceeds related to assets damaged during Hurricane Harvey. The insurance proceeds exceeded the book value of damaged assets, and the Company recorded gains of $0.0 million and $4.8 million which are reflected in other income, net, on the condensed consolidated statements of operations for three and nine months ended September 30, 2018, respectively.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6" w:name="page17"/>
    <w:bookmarkEnd w:id="16"/>
    <w:p>
      <w:pPr>
        <w:spacing w:after="0"/>
        <w:rPr>
          <w:sz w:val="20"/>
          <w:szCs w:val="20"/>
          <w:color w:val="auto"/>
        </w:rPr>
      </w:pPr>
      <w:r>
        <w:rPr>
          <w:rFonts w:ascii="Arial" w:cs="Arial" w:eastAsia="Arial" w:hAnsi="Arial"/>
          <w:sz w:val="23"/>
          <w:szCs w:val="23"/>
          <w:color w:val="008A5F"/>
        </w:rPr>
        <w:t>NOTE 6 - Goodwill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6"/>
                <w:szCs w:val="16"/>
                <w:color w:val="auto"/>
              </w:rPr>
            </w:pPr>
          </w:p>
        </w:tc>
        <w:tc>
          <w:tcPr>
            <w:tcW w:w="160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16"/>
                <w:szCs w:val="16"/>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6"/>
                <w:szCs w:val="16"/>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04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January 1, 2018</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Acquisition of a business</w:t>
            </w:r>
          </w:p>
        </w:tc>
        <w:tc>
          <w:tcPr>
            <w:tcW w:w="2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183,711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35,128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218,839</w:t>
            </w:r>
          </w:p>
        </w:tc>
        <w:tc>
          <w:tcPr>
            <w:tcW w:w="0" w:type="dxa"/>
            <w:vAlign w:val="bottom"/>
          </w:tcPr>
          <w:p>
            <w:pPr>
              <w:spacing w:after="0"/>
              <w:rPr>
                <w:sz w:val="1"/>
                <w:szCs w:val="1"/>
                <w:color w:val="auto"/>
              </w:rPr>
            </w:pP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7"/>
        </w:trPr>
        <w:tc>
          <w:tcPr>
            <w:tcW w:w="604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2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43"/>
        </w:trPr>
        <w:tc>
          <w:tcPr>
            <w:tcW w:w="60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2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213,264</w:t>
            </w:r>
          </w:p>
        </w:tc>
        <w:tc>
          <w:tcPr>
            <w:tcW w:w="10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4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33,753</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247,017</w:t>
            </w:r>
          </w:p>
        </w:tc>
        <w:tc>
          <w:tcPr>
            <w:tcW w:w="0" w:type="dxa"/>
            <w:vAlign w:val="bottom"/>
          </w:tcPr>
          <w:p>
            <w:pPr>
              <w:spacing w:after="0"/>
              <w:rPr>
                <w:sz w:val="1"/>
                <w:szCs w:val="1"/>
                <w:color w:val="auto"/>
              </w:rPr>
            </w:pP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2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(4,069)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(13,400)</w:t>
            </w:r>
          </w:p>
        </w:tc>
        <w:tc>
          <w:tcPr>
            <w:tcW w:w="0" w:type="dxa"/>
            <w:vAlign w:val="bottom"/>
          </w:tcPr>
          <w:p>
            <w:pPr>
              <w:spacing w:after="0"/>
              <w:rPr>
                <w:sz w:val="1"/>
                <w:szCs w:val="1"/>
                <w:color w:val="auto"/>
              </w:rPr>
            </w:pP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w:t>
            </w:r>
          </w:p>
        </w:tc>
        <w:tc>
          <w:tcPr>
            <w:tcW w:w="220" w:type="dxa"/>
            <w:vAlign w:val="bottom"/>
            <w:shd w:val="clear" w:color="auto" w:fill="E7E7E8"/>
          </w:tcPr>
          <w:p>
            <w:pPr>
              <w:spacing w:after="0"/>
              <w:rPr>
                <w:sz w:val="21"/>
                <w:szCs w:val="21"/>
                <w:color w:val="auto"/>
              </w:rPr>
            </w:pPr>
          </w:p>
        </w:tc>
        <w:tc>
          <w:tcPr>
            <w:tcW w:w="16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6"/>
                <w:szCs w:val="16"/>
                <w:color w:val="auto"/>
              </w:rPr>
              <w:t>Balance at September 30, 2019</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203,933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30,664</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234,597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described in Note 2, the Company acquired ModSpace in August 2018. The acquisition of ModSpace resulted in the recognition of $171.3 million and $31.0 million of goodwill in the Modular - US segment and Modular - Other North America segments, as defined in Note 16.</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Impairment Indicator Analysis</w:t>
      </w:r>
    </w:p>
    <w:p>
      <w:pPr>
        <w:spacing w:after="0" w:line="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no goodwill impairment during the nine months ended September 30, 2019 and there were no indicators of impairment as of September 30, 2019. There were indicators of impairment as of December 31, 2018, as detailed below.</w:t>
      </w:r>
    </w:p>
    <w:p>
      <w:pPr>
        <w:spacing w:after="0" w:line="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December 2018, there was a significant decline in the debt and equity capital markets, including the Company’s stock price, which constituted an indicator of potential impairment in management's judgment. As a result, the Company performed an interim goodwill impairment test as of December 31, 2018. The interim impairment analysis determined that there was no impairment of goodwill for either the US or Canadian reporting units as of December 31,</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2018. As of December 31, 2018, the US reporting unit continued to have a fair value in excess of carrying value of over 100%. The Canadian reporting unit was determined to have a fair value in excess of carrying value of less than 1% as of December 31, 2018.</w:t>
      </w:r>
    </w:p>
    <w:p>
      <w:pPr>
        <w:spacing w:after="0" w:line="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fair value of the reporting units at December 31, 2018 was determined based on the income approach, which requires management to make certain estimates and judgments for estimates of economic and market information in the discounted cash flow analyses.</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There are inherent uncertainties and judgments involved when determining the fair value of the reporting units because the success of the reporting unit depends on the achievement of key assumptions developed by management including, but not limited to (i) achieving revenue growth through pricing, increased units on rent, increased penetration of VAPS, and other commercial strategies, (ii) efficient management of the Company's operations and the Company's fleet through maintenance and capital investment, and (iii) achieving margin expectations, including integration synergies with acquired companies.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some of the estimates and assumptions used in determining fair value of the reporting units utilize inputs that are outside the control of management and are dependent on market and economic conditions, such as the discount rate, foreign currency rates, and growth rates. These assumptions are inherently uncertain and deterioration of market and economic conditions would adversely impact the Company's ability to meet its projected results and would affect the fair value of the reporting units.</w:t>
      </w:r>
    </w:p>
    <w:p>
      <w:pPr>
        <w:spacing w:after="0" w:line="4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Of the key assumptions that impact the goodwill impairment test, the expected future cash flows, discount rate and foreign exchange rates are among the most sensitive and are considered to be critical assumptions. If any one of the above inputs changes, it could reduce or increase the estimated fair value of the affected reporting unit. A reduction in the fair value of a reporting unit could result in an impairment charge up to the full amount of goodwill reported.</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the Company believes that it has sufficient historical and projected information available to test for goodwill impairment, it is possible that actual results could differ from the estimates used in its impairment tests. As a result, the Company continues to monitor actual results versus forecast results and internal and external factors that may impact the enterprise value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7" w:name="page18"/>
    <w:bookmarkEnd w:id="17"/>
    <w:p>
      <w:pPr>
        <w:spacing w:after="0"/>
        <w:rPr>
          <w:sz w:val="20"/>
          <w:szCs w:val="20"/>
          <w:color w:val="auto"/>
        </w:rPr>
      </w:pPr>
      <w:r>
        <w:rPr>
          <w:rFonts w:ascii="Arial" w:cs="Arial" w:eastAsia="Arial" w:hAnsi="Arial"/>
          <w:sz w:val="23"/>
          <w:szCs w:val="23"/>
          <w:color w:val="008A5F"/>
        </w:rPr>
        <w:t>NOTE 7 - Intangibles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040" w:type="dxa"/>
            <w:vAlign w:val="bottom"/>
            <w:gridSpan w:val="9"/>
            <w:shd w:val="clear" w:color="auto" w:fill="008A5F"/>
          </w:tcPr>
          <w:p>
            <w:pPr>
              <w:ind w:left="660"/>
              <w:spacing w:after="0"/>
              <w:rPr>
                <w:sz w:val="20"/>
                <w:szCs w:val="20"/>
                <w:color w:val="auto"/>
              </w:rPr>
            </w:pPr>
            <w:r>
              <w:rPr>
                <w:rFonts w:ascii="Arial" w:cs="Arial" w:eastAsia="Arial" w:hAnsi="Arial"/>
                <w:sz w:val="16"/>
                <w:szCs w:val="16"/>
                <w:b w:val="1"/>
                <w:bCs w:val="1"/>
                <w:color w:val="FFFFFF"/>
              </w:rPr>
              <w:t>September 30, 2019</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r>
      <w:tr>
        <w:trPr>
          <w:trHeight w:val="206"/>
        </w:trPr>
        <w:tc>
          <w:tcPr>
            <w:tcW w:w="5160" w:type="dxa"/>
            <w:vAlign w:val="bottom"/>
            <w:shd w:val="clear" w:color="auto" w:fill="008A5F"/>
          </w:tcPr>
          <w:p>
            <w:pPr>
              <w:spacing w:after="0"/>
              <w:rPr>
                <w:sz w:val="17"/>
                <w:szCs w:val="17"/>
                <w:color w:val="auto"/>
              </w:rPr>
            </w:pP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remaining life (in</w:t>
            </w:r>
          </w:p>
        </w:tc>
        <w:tc>
          <w:tcPr>
            <w:tcW w:w="120" w:type="dxa"/>
            <w:vAlign w:val="bottom"/>
            <w:shd w:val="clear" w:color="auto" w:fill="008A5F"/>
          </w:tcPr>
          <w:p>
            <w:pPr>
              <w:spacing w:after="0"/>
              <w:rPr>
                <w:sz w:val="16"/>
                <w:szCs w:val="16"/>
                <w:color w:val="auto"/>
              </w:rPr>
            </w:pPr>
          </w:p>
        </w:tc>
        <w:tc>
          <w:tcPr>
            <w:tcW w:w="1460" w:type="dxa"/>
            <w:vAlign w:val="bottom"/>
            <w:gridSpan w:val="4"/>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4"/>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2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20" w:type="dxa"/>
            <w:vAlign w:val="bottom"/>
            <w:shd w:val="clear" w:color="auto" w:fill="008A5F"/>
          </w:tcPr>
          <w:p>
            <w:pPr>
              <w:spacing w:after="0"/>
              <w:rPr>
                <w:sz w:val="16"/>
                <w:szCs w:val="16"/>
                <w:color w:val="auto"/>
              </w:rPr>
            </w:pPr>
          </w:p>
        </w:tc>
      </w:tr>
      <w:tr>
        <w:trPr>
          <w:trHeight w:val="234"/>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w w:val="97"/>
              </w:rPr>
              <w:t>years)</w:t>
            </w:r>
          </w:p>
        </w:tc>
        <w:tc>
          <w:tcPr>
            <w:tcW w:w="120" w:type="dxa"/>
            <w:vAlign w:val="bottom"/>
            <w:shd w:val="clear" w:color="auto" w:fill="008A5F"/>
          </w:tcPr>
          <w:p>
            <w:pPr>
              <w:spacing w:after="0"/>
              <w:rPr>
                <w:sz w:val="20"/>
                <w:szCs w:val="20"/>
                <w:color w:val="auto"/>
              </w:rPr>
            </w:pPr>
          </w:p>
        </w:tc>
        <w:tc>
          <w:tcPr>
            <w:tcW w:w="1460" w:type="dxa"/>
            <w:vAlign w:val="bottom"/>
            <w:gridSpan w:val="4"/>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4"/>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20" w:type="dxa"/>
            <w:vAlign w:val="bottom"/>
            <w:shd w:val="clear" w:color="auto" w:fill="008A5F"/>
          </w:tcPr>
          <w:p>
            <w:pPr>
              <w:spacing w:after="0"/>
              <w:rPr>
                <w:sz w:val="20"/>
                <w:szCs w:val="20"/>
                <w:color w:val="auto"/>
              </w:rPr>
            </w:pPr>
          </w:p>
        </w:tc>
        <w:tc>
          <w:tcPr>
            <w:tcW w:w="136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r>
      <w:tr>
        <w:trPr>
          <w:trHeight w:val="233"/>
        </w:trPr>
        <w:tc>
          <w:tcPr>
            <w:tcW w:w="5160" w:type="dxa"/>
            <w:vAlign w:val="bottom"/>
          </w:tcPr>
          <w:p>
            <w:pPr>
              <w:ind w:left="220"/>
              <w:spacing w:after="0"/>
              <w:rPr>
                <w:sz w:val="20"/>
                <w:szCs w:val="20"/>
                <w:color w:val="auto"/>
              </w:rPr>
            </w:pPr>
            <w:r>
              <w:rPr>
                <w:rFonts w:ascii="Arial" w:cs="Arial" w:eastAsia="Arial" w:hAnsi="Arial"/>
                <w:sz w:val="16"/>
                <w:szCs w:val="16"/>
                <w:color w:val="auto"/>
              </w:rPr>
              <w:t>Favorable lease rights</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1,738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(510)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1,228</w:t>
            </w:r>
          </w:p>
        </w:tc>
        <w:tc>
          <w:tcPr>
            <w:tcW w:w="20" w:type="dxa"/>
            <w:vAlign w:val="bottom"/>
          </w:tcPr>
          <w:p>
            <w:pPr>
              <w:spacing w:after="0"/>
              <w:rPr>
                <w:sz w:val="20"/>
                <w:szCs w:val="20"/>
                <w:color w:val="auto"/>
              </w:rPr>
            </w:pPr>
          </w:p>
        </w:tc>
      </w:tr>
      <w:tr>
        <w:trPr>
          <w:trHeight w:val="246"/>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ModSpace trade name</w:t>
            </w:r>
          </w:p>
        </w:tc>
        <w:tc>
          <w:tcPr>
            <w:tcW w:w="15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8"/>
              </w:rPr>
              <w:t>1.9</w:t>
            </w:r>
          </w:p>
        </w:tc>
        <w:tc>
          <w:tcPr>
            <w:tcW w:w="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3,000</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18"/>
              <w:spacing w:after="0"/>
              <w:rPr>
                <w:sz w:val="20"/>
                <w:szCs w:val="20"/>
                <w:color w:val="auto"/>
              </w:rPr>
            </w:pPr>
            <w:r>
              <w:rPr>
                <w:rFonts w:ascii="Arial" w:cs="Arial" w:eastAsia="Arial" w:hAnsi="Arial"/>
                <w:sz w:val="16"/>
                <w:szCs w:val="16"/>
                <w:color w:val="auto"/>
              </w:rPr>
              <w:t>(1,125)</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1,875</w:t>
            </w:r>
          </w:p>
        </w:tc>
        <w:tc>
          <w:tcPr>
            <w:tcW w:w="20" w:type="dxa"/>
            <w:vAlign w:val="bottom"/>
            <w:tcBorders>
              <w:bottom w:val="single" w:sz="8" w:color="auto"/>
            </w:tcBorders>
            <w:shd w:val="clear" w:color="auto" w:fill="E7E7E8"/>
          </w:tcPr>
          <w:p>
            <w:pPr>
              <w:spacing w:after="0"/>
              <w:rPr>
                <w:sz w:val="21"/>
                <w:szCs w:val="21"/>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4,738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(1,635)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3,103</w:t>
            </w:r>
          </w:p>
        </w:tc>
        <w:tc>
          <w:tcPr>
            <w:tcW w:w="20" w:type="dxa"/>
            <w:vAlign w:val="bottom"/>
          </w:tcPr>
          <w:p>
            <w:pPr>
              <w:spacing w:after="0"/>
              <w:rPr>
                <w:sz w:val="20"/>
                <w:szCs w:val="20"/>
                <w:color w:val="auto"/>
              </w:rPr>
            </w:pPr>
          </w:p>
        </w:tc>
      </w:tr>
      <w:tr>
        <w:trPr>
          <w:trHeight w:val="239"/>
        </w:trPr>
        <w:tc>
          <w:tcPr>
            <w:tcW w:w="5160" w:type="dxa"/>
            <w:vAlign w:val="bottom"/>
            <w:shd w:val="clear" w:color="auto" w:fill="E7E7E8"/>
          </w:tcPr>
          <w:p>
            <w:pPr>
              <w:spacing w:after="0"/>
              <w:rPr>
                <w:sz w:val="20"/>
                <w:szCs w:val="20"/>
                <w:color w:val="auto"/>
              </w:rPr>
            </w:pPr>
          </w:p>
        </w:tc>
        <w:tc>
          <w:tcPr>
            <w:tcW w:w="15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30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w:t>
            </w:r>
          </w:p>
        </w:tc>
        <w:tc>
          <w:tcPr>
            <w:tcW w:w="154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20" w:type="dxa"/>
            <w:vAlign w:val="bottom"/>
            <w:gridSpan w:val="4"/>
            <w:shd w:val="clear" w:color="auto" w:fill="E7E7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2"/>
                <w:szCs w:val="22"/>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129,738</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(1,635)</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128,103</w:t>
            </w:r>
          </w:p>
        </w:tc>
        <w:tc>
          <w:tcPr>
            <w:tcW w:w="20" w:type="dxa"/>
            <w:vAlign w:val="bottom"/>
            <w:tcBorders>
              <w:top w:val="single" w:sz="8" w:color="auto"/>
              <w:bottom w:val="single" w:sz="8" w:color="auto"/>
            </w:tcBorders>
          </w:tcPr>
          <w:p>
            <w:pPr>
              <w:spacing w:after="0"/>
              <w:rPr>
                <w:sz w:val="21"/>
                <w:szCs w:val="2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480" w:type="dxa"/>
            <w:vAlign w:val="bottom"/>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5160" w:type="dxa"/>
            <w:vAlign w:val="bottom"/>
            <w:shd w:val="clear" w:color="auto" w:fill="008A5F"/>
          </w:tcPr>
          <w:p>
            <w:pPr>
              <w:spacing w:after="0"/>
              <w:rPr>
                <w:sz w:val="19"/>
                <w:szCs w:val="19"/>
                <w:color w:val="auto"/>
              </w:rPr>
            </w:pPr>
          </w:p>
        </w:tc>
        <w:tc>
          <w:tcPr>
            <w:tcW w:w="154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3040" w:type="dxa"/>
            <w:vAlign w:val="bottom"/>
            <w:gridSpan w:val="9"/>
            <w:shd w:val="clear" w:color="auto" w:fill="008A5F"/>
          </w:tcPr>
          <w:p>
            <w:pPr>
              <w:ind w:left="680"/>
              <w:spacing w:after="0"/>
              <w:rPr>
                <w:sz w:val="20"/>
                <w:szCs w:val="20"/>
                <w:color w:val="auto"/>
              </w:rPr>
            </w:pPr>
            <w:r>
              <w:rPr>
                <w:rFonts w:ascii="Arial" w:cs="Arial" w:eastAsia="Arial" w:hAnsi="Arial"/>
                <w:sz w:val="16"/>
                <w:szCs w:val="16"/>
                <w:b w:val="1"/>
                <w:bCs w:val="1"/>
                <w:color w:val="FFFFFF"/>
              </w:rPr>
              <w:t>December 31, 2018</w:t>
            </w:r>
          </w:p>
        </w:tc>
        <w:tc>
          <w:tcPr>
            <w:tcW w:w="120" w:type="dxa"/>
            <w:vAlign w:val="bottom"/>
            <w:shd w:val="clear" w:color="auto" w:fill="008A5F"/>
          </w:tcPr>
          <w:p>
            <w:pPr>
              <w:spacing w:after="0"/>
              <w:rPr>
                <w:sz w:val="19"/>
                <w:szCs w:val="19"/>
                <w:color w:val="auto"/>
              </w:rPr>
            </w:pPr>
          </w:p>
        </w:tc>
        <w:tc>
          <w:tcPr>
            <w:tcW w:w="1340" w:type="dxa"/>
            <w:vAlign w:val="bottom"/>
            <w:shd w:val="clear" w:color="auto" w:fill="008A5F"/>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5160" w:type="dxa"/>
            <w:vAlign w:val="bottom"/>
            <w:shd w:val="clear" w:color="auto" w:fill="008A5F"/>
          </w:tcPr>
          <w:p>
            <w:pPr>
              <w:spacing w:after="0"/>
              <w:rPr>
                <w:sz w:val="18"/>
                <w:szCs w:val="18"/>
                <w:color w:val="auto"/>
              </w:rPr>
            </w:pPr>
          </w:p>
        </w:tc>
        <w:tc>
          <w:tcPr>
            <w:tcW w:w="156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30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remaining life (in</w:t>
            </w:r>
          </w:p>
        </w:tc>
        <w:tc>
          <w:tcPr>
            <w:tcW w:w="120" w:type="dxa"/>
            <w:vAlign w:val="bottom"/>
            <w:shd w:val="clear" w:color="auto" w:fill="008A5F"/>
          </w:tcPr>
          <w:p>
            <w:pPr>
              <w:spacing w:after="0"/>
              <w:rPr>
                <w:sz w:val="16"/>
                <w:szCs w:val="16"/>
                <w:color w:val="auto"/>
              </w:rPr>
            </w:pPr>
          </w:p>
        </w:tc>
        <w:tc>
          <w:tcPr>
            <w:tcW w:w="1460" w:type="dxa"/>
            <w:vAlign w:val="bottom"/>
            <w:gridSpan w:val="4"/>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4"/>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2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years)</w:t>
            </w:r>
          </w:p>
        </w:tc>
        <w:tc>
          <w:tcPr>
            <w:tcW w:w="120" w:type="dxa"/>
            <w:vAlign w:val="bottom"/>
            <w:shd w:val="clear" w:color="auto" w:fill="008A5F"/>
          </w:tcPr>
          <w:p>
            <w:pPr>
              <w:spacing w:after="0"/>
              <w:rPr>
                <w:sz w:val="20"/>
                <w:szCs w:val="20"/>
                <w:color w:val="auto"/>
              </w:rPr>
            </w:pPr>
          </w:p>
        </w:tc>
        <w:tc>
          <w:tcPr>
            <w:tcW w:w="1460" w:type="dxa"/>
            <w:vAlign w:val="bottom"/>
            <w:gridSpan w:val="4"/>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4"/>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amortization</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20" w:type="dxa"/>
            <w:vAlign w:val="bottom"/>
          </w:tcPr>
          <w:p>
            <w:pPr>
              <w:spacing w:after="0"/>
              <w:rPr>
                <w:sz w:val="20"/>
                <w:szCs w:val="20"/>
                <w:color w:val="auto"/>
              </w:rPr>
            </w:pP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5160" w:type="dxa"/>
            <w:vAlign w:val="bottom"/>
          </w:tcPr>
          <w:p>
            <w:pPr>
              <w:ind w:left="220"/>
              <w:spacing w:after="0"/>
              <w:rPr>
                <w:sz w:val="20"/>
                <w:szCs w:val="20"/>
                <w:color w:val="auto"/>
              </w:rPr>
            </w:pPr>
            <w:r>
              <w:rPr>
                <w:rFonts w:ascii="Arial" w:cs="Arial" w:eastAsia="Arial" w:hAnsi="Arial"/>
                <w:sz w:val="16"/>
                <w:szCs w:val="16"/>
                <w:color w:val="auto"/>
              </w:rPr>
              <w:t>Favorable lease rights</w:t>
            </w:r>
          </w:p>
        </w:tc>
        <w:tc>
          <w:tcPr>
            <w:tcW w:w="1540" w:type="dxa"/>
            <w:vAlign w:val="bottom"/>
          </w:tcPr>
          <w:p>
            <w:pPr>
              <w:jc w:val="center"/>
              <w:ind w:right="39"/>
              <w:spacing w:after="0"/>
              <w:rPr>
                <w:sz w:val="20"/>
                <w:szCs w:val="20"/>
                <w:color w:val="auto"/>
              </w:rPr>
            </w:pPr>
            <w:r>
              <w:rPr>
                <w:rFonts w:ascii="Arial" w:cs="Arial" w:eastAsia="Arial" w:hAnsi="Arial"/>
                <w:sz w:val="16"/>
                <w:szCs w:val="16"/>
                <w:color w:val="auto"/>
                <w:w w:val="98"/>
              </w:rPr>
              <w:t>6.7</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4,176</w:t>
            </w:r>
          </w:p>
        </w:tc>
        <w:tc>
          <w:tcPr>
            <w:tcW w:w="20" w:type="dxa"/>
            <w:vAlign w:val="bottom"/>
          </w:tcPr>
          <w:p>
            <w:pPr>
              <w:spacing w:after="0"/>
              <w:rPr>
                <w:sz w:val="20"/>
                <w:szCs w:val="20"/>
                <w:color w:val="auto"/>
              </w:rPr>
            </w:pPr>
          </w:p>
        </w:tc>
      </w:tr>
      <w:tr>
        <w:trPr>
          <w:trHeight w:val="246"/>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ModSpace trade name</w:t>
            </w:r>
          </w:p>
        </w:tc>
        <w:tc>
          <w:tcPr>
            <w:tcW w:w="1540" w:type="dxa"/>
            <w:vAlign w:val="bottom"/>
            <w:shd w:val="clear" w:color="auto" w:fill="E7E7E8"/>
          </w:tcPr>
          <w:p>
            <w:pPr>
              <w:jc w:val="center"/>
              <w:ind w:right="39"/>
              <w:spacing w:after="0"/>
              <w:rPr>
                <w:sz w:val="20"/>
                <w:szCs w:val="20"/>
                <w:color w:val="auto"/>
              </w:rPr>
            </w:pPr>
            <w:r>
              <w:rPr>
                <w:rFonts w:ascii="Arial" w:cs="Arial" w:eastAsia="Arial" w:hAnsi="Arial"/>
                <w:sz w:val="16"/>
                <w:szCs w:val="16"/>
                <w:color w:val="auto"/>
                <w:w w:val="98"/>
              </w:rPr>
              <w:t>2.7</w:t>
            </w: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3,000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18"/>
              <w:spacing w:after="0"/>
              <w:rPr>
                <w:sz w:val="20"/>
                <w:szCs w:val="20"/>
                <w:color w:val="auto"/>
              </w:rPr>
            </w:pPr>
            <w:r>
              <w:rPr>
                <w:rFonts w:ascii="Arial" w:cs="Arial" w:eastAsia="Arial" w:hAnsi="Arial"/>
                <w:sz w:val="16"/>
                <w:szCs w:val="16"/>
                <w:color w:val="auto"/>
              </w:rPr>
              <w:t>(375)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2,625</w:t>
            </w:r>
          </w:p>
        </w:tc>
        <w:tc>
          <w:tcPr>
            <w:tcW w:w="20" w:type="dxa"/>
            <w:vAlign w:val="bottom"/>
          </w:tcPr>
          <w:p>
            <w:pPr>
              <w:spacing w:after="0"/>
              <w:rPr>
                <w:sz w:val="21"/>
                <w:szCs w:val="21"/>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7,523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6,801</w:t>
            </w:r>
          </w:p>
        </w:tc>
        <w:tc>
          <w:tcPr>
            <w:tcW w:w="20" w:type="dxa"/>
            <w:vAlign w:val="bottom"/>
          </w:tcPr>
          <w:p>
            <w:pPr>
              <w:spacing w:after="0"/>
              <w:rPr>
                <w:sz w:val="20"/>
                <w:szCs w:val="20"/>
                <w:color w:val="auto"/>
              </w:rPr>
            </w:pPr>
          </w:p>
        </w:tc>
      </w:tr>
      <w:tr>
        <w:trPr>
          <w:trHeight w:val="185"/>
        </w:trPr>
        <w:tc>
          <w:tcPr>
            <w:tcW w:w="5160" w:type="dxa"/>
            <w:vAlign w:val="bottom"/>
            <w:shd w:val="clear" w:color="auto" w:fill="E7E7E8"/>
          </w:tcPr>
          <w:p>
            <w:pPr>
              <w:spacing w:after="0"/>
              <w:rPr>
                <w:sz w:val="16"/>
                <w:szCs w:val="16"/>
                <w:color w:val="auto"/>
              </w:rPr>
            </w:pPr>
          </w:p>
        </w:tc>
        <w:tc>
          <w:tcPr>
            <w:tcW w:w="154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w:t>
            </w:r>
          </w:p>
        </w:tc>
        <w:tc>
          <w:tcPr>
            <w:tcW w:w="154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20" w:type="dxa"/>
            <w:vAlign w:val="bottom"/>
            <w:gridSpan w:val="4"/>
            <w:shd w:val="clear" w:color="auto" w:fill="E7E7E8"/>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c>
          <w:tcPr>
            <w:tcW w:w="20" w:type="dxa"/>
            <w:vAlign w:val="bottom"/>
          </w:tcPr>
          <w:p>
            <w:pPr>
              <w:spacing w:after="0"/>
              <w:rPr>
                <w:sz w:val="22"/>
                <w:szCs w:val="22"/>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132,523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131,801</w:t>
            </w:r>
          </w:p>
        </w:tc>
        <w:tc>
          <w:tcPr>
            <w:tcW w:w="20" w:type="dxa"/>
            <w:vAlign w:val="bottom"/>
          </w:tcPr>
          <w:p>
            <w:pPr>
              <w:spacing w:after="0"/>
              <w:rPr>
                <w:sz w:val="21"/>
                <w:szCs w:val="2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assigned $3.0 million and $4.0 million to definite-lived intangible assets, related to the ModSpace trade name and favorable lease rights. The Company allocated $3.9 million and $0.1 million of the favorable lease rights to the Modular - US segment and Modular - Other North America segments, as defined in Note 16, respectively. The ModSpace trade name has an estimated useful life of three years and the favorable lease assets are amortized over the life of the leases. These intangibles are non-deductible for income tax purposes.</w:t>
      </w:r>
    </w:p>
    <w:p>
      <w:pPr>
        <w:spacing w:after="0" w:line="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aggregate amortization expense for intangible assets subject to amortization was $0.4 million and $1.2 million for the three and nine months ended September 30, 2019, respectively. For the three months ended September 30, 2019, $0.3 million was recorded in other depreciation and amortization expense and $0.1 million related to the favorable lease rights was recorded in SG&amp;A. For the nine months ended September 30, 2019, $0.8 million was recorded in other depreciation and amortization expense and $0.4 million related to the favorable lease rights was recorded in SG&amp;A. The aggregate amortization expense for intangible assets subject to amortization was $0.2 million and $0.6 million for the three and nine months ended September 30, 2018, respectively. For the three months ended September 30, 2018, $0.2 million was recorded in other depreciation and amortization expense. For the nine months ended September 30, 2018, $0.5 million was recorded in other depreciation and amortization expense and $0.1 million related to the favorable lease rights was recorded in SG&amp;A.</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recognized a non-cash impairment charge of $2.4 million in impairment losses on long-lived assets during the nine months ended September 30, 2019 as a result of the closure of a branch location with a favorable lease asset which was acquired in the ModSpace acquisition.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8" w:name="page19"/>
    <w:bookmarkEnd w:id="18"/>
    <w:p>
      <w:pPr>
        <w:spacing w:after="0"/>
        <w:rPr>
          <w:sz w:val="20"/>
          <w:szCs w:val="20"/>
          <w:color w:val="auto"/>
        </w:rPr>
      </w:pPr>
      <w:r>
        <w:rPr>
          <w:rFonts w:ascii="Arial" w:cs="Arial" w:eastAsia="Arial" w:hAnsi="Arial"/>
          <w:sz w:val="23"/>
          <w:szCs w:val="23"/>
          <w:color w:val="008A5F"/>
        </w:rPr>
        <w:t>NOTE 8 - Debt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980" w:type="dxa"/>
            <w:vAlign w:val="bottom"/>
            <w:shd w:val="clear" w:color="auto" w:fill="008A5F"/>
          </w:tcPr>
          <w:p>
            <w:pPr>
              <w:jc w:val="center"/>
              <w:ind w:left="239"/>
              <w:spacing w:after="0"/>
              <w:rPr>
                <w:sz w:val="20"/>
                <w:szCs w:val="20"/>
                <w:color w:val="auto"/>
              </w:rPr>
            </w:pPr>
            <w:r>
              <w:rPr>
                <w:rFonts w:ascii="Arial" w:cs="Arial" w:eastAsia="Arial" w:hAnsi="Arial"/>
                <w:sz w:val="16"/>
                <w:szCs w:val="16"/>
                <w:b w:val="1"/>
                <w:bCs w:val="1"/>
                <w:color w:val="FFFFFF"/>
              </w:rPr>
              <w:t>Interest rate</w:t>
            </w:r>
          </w:p>
        </w:tc>
        <w:tc>
          <w:tcPr>
            <w:tcW w:w="19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Year of maturity</w:t>
            </w:r>
          </w:p>
        </w:tc>
        <w:tc>
          <w:tcPr>
            <w:tcW w:w="100" w:type="dxa"/>
            <w:vAlign w:val="bottom"/>
            <w:shd w:val="clear" w:color="auto" w:fill="008A5F"/>
          </w:tcPr>
          <w:p>
            <w:pPr>
              <w:spacing w:after="0"/>
              <w:rPr>
                <w:sz w:val="21"/>
                <w:szCs w:val="21"/>
                <w:color w:val="auto"/>
              </w:rPr>
            </w:pPr>
          </w:p>
        </w:tc>
        <w:tc>
          <w:tcPr>
            <w:tcW w:w="1740" w:type="dxa"/>
            <w:vAlign w:val="bottom"/>
            <w:gridSpan w:val="2"/>
            <w:shd w:val="clear" w:color="auto" w:fill="008A5F"/>
          </w:tcPr>
          <w:p>
            <w:pPr>
              <w:jc w:val="right"/>
              <w:ind w:right="220"/>
              <w:spacing w:after="0"/>
              <w:rPr>
                <w:sz w:val="20"/>
                <w:szCs w:val="20"/>
                <w:color w:val="auto"/>
              </w:rPr>
            </w:pPr>
            <w:r>
              <w:rPr>
                <w:rFonts w:ascii="Arial" w:cs="Arial" w:eastAsia="Arial" w:hAnsi="Arial"/>
                <w:sz w:val="16"/>
                <w:szCs w:val="16"/>
                <w:b w:val="1"/>
                <w:bCs w:val="1"/>
                <w:color w:val="FFFFFF"/>
              </w:rPr>
              <w:t>September 30, 2019</w:t>
            </w:r>
          </w:p>
        </w:tc>
        <w:tc>
          <w:tcPr>
            <w:tcW w:w="12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7.875%</w:t>
            </w:r>
          </w:p>
        </w:tc>
        <w:tc>
          <w:tcPr>
            <w:tcW w:w="1940" w:type="dxa"/>
            <w:vAlign w:val="bottom"/>
            <w:shd w:val="clear" w:color="auto" w:fill="E7E7E8"/>
          </w:tcPr>
          <w:p>
            <w:pPr>
              <w:jc w:val="right"/>
              <w:ind w:right="759"/>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293,530</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292,258</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980" w:type="dxa"/>
            <w:vAlign w:val="bottom"/>
          </w:tcPr>
          <w:p>
            <w:pPr>
              <w:jc w:val="center"/>
              <w:ind w:left="99"/>
              <w:spacing w:after="0"/>
              <w:rPr>
                <w:sz w:val="20"/>
                <w:szCs w:val="20"/>
                <w:color w:val="auto"/>
              </w:rPr>
            </w:pPr>
            <w:r>
              <w:rPr>
                <w:rFonts w:ascii="Arial" w:cs="Arial" w:eastAsia="Arial" w:hAnsi="Arial"/>
                <w:sz w:val="16"/>
                <w:szCs w:val="16"/>
                <w:color w:val="auto"/>
              </w:rPr>
              <w:t>6.875%</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482,344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293,918</w:t>
            </w: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10.000%</w:t>
            </w:r>
          </w:p>
        </w:tc>
        <w:tc>
          <w:tcPr>
            <w:tcW w:w="1940" w:type="dxa"/>
            <w:vAlign w:val="bottom"/>
            <w:shd w:val="clear" w:color="auto" w:fill="E7E7E8"/>
          </w:tcPr>
          <w:p>
            <w:pPr>
              <w:jc w:val="right"/>
              <w:ind w:right="759"/>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E7E7E8"/>
          </w:tcPr>
          <w:p>
            <w:pPr>
              <w:spacing w:after="0"/>
              <w:rPr>
                <w:sz w:val="21"/>
                <w:szCs w:val="21"/>
                <w:color w:val="auto"/>
              </w:rPr>
            </w:pPr>
          </w:p>
        </w:tc>
        <w:tc>
          <w:tcPr>
            <w:tcW w:w="17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198,931</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980" w:type="dxa"/>
            <w:vAlign w:val="bottom"/>
          </w:tcPr>
          <w:p>
            <w:pPr>
              <w:jc w:val="center"/>
              <w:ind w:left="239"/>
              <w:spacing w:after="0"/>
              <w:rPr>
                <w:sz w:val="20"/>
                <w:szCs w:val="20"/>
                <w:color w:val="auto"/>
              </w:rPr>
            </w:pPr>
            <w:r>
              <w:rPr>
                <w:rFonts w:ascii="Arial" w:cs="Arial" w:eastAsia="Arial" w:hAnsi="Arial"/>
                <w:sz w:val="16"/>
                <w:szCs w:val="16"/>
                <w:color w:val="auto"/>
              </w:rPr>
              <w:t>Varies</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897,917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853,409</w:t>
            </w: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980" w:type="dxa"/>
            <w:vAlign w:val="bottom"/>
            <w:shd w:val="clear" w:color="auto" w:fill="E7E7E8"/>
          </w:tcPr>
          <w:p>
            <w:pPr>
              <w:jc w:val="center"/>
              <w:ind w:left="239"/>
              <w:spacing w:after="0"/>
              <w:rPr>
                <w:sz w:val="20"/>
                <w:szCs w:val="20"/>
                <w:color w:val="auto"/>
              </w:rPr>
            </w:pPr>
            <w:r>
              <w:rPr>
                <w:rFonts w:ascii="Arial" w:cs="Arial" w:eastAsia="Arial" w:hAnsi="Arial"/>
                <w:sz w:val="16"/>
                <w:szCs w:val="16"/>
                <w:color w:val="auto"/>
              </w:rPr>
              <w:t>Varies</w:t>
            </w:r>
          </w:p>
        </w:tc>
        <w:tc>
          <w:tcPr>
            <w:tcW w:w="1940" w:type="dxa"/>
            <w:vAlign w:val="bottom"/>
            <w:shd w:val="clear" w:color="auto" w:fill="E7E7E8"/>
          </w:tcPr>
          <w:p>
            <w:pPr>
              <w:jc w:val="right"/>
              <w:ind w:right="759"/>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E7E7E8"/>
          </w:tcPr>
          <w:p>
            <w:pPr>
              <w:spacing w:after="0"/>
              <w:rPr>
                <w:sz w:val="21"/>
                <w:szCs w:val="21"/>
                <w:color w:val="auto"/>
              </w:rPr>
            </w:pPr>
          </w:p>
        </w:tc>
        <w:tc>
          <w:tcPr>
            <w:tcW w:w="17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Capital lease and other financing obligations</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38,394</w:t>
            </w:r>
          </w:p>
        </w:tc>
        <w:tc>
          <w:tcPr>
            <w:tcW w:w="12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37,983</w:t>
            </w:r>
          </w:p>
        </w:tc>
      </w:tr>
      <w:tr>
        <w:trPr>
          <w:trHeight w:val="24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w:t>
            </w:r>
          </w:p>
        </w:tc>
        <w:tc>
          <w:tcPr>
            <w:tcW w:w="1980" w:type="dxa"/>
            <w:vAlign w:val="bottom"/>
            <w:shd w:val="clear" w:color="auto" w:fill="E7E7E8"/>
          </w:tcPr>
          <w:p>
            <w:pPr>
              <w:spacing w:after="0"/>
              <w:rPr>
                <w:sz w:val="21"/>
                <w:szCs w:val="21"/>
                <w:color w:val="auto"/>
              </w:rPr>
            </w:pPr>
          </w:p>
        </w:tc>
        <w:tc>
          <w:tcPr>
            <w:tcW w:w="19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1,712,185</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1,676,499</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(1,959)</w:t>
            </w:r>
          </w:p>
        </w:tc>
      </w:tr>
      <w:tr>
        <w:trPr>
          <w:trHeight w:val="262"/>
        </w:trPr>
        <w:tc>
          <w:tcPr>
            <w:tcW w:w="388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long-term debt</w:t>
            </w:r>
          </w:p>
        </w:tc>
        <w:tc>
          <w:tcPr>
            <w:tcW w:w="1980" w:type="dxa"/>
            <w:vAlign w:val="bottom"/>
            <w:tcBorders>
              <w:bottom w:val="single" w:sz="8" w:color="E7E7E8"/>
            </w:tcBorders>
            <w:shd w:val="clear" w:color="auto" w:fill="E7E7E8"/>
          </w:tcPr>
          <w:p>
            <w:pPr>
              <w:spacing w:after="0"/>
              <w:rPr>
                <w:sz w:val="22"/>
                <w:szCs w:val="22"/>
                <w:color w:val="auto"/>
              </w:rPr>
            </w:pPr>
          </w:p>
        </w:tc>
        <w:tc>
          <w:tcPr>
            <w:tcW w:w="19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1,710,160</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1,674,540</w:t>
            </w:r>
          </w:p>
        </w:tc>
      </w:tr>
      <w:tr>
        <w:trPr>
          <w:trHeight w:val="20"/>
        </w:trPr>
        <w:tc>
          <w:tcPr>
            <w:tcW w:w="3880" w:type="dxa"/>
            <w:vAlign w:val="bottom"/>
            <w:tcBorders>
              <w:top w:val="single" w:sz="8" w:color="E7E7E8"/>
            </w:tcBorders>
          </w:tcPr>
          <w:p>
            <w:pPr>
              <w:spacing w:after="0" w:line="20" w:lineRule="exact"/>
              <w:rPr>
                <w:sz w:val="1"/>
                <w:szCs w:val="1"/>
                <w:color w:val="auto"/>
              </w:rPr>
            </w:pPr>
          </w:p>
        </w:tc>
        <w:tc>
          <w:tcPr>
            <w:tcW w:w="1980" w:type="dxa"/>
            <w:vAlign w:val="bottom"/>
            <w:tcBorders>
              <w:top w:val="single" w:sz="8" w:color="E7E7E8"/>
            </w:tcBorders>
          </w:tcPr>
          <w:p>
            <w:pPr>
              <w:spacing w:after="0" w:line="20" w:lineRule="exact"/>
              <w:rPr>
                <w:sz w:val="1"/>
                <w:szCs w:val="1"/>
                <w:color w:val="auto"/>
              </w:rPr>
            </w:pPr>
          </w:p>
        </w:tc>
        <w:tc>
          <w:tcPr>
            <w:tcW w:w="194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8"/>
        <w:spacing w:after="0" w:line="212" w:lineRule="auto"/>
        <w:tabs>
          <w:tab w:leader="none" w:pos="222"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2019, the Company had no outstanding principal borrowings remaining on the Canadian ABL Facility and $2.3 million of related debt issuance costs. As there were no principal borrowings outstanding on the Canadian ABL Facility, the $2.3 million of debt issuance costs related to that facility are included in other non-current assets on the condensed consolidated balance sheet. As of December 31, 2018, the Company had $0.9 million of outstanding principal borrowings on the Canadian ABL Facility and $2.9 million of related debt issuance costs. $0.9 million of the related debt issuance costs are recorded as a direct offset against the principal of the Canadian ABL Facility and the remaining $2.0 million, in excess of principal, has been included in other non-current assets on the condensed consolidated balance sheet</w:t>
      </w:r>
      <w:r>
        <w:rPr>
          <w:rFonts w:ascii="Arial" w:cs="Arial" w:eastAsia="Arial" w:hAnsi="Arial"/>
          <w:sz w:val="16"/>
          <w:szCs w:val="16"/>
          <w:color w:val="auto"/>
        </w:rPr>
        <w:t>.</w:t>
      </w:r>
    </w:p>
    <w:p>
      <w:pPr>
        <w:spacing w:after="0" w:line="2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is subject to various covenants and restrictions for the ABL Facility, the 2022 Secured Notes and the 2023 Secured Notes. The Company redeemed the Unsecured Notes on June 19, 2019 and has no remaining obligations related to the Unsecured Notes following the redemption. The Company was in compliance with all covenants related to debt as of September 30, 2019 and December 31, 2018.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as amended in July and August 2018, that provides a senior secured revolving credit facility that matures on May 29, 2022.</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ABL Facility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Borrowers,” and together with the US Borrowers, the “Borrowers”), and (iii) an accordion feature that permits the Borrowers to increase the lenders’ commitments in an aggregate amount not to exceed $375.0 million, subject to the satisfaction of customary conditions and lender approval, plus any voluntary prepayments that are accompanied by permanent commitment reductions under the ABL Facility.</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WS Holdings and each existing and subsequently acquired or organized direct or indirect wholly-owned US organized restricted subsidiary of WS Holdings, other than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 (together with the US Guarantors, the "ABL Guarantors").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September 30, 2019, the weighted average interest rate for borrowings under the ABL Facility was 4.54%. The weighted average interest rate on the balance outstanding, as adjusted for the effects of the interest rate swap agreements was 4.99%. Refer to Note 14 for a more detailed discussion on interest rate management.</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September 30, 2019, the Borrowers had $489.2 million of available borrowing capacity under the ABL Facility, including $354.8 million under the US ABL Facility and $134.4 million under the Canadian ABL Facility. At December 31, 2018, the Borrowers had $532.6 million of available borrowing capacity under the ABL Facility, including $393.5 million under the US ABL Facility and $139.1 million under the Canadian ABL Facility.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issued $12.7 million and $13.0 million of standby letters of credit under the ABL Facility at September 30, 2019 and December 31, 2018, respectively. At September 30, 2019, letters of credit and guarantees carried fees of 2.625%.</w:t>
      </w:r>
    </w:p>
    <w:p>
      <w:pPr>
        <w:spacing w:after="0" w:line="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$917.5 million and $879.4 million in outstanding principal under the ABL Facility at September 30, 2019 and December 31, 2018, respectively.</w:t>
      </w:r>
    </w:p>
    <w:p>
      <w:pPr>
        <w:spacing w:after="0" w:line="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Debt issuance costs and discounts of $19.6 million and $26.0 million are included in the carrying value of the ABL Facility at September 30, 2019 and December 31,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the closing of the Business Combination, WSII issued $300.0 million aggregate principal amount of 7.875% senior secured notes due December 15, 2022 (the “2022 Secured Notes”) under an indenture dated November 29,</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2017, entered into by and among WSII, the guarantors named therein, and Deutsche Bank Trust Company Americas, as trustee and as collateral agent.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 is payable semi-annually on June 15 and December 15, beginning June 15, 2018.</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pertaining to the 2022 Secured Notes was $6.5 million and $7.7 million as of September 30, 2019 and December 31,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August 6, 2018, a special purpose subsidiary of WSII (the "Issuer") completed a private offering of $300.0 million in aggregate principal amount of its 6.875% senior secured notes due August 15, 2023 (the “Initial 2023 Secured Notes”). The Issuer entered into an indenture dated August 6, 2018 with Deutsche Bank Trust Company Americas, as trustee, which governs the terms of the Initial 2023 Secured Notes. In connection with the ModSpace acquisition, the Issuer merged with and into WSII and WSII assumed the Initial 2023 Secured Notes. Interest is payable semi-annually on February 15 and August 15 of each year, beginning February 15, 2019.</w:t>
      </w:r>
    </w:p>
    <w:p>
      <w:pPr>
        <w:spacing w:after="0" w:line="2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On May 14, 2019, WSII completed a tack-on offering of $190.0 million in aggregate principal amount to the Initial 2023 Secured Notes (the "Tack-on Notes"). The Tack-on Notes were issued as additional securities under an indenture, dated August 6, 2018, by and among the Issuer, the guarantors named therein and Deutsche Bank Trust Company Americas, as trustee and collateral agent. The Tack-On Notes and the Initial 2023 Secured Notes are treated as a single class of debt securities under the indenture (the "2023 Secured Notes") and together with the 2022 Secured Notes, the "Senior Secured Notes"). The Tack-On Notes have identical terms to the Initial 2023 Secured Notes, other than with respect to the issue date and issue price. WSII incurred a total of $3.0 million in debt issuance costs in connection with the tack-on offering, which were deferred and will be amortized through the August 15, 2023 maturity date. The Tack-on Notes were issued at a premium of $0.5 million which will be amortized through the August 15, 2023 maturity date. The proceeds of the Tack-On Notes were used to repay a portion of the US ABL Facility.</w:t>
      </w:r>
    </w:p>
    <w:p>
      <w:pPr>
        <w:spacing w:after="0" w:line="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and discounts, net of premium, pertaining to the 2023 Secured Notes were $7.7 million and $6.1 million as of September 30, 2019 and December 31,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which governs the terms and conditions of the Unsecured Notes. In connection with the ModSpace acquisition, the Issuer merged with and into WSII and WSII assumed the Unsecured Notes.</w:t>
      </w:r>
    </w:p>
    <w:p>
      <w:pPr>
        <w:spacing w:after="0" w:line="4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On June 19, 2019 (the "Redemption Date"), WSII used proceeds from its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which included $6.2 million of make-whole premiums and $1.0 million related to the write-off of unamortized deferred financing fees.</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Prior to the redemption, the Unsecured Notes bore interest at a rate of 10% per annum. Interest was payable semi-annually on February 15 and August 15 of each year, beginning February 15, 2019.</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debt issuance costs and discounts pertaining to the Unsecured Notes were $1.1 million as of December 31, 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Company’s capital lease and financing obligations primarily consisted of $38.4 million and $37.9 million under sale-leaseback transactions and $0.0 million and $0.1 million of capital leases at September 30, 2019 and December 31, 2018, respectively. The Company’s capital lease and financing obligations are presented net of $1.4 million and $1.6 million of debt issuance costs at September 30, 2019 and December 31, 2018, respectively. The Company’s capital leases primarily relate to real estate, equipment and vehicles and have interest rates ranging from 1.2% to 11.9%. In connection with the adoption of ASC 842, the financing obligations under sale-leaseback transactions will be reversed and the associated lease liabilities will be recorded as part of the operating lease liabilities.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NOTE 9 – Equity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Warrants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Common Stock</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the stock compensation vesting and stock option exercises described in Note 13, the Company issued 242,357 shares of common stock during the nine months ended September 30, 2019.</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Warrants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Double Eagle also issued warrants to purchase its common stock in a private placement concurrently with its initial public offering (the “Private Warrants,” and together with the Public Warrants, the "2015 Warrants").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September 30, 2019, 24,367,867 of the 2015 Warrants and 9,999,579 of the 2018 Warrants were outstanding.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3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changes in accumulated other comprehensive loss ("AOCL"), net of tax, for the three and nine months ended September 30, 2019 and 2018 were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(5,418)</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(68,026)</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(2,636)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1,479</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435</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435</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(58,857)</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(7,421)</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(66,278)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(200)</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613</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613</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351</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June 30, 2019</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(54,953)</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(10,957)</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(65,910)</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(2,799)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(4,136)</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837</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837</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w:t>
            </w:r>
          </w:p>
        </w:tc>
      </w:tr>
      <w:tr>
        <w:trPr>
          <w:trHeight w:val="262"/>
        </w:trPr>
        <w:tc>
          <w:tcPr>
            <w:tcW w:w="60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September 30, 2019</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(57,496)</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(11,412)</w:t>
            </w:r>
          </w:p>
        </w:tc>
        <w:tc>
          <w:tcPr>
            <w:tcW w:w="8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(68,908)</w:t>
            </w:r>
          </w:p>
        </w:tc>
      </w:tr>
      <w:tr>
        <w:trPr>
          <w:trHeight w:val="20"/>
        </w:trPr>
        <w:tc>
          <w:tcPr>
            <w:tcW w:w="60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(49,497)</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E7E7E8"/>
          </w:tcPr>
          <w:p>
            <w:pPr>
              <w:ind w:left="1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(49,497)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income prior to reclassifications</w:t>
            </w:r>
          </w:p>
        </w:tc>
        <w:tc>
          <w:tcPr>
            <w:tcW w:w="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263</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accumulated deficit</w:t>
            </w:r>
            <w:r>
              <w:rPr>
                <w:rFonts w:ascii="Arial" w:cs="Arial" w:eastAsia="Arial" w:hAnsi="Arial"/>
                <w:sz w:val="21"/>
                <w:szCs w:val="21"/>
                <w:color w:val="auto"/>
                <w:vertAlign w:val="superscript"/>
              </w:rPr>
              <w:t>(a)</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ind w:left="1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(2,540)</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2018</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(51,798)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ind w:left="1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(51,798)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(2,912)</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ind w:left="1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293</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color w:val="auto"/>
              </w:rPr>
              <w:t>Balance at June 30, 2018</w:t>
            </w:r>
          </w:p>
        </w:tc>
        <w:tc>
          <w:tcPr>
            <w:tcW w:w="14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(54,417)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(54,417)</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other comprehensive income prior to reclassifications</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ind w:left="1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2,541</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w:t>
            </w:r>
          </w:p>
        </w:tc>
      </w:tr>
      <w:tr>
        <w:trPr>
          <w:trHeight w:val="257"/>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September 30,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(52,119)</w:t>
            </w:r>
          </w:p>
        </w:tc>
        <w:tc>
          <w:tcPr>
            <w:tcW w:w="100" w:type="dxa"/>
            <w:vAlign w:val="bottom"/>
            <w:shd w:val="clear" w:color="auto" w:fill="E7E7E8"/>
          </w:tcPr>
          <w:p>
            <w:pPr>
              <w:spacing w:after="0"/>
              <w:rPr>
                <w:sz w:val="22"/>
                <w:szCs w:val="22"/>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E7E7E8"/>
          </w:tcPr>
          <w:p>
            <w:pPr>
              <w:ind w:left="1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(52,119)</w:t>
            </w:r>
          </w:p>
        </w:tc>
      </w:tr>
      <w:tr>
        <w:trPr>
          <w:trHeight w:val="20"/>
        </w:trPr>
        <w:tc>
          <w:tcPr>
            <w:tcW w:w="60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8"/>
        <w:spacing w:after="0" w:line="260" w:lineRule="auto"/>
        <w:tabs>
          <w:tab w:leader="none" w:pos="223"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 the first quarter of 2018, the Company elected to early adopt ASU 2018-02, </w:t>
      </w:r>
      <w:r>
        <w:rPr>
          <w:rFonts w:ascii="Arial" w:cs="Arial" w:eastAsia="Arial" w:hAnsi="Arial"/>
          <w:sz w:val="14"/>
          <w:szCs w:val="14"/>
          <w:i w:val="1"/>
          <w:iCs w:val="1"/>
          <w:color w:val="auto"/>
        </w:rPr>
        <w:t>Income Statement-Reporting Comprehensive Income (Topic 220) - Reclassification of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Tax Effects from Accumulated Other Comprehensive Income</w:t>
      </w:r>
      <w:r>
        <w:rPr>
          <w:rFonts w:ascii="Arial" w:cs="Arial" w:eastAsia="Arial" w:hAnsi="Arial"/>
          <w:sz w:val="14"/>
          <w:szCs w:val="14"/>
          <w:color w:val="auto"/>
        </w:rPr>
        <w:t>, which resulted in a discrete reclassification of $2.5 million from accumulated other comprehensive loss to</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deficit effective January 1, 2018.</w:t>
      </w:r>
    </w:p>
    <w:p>
      <w:pPr>
        <w:spacing w:after="0" w:line="2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For the three and nine months ended September 30, 2019, $0.8 million and $2.0 million was reclassified from AOCL into the condensed consolidated statement of operations within interest expense related to the interest rate swaps discussed in Note 14. For the three and nine months ended September 30, 2019, the Company recorded a tax benefit of $0.0 million and $0.1 million, respectively, associated with this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21" w:name="page22"/>
    <w:bookmarkEnd w:id="21"/>
    <w:p>
      <w:pPr>
        <w:spacing w:after="0"/>
        <w:rPr>
          <w:sz w:val="20"/>
          <w:szCs w:val="20"/>
          <w:color w:val="auto"/>
        </w:rPr>
      </w:pPr>
      <w:r>
        <w:rPr>
          <w:rFonts w:ascii="Arial" w:cs="Arial" w:eastAsia="Arial" w:hAnsi="Arial"/>
          <w:sz w:val="23"/>
          <w:szCs w:val="23"/>
          <w:color w:val="008A5F"/>
        </w:rPr>
        <w:t>NOTE 10 – Income Taxes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recorded an income tax benefit of $1.2 million and $2.0 million for the three and nine months ended September 30, 2019, respectively, and $6.5 million and $13.6 million for the three and nine months ended September 30, 2018, respectively.</w:t>
      </w:r>
    </w:p>
    <w:p>
      <w:pPr>
        <w:spacing w:after="0" w:line="3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The Company’s effective tax rate for the three and nine months ended September 30, 2019 was 266.4% and 8.4%, respectively, and 15.0% and 23.9% for the corresponding periods in 2018. The Company did not recognize a tax benefit on the loss from operations for the three or nine months ended September 30, 2019 as it is not more likely than not that the benefit is realizable. A tax benefit will be recognized only when there is sufficient income to support realizability. The Company’s effective tax rate for the three and nine months ended September 30, 2019 is principally a result of discrete items. The higher effective rate for the three months ended September 30, 2019 is due to a smaller pre-tax loss from operations than the prior two quarters.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and nine months ended September 30, 2019, the Company recognized income tax benefit of $1.2 million and $2.0 million, respectively, primarily attributable to (i) enacted legislative changes and (ii) valuation allowance adjustments generated by changes in provisional ModSpace balances recorded in 2019.</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three and nine months ended September 30, 2018, the Company recognized income tax benefit of $0.6 million and $5.3 million, respectively, mainly related to enacted legislative changes in the second quarter of 2018.</w:t>
      </w:r>
    </w:p>
    <w:p>
      <w:pPr>
        <w:spacing w:after="0" w:line="387" w:lineRule="exact"/>
        <w:rPr>
          <w:sz w:val="20"/>
          <w:szCs w:val="20"/>
          <w:color w:val="auto"/>
        </w:rPr>
      </w:pPr>
    </w:p>
    <w:p>
      <w:pPr>
        <w:spacing w:after="0"/>
        <w:rPr>
          <w:sz w:val="20"/>
          <w:szCs w:val="20"/>
          <w:color w:val="auto"/>
        </w:rPr>
      </w:pPr>
      <w:r>
        <w:rPr>
          <w:rFonts w:ascii="Arial" w:cs="Arial" w:eastAsia="Arial" w:hAnsi="Arial"/>
          <w:sz w:val="23"/>
          <w:szCs w:val="23"/>
          <w:color w:val="008A5F"/>
        </w:rPr>
        <w:t>NOTE 11 - Fair Value Measures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capital lease and other financing obligations, and other current liabilities approximate their carrying amounts.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960" w:type="dxa"/>
            <w:vAlign w:val="bottom"/>
            <w:gridSpan w:val="3"/>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September 30, 2019</w:t>
            </w:r>
          </w:p>
        </w:tc>
        <w:tc>
          <w:tcPr>
            <w:tcW w:w="200" w:type="dxa"/>
            <w:vAlign w:val="bottom"/>
            <w:shd w:val="clear" w:color="auto" w:fill="008A5F"/>
          </w:tcPr>
          <w:p>
            <w:pPr>
              <w:spacing w:after="0"/>
              <w:rPr>
                <w:sz w:val="20"/>
                <w:szCs w:val="20"/>
                <w:color w:val="auto"/>
              </w:rPr>
            </w:pPr>
          </w:p>
        </w:tc>
        <w:tc>
          <w:tcPr>
            <w:tcW w:w="70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10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9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2018</w:t>
            </w:r>
          </w:p>
        </w:tc>
        <w:tc>
          <w:tcPr>
            <w:tcW w:w="24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900" w:type="dxa"/>
            <w:vAlign w:val="bottom"/>
            <w:vMerge w:val="restart"/>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008A5F"/>
          </w:tcPr>
          <w:p>
            <w:pPr>
              <w:spacing w:after="0"/>
              <w:rPr>
                <w:sz w:val="19"/>
                <w:szCs w:val="19"/>
                <w:color w:val="auto"/>
              </w:rPr>
            </w:pPr>
          </w:p>
        </w:tc>
        <w:tc>
          <w:tcPr>
            <w:tcW w:w="80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98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w w:val="99"/>
              </w:rPr>
              <w:t>Fair Value</w:t>
            </w:r>
          </w:p>
        </w:tc>
        <w:tc>
          <w:tcPr>
            <w:tcW w:w="200" w:type="dxa"/>
            <w:vAlign w:val="bottom"/>
            <w:shd w:val="clear" w:color="auto" w:fill="008A5F"/>
          </w:tcPr>
          <w:p>
            <w:pPr>
              <w:spacing w:after="0"/>
              <w:rPr>
                <w:sz w:val="19"/>
                <w:szCs w:val="19"/>
                <w:color w:val="auto"/>
              </w:rPr>
            </w:pPr>
          </w:p>
        </w:tc>
        <w:tc>
          <w:tcPr>
            <w:tcW w:w="70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100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008A5F"/>
          </w:tcPr>
          <w:p>
            <w:pPr>
              <w:spacing w:after="0"/>
              <w:rPr>
                <w:sz w:val="19"/>
                <w:szCs w:val="19"/>
                <w:color w:val="auto"/>
              </w:rPr>
            </w:pPr>
          </w:p>
        </w:tc>
        <w:tc>
          <w:tcPr>
            <w:tcW w:w="780" w:type="dxa"/>
            <w:vAlign w:val="bottom"/>
            <w:shd w:val="clear" w:color="auto" w:fill="008A5F"/>
          </w:tcPr>
          <w:p>
            <w:pPr>
              <w:spacing w:after="0"/>
              <w:rPr>
                <w:sz w:val="19"/>
                <w:szCs w:val="19"/>
                <w:color w:val="auto"/>
              </w:rPr>
            </w:pPr>
          </w:p>
        </w:tc>
        <w:tc>
          <w:tcPr>
            <w:tcW w:w="220" w:type="dxa"/>
            <w:vAlign w:val="bottom"/>
            <w:shd w:val="clear" w:color="auto" w:fill="008A5F"/>
          </w:tcPr>
          <w:p>
            <w:pPr>
              <w:spacing w:after="0"/>
              <w:rPr>
                <w:sz w:val="19"/>
                <w:szCs w:val="19"/>
                <w:color w:val="auto"/>
              </w:rPr>
            </w:pPr>
          </w:p>
        </w:tc>
        <w:tc>
          <w:tcPr>
            <w:tcW w:w="9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Fair Value</w:t>
            </w:r>
          </w:p>
        </w:tc>
        <w:tc>
          <w:tcPr>
            <w:tcW w:w="240" w:type="dxa"/>
            <w:vAlign w:val="bottom"/>
            <w:shd w:val="clear" w:color="auto" w:fill="008A5F"/>
          </w:tcPr>
          <w:p>
            <w:pPr>
              <w:spacing w:after="0"/>
              <w:rPr>
                <w:sz w:val="19"/>
                <w:szCs w:val="19"/>
                <w:color w:val="auto"/>
              </w:rPr>
            </w:pPr>
          </w:p>
        </w:tc>
        <w:tc>
          <w:tcPr>
            <w:tcW w:w="86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6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8"/>
                <w:szCs w:val="8"/>
                <w:color w:val="auto"/>
              </w:rPr>
            </w:pPr>
          </w:p>
        </w:tc>
        <w:tc>
          <w:tcPr>
            <w:tcW w:w="900" w:type="dxa"/>
            <w:vAlign w:val="bottom"/>
            <w:vMerge w:val="continue"/>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800" w:type="dxa"/>
            <w:vAlign w:val="bottom"/>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Level 1</w:t>
            </w:r>
          </w:p>
        </w:tc>
        <w:tc>
          <w:tcPr>
            <w:tcW w:w="180" w:type="dxa"/>
            <w:vAlign w:val="bottom"/>
            <w:shd w:val="clear" w:color="auto" w:fill="008A5F"/>
          </w:tcPr>
          <w:p>
            <w:pPr>
              <w:spacing w:after="0"/>
              <w:rPr>
                <w:sz w:val="8"/>
                <w:szCs w:val="8"/>
                <w:color w:val="auto"/>
              </w:rPr>
            </w:pPr>
          </w:p>
        </w:tc>
        <w:tc>
          <w:tcPr>
            <w:tcW w:w="98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8"/>
                <w:szCs w:val="8"/>
                <w:color w:val="auto"/>
              </w:rPr>
            </w:pPr>
          </w:p>
        </w:tc>
        <w:tc>
          <w:tcPr>
            <w:tcW w:w="700" w:type="dxa"/>
            <w:vAlign w:val="bottom"/>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280" w:type="dxa"/>
            <w:vAlign w:val="bottom"/>
            <w:shd w:val="clear" w:color="auto" w:fill="008A5F"/>
          </w:tcPr>
          <w:p>
            <w:pPr>
              <w:spacing w:after="0"/>
              <w:rPr>
                <w:sz w:val="8"/>
                <w:szCs w:val="8"/>
                <w:color w:val="auto"/>
              </w:rPr>
            </w:pPr>
          </w:p>
        </w:tc>
        <w:tc>
          <w:tcPr>
            <w:tcW w:w="1000" w:type="dxa"/>
            <w:vAlign w:val="bottom"/>
            <w:vMerge w:val="continue"/>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78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220" w:type="dxa"/>
            <w:vAlign w:val="bottom"/>
            <w:shd w:val="clear" w:color="auto" w:fill="008A5F"/>
          </w:tcPr>
          <w:p>
            <w:pPr>
              <w:spacing w:after="0"/>
              <w:rPr>
                <w:sz w:val="8"/>
                <w:szCs w:val="8"/>
                <w:color w:val="auto"/>
              </w:rPr>
            </w:pPr>
          </w:p>
        </w:tc>
        <w:tc>
          <w:tcPr>
            <w:tcW w:w="94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40" w:type="dxa"/>
            <w:vAlign w:val="bottom"/>
            <w:shd w:val="clear" w:color="auto" w:fill="008A5F"/>
          </w:tcPr>
          <w:p>
            <w:pPr>
              <w:spacing w:after="0"/>
              <w:rPr>
                <w:sz w:val="8"/>
                <w:szCs w:val="8"/>
                <w:color w:val="auto"/>
              </w:rPr>
            </w:pPr>
          </w:p>
        </w:tc>
        <w:tc>
          <w:tcPr>
            <w:tcW w:w="86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66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008A5F"/>
          </w:tcPr>
          <w:p>
            <w:pPr>
              <w:spacing w:after="0"/>
              <w:rPr>
                <w:sz w:val="18"/>
                <w:szCs w:val="18"/>
                <w:color w:val="auto"/>
              </w:rPr>
            </w:pPr>
          </w:p>
        </w:tc>
        <w:tc>
          <w:tcPr>
            <w:tcW w:w="80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700" w:type="dxa"/>
            <w:vAlign w:val="bottom"/>
            <w:vMerge w:val="continue"/>
            <w:shd w:val="clear" w:color="auto" w:fill="008A5F"/>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100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008A5F"/>
          </w:tcPr>
          <w:p>
            <w:pPr>
              <w:spacing w:after="0"/>
              <w:rPr>
                <w:sz w:val="18"/>
                <w:szCs w:val="18"/>
                <w:color w:val="auto"/>
              </w:rPr>
            </w:pPr>
          </w:p>
        </w:tc>
        <w:tc>
          <w:tcPr>
            <w:tcW w:w="78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94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8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66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80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700" w:type="dxa"/>
            <w:vAlign w:val="bottom"/>
            <w:shd w:val="clear" w:color="auto" w:fill="008A5F"/>
          </w:tcPr>
          <w:p>
            <w:pPr>
              <w:spacing w:after="0"/>
              <w:rPr>
                <w:sz w:val="8"/>
                <w:szCs w:val="8"/>
                <w:color w:val="auto"/>
              </w:rPr>
            </w:pPr>
          </w:p>
        </w:tc>
        <w:tc>
          <w:tcPr>
            <w:tcW w:w="28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780" w:type="dxa"/>
            <w:vAlign w:val="bottom"/>
            <w:shd w:val="clear" w:color="auto" w:fill="008A5F"/>
          </w:tcPr>
          <w:p>
            <w:pPr>
              <w:spacing w:after="0"/>
              <w:rPr>
                <w:sz w:val="8"/>
                <w:szCs w:val="8"/>
                <w:color w:val="auto"/>
              </w:rPr>
            </w:pPr>
          </w:p>
        </w:tc>
        <w:tc>
          <w:tcPr>
            <w:tcW w:w="220" w:type="dxa"/>
            <w:vAlign w:val="bottom"/>
            <w:shd w:val="clear" w:color="auto" w:fill="008A5F"/>
          </w:tcPr>
          <w:p>
            <w:pPr>
              <w:spacing w:after="0"/>
              <w:rPr>
                <w:sz w:val="8"/>
                <w:szCs w:val="8"/>
                <w:color w:val="auto"/>
              </w:rPr>
            </w:pPr>
          </w:p>
        </w:tc>
        <w:tc>
          <w:tcPr>
            <w:tcW w:w="94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8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897,917</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917,500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ind w:left="4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853,409</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878,500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Canadian ABL Facility</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918</w:t>
            </w:r>
          </w:p>
        </w:tc>
        <w:tc>
          <w:tcPr>
            <w:tcW w:w="240" w:type="dxa"/>
            <w:vAlign w:val="bottom"/>
          </w:tcPr>
          <w:p>
            <w:pPr>
              <w:spacing w:after="0"/>
              <w:rPr>
                <w:sz w:val="20"/>
                <w:szCs w:val="20"/>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8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293,530</w:t>
            </w:r>
          </w:p>
        </w:tc>
        <w:tc>
          <w:tcPr>
            <w:tcW w:w="240" w:type="dxa"/>
            <w:vAlign w:val="bottom"/>
            <w:shd w:val="clear" w:color="auto" w:fill="E7E7E8"/>
          </w:tcPr>
          <w:p>
            <w:pPr>
              <w:spacing w:after="0"/>
              <w:rPr>
                <w:sz w:val="21"/>
                <w:szCs w:val="21"/>
                <w:color w:val="auto"/>
              </w:rPr>
            </w:pPr>
          </w:p>
        </w:tc>
        <w:tc>
          <w:tcPr>
            <w:tcW w:w="8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314,535</w:t>
            </w:r>
          </w:p>
        </w:tc>
        <w:tc>
          <w:tcPr>
            <w:tcW w:w="200" w:type="dxa"/>
            <w:vAlign w:val="bottom"/>
            <w:shd w:val="clear" w:color="auto" w:fill="E7E7E8"/>
          </w:tcPr>
          <w:p>
            <w:pPr>
              <w:spacing w:after="0"/>
              <w:rPr>
                <w:sz w:val="21"/>
                <w:szCs w:val="21"/>
                <w:color w:val="auto"/>
              </w:rPr>
            </w:pPr>
          </w:p>
        </w:tc>
        <w:tc>
          <w:tcPr>
            <w:tcW w:w="700" w:type="dxa"/>
            <w:vAlign w:val="bottom"/>
            <w:shd w:val="clear" w:color="auto" w:fill="E7E7E8"/>
          </w:tcPr>
          <w:p>
            <w:pPr>
              <w:ind w:left="4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292,258</w:t>
            </w:r>
          </w:p>
        </w:tc>
        <w:tc>
          <w:tcPr>
            <w:tcW w:w="240" w:type="dxa"/>
            <w:vAlign w:val="bottom"/>
            <w:shd w:val="clear" w:color="auto" w:fill="E7E7E8"/>
          </w:tcPr>
          <w:p>
            <w:pPr>
              <w:spacing w:after="0"/>
              <w:rPr>
                <w:sz w:val="21"/>
                <w:szCs w:val="21"/>
                <w:color w:val="auto"/>
              </w:rPr>
            </w:pPr>
          </w:p>
        </w:tc>
        <w:tc>
          <w:tcPr>
            <w:tcW w:w="7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297,027</w:t>
            </w:r>
          </w:p>
        </w:tc>
        <w:tc>
          <w:tcPr>
            <w:tcW w:w="240" w:type="dxa"/>
            <w:vAlign w:val="bottom"/>
            <w:shd w:val="clear" w:color="auto" w:fill="E7E7E8"/>
          </w:tcPr>
          <w:p>
            <w:pPr>
              <w:spacing w:after="0"/>
              <w:rPr>
                <w:sz w:val="21"/>
                <w:szCs w:val="21"/>
                <w:color w:val="auto"/>
              </w:rPr>
            </w:pPr>
          </w:p>
        </w:tc>
        <w:tc>
          <w:tcPr>
            <w:tcW w:w="86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482,344</w:t>
            </w:r>
          </w:p>
        </w:tc>
        <w:tc>
          <w:tcPr>
            <w:tcW w:w="24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514,318</w:t>
            </w:r>
          </w:p>
        </w:tc>
        <w:tc>
          <w:tcPr>
            <w:tcW w:w="200" w:type="dxa"/>
            <w:vAlign w:val="bottom"/>
          </w:tcPr>
          <w:p>
            <w:pPr>
              <w:spacing w:after="0"/>
              <w:rPr>
                <w:sz w:val="20"/>
                <w:szCs w:val="20"/>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293,918</w:t>
            </w:r>
          </w:p>
        </w:tc>
        <w:tc>
          <w:tcPr>
            <w:tcW w:w="24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288,633</w:t>
            </w:r>
          </w:p>
        </w:tc>
        <w:tc>
          <w:tcPr>
            <w:tcW w:w="240" w:type="dxa"/>
            <w:vAlign w:val="bottom"/>
          </w:tcPr>
          <w:p>
            <w:pPr>
              <w:spacing w:after="0"/>
              <w:rPr>
                <w:sz w:val="20"/>
                <w:szCs w:val="20"/>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80" w:type="dxa"/>
            <w:vAlign w:val="bottom"/>
            <w:tcBorders>
              <w:bottom w:val="single" w:sz="8" w:color="auto"/>
            </w:tcBorders>
            <w:shd w:val="clear" w:color="auto" w:fill="E7E7E8"/>
          </w:tcPr>
          <w:p>
            <w:pPr>
              <w:spacing w:after="0"/>
              <w:rPr>
                <w:sz w:val="21"/>
                <w:szCs w:val="21"/>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7E7E8"/>
          </w:tcPr>
          <w:p>
            <w:pPr>
              <w:spacing w:after="0"/>
              <w:rPr>
                <w:sz w:val="21"/>
                <w:szCs w:val="21"/>
                <w:color w:val="auto"/>
              </w:rPr>
            </w:pPr>
          </w:p>
        </w:tc>
        <w:tc>
          <w:tcPr>
            <w:tcW w:w="80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7E7E8"/>
          </w:tcPr>
          <w:p>
            <w:pPr>
              <w:spacing w:after="0"/>
              <w:rPr>
                <w:sz w:val="21"/>
                <w:szCs w:val="21"/>
                <w:color w:val="auto"/>
              </w:rPr>
            </w:pPr>
          </w:p>
        </w:tc>
        <w:tc>
          <w:tcPr>
            <w:tcW w:w="700" w:type="dxa"/>
            <w:vAlign w:val="bottom"/>
            <w:tcBorders>
              <w:bottom w:val="single" w:sz="8" w:color="auto"/>
            </w:tcBorders>
            <w:shd w:val="clear" w:color="auto" w:fill="E7E7E8"/>
          </w:tcPr>
          <w:p>
            <w:pPr>
              <w:ind w:lef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198,931</w:t>
            </w:r>
          </w:p>
        </w:tc>
        <w:tc>
          <w:tcPr>
            <w:tcW w:w="240" w:type="dxa"/>
            <w:vAlign w:val="bottom"/>
            <w:tcBorders>
              <w:bottom w:val="single" w:sz="8" w:color="auto"/>
            </w:tcBorders>
            <w:shd w:val="clear" w:color="auto" w:fill="E7E7E8"/>
          </w:tcPr>
          <w:p>
            <w:pPr>
              <w:spacing w:after="0"/>
              <w:rPr>
                <w:sz w:val="21"/>
                <w:szCs w:val="21"/>
                <w:color w:val="auto"/>
              </w:rPr>
            </w:pPr>
          </w:p>
        </w:tc>
        <w:tc>
          <w:tcPr>
            <w:tcW w:w="7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spacing w:after="0"/>
              <w:rPr>
                <w:sz w:val="21"/>
                <w:szCs w:val="21"/>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197,462</w:t>
            </w:r>
          </w:p>
        </w:tc>
        <w:tc>
          <w:tcPr>
            <w:tcW w:w="240" w:type="dxa"/>
            <w:vAlign w:val="bottom"/>
            <w:tcBorders>
              <w:bottom w:val="single" w:sz="8" w:color="auto"/>
            </w:tcBorders>
            <w:shd w:val="clear" w:color="auto" w:fill="E7E7E8"/>
          </w:tcPr>
          <w:p>
            <w:pPr>
              <w:spacing w:after="0"/>
              <w:rPr>
                <w:sz w:val="21"/>
                <w:szCs w:val="21"/>
                <w:color w:val="auto"/>
              </w:rPr>
            </w:pPr>
          </w:p>
        </w:tc>
        <w:tc>
          <w:tcPr>
            <w:tcW w:w="86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1,673,791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1,746,353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1,638,516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1,662,540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carrying value of the US ABL Facility, the Canadian ABL Facility, the 2022 Secured Notes and the 2023 Secured Notes includes $19.6 million, $0.0 million, $6.5 million and $7.7 million, respectively, of unamortized debt issuance costs as of September 30, 2019, which are presented as a direct reduction of the corresponding liability. The carrying value of the US ABL Facility, the Canadian ABL Facility and the 2022 Secured Notes, the 2023 Secured Notes and the Unsecured Notes includes $25.1 million, $0.9 million, $7.7 million, $6.1 million and $1.1 million, respectively of unamortized debt issuance costs for the year ended December 31, 2018, which are presented as a direct reduction of the corresponding liability.</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carrying value of the US and Canadian ABL Facility, excluding debt issuance costs, approximates fair value as the interest rates are variable and reflective of market rates. The fair value of the 2022 Secured Notes, the 2023 Secured Notes and the Unsecured Notes is based on their last trading price at the end of each period obtained from a third party. The location and the fair value of derivative assets and liabilities designated as hedges in the condensed consolidated balance sheet are disclosed in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22" w:name="page23"/>
    <w:bookmarkEnd w:id="22"/>
    <w:p>
      <w:pPr>
        <w:spacing w:after="0"/>
        <w:rPr>
          <w:sz w:val="20"/>
          <w:szCs w:val="20"/>
          <w:color w:val="auto"/>
        </w:rPr>
      </w:pPr>
      <w:r>
        <w:rPr>
          <w:rFonts w:ascii="Arial" w:cs="Arial" w:eastAsia="Arial" w:hAnsi="Arial"/>
          <w:sz w:val="23"/>
          <w:szCs w:val="23"/>
          <w:color w:val="008A5F"/>
        </w:rPr>
        <w:t>NOTE 12 - Restructuring</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Restructuring costs include charges associated with exit or disposal activities that meet the definition of restructuring under FASB ASC Topic 420, “Exit or Disposal Cost Obligations” (“ASC 420”). The Company's restructuring plans are generally country or region specific and are typically completed within a one 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Costs related to the integration of acquired businesses that do not meet the definition of restructuring under ASC 420, such as employee training costs, duplicate facility costs, and professional services expenses, are included within SG&amp;A.</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activity in the Company’s restructuring accruals for three and nine months ended September 30, 2019 and 2018: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0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08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1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820" w:type="dxa"/>
            <w:vAlign w:val="bottom"/>
            <w:gridSpan w:val="8"/>
            <w:shd w:val="clear" w:color="auto" w:fill="008A5F"/>
          </w:tcPr>
          <w:p>
            <w:pPr>
              <w:jc w:val="center"/>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0"/>
                <w:szCs w:val="20"/>
                <w:color w:val="auto"/>
              </w:rPr>
            </w:pPr>
          </w:p>
        </w:tc>
        <w:tc>
          <w:tcPr>
            <w:tcW w:w="112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 w:type="dxa"/>
            <w:vAlign w:val="bottom"/>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108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60" w:type="dxa"/>
            <w:vAlign w:val="bottom"/>
            <w:shd w:val="clear" w:color="auto" w:fill="008A5F"/>
          </w:tcPr>
          <w:p>
            <w:pPr>
              <w:spacing w:after="0"/>
              <w:rPr>
                <w:sz w:val="19"/>
                <w:szCs w:val="19"/>
                <w:color w:val="auto"/>
              </w:rPr>
            </w:pPr>
          </w:p>
        </w:tc>
        <w:tc>
          <w:tcPr>
            <w:tcW w:w="4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1120" w:type="dxa"/>
            <w:vAlign w:val="bottom"/>
            <w:vMerge w:val="restart"/>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2019</w:t>
            </w:r>
          </w:p>
        </w:tc>
        <w:tc>
          <w:tcPr>
            <w:tcW w:w="20" w:type="dxa"/>
            <w:vAlign w:val="bottom"/>
            <w:shd w:val="clear" w:color="auto" w:fill="008A5F"/>
          </w:tcPr>
          <w:p>
            <w:pPr>
              <w:spacing w:after="0"/>
              <w:rPr>
                <w:sz w:val="19"/>
                <w:szCs w:val="19"/>
                <w:color w:val="auto"/>
              </w:rPr>
            </w:pPr>
          </w:p>
        </w:tc>
        <w:tc>
          <w:tcPr>
            <w:tcW w:w="8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8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110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120" w:type="dxa"/>
            <w:vAlign w:val="bottom"/>
            <w:vMerge w:val="restart"/>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300" w:type="dxa"/>
            <w:vAlign w:val="bottom"/>
            <w:shd w:val="clear" w:color="auto" w:fill="008A5F"/>
          </w:tcPr>
          <w:p>
            <w:pPr>
              <w:spacing w:after="0"/>
              <w:rPr>
                <w:sz w:val="7"/>
                <w:szCs w:val="7"/>
                <w:color w:val="auto"/>
              </w:rPr>
            </w:pPr>
          </w:p>
        </w:tc>
        <w:tc>
          <w:tcPr>
            <w:tcW w:w="40" w:type="dxa"/>
            <w:vAlign w:val="bottom"/>
            <w:shd w:val="clear" w:color="auto" w:fill="008A5F"/>
          </w:tcPr>
          <w:p>
            <w:pPr>
              <w:spacing w:after="0"/>
              <w:rPr>
                <w:sz w:val="7"/>
                <w:szCs w:val="7"/>
                <w:color w:val="auto"/>
              </w:rPr>
            </w:pPr>
          </w:p>
        </w:tc>
        <w:tc>
          <w:tcPr>
            <w:tcW w:w="160" w:type="dxa"/>
            <w:vAlign w:val="bottom"/>
            <w:shd w:val="clear" w:color="auto" w:fill="008A5F"/>
          </w:tcPr>
          <w:p>
            <w:pPr>
              <w:spacing w:after="0"/>
              <w:rPr>
                <w:sz w:val="7"/>
                <w:szCs w:val="7"/>
                <w:color w:val="auto"/>
              </w:rPr>
            </w:pPr>
          </w:p>
        </w:tc>
        <w:tc>
          <w:tcPr>
            <w:tcW w:w="1080" w:type="dxa"/>
            <w:vAlign w:val="bottom"/>
            <w:shd w:val="clear" w:color="auto" w:fill="008A5F"/>
          </w:tcPr>
          <w:p>
            <w:pPr>
              <w:spacing w:after="0"/>
              <w:rPr>
                <w:sz w:val="7"/>
                <w:szCs w:val="7"/>
                <w:color w:val="auto"/>
              </w:rPr>
            </w:pPr>
          </w:p>
        </w:tc>
        <w:tc>
          <w:tcPr>
            <w:tcW w:w="20" w:type="dxa"/>
            <w:vAlign w:val="bottom"/>
            <w:shd w:val="clear" w:color="auto" w:fill="008A5F"/>
          </w:tcPr>
          <w:p>
            <w:pPr>
              <w:spacing w:after="0"/>
              <w:rPr>
                <w:sz w:val="7"/>
                <w:szCs w:val="7"/>
                <w:color w:val="auto"/>
              </w:rPr>
            </w:pPr>
          </w:p>
        </w:tc>
        <w:tc>
          <w:tcPr>
            <w:tcW w:w="60" w:type="dxa"/>
            <w:vAlign w:val="bottom"/>
            <w:shd w:val="clear" w:color="auto" w:fill="008A5F"/>
          </w:tcPr>
          <w:p>
            <w:pPr>
              <w:spacing w:after="0"/>
              <w:rPr>
                <w:sz w:val="7"/>
                <w:szCs w:val="7"/>
                <w:color w:val="auto"/>
              </w:rPr>
            </w:pPr>
          </w:p>
        </w:tc>
        <w:tc>
          <w:tcPr>
            <w:tcW w:w="40" w:type="dxa"/>
            <w:vAlign w:val="bottom"/>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1120" w:type="dxa"/>
            <w:vAlign w:val="bottom"/>
            <w:vMerge w:val="continue"/>
            <w:shd w:val="clear" w:color="auto" w:fill="008A5F"/>
          </w:tcPr>
          <w:p>
            <w:pPr>
              <w:spacing w:after="0"/>
              <w:rPr>
                <w:sz w:val="7"/>
                <w:szCs w:val="7"/>
                <w:color w:val="auto"/>
              </w:rPr>
            </w:pPr>
          </w:p>
        </w:tc>
        <w:tc>
          <w:tcPr>
            <w:tcW w:w="20" w:type="dxa"/>
            <w:vAlign w:val="bottom"/>
            <w:shd w:val="clear" w:color="auto" w:fill="008A5F"/>
          </w:tcPr>
          <w:p>
            <w:pPr>
              <w:spacing w:after="0"/>
              <w:rPr>
                <w:sz w:val="7"/>
                <w:szCs w:val="7"/>
                <w:color w:val="auto"/>
              </w:rPr>
            </w:pPr>
          </w:p>
        </w:tc>
        <w:tc>
          <w:tcPr>
            <w:tcW w:w="80" w:type="dxa"/>
            <w:vAlign w:val="bottom"/>
            <w:shd w:val="clear" w:color="auto" w:fill="008A5F"/>
          </w:tcPr>
          <w:p>
            <w:pPr>
              <w:spacing w:after="0"/>
              <w:rPr>
                <w:sz w:val="7"/>
                <w:szCs w:val="7"/>
                <w:color w:val="auto"/>
              </w:rPr>
            </w:pPr>
          </w:p>
        </w:tc>
        <w:tc>
          <w:tcPr>
            <w:tcW w:w="280" w:type="dxa"/>
            <w:vAlign w:val="bottom"/>
            <w:shd w:val="clear" w:color="auto" w:fill="008A5F"/>
          </w:tcPr>
          <w:p>
            <w:pPr>
              <w:spacing w:after="0"/>
              <w:rPr>
                <w:sz w:val="7"/>
                <w:szCs w:val="7"/>
                <w:color w:val="auto"/>
              </w:rPr>
            </w:pPr>
          </w:p>
        </w:tc>
        <w:tc>
          <w:tcPr>
            <w:tcW w:w="980" w:type="dxa"/>
            <w:vAlign w:val="bottom"/>
            <w:shd w:val="clear" w:color="auto" w:fill="008A5F"/>
          </w:tcPr>
          <w:p>
            <w:pPr>
              <w:spacing w:after="0"/>
              <w:rPr>
                <w:sz w:val="7"/>
                <w:szCs w:val="7"/>
                <w:color w:val="auto"/>
              </w:rPr>
            </w:pPr>
          </w:p>
        </w:tc>
        <w:tc>
          <w:tcPr>
            <w:tcW w:w="20" w:type="dxa"/>
            <w:vAlign w:val="bottom"/>
            <w:shd w:val="clear" w:color="auto" w:fill="008A5F"/>
          </w:tcPr>
          <w:p>
            <w:pPr>
              <w:spacing w:after="0"/>
              <w:rPr>
                <w:sz w:val="7"/>
                <w:szCs w:val="7"/>
                <w:color w:val="auto"/>
              </w:rPr>
            </w:pPr>
          </w:p>
        </w:tc>
        <w:tc>
          <w:tcPr>
            <w:tcW w:w="80" w:type="dxa"/>
            <w:vAlign w:val="bottom"/>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110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12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280" w:type="dxa"/>
            <w:vAlign w:val="bottom"/>
            <w:shd w:val="clear" w:color="auto" w:fill="008A5F"/>
          </w:tcPr>
          <w:p>
            <w:pPr>
              <w:spacing w:after="0"/>
              <w:rPr>
                <w:sz w:val="7"/>
                <w:szCs w:val="7"/>
                <w:color w:val="auto"/>
              </w:rPr>
            </w:pPr>
          </w:p>
        </w:tc>
        <w:tc>
          <w:tcPr>
            <w:tcW w:w="98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100" w:type="dxa"/>
            <w:vAlign w:val="bottom"/>
            <w:gridSpan w:val="2"/>
            <w:shd w:val="clear" w:color="auto" w:fill="008A5F"/>
          </w:tcPr>
          <w:p>
            <w:pPr>
              <w:jc w:val="center"/>
              <w:ind w:right="160"/>
              <w:spacing w:after="0"/>
              <w:rPr>
                <w:sz w:val="20"/>
                <w:szCs w:val="20"/>
                <w:color w:val="auto"/>
              </w:rPr>
            </w:pPr>
            <w:r>
              <w:rPr>
                <w:rFonts w:ascii="Arial" w:cs="Arial" w:eastAsia="Arial" w:hAnsi="Arial"/>
                <w:sz w:val="16"/>
                <w:szCs w:val="16"/>
                <w:b w:val="1"/>
                <w:bCs w:val="1"/>
                <w:color w:val="FFFFFF"/>
              </w:rPr>
              <w:t>Employee</w:t>
            </w:r>
          </w:p>
        </w:tc>
        <w:tc>
          <w:tcPr>
            <w:tcW w:w="6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14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Facility Exit</w:t>
            </w:r>
          </w:p>
        </w:tc>
        <w:tc>
          <w:tcPr>
            <w:tcW w:w="80" w:type="dxa"/>
            <w:vAlign w:val="bottom"/>
            <w:shd w:val="clear" w:color="auto" w:fill="008A5F"/>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9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008A5F"/>
          </w:tcPr>
          <w:p>
            <w:pPr>
              <w:spacing w:after="0"/>
              <w:rPr>
                <w:sz w:val="18"/>
                <w:szCs w:val="18"/>
                <w:color w:val="auto"/>
              </w:rPr>
            </w:pPr>
          </w:p>
        </w:tc>
        <w:tc>
          <w:tcPr>
            <w:tcW w:w="12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Facility Exit</w:t>
            </w:r>
          </w:p>
        </w:tc>
        <w:tc>
          <w:tcPr>
            <w:tcW w:w="280" w:type="dxa"/>
            <w:vAlign w:val="bottom"/>
            <w:shd w:val="clear" w:color="auto" w:fill="008A5F"/>
          </w:tcPr>
          <w:p>
            <w:pPr>
              <w:spacing w:after="0"/>
              <w:rPr>
                <w:sz w:val="18"/>
                <w:szCs w:val="18"/>
                <w:color w:val="auto"/>
              </w:rPr>
            </w:pPr>
          </w:p>
        </w:tc>
        <w:tc>
          <w:tcPr>
            <w:tcW w:w="9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100" w:type="dxa"/>
            <w:vAlign w:val="bottom"/>
            <w:gridSpan w:val="2"/>
            <w:shd w:val="clear" w:color="auto" w:fill="008A5F"/>
          </w:tcPr>
          <w:p>
            <w:pPr>
              <w:jc w:val="center"/>
              <w:ind w:right="160"/>
              <w:spacing w:after="0"/>
              <w:rPr>
                <w:sz w:val="20"/>
                <w:szCs w:val="20"/>
                <w:color w:val="auto"/>
              </w:rPr>
            </w:pPr>
            <w:r>
              <w:rPr>
                <w:rFonts w:ascii="Arial" w:cs="Arial" w:eastAsia="Arial" w:hAnsi="Arial"/>
                <w:sz w:val="16"/>
                <w:szCs w:val="16"/>
                <w:b w:val="1"/>
                <w:bCs w:val="1"/>
                <w:color w:val="FFFFFF"/>
              </w:rPr>
              <w:t>Costs</w:t>
            </w:r>
          </w:p>
        </w:tc>
        <w:tc>
          <w:tcPr>
            <w:tcW w:w="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14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w w:val="98"/>
              </w:rPr>
              <w:t>Costs</w:t>
            </w:r>
          </w:p>
        </w:tc>
        <w:tc>
          <w:tcPr>
            <w:tcW w:w="8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1080" w:type="dxa"/>
            <w:vAlign w:val="bottom"/>
            <w:gridSpan w:val="3"/>
            <w:shd w:val="clear" w:color="auto" w:fill="008A5F"/>
          </w:tcPr>
          <w:p>
            <w:pPr>
              <w:ind w:left="18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008A5F"/>
          </w:tcPr>
          <w:p>
            <w:pPr>
              <w:spacing w:after="0"/>
              <w:rPr>
                <w:sz w:val="20"/>
                <w:szCs w:val="20"/>
                <w:color w:val="auto"/>
              </w:rPr>
            </w:pPr>
          </w:p>
        </w:tc>
        <w:tc>
          <w:tcPr>
            <w:tcW w:w="12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Costs</w:t>
            </w:r>
          </w:p>
        </w:tc>
        <w:tc>
          <w:tcPr>
            <w:tcW w:w="28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200" w:type="dxa"/>
            <w:vAlign w:val="bottom"/>
            <w:gridSpan w:val="2"/>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1,143</w:t>
            </w:r>
          </w:p>
        </w:tc>
        <w:tc>
          <w:tcPr>
            <w:tcW w:w="20" w:type="dxa"/>
            <w:vAlign w:val="bottom"/>
            <w:shd w:val="clear" w:color="auto" w:fill="E7E7E8"/>
          </w:tcPr>
          <w:p>
            <w:pPr>
              <w:spacing w:after="0"/>
              <w:rPr>
                <w:sz w:val="21"/>
                <w:szCs w:val="21"/>
                <w:color w:val="auto"/>
              </w:rPr>
            </w:pPr>
          </w:p>
        </w:tc>
        <w:tc>
          <w:tcPr>
            <w:tcW w:w="220" w:type="dxa"/>
            <w:vAlign w:val="bottom"/>
            <w:gridSpan w:val="3"/>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1,764</w:t>
            </w:r>
          </w:p>
        </w:tc>
        <w:tc>
          <w:tcPr>
            <w:tcW w:w="20" w:type="dxa"/>
            <w:vAlign w:val="bottom"/>
            <w:shd w:val="clear" w:color="auto" w:fill="E7E7E8"/>
          </w:tcPr>
          <w:p>
            <w:pPr>
              <w:spacing w:after="0"/>
              <w:rPr>
                <w:sz w:val="21"/>
                <w:szCs w:val="21"/>
                <w:color w:val="auto"/>
              </w:rPr>
            </w:pPr>
          </w:p>
        </w:tc>
        <w:tc>
          <w:tcPr>
            <w:tcW w:w="3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2,907</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Charges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6,137</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Cash payments</w:t>
            </w:r>
          </w:p>
        </w:tc>
        <w:tc>
          <w:tcPr>
            <w:tcW w:w="4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(544)</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(730)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(1,274)</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(3,661)</w:t>
            </w: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Non-cash movements</w:t>
            </w:r>
          </w:p>
        </w:tc>
        <w:tc>
          <w:tcPr>
            <w:tcW w:w="4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(324)</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(324)</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829</w:t>
            </w:r>
          </w:p>
        </w:tc>
        <w:tc>
          <w:tcPr>
            <w:tcW w:w="2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2,369</w:t>
            </w:r>
          </w:p>
        </w:tc>
        <w:tc>
          <w:tcPr>
            <w:tcW w:w="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top w:val="single" w:sz="8" w:color="auto"/>
              <w:bottom w:val="single" w:sz="8" w:color="auto"/>
            </w:tcBorders>
            <w:gridSpan w:val="2"/>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auto"/>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138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008A5F"/>
          </w:tcPr>
          <w:p>
            <w:pPr>
              <w:spacing w:after="0"/>
              <w:rPr>
                <w:sz w:val="19"/>
                <w:szCs w:val="19"/>
                <w:color w:val="auto"/>
              </w:rPr>
            </w:pPr>
          </w:p>
        </w:tc>
        <w:tc>
          <w:tcPr>
            <w:tcW w:w="40" w:type="dxa"/>
            <w:vAlign w:val="bottom"/>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108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60" w:type="dxa"/>
            <w:vAlign w:val="bottom"/>
            <w:shd w:val="clear" w:color="auto" w:fill="008A5F"/>
          </w:tcPr>
          <w:p>
            <w:pPr>
              <w:spacing w:after="0"/>
              <w:rPr>
                <w:sz w:val="19"/>
                <w:szCs w:val="19"/>
                <w:color w:val="auto"/>
              </w:rPr>
            </w:pPr>
          </w:p>
        </w:tc>
        <w:tc>
          <w:tcPr>
            <w:tcW w:w="4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112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2820" w:type="dxa"/>
            <w:vAlign w:val="bottom"/>
            <w:gridSpan w:val="8"/>
            <w:shd w:val="clear" w:color="auto" w:fill="008A5F"/>
          </w:tcPr>
          <w:p>
            <w:pPr>
              <w:jc w:val="center"/>
              <w:ind w:right="40"/>
              <w:spacing w:after="0"/>
              <w:rPr>
                <w:sz w:val="20"/>
                <w:szCs w:val="20"/>
                <w:color w:val="auto"/>
              </w:rPr>
            </w:pPr>
            <w:r>
              <w:rPr>
                <w:rFonts w:ascii="Arial" w:cs="Arial" w:eastAsia="Arial" w:hAnsi="Arial"/>
                <w:sz w:val="16"/>
                <w:szCs w:val="16"/>
                <w:b w:val="1"/>
                <w:bCs w:val="1"/>
                <w:color w:val="FFFFFF"/>
              </w:rPr>
              <w:t>Nine Months Ended September 30,</w:t>
            </w:r>
          </w:p>
        </w:tc>
        <w:tc>
          <w:tcPr>
            <w:tcW w:w="140" w:type="dxa"/>
            <w:vAlign w:val="bottom"/>
            <w:shd w:val="clear" w:color="auto" w:fill="008A5F"/>
          </w:tcPr>
          <w:p>
            <w:pPr>
              <w:spacing w:after="0"/>
              <w:rPr>
                <w:sz w:val="19"/>
                <w:szCs w:val="19"/>
                <w:color w:val="auto"/>
              </w:rPr>
            </w:pPr>
          </w:p>
        </w:tc>
        <w:tc>
          <w:tcPr>
            <w:tcW w:w="112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0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12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2019</w:t>
            </w:r>
          </w:p>
        </w:tc>
        <w:tc>
          <w:tcPr>
            <w:tcW w:w="2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9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11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12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98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10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Employee</w:t>
            </w:r>
          </w:p>
        </w:tc>
        <w:tc>
          <w:tcPr>
            <w:tcW w:w="6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140" w:type="dxa"/>
            <w:vAlign w:val="bottom"/>
            <w:gridSpan w:val="2"/>
            <w:shd w:val="clear" w:color="auto" w:fill="008A5F"/>
          </w:tcPr>
          <w:p>
            <w:pPr>
              <w:jc w:val="center"/>
              <w:ind w:right="160"/>
              <w:spacing w:after="0"/>
              <w:rPr>
                <w:sz w:val="20"/>
                <w:szCs w:val="20"/>
                <w:color w:val="auto"/>
              </w:rPr>
            </w:pPr>
            <w:r>
              <w:rPr>
                <w:rFonts w:ascii="Arial" w:cs="Arial" w:eastAsia="Arial" w:hAnsi="Arial"/>
                <w:sz w:val="16"/>
                <w:szCs w:val="16"/>
                <w:b w:val="1"/>
                <w:bCs w:val="1"/>
                <w:color w:val="FFFFFF"/>
              </w:rPr>
              <w:t>Facility Exit</w:t>
            </w:r>
          </w:p>
        </w:tc>
        <w:tc>
          <w:tcPr>
            <w:tcW w:w="80" w:type="dxa"/>
            <w:vAlign w:val="bottom"/>
            <w:shd w:val="clear" w:color="auto" w:fill="008A5F"/>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9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008A5F"/>
          </w:tcPr>
          <w:p>
            <w:pPr>
              <w:spacing w:after="0"/>
              <w:rPr>
                <w:sz w:val="18"/>
                <w:szCs w:val="18"/>
                <w:color w:val="auto"/>
              </w:rPr>
            </w:pPr>
          </w:p>
        </w:tc>
        <w:tc>
          <w:tcPr>
            <w:tcW w:w="12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Facility Exit</w:t>
            </w:r>
          </w:p>
        </w:tc>
        <w:tc>
          <w:tcPr>
            <w:tcW w:w="280" w:type="dxa"/>
            <w:vAlign w:val="bottom"/>
            <w:shd w:val="clear" w:color="auto" w:fill="008A5F"/>
          </w:tcPr>
          <w:p>
            <w:pPr>
              <w:spacing w:after="0"/>
              <w:rPr>
                <w:sz w:val="18"/>
                <w:szCs w:val="18"/>
                <w:color w:val="auto"/>
              </w:rPr>
            </w:pPr>
          </w:p>
        </w:tc>
        <w:tc>
          <w:tcPr>
            <w:tcW w:w="9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10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8"/>
              </w:rPr>
              <w:t>Costs</w:t>
            </w:r>
          </w:p>
        </w:tc>
        <w:tc>
          <w:tcPr>
            <w:tcW w:w="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140" w:type="dxa"/>
            <w:vAlign w:val="bottom"/>
            <w:gridSpan w:val="2"/>
            <w:shd w:val="clear" w:color="auto" w:fill="008A5F"/>
          </w:tcPr>
          <w:p>
            <w:pPr>
              <w:jc w:val="center"/>
              <w:ind w:right="180"/>
              <w:spacing w:after="0"/>
              <w:rPr>
                <w:sz w:val="20"/>
                <w:szCs w:val="20"/>
                <w:color w:val="auto"/>
              </w:rPr>
            </w:pPr>
            <w:r>
              <w:rPr>
                <w:rFonts w:ascii="Arial" w:cs="Arial" w:eastAsia="Arial" w:hAnsi="Arial"/>
                <w:sz w:val="16"/>
                <w:szCs w:val="16"/>
                <w:b w:val="1"/>
                <w:bCs w:val="1"/>
                <w:color w:val="FFFFFF"/>
                <w:w w:val="98"/>
              </w:rPr>
              <w:t>Costs</w:t>
            </w:r>
          </w:p>
        </w:tc>
        <w:tc>
          <w:tcPr>
            <w:tcW w:w="8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1080" w:type="dxa"/>
            <w:vAlign w:val="bottom"/>
            <w:gridSpan w:val="3"/>
            <w:shd w:val="clear" w:color="auto" w:fill="008A5F"/>
          </w:tcPr>
          <w:p>
            <w:pPr>
              <w:ind w:left="16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008A5F"/>
          </w:tcPr>
          <w:p>
            <w:pPr>
              <w:spacing w:after="0"/>
              <w:rPr>
                <w:sz w:val="20"/>
                <w:szCs w:val="20"/>
                <w:color w:val="auto"/>
              </w:rPr>
            </w:pPr>
          </w:p>
        </w:tc>
        <w:tc>
          <w:tcPr>
            <w:tcW w:w="12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Costs</w:t>
            </w:r>
          </w:p>
        </w:tc>
        <w:tc>
          <w:tcPr>
            <w:tcW w:w="28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200" w:type="dxa"/>
            <w:vAlign w:val="bottom"/>
            <w:gridSpan w:val="2"/>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4,544</w:t>
            </w:r>
          </w:p>
        </w:tc>
        <w:tc>
          <w:tcPr>
            <w:tcW w:w="20" w:type="dxa"/>
            <w:vAlign w:val="bottom"/>
            <w:shd w:val="clear" w:color="auto" w:fill="E7E7E8"/>
          </w:tcPr>
          <w:p>
            <w:pPr>
              <w:spacing w:after="0"/>
              <w:rPr>
                <w:sz w:val="21"/>
                <w:szCs w:val="21"/>
                <w:color w:val="auto"/>
              </w:rPr>
            </w:pPr>
          </w:p>
        </w:tc>
        <w:tc>
          <w:tcPr>
            <w:tcW w:w="220" w:type="dxa"/>
            <w:vAlign w:val="bottom"/>
            <w:gridSpan w:val="3"/>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971</w:t>
            </w:r>
          </w:p>
        </w:tc>
        <w:tc>
          <w:tcPr>
            <w:tcW w:w="20" w:type="dxa"/>
            <w:vAlign w:val="bottom"/>
            <w:shd w:val="clear" w:color="auto" w:fill="E7E7E8"/>
          </w:tcPr>
          <w:p>
            <w:pPr>
              <w:spacing w:after="0"/>
              <w:rPr>
                <w:sz w:val="21"/>
                <w:szCs w:val="21"/>
                <w:color w:val="auto"/>
              </w:rPr>
            </w:pPr>
          </w:p>
        </w:tc>
        <w:tc>
          <w:tcPr>
            <w:tcW w:w="3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5,515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Charges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1,951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7,132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9,083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Cash payments</w:t>
            </w:r>
          </w:p>
        </w:tc>
        <w:tc>
          <w:tcPr>
            <w:tcW w:w="4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(5,476)</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(3,745)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(9,221)</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(3,991)</w:t>
            </w: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Non-cash movements</w:t>
            </w:r>
          </w:p>
        </w:tc>
        <w:tc>
          <w:tcPr>
            <w:tcW w:w="4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(1,989)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(1,989)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829</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2,369</w:t>
            </w:r>
          </w:p>
        </w:tc>
        <w:tc>
          <w:tcPr>
            <w:tcW w:w="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restructuring charges for the three and nine months ended September 30, 2019 relate primarily to employee termination costs and lease exit costs in connection with the integration of ModSpace. The Company initiated certain restructuring plans associated with the ModSpace acquisition in order to capture operating synergies as a result of integrating ModSpace into WillScot. The restructuring activities primarily include the termination of leases for duplicative branches and corporate facilities and the termination of employees in connection with the consolidation of these overlapping facilities and functions within our existing business. At September 30, 2019, the Company is substantially complete with actions related to employee costs. The Company is still in the process of evaluating and closing acquired facilities and anticipates that all actions will be taken by the end of the first half of 2020.</w:t>
      </w:r>
    </w:p>
    <w:p>
      <w:pPr>
        <w:spacing w:after="0" w:line="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restructuring charges for the three and nine months ended September 30, 2018 primarily relate to employee termination costs in connection with the integration of Acton, Tyson and ModSpace. As part of the restructuring plan, certain employees were required to render future service in order to receive their termination benefits. The termination costs associated with these employees was recognized over the period from the commencement of the restructuring plans to the actual date of termination.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$2.0 million of restructuring charges for the three months ended September 30, 2019 includes $1.9 million of charges related to the Modular - US segment and $0.1 million of charges related to the Modular - Other North America segment. The $9.1 million of restructuring charges for the nine months ended September 30, 2019 includes $8.5 million of charges pertaining to the Modular - US segment and $0.6 million of charges pertaining to the Modular - Other North America segment.</w:t>
      </w:r>
    </w:p>
    <w:p>
      <w:pPr>
        <w:spacing w:after="0" w:line="2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$6.1 million of restructuring charges for the three months ended September 30, 2018 includes $5.9 million of charges related to the Modular - US segment and $0.2 million of charges related to the Modular - Other North America segment. The $7.2 million of restructuring charges for the nine months ended September 30, 2018 include $7.0 million charges pertaining to the Modular - US segment and $0.2 million of charges related to the Modular - Other North America segment.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23" w:name="page24"/>
    <w:bookmarkEnd w:id="23"/>
    <w:p>
      <w:pPr>
        <w:spacing w:after="0"/>
        <w:rPr>
          <w:sz w:val="20"/>
          <w:szCs w:val="20"/>
          <w:color w:val="auto"/>
        </w:rPr>
      </w:pPr>
      <w:r>
        <w:rPr>
          <w:rFonts w:ascii="Arial" w:cs="Arial" w:eastAsia="Arial" w:hAnsi="Arial"/>
          <w:sz w:val="23"/>
          <w:szCs w:val="23"/>
          <w:color w:val="008A5F"/>
        </w:rPr>
        <w:t>NOTE 13 - Stock-Based Compensation</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During the nine months ended September 30, 2019, 478,400 time-based restricted stock units ("Time-Based RSUs") and 302,182 market-based restricted stock units ("Market-Based RSUs", and together with the Time-Based RSUs, the "RSUs"), and 52,755 restricted stock awards ("RSAs") were granted under the WillScot Corporation 2017 Incentive Award Plan (the "Plan"). No stock option awards were granted during the nine months ended September 30, 2019.</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nine months ended September 30, 2019, 72,053 RSAs, 213,180 Time-Based RSUs, and 147,313 stock options vested in accordance with their terms, resulting in the issuance of 228,590 shares of common stock, net of 56,643 shares withheld to cover taxes. An additional 13,767 shares were issued as a result of the exercise of stock options during the nine months ended September 30, 2019. No RSAs were forfeited during the nine months ended September 30, 2019. During the nine months ended September 30, 2019, 46,232 Time-Based RSUs, 7,485 Market-Based RSUs, and 41,302 stock options were forfeited.</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September 30, 2019, 52,755 RSAs, 1,071,721 Time-Based RSUs, 294,697 Market-Based RSUs, and 386,875 stock options were unvested, with weighted average grant date fair values of $14.69, $12.78, $13.22, and $5.51,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$0.3 million and $0.8 million for the three and nine months ended September 30, 2019, respectively, with associated tax benefits of $0.0 million and $0.1 million for the three and nine months ended September 30, 2019, respectively.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September 30, 2019, there was $0.6 million of unrecognized compensation cost related to RSAs that is expected to be recognized over the remaining weighted average vesting period of 0.7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Units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$1.0 million and $2.9 million for the three and nine months ended September 30, 2019, respectively, with associated tax benefits of $0.0 million and $0.2 million for the three and nine months ended September 30, 2019, respectively.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September 30, 2019, unrecognized compensation cost related to Time-Based RSUs totaled $11.4 million and is expected to be recognized over the remaining weighted average vesting period of 2.9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Restricted Stock Units</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March 21, 2019, the Company granted 302,182 Market-Based RSUs, which vest based on achievement of the relative total stockholder return ("TSR") of the Company's common stock as compared to the TSR of the constituents of the Russell 3000 Index at grant date over the three-year period performance period. The target number of Market-Based RSUs may be adjusted from 0% to 150% based on the TSR attainment levels defined by the Compensation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 Each Market-Based RSU represents a contingent right to receive one share upon vesting of the Company’s Class A common stock, or its cash equivalent.</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Market-Based RSUs were valued based on a Monte Carlo simulation model to reflect the impact of the Market-Based RSU market condition, resulting in a grant-date fair value per Market-Based RSU of $13.22. The probability of satisfying a market condition is considered in the estimation of the grant-date fair value for Market-Based RSUs and the compensation cost is not reversed if the market condition is not achieved, provided the requisite service has been provided.</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Market-Based RSUs recognized in SG&amp;A on the condensed consolidated statements of operations was $0.3 million and $0.7 million for the three and nine months ended September 30, 2019, respectively, with associated tax benefits of $0.0 million and $0.1 million for the three and nine months ended September 30, 2019, respectively. At September 30, 2019, unrecognized compensation cost related to Market-Based RSUs totaled $3.2 million and is expected to be recognized over the remaining vesting period of 2.5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$0.6 million for the three and nine months ended September 30, 2019, respectively, with associated tax benefits of $0.0 million and $0.1 million for the three and nine months ended September 30, 2019, respectively.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September 30, 2019, unrecognized compensation cost related to stock option awards totaled $1.8 million and is expected to be recognized over the remaining vesting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24" w:name="page25"/>
    <w:bookmarkEnd w:id="24"/>
    <w:p>
      <w:pPr>
        <w:spacing w:after="0"/>
        <w:rPr>
          <w:sz w:val="20"/>
          <w:szCs w:val="20"/>
          <w:color w:val="auto"/>
        </w:rPr>
      </w:pPr>
      <w:r>
        <w:rPr>
          <w:rFonts w:ascii="Arial" w:cs="Arial" w:eastAsia="Arial" w:hAnsi="Arial"/>
          <w:sz w:val="23"/>
          <w:szCs w:val="23"/>
          <w:color w:val="008A5F"/>
        </w:rPr>
        <w:t>NOTE 14 - Derivatives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at the same time the Company’s ABL Facility matures. The Swap Agreement contains customary representations, warranties and covenants and may be terminated prior to its expiration.</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 Although no significant ineffectiveness is expected with this hedging strategy, the effectiveness of the interest rate swaps is evaluated on a quarterly basis. The Company did not have any derivative financial instruments for the three and nine months ended September 30, 2018.</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outstanding interest rate swap arrangement as of September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80" w:type="dxa"/>
            <w:vAlign w:val="bottom"/>
            <w:shd w:val="clear" w:color="auto" w:fill="008A5F"/>
          </w:tcPr>
          <w:p>
            <w:pPr>
              <w:spacing w:after="0"/>
              <w:rPr>
                <w:sz w:val="17"/>
                <w:szCs w:val="17"/>
                <w:color w:val="auto"/>
              </w:rPr>
            </w:pPr>
          </w:p>
        </w:tc>
        <w:tc>
          <w:tcPr>
            <w:tcW w:w="580" w:type="dxa"/>
            <w:vAlign w:val="bottom"/>
            <w:shd w:val="clear" w:color="auto" w:fill="008A5F"/>
          </w:tcPr>
          <w:p>
            <w:pPr>
              <w:spacing w:after="0"/>
              <w:rPr>
                <w:sz w:val="17"/>
                <w:szCs w:val="17"/>
                <w:color w:val="auto"/>
              </w:rPr>
            </w:pPr>
          </w:p>
        </w:tc>
        <w:tc>
          <w:tcPr>
            <w:tcW w:w="17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Aggregate Notional</w:t>
            </w:r>
          </w:p>
        </w:tc>
        <w:tc>
          <w:tcPr>
            <w:tcW w:w="2180" w:type="dxa"/>
            <w:vAlign w:val="bottom"/>
            <w:shd w:val="clear" w:color="auto" w:fill="008A5F"/>
          </w:tcPr>
          <w:p>
            <w:pPr>
              <w:spacing w:after="0"/>
              <w:rPr>
                <w:sz w:val="17"/>
                <w:szCs w:val="17"/>
                <w:color w:val="auto"/>
              </w:rPr>
            </w:pPr>
          </w:p>
        </w:tc>
        <w:tc>
          <w:tcPr>
            <w:tcW w:w="960" w:type="dxa"/>
            <w:vAlign w:val="bottom"/>
            <w:shd w:val="clear" w:color="auto" w:fill="008A5F"/>
          </w:tcPr>
          <w:p>
            <w:pPr>
              <w:spacing w:after="0"/>
              <w:rPr>
                <w:sz w:val="17"/>
                <w:szCs w:val="17"/>
                <w:color w:val="auto"/>
              </w:rPr>
            </w:pPr>
          </w:p>
        </w:tc>
        <w:tc>
          <w:tcPr>
            <w:tcW w:w="184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Receive Rate as of</w:t>
            </w:r>
          </w:p>
        </w:tc>
        <w:tc>
          <w:tcPr>
            <w:tcW w:w="280" w:type="dxa"/>
            <w:vAlign w:val="bottom"/>
            <w:shd w:val="clear" w:color="auto" w:fill="008A5F"/>
          </w:tcPr>
          <w:p>
            <w:pPr>
              <w:spacing w:after="0"/>
              <w:rPr>
                <w:sz w:val="17"/>
                <w:szCs w:val="17"/>
                <w:color w:val="auto"/>
              </w:rPr>
            </w:pPr>
          </w:p>
        </w:tc>
        <w:tc>
          <w:tcPr>
            <w:tcW w:w="188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Receive Rate as of</w:t>
            </w:r>
          </w:p>
        </w:tc>
      </w:tr>
      <w:tr>
        <w:trPr>
          <w:trHeight w:val="234"/>
        </w:trPr>
        <w:tc>
          <w:tcPr>
            <w:tcW w:w="1980" w:type="dxa"/>
            <w:vAlign w:val="bottom"/>
            <w:shd w:val="clear" w:color="auto" w:fill="008A5F"/>
          </w:tcPr>
          <w:p>
            <w:pPr>
              <w:spacing w:after="0"/>
              <w:rPr>
                <w:sz w:val="20"/>
                <w:szCs w:val="20"/>
                <w:color w:val="auto"/>
              </w:rPr>
            </w:pPr>
          </w:p>
        </w:tc>
        <w:tc>
          <w:tcPr>
            <w:tcW w:w="580" w:type="dxa"/>
            <w:vAlign w:val="bottom"/>
            <w:shd w:val="clear" w:color="auto" w:fill="008A5F"/>
          </w:tcPr>
          <w:p>
            <w:pPr>
              <w:spacing w:after="0"/>
              <w:rPr>
                <w:sz w:val="20"/>
                <w:szCs w:val="20"/>
                <w:color w:val="auto"/>
              </w:rPr>
            </w:pPr>
          </w:p>
        </w:tc>
        <w:tc>
          <w:tcPr>
            <w:tcW w:w="17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Amount (in millions)</w:t>
            </w:r>
          </w:p>
        </w:tc>
        <w:tc>
          <w:tcPr>
            <w:tcW w:w="2180" w:type="dxa"/>
            <w:vAlign w:val="bottom"/>
            <w:shd w:val="clear" w:color="auto" w:fill="008A5F"/>
          </w:tcPr>
          <w:p>
            <w:pPr>
              <w:ind w:left="620"/>
              <w:spacing w:after="0"/>
              <w:rPr>
                <w:sz w:val="20"/>
                <w:szCs w:val="20"/>
                <w:color w:val="auto"/>
              </w:rPr>
            </w:pPr>
            <w:r>
              <w:rPr>
                <w:rFonts w:ascii="Arial" w:cs="Arial" w:eastAsia="Arial" w:hAnsi="Arial"/>
                <w:sz w:val="16"/>
                <w:szCs w:val="16"/>
                <w:b w:val="1"/>
                <w:bCs w:val="1"/>
                <w:color w:val="FFFFFF"/>
              </w:rPr>
              <w:t>Receive Rate</w:t>
            </w:r>
          </w:p>
        </w:tc>
        <w:tc>
          <w:tcPr>
            <w:tcW w:w="96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Pay Rate</w:t>
            </w:r>
          </w:p>
        </w:tc>
        <w:tc>
          <w:tcPr>
            <w:tcW w:w="18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September 30, 2019</w:t>
            </w:r>
          </w:p>
        </w:tc>
        <w:tc>
          <w:tcPr>
            <w:tcW w:w="280" w:type="dxa"/>
            <w:vAlign w:val="bottom"/>
            <w:shd w:val="clear" w:color="auto" w:fill="008A5F"/>
          </w:tcPr>
          <w:p>
            <w:pPr>
              <w:spacing w:after="0"/>
              <w:rPr>
                <w:sz w:val="20"/>
                <w:szCs w:val="20"/>
                <w:color w:val="auto"/>
              </w:rPr>
            </w:pPr>
          </w:p>
        </w:tc>
        <w:tc>
          <w:tcPr>
            <w:tcW w:w="188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400.0</w:t>
            </w:r>
          </w:p>
        </w:tc>
        <w:tc>
          <w:tcPr>
            <w:tcW w:w="2180" w:type="dxa"/>
            <w:vAlign w:val="bottom"/>
            <w:shd w:val="clear" w:color="auto" w:fill="E7E7E8"/>
          </w:tcPr>
          <w:p>
            <w:pPr>
              <w:ind w:left="980"/>
              <w:spacing w:after="0"/>
              <w:rPr>
                <w:sz w:val="20"/>
                <w:szCs w:val="20"/>
                <w:color w:val="auto"/>
              </w:rPr>
            </w:pPr>
            <w:r>
              <w:rPr>
                <w:rFonts w:ascii="Arial" w:cs="Arial" w:eastAsia="Arial" w:hAnsi="Arial"/>
                <w:sz w:val="16"/>
                <w:szCs w:val="16"/>
                <w:color w:val="auto"/>
              </w:rPr>
              <w:t>1 month LIBOR</w:t>
            </w: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3.06 %</w:t>
            </w:r>
          </w:p>
        </w:tc>
        <w:tc>
          <w:tcPr>
            <w:tcW w:w="2120" w:type="dxa"/>
            <w:vAlign w:val="bottom"/>
            <w:gridSpan w:val="2"/>
            <w:shd w:val="clear" w:color="auto" w:fill="E7E7E8"/>
          </w:tcPr>
          <w:p>
            <w:pPr>
              <w:jc w:val="right"/>
              <w:ind w:right="99"/>
              <w:spacing w:after="0"/>
              <w:rPr>
                <w:sz w:val="20"/>
                <w:szCs w:val="20"/>
                <w:color w:val="auto"/>
              </w:rPr>
            </w:pPr>
            <w:r>
              <w:rPr>
                <w:rFonts w:ascii="Arial" w:cs="Arial" w:eastAsia="Arial" w:hAnsi="Arial"/>
                <w:sz w:val="16"/>
                <w:szCs w:val="16"/>
                <w:color w:val="auto"/>
              </w:rPr>
              <w:t>2.03 %</w:t>
            </w:r>
          </w:p>
        </w:tc>
        <w:tc>
          <w:tcPr>
            <w:tcW w:w="1880" w:type="dxa"/>
            <w:vAlign w:val="bottom"/>
            <w:shd w:val="clear" w:color="auto" w:fill="E7E7E8"/>
          </w:tcPr>
          <w:p>
            <w:pPr>
              <w:ind w:left="1360"/>
              <w:spacing w:after="0"/>
              <w:rPr>
                <w:sz w:val="20"/>
                <w:szCs w:val="20"/>
                <w:color w:val="auto"/>
              </w:rPr>
            </w:pPr>
            <w:r>
              <w:rPr>
                <w:rFonts w:ascii="Arial" w:cs="Arial" w:eastAsia="Arial" w:hAnsi="Arial"/>
                <w:sz w:val="16"/>
                <w:szCs w:val="16"/>
                <w:color w:val="auto"/>
              </w:rPr>
              <w:t>2.44 %</w:t>
            </w:r>
          </w:p>
        </w:tc>
      </w:tr>
      <w:tr>
        <w:trPr>
          <w:trHeight w:val="503"/>
        </w:trPr>
        <w:tc>
          <w:tcPr>
            <w:tcW w:w="11400" w:type="dxa"/>
            <w:vAlign w:val="bottom"/>
            <w:gridSpan w:val="8"/>
          </w:tcPr>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tc>
      </w:tr>
      <w:tr>
        <w:trPr>
          <w:trHeight w:val="253"/>
        </w:trPr>
        <w:tc>
          <w:tcPr>
            <w:tcW w:w="1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008A5F"/>
          </w:tcPr>
          <w:p>
            <w:pPr>
              <w:spacing w:after="0"/>
              <w:rPr>
                <w:sz w:val="21"/>
                <w:szCs w:val="21"/>
                <w:color w:val="auto"/>
              </w:rPr>
            </w:pPr>
          </w:p>
        </w:tc>
        <w:tc>
          <w:tcPr>
            <w:tcW w:w="1700" w:type="dxa"/>
            <w:vAlign w:val="bottom"/>
            <w:shd w:val="clear" w:color="auto" w:fill="008A5F"/>
          </w:tcPr>
          <w:p>
            <w:pPr>
              <w:spacing w:after="0"/>
              <w:rPr>
                <w:sz w:val="21"/>
                <w:szCs w:val="21"/>
                <w:color w:val="auto"/>
              </w:rPr>
            </w:pPr>
          </w:p>
        </w:tc>
        <w:tc>
          <w:tcPr>
            <w:tcW w:w="218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Balance Sheet Location</w:t>
            </w:r>
          </w:p>
        </w:tc>
        <w:tc>
          <w:tcPr>
            <w:tcW w:w="960" w:type="dxa"/>
            <w:vAlign w:val="bottom"/>
            <w:shd w:val="clear" w:color="auto" w:fill="008A5F"/>
          </w:tcPr>
          <w:p>
            <w:pPr>
              <w:spacing w:after="0"/>
              <w:rPr>
                <w:sz w:val="21"/>
                <w:szCs w:val="21"/>
                <w:color w:val="auto"/>
              </w:rPr>
            </w:pPr>
          </w:p>
        </w:tc>
        <w:tc>
          <w:tcPr>
            <w:tcW w:w="184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September 30, 2019</w:t>
            </w:r>
          </w:p>
        </w:tc>
        <w:tc>
          <w:tcPr>
            <w:tcW w:w="280" w:type="dxa"/>
            <w:vAlign w:val="bottom"/>
            <w:shd w:val="clear" w:color="auto" w:fill="008A5F"/>
          </w:tcPr>
          <w:p>
            <w:pPr>
              <w:spacing w:after="0"/>
              <w:rPr>
                <w:sz w:val="21"/>
                <w:szCs w:val="21"/>
                <w:color w:val="auto"/>
              </w:rPr>
            </w:pPr>
          </w:p>
        </w:tc>
        <w:tc>
          <w:tcPr>
            <w:tcW w:w="1880" w:type="dxa"/>
            <w:vAlign w:val="bottom"/>
            <w:shd w:val="clear" w:color="auto" w:fill="008A5F"/>
          </w:tcPr>
          <w:p>
            <w:pPr>
              <w:ind w:left="100"/>
              <w:spacing w:after="0"/>
              <w:rPr>
                <w:sz w:val="20"/>
                <w:szCs w:val="20"/>
                <w:color w:val="auto"/>
              </w:rPr>
            </w:pPr>
            <w:r>
              <w:rPr>
                <w:rFonts w:ascii="Arial" w:cs="Arial" w:eastAsia="Arial" w:hAnsi="Arial"/>
                <w:sz w:val="16"/>
                <w:szCs w:val="16"/>
                <w:b w:val="1"/>
                <w:bCs w:val="1"/>
                <w:color w:val="FFFFFF"/>
              </w:rPr>
              <w:t>December 31, 2018</w:t>
            </w:r>
          </w:p>
        </w:tc>
      </w:tr>
      <w:tr>
        <w:trPr>
          <w:trHeight w:val="230"/>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580" w:type="dxa"/>
            <w:vAlign w:val="bottom"/>
            <w:shd w:val="clear" w:color="auto" w:fill="E7E7E8"/>
          </w:tcPr>
          <w:p>
            <w:pPr>
              <w:spacing w:after="0"/>
              <w:rPr>
                <w:sz w:val="19"/>
                <w:szCs w:val="19"/>
                <w:color w:val="auto"/>
              </w:rPr>
            </w:pPr>
          </w:p>
        </w:tc>
        <w:tc>
          <w:tcPr>
            <w:tcW w:w="1700" w:type="dxa"/>
            <w:vAlign w:val="bottom"/>
            <w:shd w:val="clear" w:color="auto" w:fill="E7E7E8"/>
          </w:tcPr>
          <w:p>
            <w:pPr>
              <w:spacing w:after="0"/>
              <w:rPr>
                <w:sz w:val="19"/>
                <w:szCs w:val="19"/>
                <w:color w:val="auto"/>
              </w:rPr>
            </w:pPr>
          </w:p>
        </w:tc>
        <w:tc>
          <w:tcPr>
            <w:tcW w:w="2180" w:type="dxa"/>
            <w:vAlign w:val="bottom"/>
            <w:shd w:val="clear" w:color="auto" w:fill="E7E7E8"/>
          </w:tcPr>
          <w:p>
            <w:pPr>
              <w:spacing w:after="0"/>
              <w:rPr>
                <w:sz w:val="19"/>
                <w:szCs w:val="19"/>
                <w:color w:val="auto"/>
              </w:rPr>
            </w:pPr>
          </w:p>
        </w:tc>
        <w:tc>
          <w:tcPr>
            <w:tcW w:w="960" w:type="dxa"/>
            <w:vAlign w:val="bottom"/>
            <w:shd w:val="clear" w:color="auto" w:fill="E7E7E8"/>
          </w:tcPr>
          <w:p>
            <w:pPr>
              <w:spacing w:after="0"/>
              <w:rPr>
                <w:sz w:val="19"/>
                <w:szCs w:val="19"/>
                <w:color w:val="auto"/>
              </w:rPr>
            </w:pPr>
          </w:p>
        </w:tc>
        <w:tc>
          <w:tcPr>
            <w:tcW w:w="184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880" w:type="dxa"/>
            <w:vAlign w:val="bottom"/>
            <w:shd w:val="clear" w:color="auto" w:fill="E7E7E8"/>
          </w:tcPr>
          <w:p>
            <w:pPr>
              <w:spacing w:after="0"/>
              <w:rPr>
                <w:sz w:val="19"/>
                <w:szCs w:val="19"/>
                <w:color w:val="auto"/>
              </w:rPr>
            </w:pPr>
          </w:p>
        </w:tc>
      </w:tr>
      <w:tr>
        <w:trPr>
          <w:trHeight w:val="233"/>
        </w:trPr>
        <w:tc>
          <w:tcPr>
            <w:tcW w:w="198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20"/>
                <w:szCs w:val="20"/>
                <w:color w:val="auto"/>
              </w:rPr>
            </w:pPr>
          </w:p>
        </w:tc>
        <w:tc>
          <w:tcPr>
            <w:tcW w:w="3880" w:type="dxa"/>
            <w:vAlign w:val="bottom"/>
            <w:gridSpan w:val="2"/>
          </w:tcPr>
          <w:p>
            <w:pPr>
              <w:ind w:left="780"/>
              <w:spacing w:after="0"/>
              <w:rPr>
                <w:sz w:val="20"/>
                <w:szCs w:val="20"/>
                <w:color w:val="auto"/>
              </w:rPr>
            </w:pPr>
            <w:r>
              <w:rPr>
                <w:rFonts w:ascii="Arial" w:cs="Arial" w:eastAsia="Arial" w:hAnsi="Arial"/>
                <w:sz w:val="16"/>
                <w:szCs w:val="16"/>
                <w:color w:val="auto"/>
              </w:rPr>
              <w:t>Accrued liabilities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4,980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ind w:left="1320"/>
              <w:spacing w:after="0"/>
              <w:rPr>
                <w:sz w:val="20"/>
                <w:szCs w:val="20"/>
                <w:color w:val="auto"/>
              </w:rPr>
            </w:pPr>
            <w:r>
              <w:rPr>
                <w:rFonts w:ascii="Arial" w:cs="Arial" w:eastAsia="Arial" w:hAnsi="Arial"/>
                <w:sz w:val="16"/>
                <w:szCs w:val="16"/>
                <w:color w:val="auto"/>
              </w:rPr>
              <w:t>1,709</w:t>
            </w:r>
          </w:p>
        </w:tc>
      </w:tr>
      <w:tr>
        <w:trPr>
          <w:trHeight w:val="253"/>
        </w:trPr>
        <w:tc>
          <w:tcPr>
            <w:tcW w:w="1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580" w:type="dxa"/>
            <w:vAlign w:val="bottom"/>
            <w:shd w:val="clear" w:color="auto" w:fill="E7E7E8"/>
          </w:tcPr>
          <w:p>
            <w:pPr>
              <w:spacing w:after="0"/>
              <w:rPr>
                <w:sz w:val="21"/>
                <w:szCs w:val="21"/>
                <w:color w:val="auto"/>
              </w:rPr>
            </w:pPr>
          </w:p>
        </w:tc>
        <w:tc>
          <w:tcPr>
            <w:tcW w:w="388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Other long-term liabilities</w:t>
            </w:r>
          </w:p>
        </w:tc>
        <w:tc>
          <w:tcPr>
            <w:tcW w:w="9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11,574</w:t>
            </w:r>
          </w:p>
        </w:tc>
        <w:tc>
          <w:tcPr>
            <w:tcW w:w="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shd w:val="clear" w:color="auto" w:fill="E7E7E8"/>
          </w:tcPr>
          <w:p>
            <w:pPr>
              <w:ind w:left="1320"/>
              <w:spacing w:after="0"/>
              <w:rPr>
                <w:sz w:val="20"/>
                <w:szCs w:val="20"/>
                <w:color w:val="auto"/>
              </w:rPr>
            </w:pPr>
            <w:r>
              <w:rPr>
                <w:rFonts w:ascii="Arial" w:cs="Arial" w:eastAsia="Arial" w:hAnsi="Arial"/>
                <w:sz w:val="16"/>
                <w:szCs w:val="16"/>
                <w:color w:val="auto"/>
              </w:rPr>
              <w:t>6,192</w:t>
            </w:r>
          </w:p>
        </w:tc>
      </w:tr>
    </w:tbl>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September 30, 2019 and December 31, 2018, respectively, for contracts involving the same attributes and maturity dates.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interest rate swap, excluding the impact of taxes, resulted in a loss recognized of $0.7 million and $8.6 million in other comprehensive income ("OCI") for the three and nine months ended September 30, 2019, respectively. The Company reclassified $0.8 million and $2.0 million from AOCL into interest expense on the condensed consolidated income statement for the three and nine months ended September 30, 2019, respectively.</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flows from derivative instruments are presented within net cash provided by operating activities in the consolidated statements of cash flows.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008A5F"/>
        </w:rPr>
        <w:t>NOTE 15 - Commitments and Contingencies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16 - Segment Reporting</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operates in one principal line of business: modular leasing and sales.</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Total assets for each reportable segment are not available because the Company utilizes a centralized approach to working capital management. Transactions between reportable segments are not significant.</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Chief Operating Decision Maker ("CODM")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Reportable Segments</w:t>
      </w:r>
    </w:p>
    <w:p>
      <w:pPr>
        <w:spacing w:after="0" w:line="8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and nine months ended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37730"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428625"/>
                    </a:xfrm>
                    <a:prstGeom prst="rect">
                      <a:avLst/>
                    </a:prstGeom>
                    <a:noFill/>
                  </pic:spPr>
                </pic:pic>
              </a:graphicData>
            </a:graphic>
          </wp:anchor>
        </w:drawing>
      </w:r>
    </w:p>
    <w:p>
      <w:pPr>
        <w:spacing w:after="0" w:line="48"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FFFFFF"/>
        </w:rPr>
        <w:t>Three Months Ended September 30,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4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60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58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173,423</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17,871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191,294</w:t>
            </w: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56,005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5,878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61,883</w:t>
            </w: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10,774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11,536</w:t>
            </w: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7,499</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7,627</w:t>
            </w:r>
          </w:p>
        </w:tc>
      </w:tr>
      <w:tr>
        <w:trPr>
          <w:trHeight w:val="227"/>
        </w:trPr>
        <w:tc>
          <w:tcPr>
            <w:tcW w:w="60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247,701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24,639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272,340</w:t>
            </w:r>
          </w:p>
        </w:tc>
      </w:tr>
      <w:tr>
        <w:trPr>
          <w:trHeight w:val="118"/>
        </w:trPr>
        <w:tc>
          <w:tcPr>
            <w:tcW w:w="604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53,601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4,567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58,168</w:t>
            </w: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49,229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5,135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54,364</w:t>
            </w: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7,016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7,421</w:t>
            </w: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5,092</w:t>
            </w: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39,283</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4,586</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43,869</w:t>
            </w:r>
          </w:p>
        </w:tc>
      </w:tr>
      <w:tr>
        <w:trPr>
          <w:trHeight w:val="230"/>
        </w:trPr>
        <w:tc>
          <w:tcPr>
            <w:tcW w:w="604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94,257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9,169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103,426</w:t>
            </w:r>
          </w:p>
        </w:tc>
      </w:tr>
      <w:tr>
        <w:trPr>
          <w:trHeight w:val="21"/>
        </w:trPr>
        <w:tc>
          <w:tcPr>
            <w:tcW w:w="604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6"/>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80,424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7,953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88,377</w:t>
            </w: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61,484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6,675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68,159</w:t>
            </w: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3,707</w:t>
            </w: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44,951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47,789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9" w:right="259" w:bottom="1440" w:gutter="0" w:footer="0" w:header="0"/>
        </w:sectPr>
      </w:pPr>
    </w:p>
    <w:bookmarkStart w:id="26" w:name="page27"/>
    <w:bookmarkEnd w:id="26"/>
    <w:p>
      <w:pPr>
        <w:ind w:left="71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20585" cy="428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0585" cy="428625"/>
                    </a:xfrm>
                    <a:prstGeom prst="rect">
                      <a:avLst/>
                    </a:prstGeom>
                    <a:noFill/>
                  </pic:spPr>
                </pic:pic>
              </a:graphicData>
            </a:graphic>
          </wp:anchor>
        </w:drawing>
        <w:t>Three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0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184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Modular - Other North</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58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34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ind w:left="220"/>
              <w:spacing w:after="0"/>
              <w:rPr>
                <w:sz w:val="20"/>
                <w:szCs w:val="20"/>
                <w:color w:val="auto"/>
              </w:rPr>
            </w:pPr>
            <w:r>
              <w:rPr>
                <w:rFonts w:ascii="Arial" w:cs="Arial" w:eastAsia="Arial" w:hAnsi="Arial"/>
                <w:sz w:val="16"/>
                <w:szCs w:val="16"/>
                <w:b w:val="1"/>
                <w:bCs w:val="1"/>
                <w:color w:val="FFFFFF"/>
              </w:rPr>
              <w:t>America</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128,007</w:t>
            </w: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13,653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141,660</w:t>
            </w:r>
          </w:p>
        </w:tc>
      </w:tr>
      <w:tr>
        <w:trPr>
          <w:trHeight w:val="233"/>
        </w:trPr>
        <w:tc>
          <w:tcPr>
            <w:tcW w:w="600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41,830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4,947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46,777</w:t>
            </w: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600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19,193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20,920</w:t>
            </w: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8,595</w:t>
            </w:r>
          </w:p>
        </w:tc>
        <w:tc>
          <w:tcPr>
            <w:tcW w:w="8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9,567</w:t>
            </w:r>
          </w:p>
        </w:tc>
      </w:tr>
      <w:tr>
        <w:trPr>
          <w:trHeight w:val="227"/>
        </w:trPr>
        <w:tc>
          <w:tcPr>
            <w:tcW w:w="60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197,625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21,299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218,924</w:t>
            </w:r>
          </w:p>
        </w:tc>
      </w:tr>
      <w:tr>
        <w:trPr>
          <w:trHeight w:val="64"/>
        </w:trPr>
        <w:tc>
          <w:tcPr>
            <w:tcW w:w="600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500" w:type="dxa"/>
            <w:vAlign w:val="bottom"/>
            <w:shd w:val="clear" w:color="auto" w:fill="E7E7E8"/>
          </w:tcPr>
          <w:p>
            <w:pPr>
              <w:spacing w:after="0"/>
              <w:rPr>
                <w:sz w:val="5"/>
                <w:szCs w:val="5"/>
                <w:color w:val="auto"/>
              </w:rPr>
            </w:pPr>
          </w:p>
        </w:tc>
        <w:tc>
          <w:tcPr>
            <w:tcW w:w="80" w:type="dxa"/>
            <w:vAlign w:val="bottom"/>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40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380" w:type="dxa"/>
            <w:vAlign w:val="bottom"/>
            <w:shd w:val="clear" w:color="auto" w:fill="E7E7E8"/>
          </w:tcPr>
          <w:p>
            <w:pPr>
              <w:spacing w:after="0"/>
              <w:rPr>
                <w:sz w:val="5"/>
                <w:szCs w:val="5"/>
                <w:color w:val="auto"/>
              </w:rPr>
            </w:pPr>
          </w:p>
        </w:tc>
        <w:tc>
          <w:tcPr>
            <w:tcW w:w="1340" w:type="dxa"/>
            <w:vAlign w:val="bottom"/>
            <w:shd w:val="clear" w:color="auto" w:fill="E7E7E8"/>
          </w:tcPr>
          <w:p>
            <w:pPr>
              <w:spacing w:after="0"/>
              <w:rPr>
                <w:sz w:val="5"/>
                <w:szCs w:val="5"/>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600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36,204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39,215</w:t>
            </w: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37,782</w:t>
            </w: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4,608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42,390</w:t>
            </w: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13,905</w:t>
            </w: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15,089</w:t>
            </w:r>
          </w:p>
        </w:tc>
      </w:tr>
      <w:tr>
        <w:trPr>
          <w:trHeight w:val="233"/>
        </w:trPr>
        <w:tc>
          <w:tcPr>
            <w:tcW w:w="600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5,750</w:t>
            </w: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31,702</w:t>
            </w:r>
          </w:p>
        </w:tc>
        <w:tc>
          <w:tcPr>
            <w:tcW w:w="8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3,832</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35,534</w:t>
            </w:r>
          </w:p>
        </w:tc>
      </w:tr>
      <w:tr>
        <w:trPr>
          <w:trHeight w:val="230"/>
        </w:trPr>
        <w:tc>
          <w:tcPr>
            <w:tcW w:w="600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73,007</w:t>
            </w:r>
          </w:p>
        </w:tc>
        <w:tc>
          <w:tcPr>
            <w:tcW w:w="80" w:type="dxa"/>
            <w:vAlign w:val="bottom"/>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7,939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80,946</w:t>
            </w:r>
          </w:p>
        </w:tc>
      </w:tr>
      <w:tr>
        <w:trPr>
          <w:trHeight w:val="21"/>
        </w:trPr>
        <w:tc>
          <w:tcPr>
            <w:tcW w:w="600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r>
      <w:tr>
        <w:trPr>
          <w:trHeight w:val="233"/>
        </w:trPr>
        <w:tc>
          <w:tcPr>
            <w:tcW w:w="600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58,454</w:t>
            </w: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6,164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64,618</w:t>
            </w: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66,102</w:t>
            </w: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71,897</w:t>
            </w:r>
          </w:p>
        </w:tc>
      </w:tr>
      <w:tr>
        <w:trPr>
          <w:trHeight w:val="233"/>
        </w:trPr>
        <w:tc>
          <w:tcPr>
            <w:tcW w:w="600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3,403</w:t>
            </w: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3,720</w:t>
            </w:r>
          </w:p>
        </w:tc>
      </w:tr>
      <w:tr>
        <w:trPr>
          <w:trHeight w:val="253"/>
        </w:trPr>
        <w:tc>
          <w:tcPr>
            <w:tcW w:w="6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43,007</w:t>
            </w: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3,735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46,742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8" w:right="279" w:bottom="1440" w:gutter="0" w:footer="0" w:header="0"/>
        </w:sectPr>
      </w:pPr>
    </w:p>
    <w:bookmarkStart w:id="27" w:name="page28"/>
    <w:bookmarkEnd w:id="27"/>
    <w:p>
      <w:pPr>
        <w:ind w:left="72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37730"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7730" cy="428625"/>
                    </a:xfrm>
                    <a:prstGeom prst="rect">
                      <a:avLst/>
                    </a:prstGeom>
                    <a:noFill/>
                  </pic:spPr>
                </pic:pic>
              </a:graphicData>
            </a:graphic>
          </wp:anchor>
        </w:drawing>
        <w:t>Nine Months Ended September 30,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8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40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r>
      <w:tr>
        <w:trPr>
          <w:trHeight w:val="234"/>
        </w:trPr>
        <w:tc>
          <w:tcPr>
            <w:tcW w:w="608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58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506,703</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50,322</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557,025</w:t>
            </w: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155,284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13,359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168,643</w:t>
            </w:r>
          </w:p>
        </w:tc>
      </w:tr>
      <w:tr>
        <w:trPr>
          <w:trHeight w:val="253"/>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35,204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2,860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38,064</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20,847</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8,894</w:t>
            </w:r>
          </w:p>
        </w:tc>
        <w:tc>
          <w:tcPr>
            <w:tcW w:w="8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29,741</w:t>
            </w:r>
          </w:p>
        </w:tc>
      </w:tr>
      <w:tr>
        <w:trPr>
          <w:trHeight w:val="227"/>
        </w:trPr>
        <w:tc>
          <w:tcPr>
            <w:tcW w:w="60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718,038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75,435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793,473</w:t>
            </w:r>
          </w:p>
        </w:tc>
      </w:tr>
      <w:tr>
        <w:trPr>
          <w:trHeight w:val="280"/>
        </w:trPr>
        <w:tc>
          <w:tcPr>
            <w:tcW w:w="608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40" w:type="dxa"/>
            <w:vAlign w:val="bottom"/>
            <w:shd w:val="clear" w:color="auto" w:fill="E7E7E8"/>
          </w:tcPr>
          <w:p>
            <w:pPr>
              <w:spacing w:after="0"/>
              <w:rPr>
                <w:sz w:val="24"/>
                <w:szCs w:val="24"/>
                <w:color w:val="auto"/>
              </w:rPr>
            </w:pPr>
          </w:p>
        </w:tc>
        <w:tc>
          <w:tcPr>
            <w:tcW w:w="8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148,567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11,909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160,476</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132,929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13,246</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146,175</w:t>
            </w: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24,404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1,894</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26,298</w:t>
            </w: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12,845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6,763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19,608</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114,957</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13,983</w:t>
            </w:r>
          </w:p>
        </w:tc>
        <w:tc>
          <w:tcPr>
            <w:tcW w:w="8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128,940</w:t>
            </w:r>
          </w:p>
        </w:tc>
      </w:tr>
      <w:tr>
        <w:trPr>
          <w:trHeight w:val="230"/>
        </w:trPr>
        <w:tc>
          <w:tcPr>
            <w:tcW w:w="608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284,336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27,640</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311,976</w:t>
            </w:r>
          </w:p>
        </w:tc>
      </w:tr>
      <w:tr>
        <w:trPr>
          <w:trHeight w:val="21"/>
        </w:trPr>
        <w:tc>
          <w:tcPr>
            <w:tcW w:w="608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6"/>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238,572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23,040</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261,612</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192,042</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21,225</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213,267</w:t>
            </w: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9,033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845</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9,878</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153,113</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7,764</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160,877</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28" w:name="page29"/>
    <w:bookmarkEnd w:id="28"/>
    <w:p>
      <w:pPr>
        <w:ind w:left="740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37730"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7730" cy="394335"/>
                    </a:xfrm>
                    <a:prstGeom prst="rect">
                      <a:avLst/>
                    </a:prstGeom>
                    <a:noFill/>
                  </pic:spPr>
                </pic:pic>
              </a:graphicData>
            </a:graphic>
          </wp:anchor>
        </w:drawing>
        <w:t>Nine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306,920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33,251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340,171</w:t>
            </w: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93,190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104,440</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30,157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3,427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33,584</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14,258</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1,555</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27"/>
        </w:trPr>
        <w:tc>
          <w:tcPr>
            <w:tcW w:w="64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444,525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49,483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494,008</w:t>
            </w:r>
          </w:p>
        </w:tc>
        <w:tc>
          <w:tcPr>
            <w:tcW w:w="0" w:type="dxa"/>
            <w:vAlign w:val="bottom"/>
          </w:tcPr>
          <w:p>
            <w:pPr>
              <w:spacing w:after="0"/>
              <w:rPr>
                <w:sz w:val="1"/>
                <w:szCs w:val="1"/>
                <w:color w:val="auto"/>
              </w:rPr>
            </w:pPr>
          </w:p>
        </w:tc>
      </w:tr>
      <w:tr>
        <w:trPr>
          <w:trHeight w:val="118"/>
        </w:trPr>
        <w:tc>
          <w:tcPr>
            <w:tcW w:w="646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36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Costs: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85,766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93,506</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87,032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11,006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98,038</w:t>
            </w: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21,347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2,433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23,780</w:t>
            </w: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8,218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72,606</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10,243</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82,849</w:t>
            </w:r>
          </w:p>
        </w:tc>
        <w:tc>
          <w:tcPr>
            <w:tcW w:w="0" w:type="dxa"/>
            <w:vAlign w:val="bottom"/>
          </w:tcPr>
          <w:p>
            <w:pPr>
              <w:spacing w:after="0"/>
              <w:rPr>
                <w:sz w:val="1"/>
                <w:szCs w:val="1"/>
                <w:color w:val="auto"/>
              </w:rPr>
            </w:pPr>
          </w:p>
        </w:tc>
      </w:tr>
      <w:tr>
        <w:trPr>
          <w:trHeight w:val="230"/>
        </w:trPr>
        <w:tc>
          <w:tcPr>
            <w:tcW w:w="64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169,556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16,951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186,507</w:t>
            </w:r>
          </w:p>
        </w:tc>
        <w:tc>
          <w:tcPr>
            <w:tcW w:w="0" w:type="dxa"/>
            <w:vAlign w:val="bottom"/>
          </w:tcPr>
          <w:p>
            <w:pPr>
              <w:spacing w:after="0"/>
              <w:rPr>
                <w:sz w:val="1"/>
                <w:szCs w:val="1"/>
                <w:color w:val="auto"/>
              </w:rPr>
            </w:pPr>
          </w:p>
        </w:tc>
      </w:tr>
      <w:tr>
        <w:trPr>
          <w:trHeight w:val="21"/>
        </w:trPr>
        <w:tc>
          <w:tcPr>
            <w:tcW w:w="646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18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129,170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142,026</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150,248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14,597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164,845</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6,962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7,726</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104,462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111,505</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(loss) income from operations before income tax to Adjusted EBITDA by segment for the three and nine months ended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37730" cy="394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7730" cy="394335"/>
                    </a:xfrm>
                    <a:prstGeom prst="rect">
                      <a:avLst/>
                    </a:prstGeom>
                    <a:noFill/>
                  </pic:spPr>
                </pic:pic>
              </a:graphicData>
            </a:graphic>
          </wp:anchor>
        </w:drawing>
      </w:r>
    </w:p>
    <w:p>
      <w:pPr>
        <w:spacing w:after="0" w:line="102"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FFFFFF"/>
        </w:rPr>
        <w:t>Three Months Ended September 30,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30,253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30,857</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42,699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4,877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47,576</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Currency losses, net</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5,483</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68"/>
        </w:trPr>
        <w:tc>
          <w:tcPr>
            <w:tcW w:w="64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80,424</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7,953</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88,377</w:t>
            </w:r>
          </w:p>
        </w:tc>
        <w:tc>
          <w:tcPr>
            <w:tcW w:w="0" w:type="dxa"/>
            <w:vAlign w:val="bottom"/>
          </w:tcPr>
          <w:p>
            <w:pPr>
              <w:spacing w:after="0"/>
              <w:rPr>
                <w:sz w:val="1"/>
                <w:szCs w:val="1"/>
                <w:color w:val="auto"/>
              </w:rPr>
            </w:pPr>
          </w:p>
        </w:tc>
      </w:tr>
      <w:tr>
        <w:trPr>
          <w:trHeight w:val="20"/>
        </w:trPr>
        <w:tc>
          <w:tcPr>
            <w:tcW w:w="646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29" w:name="page30"/>
    <w:bookmarkEnd w:id="29"/>
    <w:p>
      <w:pPr>
        <w:ind w:left="73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20585"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0585" cy="428625"/>
                    </a:xfrm>
                    <a:prstGeom prst="rect">
                      <a:avLst/>
                    </a:prstGeom>
                    <a:noFill/>
                  </pic:spPr>
                </pic:pic>
              </a:graphicData>
            </a:graphic>
          </wp:anchor>
        </w:drawing>
        <w:t>Three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r>
      <w:tr>
        <w:trPr>
          <w:trHeight w:val="234"/>
        </w:trPr>
        <w:tc>
          <w:tcPr>
            <w:tcW w:w="64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48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(44,519)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1,283</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(43,236)</w:t>
            </w:r>
          </w:p>
        </w:tc>
      </w:tr>
      <w:tr>
        <w:trPr>
          <w:trHeight w:val="233"/>
        </w:trPr>
        <w:tc>
          <w:tcPr>
            <w:tcW w:w="64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42,831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43,447</w:t>
            </w:r>
          </w:p>
        </w:tc>
      </w:tr>
      <w:tr>
        <w:trPr>
          <w:trHeight w:val="253"/>
        </w:trPr>
        <w:tc>
          <w:tcPr>
            <w:tcW w:w="64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35,105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4,149</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39,254</w:t>
            </w:r>
          </w:p>
        </w:tc>
      </w:tr>
      <w:tr>
        <w:trPr>
          <w:trHeight w:val="233"/>
        </w:trPr>
        <w:tc>
          <w:tcPr>
            <w:tcW w:w="640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253"/>
        </w:trPr>
        <w:tc>
          <w:tcPr>
            <w:tcW w:w="64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5,895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242</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6,137</w:t>
            </w:r>
          </w:p>
        </w:tc>
      </w:tr>
      <w:tr>
        <w:trPr>
          <w:trHeight w:val="233"/>
        </w:trPr>
        <w:tc>
          <w:tcPr>
            <w:tcW w:w="640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2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7,453</w:t>
            </w:r>
          </w:p>
        </w:tc>
      </w:tr>
      <w:tr>
        <w:trPr>
          <w:trHeight w:val="253"/>
        </w:trPr>
        <w:tc>
          <w:tcPr>
            <w:tcW w:w="64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2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1,050</w:t>
            </w:r>
          </w:p>
        </w:tc>
      </w:tr>
      <w:tr>
        <w:trPr>
          <w:trHeight w:val="233"/>
        </w:trPr>
        <w:tc>
          <w:tcPr>
            <w:tcW w:w="640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10,672</w:t>
            </w:r>
          </w:p>
        </w:tc>
      </w:tr>
      <w:tr>
        <w:trPr>
          <w:trHeight w:val="246"/>
        </w:trPr>
        <w:tc>
          <w:tcPr>
            <w:tcW w:w="64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 (income)</w:t>
            </w:r>
          </w:p>
        </w:tc>
        <w:tc>
          <w:tcPr>
            <w:tcW w:w="22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w:t>
            </w:r>
          </w:p>
        </w:tc>
        <w:tc>
          <w:tcPr>
            <w:tcW w:w="8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266</w:t>
            </w:r>
          </w:p>
        </w:tc>
      </w:tr>
      <w:tr>
        <w:trPr>
          <w:trHeight w:val="243"/>
        </w:trPr>
        <w:tc>
          <w:tcPr>
            <w:tcW w:w="6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58,454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6,164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64,618</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283210</wp:posOffset>
            </wp:positionV>
            <wp:extent cx="7237730" cy="394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7730" cy="3943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FFFFFF"/>
        </w:rPr>
        <w:t>Nine Months Ended September 30, 2019</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40" w:type="dxa"/>
            <w:vAlign w:val="bottom"/>
            <w:shd w:val="clear" w:color="auto" w:fill="008A5F"/>
          </w:tcPr>
          <w:p>
            <w:pPr>
              <w:spacing w:after="0"/>
              <w:rPr>
                <w:sz w:val="16"/>
                <w:szCs w:val="16"/>
                <w:color w:val="auto"/>
              </w:rPr>
            </w:pPr>
          </w:p>
        </w:tc>
        <w:tc>
          <w:tcPr>
            <w:tcW w:w="12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4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(26,866)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(24,196)</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93,354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95,353</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123,991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14,827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138,818</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8,460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9,083</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21,221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 (income)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1,818</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238,572</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23,040</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261,612</w:t>
            </w:r>
          </w:p>
        </w:tc>
        <w:tc>
          <w:tcPr>
            <w:tcW w:w="0" w:type="dxa"/>
            <w:vAlign w:val="bottom"/>
          </w:tcPr>
          <w:p>
            <w:pPr>
              <w:spacing w:after="0"/>
              <w:rPr>
                <w:sz w:val="1"/>
                <w:szCs w:val="1"/>
                <w:color w:val="auto"/>
              </w:rPr>
            </w:pPr>
          </w:p>
        </w:tc>
      </w:tr>
      <w:tr>
        <w:trPr>
          <w:trHeight w:val="20"/>
        </w:trPr>
        <w:tc>
          <w:tcPr>
            <w:tcW w:w="644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37730"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7730" cy="428625"/>
                    </a:xfrm>
                    <a:prstGeom prst="rect">
                      <a:avLst/>
                    </a:prstGeom>
                    <a:noFill/>
                  </pic:spPr>
                </pic:pic>
              </a:graphicData>
            </a:graphic>
          </wp:anchor>
        </w:drawing>
      </w:r>
    </w:p>
    <w:p>
      <w:pPr>
        <w:spacing w:after="0" w:line="367"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FFFFFF"/>
        </w:rPr>
        <w:t>Nine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40" w:type="dxa"/>
            <w:vAlign w:val="bottom"/>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40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r>
      <w:tr>
        <w:trPr>
          <w:trHeight w:val="234"/>
        </w:trPr>
        <w:tc>
          <w:tcPr>
            <w:tcW w:w="62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(55,360)</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(1,397)</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(56,757)</w:t>
            </w:r>
          </w:p>
        </w:tc>
      </w:tr>
      <w:tr>
        <w:trPr>
          <w:trHeight w:val="233"/>
        </w:trPr>
        <w:tc>
          <w:tcPr>
            <w:tcW w:w="62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65,654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1,667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67,321</w:t>
            </w:r>
          </w:p>
        </w:tc>
      </w:tr>
      <w:tr>
        <w:trPr>
          <w:trHeight w:val="253"/>
        </w:trPr>
        <w:tc>
          <w:tcPr>
            <w:tcW w:w="6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79,568</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11,007</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90,575</w:t>
            </w:r>
          </w:p>
        </w:tc>
      </w:tr>
      <w:tr>
        <w:trPr>
          <w:trHeight w:val="233"/>
        </w:trPr>
        <w:tc>
          <w:tcPr>
            <w:tcW w:w="6240" w:type="dxa"/>
            <w:vAlign w:val="bottom"/>
          </w:tcPr>
          <w:p>
            <w:pPr>
              <w:ind w:left="220"/>
              <w:spacing w:after="0"/>
              <w:rPr>
                <w:sz w:val="20"/>
                <w:szCs w:val="20"/>
                <w:color w:val="auto"/>
              </w:rPr>
            </w:pPr>
            <w:r>
              <w:rPr>
                <w:rFonts w:ascii="Arial" w:cs="Arial" w:eastAsia="Arial" w:hAnsi="Arial"/>
                <w:sz w:val="16"/>
                <w:szCs w:val="16"/>
                <w:color w:val="auto"/>
              </w:rPr>
              <w:t>Currency losses, net</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1,012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1,171</w:t>
            </w:r>
          </w:p>
        </w:tc>
      </w:tr>
      <w:tr>
        <w:trPr>
          <w:trHeight w:val="253"/>
        </w:trPr>
        <w:tc>
          <w:tcPr>
            <w:tcW w:w="6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6,962</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252</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7,214</w:t>
            </w:r>
          </w:p>
        </w:tc>
      </w:tr>
      <w:tr>
        <w:trPr>
          <w:trHeight w:val="233"/>
        </w:trPr>
        <w:tc>
          <w:tcPr>
            <w:tcW w:w="624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14,858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14,868</w:t>
            </w:r>
          </w:p>
        </w:tc>
      </w:tr>
      <w:tr>
        <w:trPr>
          <w:trHeight w:val="253"/>
        </w:trPr>
        <w:tc>
          <w:tcPr>
            <w:tcW w:w="6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2,225</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2,225</w:t>
            </w:r>
          </w:p>
        </w:tc>
      </w:tr>
      <w:tr>
        <w:trPr>
          <w:trHeight w:val="233"/>
        </w:trPr>
        <w:tc>
          <w:tcPr>
            <w:tcW w:w="624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14,539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14,790</w:t>
            </w:r>
          </w:p>
        </w:tc>
      </w:tr>
      <w:tr>
        <w:trPr>
          <w:trHeight w:val="246"/>
        </w:trPr>
        <w:tc>
          <w:tcPr>
            <w:tcW w:w="6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565</w:t>
            </w:r>
          </w:p>
        </w:tc>
        <w:tc>
          <w:tcPr>
            <w:tcW w:w="8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54</w:t>
            </w:r>
          </w:p>
        </w:tc>
        <w:tc>
          <w:tcPr>
            <w:tcW w:w="8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619</w:t>
            </w:r>
          </w:p>
        </w:tc>
      </w:tr>
      <w:tr>
        <w:trPr>
          <w:trHeight w:val="243"/>
        </w:trPr>
        <w:tc>
          <w:tcPr>
            <w:tcW w:w="6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129,170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12,856</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142,026</w:t>
            </w:r>
          </w:p>
        </w:tc>
      </w:tr>
      <w:tr>
        <w:trPr>
          <w:trHeight w:val="21"/>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0" w:name="page31"/>
    <w:bookmarkEnd w:id="30"/>
    <w:p>
      <w:pPr>
        <w:spacing w:after="0"/>
        <w:rPr>
          <w:sz w:val="20"/>
          <w:szCs w:val="20"/>
          <w:color w:val="auto"/>
        </w:rPr>
      </w:pPr>
      <w:r>
        <w:rPr>
          <w:rFonts w:ascii="Arial" w:cs="Arial" w:eastAsia="Arial" w:hAnsi="Arial"/>
          <w:sz w:val="23"/>
          <w:szCs w:val="23"/>
          <w:color w:val="008A5F"/>
        </w:rPr>
        <w:t>NOTE 17 - Income (Loss) Per Share</w:t>
      </w:r>
    </w:p>
    <w:p>
      <w:pPr>
        <w:spacing w:after="0" w:line="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Basic income (loss) per share (“EPS”) is calculated by dividing net loss attributable to WillScot by the weighted average number of Class A common shares outstanding during the period. The common shares issued as a result of the vesting of RSUs and RSAs as well as the exercise of stock options, were included in EPS based on the weighted average number of days in which they were vested and outstanding during the period. Concurrently with the Business Combination, 12,425,000 of WillScot's Class A common shares were placed into escrow by shareholders and became ineligible to vote or participate in the economic rewards available to the other Class A shareholders. Escrowed shares were therefore excluded from the EPS calculation while deposited in the escrow account. 6,212,500 of the escrowed shares were released to shareholders on January 19, 2018, and the remaining escrowed shares were released to shareholders on August 21, 2018.</w:t>
      </w:r>
    </w:p>
    <w:p>
      <w:pPr>
        <w:spacing w:after="0" w:line="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EPS calculation. 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EPS is computed similarly to basic EPS, except that it includes the potential dilution that could occur if dilutive securities were exercised.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Effects of potentially dilutive securities are presented only in periods in which they are dilutive.</w:t>
      </w:r>
    </w:p>
    <w:p>
      <w:pPr>
        <w:spacing w:after="0" w:line="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Stock options and warrants representing 534,188 and 9,999,579 shares of Class A common stock outstanding for the three months ended September 30, 2019 were excluded from the computation of diluted earnings per share because their effect would have been anti-dilutive. Stock options, Time-Based RSUs, RSAs, and warrants representing 386,875, 1,071,721, 52,755, and 22,183,513 shares of Class A common stock outstanding for the nine months ended September 30, 2019 were excluded from the computation of diluted earnings per share because their effect would have been anti-dilutive. Market-Based RSUs representing 294,697 shares of Class A common stock outstanding for the nine months ended September 30, 2019, which can vest at 0% to 150% of the amount granted, were excluded from the computation of diluted earnings per share because their effect would have been anti-dilutive.</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Stock options, Time-Based RSU, RSAs and warrants representing 589,257, 886,680, 27,675 and 44,750,000 shares of Class A common stock outstanding for the three and nine months ended September 30, 2018, were excluded from the computation of diluted EPS because their effect would have been anti-dilutive.</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is a reconciliation of net income (loss) and weighted-average shares of common stock outstanding for purposes of calculating basic and diluted income (loss) per share for the three and nine months ended September 30, 2019 and 2018:</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4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240" w:type="dxa"/>
            <w:vAlign w:val="bottom"/>
            <w:gridSpan w:val="5"/>
            <w:shd w:val="clear" w:color="auto" w:fill="008A5F"/>
          </w:tcPr>
          <w:p>
            <w:pPr>
              <w:ind w:left="580"/>
              <w:spacing w:after="0"/>
              <w:rPr>
                <w:sz w:val="20"/>
                <w:szCs w:val="20"/>
                <w:color w:val="auto"/>
              </w:rPr>
            </w:pPr>
            <w:r>
              <w:rPr>
                <w:rFonts w:ascii="Arial" w:cs="Arial" w:eastAsia="Arial" w:hAnsi="Arial"/>
                <w:sz w:val="16"/>
                <w:szCs w:val="16"/>
                <w:b w:val="1"/>
                <w:bCs w:val="1"/>
                <w:color w:val="FFFFFF"/>
              </w:rPr>
              <w:t>Three Months Ended</w:t>
            </w:r>
          </w:p>
        </w:tc>
        <w:tc>
          <w:tcPr>
            <w:tcW w:w="400" w:type="dxa"/>
            <w:vAlign w:val="bottom"/>
            <w:shd w:val="clear" w:color="auto" w:fill="008A5F"/>
          </w:tcPr>
          <w:p>
            <w:pPr>
              <w:spacing w:after="0"/>
              <w:rPr>
                <w:sz w:val="17"/>
                <w:szCs w:val="17"/>
                <w:color w:val="auto"/>
              </w:rPr>
            </w:pPr>
          </w:p>
        </w:tc>
        <w:tc>
          <w:tcPr>
            <w:tcW w:w="3140" w:type="dxa"/>
            <w:vAlign w:val="bottom"/>
            <w:gridSpan w:val="4"/>
            <w:shd w:val="clear" w:color="auto" w:fill="008A5F"/>
          </w:tcPr>
          <w:p>
            <w:pPr>
              <w:jc w:val="right"/>
              <w:ind w:right="91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424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202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12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400" w:type="dxa"/>
            <w:vAlign w:val="bottom"/>
            <w:shd w:val="clear" w:color="auto" w:fill="008A5F"/>
          </w:tcPr>
          <w:p>
            <w:pPr>
              <w:spacing w:after="0"/>
              <w:rPr>
                <w:sz w:val="18"/>
                <w:szCs w:val="18"/>
                <w:color w:val="auto"/>
              </w:rPr>
            </w:pPr>
          </w:p>
        </w:tc>
        <w:tc>
          <w:tcPr>
            <w:tcW w:w="202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120" w:type="dxa"/>
            <w:vAlign w:val="bottom"/>
            <w:shd w:val="clear" w:color="auto" w:fill="008A5F"/>
          </w:tcPr>
          <w:p>
            <w:pPr>
              <w:spacing w:after="0"/>
              <w:rPr>
                <w:sz w:val="18"/>
                <w:szCs w:val="18"/>
                <w:color w:val="auto"/>
              </w:rPr>
            </w:pPr>
          </w:p>
        </w:tc>
      </w:tr>
      <w:tr>
        <w:trPr>
          <w:trHeight w:val="263"/>
        </w:trPr>
        <w:tc>
          <w:tcPr>
            <w:tcW w:w="42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per share numbers)</w:t>
            </w:r>
          </w:p>
        </w:tc>
        <w:tc>
          <w:tcPr>
            <w:tcW w:w="38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80" w:type="dxa"/>
            <w:vAlign w:val="bottom"/>
            <w:shd w:val="clear" w:color="auto" w:fill="008A5F"/>
          </w:tcPr>
          <w:p>
            <w:pPr>
              <w:spacing w:after="0"/>
              <w:rPr>
                <w:sz w:val="22"/>
                <w:szCs w:val="22"/>
                <w:color w:val="auto"/>
              </w:rPr>
            </w:pPr>
          </w:p>
        </w:tc>
        <w:tc>
          <w:tcPr>
            <w:tcW w:w="11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400" w:type="dxa"/>
            <w:vAlign w:val="bottom"/>
            <w:shd w:val="clear" w:color="auto" w:fill="008A5F"/>
          </w:tcPr>
          <w:p>
            <w:pPr>
              <w:spacing w:after="0"/>
              <w:rPr>
                <w:sz w:val="22"/>
                <w:szCs w:val="22"/>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2"/>
                <w:szCs w:val="22"/>
                <w:color w:val="auto"/>
              </w:rPr>
            </w:pPr>
          </w:p>
        </w:tc>
        <w:tc>
          <w:tcPr>
            <w:tcW w:w="580" w:type="dxa"/>
            <w:vAlign w:val="bottom"/>
            <w:shd w:val="clear" w:color="auto" w:fill="008A5F"/>
          </w:tcPr>
          <w:p>
            <w:pPr>
              <w:spacing w:after="0"/>
              <w:rPr>
                <w:sz w:val="22"/>
                <w:szCs w:val="22"/>
                <w:color w:val="auto"/>
              </w:rPr>
            </w:pPr>
          </w:p>
        </w:tc>
        <w:tc>
          <w:tcPr>
            <w:tcW w:w="11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r>
      <w:tr>
        <w:trPr>
          <w:trHeight w:val="233"/>
        </w:trPr>
        <w:tc>
          <w:tcPr>
            <w:tcW w:w="42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(36,729)</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(22,174)</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(43,185)</w:t>
            </w:r>
          </w:p>
        </w:tc>
      </w:tr>
      <w:tr>
        <w:trPr>
          <w:trHeight w:val="228"/>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income (loss) attributable to non-controlling</w:t>
            </w:r>
          </w:p>
        </w:tc>
        <w:tc>
          <w:tcPr>
            <w:tcW w:w="38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r>
      <w:tr>
        <w:trPr>
          <w:trHeight w:val="208"/>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net of tax</w:t>
            </w:r>
          </w:p>
        </w:tc>
        <w:tc>
          <w:tcPr>
            <w:tcW w:w="38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E7E7E8"/>
          </w:tcPr>
          <w:p>
            <w:pPr>
              <w:spacing w:after="0"/>
              <w:rPr>
                <w:sz w:val="18"/>
                <w:szCs w:val="18"/>
                <w:color w:val="auto"/>
              </w:rPr>
            </w:pPr>
          </w:p>
        </w:tc>
        <w:tc>
          <w:tcPr>
            <w:tcW w:w="40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(1,449)</w:t>
            </w:r>
          </w:p>
        </w:tc>
        <w:tc>
          <w:tcPr>
            <w:tcW w:w="120" w:type="dxa"/>
            <w:vAlign w:val="bottom"/>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(3,715)</w:t>
            </w:r>
          </w:p>
        </w:tc>
      </w:tr>
      <w:tr>
        <w:trPr>
          <w:trHeight w:val="243"/>
        </w:trPr>
        <w:tc>
          <w:tcPr>
            <w:tcW w:w="4240" w:type="dxa"/>
            <w:vAlign w:val="bottom"/>
          </w:tcPr>
          <w:p>
            <w:pPr>
              <w:ind w:left="440"/>
              <w:spacing w:after="0"/>
              <w:rPr>
                <w:sz w:val="20"/>
                <w:szCs w:val="20"/>
                <w:color w:val="auto"/>
              </w:rPr>
            </w:pPr>
            <w:r>
              <w:rPr>
                <w:rFonts w:ascii="Arial" w:cs="Arial" w:eastAsia="Arial" w:hAnsi="Arial"/>
                <w:sz w:val="16"/>
                <w:szCs w:val="16"/>
                <w:color w:val="auto"/>
              </w:rPr>
              <w:t>Net income (loss) attributable to WillScot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(33,519)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(20,725)</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(39,470)</w:t>
            </w:r>
          </w:p>
        </w:tc>
      </w:tr>
      <w:tr>
        <w:trPr>
          <w:trHeight w:val="46"/>
        </w:trPr>
        <w:tc>
          <w:tcPr>
            <w:tcW w:w="4240" w:type="dxa"/>
            <w:vAlign w:val="bottom"/>
            <w:tcBorders>
              <w:bottom w:val="single" w:sz="8" w:color="E7E7E8"/>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E7E7E8"/>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E7E7E8"/>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E7E7E8"/>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3"/>
        </w:trPr>
        <w:tc>
          <w:tcPr>
            <w:tcW w:w="4240" w:type="dxa"/>
            <w:vAlign w:val="bottom"/>
            <w:tcBorders>
              <w:top w:val="single" w:sz="8" w:color="E7E7E8"/>
            </w:tcBorders>
          </w:tcPr>
          <w:p>
            <w:pPr>
              <w:ind w:left="20"/>
              <w:spacing w:after="0"/>
              <w:rPr>
                <w:sz w:val="20"/>
                <w:szCs w:val="20"/>
                <w:color w:val="auto"/>
              </w:rPr>
            </w:pPr>
            <w:r>
              <w:rPr>
                <w:rFonts w:ascii="Arial" w:cs="Arial" w:eastAsia="Arial" w:hAnsi="Arial"/>
                <w:sz w:val="16"/>
                <w:szCs w:val="16"/>
                <w:color w:val="auto"/>
              </w:rPr>
              <w:t>Denominator</w:t>
            </w:r>
          </w:p>
        </w:tc>
        <w:tc>
          <w:tcPr>
            <w:tcW w:w="380" w:type="dxa"/>
            <w:vAlign w:val="bottom"/>
            <w:tcBorders>
              <w:top w:val="single" w:sz="8" w:color="E7E7E8"/>
            </w:tcBorders>
          </w:tcPr>
          <w:p>
            <w:pPr>
              <w:spacing w:after="0"/>
              <w:rPr>
                <w:sz w:val="20"/>
                <w:szCs w:val="20"/>
                <w:color w:val="auto"/>
              </w:rPr>
            </w:pPr>
          </w:p>
        </w:tc>
        <w:tc>
          <w:tcPr>
            <w:tcW w:w="1340" w:type="dxa"/>
            <w:vAlign w:val="bottom"/>
            <w:tcBorders>
              <w:top w:val="single" w:sz="8" w:color="E7E7E8"/>
            </w:tcBorders>
          </w:tcPr>
          <w:p>
            <w:pPr>
              <w:spacing w:after="0"/>
              <w:rPr>
                <w:sz w:val="20"/>
                <w:szCs w:val="20"/>
                <w:color w:val="auto"/>
              </w:rPr>
            </w:pPr>
          </w:p>
        </w:tc>
        <w:tc>
          <w:tcPr>
            <w:tcW w:w="100" w:type="dxa"/>
            <w:vAlign w:val="bottom"/>
            <w:tcBorders>
              <w:top w:val="single" w:sz="8" w:color="E7E7E8"/>
            </w:tcBorders>
          </w:tcPr>
          <w:p>
            <w:pPr>
              <w:spacing w:after="0"/>
              <w:rPr>
                <w:sz w:val="20"/>
                <w:szCs w:val="20"/>
                <w:color w:val="auto"/>
              </w:rPr>
            </w:pPr>
          </w:p>
        </w:tc>
        <w:tc>
          <w:tcPr>
            <w:tcW w:w="580" w:type="dxa"/>
            <w:vAlign w:val="bottom"/>
            <w:tcBorders>
              <w:top w:val="single" w:sz="8" w:color="E7E7E8"/>
            </w:tcBorders>
          </w:tcPr>
          <w:p>
            <w:pPr>
              <w:spacing w:after="0"/>
              <w:rPr>
                <w:sz w:val="20"/>
                <w:szCs w:val="20"/>
                <w:color w:val="auto"/>
              </w:rPr>
            </w:pPr>
          </w:p>
        </w:tc>
        <w:tc>
          <w:tcPr>
            <w:tcW w:w="1120" w:type="dxa"/>
            <w:vAlign w:val="bottom"/>
            <w:tcBorders>
              <w:top w:val="single" w:sz="8" w:color="E7E7E8"/>
            </w:tcBorders>
          </w:tcPr>
          <w:p>
            <w:pPr>
              <w:spacing w:after="0"/>
              <w:rPr>
                <w:sz w:val="20"/>
                <w:szCs w:val="20"/>
                <w:color w:val="auto"/>
              </w:rPr>
            </w:pPr>
          </w:p>
        </w:tc>
        <w:tc>
          <w:tcPr>
            <w:tcW w:w="100" w:type="dxa"/>
            <w:vAlign w:val="bottom"/>
            <w:tcBorders>
              <w:top w:val="single" w:sz="8" w:color="E7E7E8"/>
            </w:tcBorders>
          </w:tcPr>
          <w:p>
            <w:pPr>
              <w:spacing w:after="0"/>
              <w:rPr>
                <w:sz w:val="20"/>
                <w:szCs w:val="20"/>
                <w:color w:val="auto"/>
              </w:rPr>
            </w:pPr>
          </w:p>
        </w:tc>
        <w:tc>
          <w:tcPr>
            <w:tcW w:w="400" w:type="dxa"/>
            <w:vAlign w:val="bottom"/>
            <w:tcBorders>
              <w:top w:val="single" w:sz="8" w:color="E7E7E8"/>
            </w:tcBorders>
          </w:tcPr>
          <w:p>
            <w:pPr>
              <w:spacing w:after="0"/>
              <w:rPr>
                <w:sz w:val="20"/>
                <w:szCs w:val="20"/>
                <w:color w:val="auto"/>
              </w:rPr>
            </w:pPr>
          </w:p>
        </w:tc>
        <w:tc>
          <w:tcPr>
            <w:tcW w:w="1320" w:type="dxa"/>
            <w:vAlign w:val="bottom"/>
            <w:tcBorders>
              <w:top w:val="single" w:sz="8" w:color="E7E7E8"/>
            </w:tcBorders>
          </w:tcPr>
          <w:p>
            <w:pPr>
              <w:spacing w:after="0"/>
              <w:rPr>
                <w:sz w:val="20"/>
                <w:szCs w:val="20"/>
                <w:color w:val="auto"/>
              </w:rPr>
            </w:pPr>
          </w:p>
        </w:tc>
        <w:tc>
          <w:tcPr>
            <w:tcW w:w="120" w:type="dxa"/>
            <w:vAlign w:val="bottom"/>
            <w:tcBorders>
              <w:top w:val="single" w:sz="8" w:color="E7E7E8"/>
            </w:tcBorders>
          </w:tcPr>
          <w:p>
            <w:pPr>
              <w:spacing w:after="0"/>
              <w:rPr>
                <w:sz w:val="20"/>
                <w:szCs w:val="20"/>
                <w:color w:val="auto"/>
              </w:rPr>
            </w:pPr>
          </w:p>
        </w:tc>
        <w:tc>
          <w:tcPr>
            <w:tcW w:w="580" w:type="dxa"/>
            <w:vAlign w:val="bottom"/>
            <w:tcBorders>
              <w:top w:val="single" w:sz="8" w:color="E7E7E8"/>
            </w:tcBorders>
          </w:tcPr>
          <w:p>
            <w:pPr>
              <w:spacing w:after="0"/>
              <w:rPr>
                <w:sz w:val="20"/>
                <w:szCs w:val="20"/>
                <w:color w:val="auto"/>
              </w:rPr>
            </w:pPr>
          </w:p>
        </w:tc>
        <w:tc>
          <w:tcPr>
            <w:tcW w:w="1120" w:type="dxa"/>
            <w:vAlign w:val="bottom"/>
            <w:tcBorders>
              <w:top w:val="single" w:sz="8" w:color="E7E7E8"/>
            </w:tcBorders>
          </w:tcPr>
          <w:p>
            <w:pPr>
              <w:spacing w:after="0"/>
              <w:rPr>
                <w:sz w:val="20"/>
                <w:szCs w:val="20"/>
                <w:color w:val="auto"/>
              </w:rPr>
            </w:pPr>
          </w:p>
        </w:tc>
      </w:tr>
      <w:tr>
        <w:trPr>
          <w:trHeight w:val="253"/>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Average shares outstanding - basic</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108,720,857</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90,726,920</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108,646,741</w:t>
            </w:r>
          </w:p>
        </w:tc>
        <w:tc>
          <w:tcPr>
            <w:tcW w:w="12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82,165,909</w:t>
            </w:r>
          </w:p>
        </w:tc>
      </w:tr>
      <w:tr>
        <w:trPr>
          <w:trHeight w:val="233"/>
        </w:trPr>
        <w:tc>
          <w:tcPr>
            <w:tcW w:w="4240" w:type="dxa"/>
            <w:vAlign w:val="bottom"/>
          </w:tcPr>
          <w:p>
            <w:pPr>
              <w:ind w:left="220"/>
              <w:spacing w:after="0"/>
              <w:rPr>
                <w:sz w:val="20"/>
                <w:szCs w:val="20"/>
                <w:color w:val="auto"/>
              </w:rPr>
            </w:pPr>
            <w:r>
              <w:rPr>
                <w:rFonts w:ascii="Arial" w:cs="Arial" w:eastAsia="Arial" w:hAnsi="Arial"/>
                <w:sz w:val="16"/>
                <w:szCs w:val="16"/>
                <w:color w:val="auto"/>
              </w:rPr>
              <w:t>Average effect of dilutive securities: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2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Warrants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2,828,202</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2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4240" w:type="dxa"/>
            <w:vAlign w:val="bottom"/>
          </w:tcPr>
          <w:p>
            <w:pPr>
              <w:ind w:left="440"/>
              <w:spacing w:after="0"/>
              <w:rPr>
                <w:sz w:val="20"/>
                <w:szCs w:val="20"/>
                <w:color w:val="auto"/>
              </w:rPr>
            </w:pPr>
            <w:r>
              <w:rPr>
                <w:rFonts w:ascii="Arial" w:cs="Arial" w:eastAsia="Arial" w:hAnsi="Arial"/>
                <w:sz w:val="16"/>
                <w:szCs w:val="16"/>
                <w:color w:val="auto"/>
              </w:rPr>
              <w:t>RSAs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5,614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3"/>
        </w:trPr>
        <w:tc>
          <w:tcPr>
            <w:tcW w:w="42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Time-Based RSUs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272,622</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2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40"/>
              <w:spacing w:after="0"/>
              <w:rPr>
                <w:sz w:val="20"/>
                <w:szCs w:val="20"/>
                <w:color w:val="auto"/>
              </w:rPr>
            </w:pPr>
            <w:r>
              <w:rPr>
                <w:rFonts w:ascii="Arial" w:cs="Arial" w:eastAsia="Arial" w:hAnsi="Arial"/>
                <w:sz w:val="16"/>
                <w:szCs w:val="16"/>
                <w:color w:val="auto"/>
              </w:rPr>
              <w:t>Market-Based RSUs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216,571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68"/>
        </w:trPr>
        <w:tc>
          <w:tcPr>
            <w:tcW w:w="4240" w:type="dxa"/>
            <w:vAlign w:val="bottom"/>
            <w:tcBorders>
              <w:top w:val="single" w:sz="8" w:color="E7E7E8"/>
              <w:bottom w:val="single" w:sz="8" w:color="E7E7E8"/>
            </w:tcBorders>
            <w:shd w:val="clear" w:color="auto" w:fill="E7E7E8"/>
          </w:tcPr>
          <w:p>
            <w:pPr>
              <w:ind w:left="660"/>
              <w:spacing w:after="0"/>
              <w:rPr>
                <w:sz w:val="20"/>
                <w:szCs w:val="20"/>
                <w:color w:val="auto"/>
              </w:rPr>
            </w:pPr>
            <w:r>
              <w:rPr>
                <w:rFonts w:ascii="Arial" w:cs="Arial" w:eastAsia="Arial" w:hAnsi="Arial"/>
                <w:sz w:val="16"/>
                <w:szCs w:val="16"/>
                <w:color w:val="auto"/>
              </w:rPr>
              <w:t>Average shares outstanding - diluted</w:t>
            </w:r>
          </w:p>
        </w:tc>
        <w:tc>
          <w:tcPr>
            <w:tcW w:w="380" w:type="dxa"/>
            <w:vAlign w:val="bottom"/>
            <w:tcBorders>
              <w:top w:val="single" w:sz="8" w:color="auto"/>
              <w:bottom w:val="single" w:sz="8" w:color="auto"/>
            </w:tcBorders>
            <w:shd w:val="clear" w:color="auto" w:fill="E7E7E8"/>
          </w:tcPr>
          <w:p>
            <w:pPr>
              <w:spacing w:after="0"/>
              <w:rPr>
                <w:sz w:val="22"/>
                <w:szCs w:val="22"/>
                <w:color w:val="auto"/>
              </w:rPr>
            </w:pPr>
          </w:p>
        </w:tc>
        <w:tc>
          <w:tcPr>
            <w:tcW w:w="134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112,043,866</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580" w:type="dxa"/>
            <w:vAlign w:val="bottom"/>
            <w:tcBorders>
              <w:top w:val="single" w:sz="8" w:color="auto"/>
              <w:bottom w:val="single" w:sz="8" w:color="auto"/>
            </w:tcBorders>
            <w:shd w:val="clear" w:color="auto" w:fill="E7E7E8"/>
          </w:tcPr>
          <w:p>
            <w:pPr>
              <w:spacing w:after="0"/>
              <w:rPr>
                <w:sz w:val="22"/>
                <w:szCs w:val="22"/>
                <w:color w:val="auto"/>
              </w:rPr>
            </w:pPr>
          </w:p>
        </w:tc>
        <w:tc>
          <w:tcPr>
            <w:tcW w:w="112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90,726,920</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400" w:type="dxa"/>
            <w:vAlign w:val="bottom"/>
            <w:tcBorders>
              <w:top w:val="single" w:sz="8" w:color="auto"/>
              <w:bottom w:val="single" w:sz="8" w:color="auto"/>
            </w:tcBorders>
            <w:shd w:val="clear" w:color="auto" w:fill="E7E7E8"/>
          </w:tcPr>
          <w:p>
            <w:pPr>
              <w:spacing w:after="0"/>
              <w:rPr>
                <w:sz w:val="22"/>
                <w:szCs w:val="22"/>
                <w:color w:val="auto"/>
              </w:rPr>
            </w:pPr>
          </w:p>
        </w:tc>
        <w:tc>
          <w:tcPr>
            <w:tcW w:w="132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108,646,741</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580" w:type="dxa"/>
            <w:vAlign w:val="bottom"/>
            <w:tcBorders>
              <w:top w:val="single" w:sz="8" w:color="auto"/>
              <w:bottom w:val="single" w:sz="8" w:color="auto"/>
            </w:tcBorders>
            <w:shd w:val="clear" w:color="auto" w:fill="E7E7E8"/>
          </w:tcPr>
          <w:p>
            <w:pPr>
              <w:spacing w:after="0"/>
              <w:rPr>
                <w:sz w:val="22"/>
                <w:szCs w:val="22"/>
                <w:color w:val="auto"/>
              </w:rPr>
            </w:pPr>
          </w:p>
        </w:tc>
        <w:tc>
          <w:tcPr>
            <w:tcW w:w="112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82,165,909</w:t>
            </w:r>
          </w:p>
        </w:tc>
      </w:tr>
      <w:tr>
        <w:trPr>
          <w:trHeight w:val="20"/>
        </w:trPr>
        <w:tc>
          <w:tcPr>
            <w:tcW w:w="424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r>
      <w:tr>
        <w:trPr>
          <w:trHeight w:val="42"/>
        </w:trPr>
        <w:tc>
          <w:tcPr>
            <w:tcW w:w="4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4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(loss) per share</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6"/>
                <w:szCs w:val="16"/>
                <w:color w:val="auto"/>
              </w:rPr>
              <w:t>Net income (loss) per share attributable to WillScot</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4240" w:type="dxa"/>
            <w:vAlign w:val="bottom"/>
          </w:tcPr>
          <w:p>
            <w:pPr>
              <w:ind w:left="220"/>
              <w:spacing w:after="0"/>
              <w:rPr>
                <w:sz w:val="20"/>
                <w:szCs w:val="20"/>
                <w:color w:val="auto"/>
              </w:rPr>
            </w:pPr>
            <w:r>
              <w:rPr>
                <w:rFonts w:ascii="Arial" w:cs="Arial" w:eastAsia="Arial" w:hAnsi="Arial"/>
                <w:sz w:val="16"/>
                <w:szCs w:val="16"/>
                <w:color w:val="auto"/>
              </w:rPr>
              <w:t>common shareholders - 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(0.48)</w:t>
            </w:r>
          </w:p>
        </w:tc>
      </w:tr>
      <w:tr>
        <w:trPr>
          <w:trHeight w:val="228"/>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income (loss) per share attributable to WillScot</w:t>
            </w:r>
          </w:p>
        </w:tc>
        <w:tc>
          <w:tcPr>
            <w:tcW w:w="38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r>
      <w:tr>
        <w:trPr>
          <w:trHeight w:val="214"/>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common shareholders - diluted</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E7E7E8"/>
          </w:tcPr>
          <w:p>
            <w:pPr>
              <w:spacing w:after="0"/>
              <w:rPr>
                <w:sz w:val="18"/>
                <w:szCs w:val="18"/>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31" w:name="page32"/>
    <w:bookmarkEnd w:id="31"/>
    <w:p>
      <w:pPr>
        <w:spacing w:after="0"/>
        <w:rPr>
          <w:sz w:val="20"/>
          <w:szCs w:val="20"/>
          <w:color w:val="auto"/>
        </w:rPr>
      </w:pPr>
      <w:r>
        <w:rPr>
          <w:rFonts w:ascii="Arial" w:cs="Arial" w:eastAsia="Arial" w:hAnsi="Arial"/>
          <w:sz w:val="23"/>
          <w:szCs w:val="23"/>
          <w:color w:val="008A5F"/>
        </w:rPr>
        <w:t>NOTE 18 - Related Parties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balances included in the Company’s consolidated balance sheet at September 30, 2019 and December 31, 2018,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120" w:type="dxa"/>
            <w:vAlign w:val="bottom"/>
            <w:shd w:val="clear" w:color="auto" w:fill="008A5F"/>
          </w:tcPr>
          <w:p>
            <w:pPr>
              <w:ind w:left="1840"/>
              <w:spacing w:after="0"/>
              <w:rPr>
                <w:sz w:val="20"/>
                <w:szCs w:val="20"/>
                <w:color w:val="auto"/>
              </w:rPr>
            </w:pPr>
            <w:r>
              <w:rPr>
                <w:rFonts w:ascii="Arial" w:cs="Arial" w:eastAsia="Arial" w:hAnsi="Arial"/>
                <w:sz w:val="16"/>
                <w:szCs w:val="16"/>
                <w:b w:val="1"/>
                <w:bCs w:val="1"/>
                <w:color w:val="FFFFFF"/>
              </w:rPr>
              <w:t>Financial statement line Item</w:t>
            </w:r>
          </w:p>
        </w:tc>
        <w:tc>
          <w:tcPr>
            <w:tcW w:w="1660" w:type="dxa"/>
            <w:vAlign w:val="bottom"/>
            <w:gridSpan w:val="3"/>
            <w:shd w:val="clear" w:color="auto" w:fill="008A5F"/>
          </w:tcPr>
          <w:p>
            <w:pPr>
              <w:ind w:left="20"/>
              <w:spacing w:after="0"/>
              <w:rPr>
                <w:sz w:val="20"/>
                <w:szCs w:val="20"/>
                <w:color w:val="auto"/>
              </w:rPr>
            </w:pPr>
            <w:r>
              <w:rPr>
                <w:rFonts w:ascii="Arial" w:cs="Arial" w:eastAsia="Arial" w:hAnsi="Arial"/>
                <w:sz w:val="16"/>
                <w:szCs w:val="16"/>
                <w:b w:val="1"/>
                <w:bCs w:val="1"/>
                <w:color w:val="FFFFFF"/>
              </w:rPr>
              <w:t>September 30, 2019</w:t>
            </w:r>
          </w:p>
        </w:tc>
        <w:tc>
          <w:tcPr>
            <w:tcW w:w="158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3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120" w:type="dxa"/>
            <w:vAlign w:val="bottom"/>
            <w:shd w:val="clear" w:color="auto" w:fill="E7E7E8"/>
          </w:tcPr>
          <w:p>
            <w:pPr>
              <w:ind w:left="800"/>
              <w:spacing w:after="0"/>
              <w:rPr>
                <w:sz w:val="20"/>
                <w:szCs w:val="20"/>
                <w:color w:val="auto"/>
              </w:rPr>
            </w:pPr>
            <w:r>
              <w:rPr>
                <w:rFonts w:ascii="Arial" w:cs="Arial" w:eastAsia="Arial" w:hAnsi="Arial"/>
                <w:sz w:val="16"/>
                <w:szCs w:val="16"/>
                <w:color w:val="auto"/>
              </w:rPr>
              <w:t>Prepaid expenses and other current assets</w:t>
            </w:r>
          </w:p>
        </w:tc>
        <w:tc>
          <w:tcPr>
            <w:tcW w:w="60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w:t>
            </w:r>
          </w:p>
        </w:tc>
        <w:tc>
          <w:tcPr>
            <w:tcW w:w="8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122</w:t>
            </w:r>
          </w:p>
        </w:tc>
      </w:tr>
      <w:tr>
        <w:trPr>
          <w:trHeight w:val="237"/>
        </w:trPr>
        <w:tc>
          <w:tcPr>
            <w:tcW w:w="3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p>
        </w:tc>
        <w:tc>
          <w:tcPr>
            <w:tcW w:w="5120" w:type="dxa"/>
            <w:vAlign w:val="bottom"/>
            <w:tcBorders>
              <w:bottom w:val="single" w:sz="8" w:color="E7E7E8"/>
            </w:tcBorders>
          </w:tcPr>
          <w:p>
            <w:pPr>
              <w:ind w:left="800"/>
              <w:spacing w:after="0"/>
              <w:rPr>
                <w:sz w:val="20"/>
                <w:szCs w:val="20"/>
                <w:color w:val="auto"/>
              </w:rPr>
            </w:pPr>
            <w:r>
              <w:rPr>
                <w:rFonts w:ascii="Arial" w:cs="Arial" w:eastAsia="Arial" w:hAnsi="Arial"/>
                <w:sz w:val="16"/>
                <w:szCs w:val="16"/>
                <w:color w:val="auto"/>
              </w:rPr>
              <w:t>Accrued liabilities</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8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(1,379)</w:t>
            </w:r>
          </w:p>
        </w:tc>
      </w:tr>
      <w:tr>
        <w:trPr>
          <w:trHeight w:val="262"/>
        </w:trPr>
        <w:tc>
          <w:tcPr>
            <w:tcW w:w="3040" w:type="dxa"/>
            <w:vAlign w:val="bottom"/>
            <w:tcBorders>
              <w:bottom w:val="single" w:sz="8" w:color="E7E7E8"/>
            </w:tcBorders>
            <w:shd w:val="clear" w:color="auto" w:fill="E7E7E8"/>
          </w:tcPr>
          <w:p>
            <w:pPr>
              <w:spacing w:after="0"/>
              <w:rPr>
                <w:sz w:val="22"/>
                <w:szCs w:val="22"/>
                <w:color w:val="auto"/>
              </w:rPr>
            </w:pPr>
          </w:p>
        </w:tc>
        <w:tc>
          <w:tcPr>
            <w:tcW w:w="5120" w:type="dxa"/>
            <w:vAlign w:val="bottom"/>
            <w:tcBorders>
              <w:bottom w:val="single" w:sz="8" w:color="E7E7E8"/>
            </w:tcBorders>
            <w:shd w:val="clear" w:color="auto" w:fill="E7E7E8"/>
          </w:tcPr>
          <w:p>
            <w:pPr>
              <w:ind w:left="800"/>
              <w:spacing w:after="0"/>
              <w:rPr>
                <w:sz w:val="20"/>
                <w:szCs w:val="20"/>
                <w:color w:val="auto"/>
              </w:rPr>
            </w:pPr>
            <w:r>
              <w:rPr>
                <w:rFonts w:ascii="Arial" w:cs="Arial" w:eastAsia="Arial" w:hAnsi="Arial"/>
                <w:sz w:val="16"/>
                <w:szCs w:val="16"/>
                <w:color w:val="auto"/>
              </w:rPr>
              <w:t>Total related party liabilities, net</w:t>
            </w:r>
          </w:p>
        </w:tc>
        <w:tc>
          <w:tcPr>
            <w:tcW w:w="60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E7E7E8"/>
            </w:tcBorders>
            <w:shd w:val="clear" w:color="auto" w:fill="E7E7E8"/>
          </w:tcPr>
          <w:p>
            <w:pPr>
              <w:spacing w:after="0"/>
              <w:rPr>
                <w:sz w:val="22"/>
                <w:szCs w:val="22"/>
                <w:color w:val="auto"/>
              </w:rPr>
            </w:pPr>
          </w:p>
        </w:tc>
        <w:tc>
          <w:tcPr>
            <w:tcW w:w="54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(1,257)</w:t>
            </w:r>
          </w:p>
        </w:tc>
      </w:tr>
      <w:tr>
        <w:trPr>
          <w:trHeight w:val="20"/>
        </w:trPr>
        <w:tc>
          <w:tcPr>
            <w:tcW w:w="3040" w:type="dxa"/>
            <w:vAlign w:val="bottom"/>
            <w:tcBorders>
              <w:top w:val="single" w:sz="8" w:color="E7E7E8"/>
            </w:tcBorders>
          </w:tcPr>
          <w:p>
            <w:pPr>
              <w:spacing w:after="0" w:line="20" w:lineRule="exact"/>
              <w:rPr>
                <w:sz w:val="1"/>
                <w:szCs w:val="1"/>
                <w:color w:val="auto"/>
              </w:rPr>
            </w:pPr>
          </w:p>
        </w:tc>
        <w:tc>
          <w:tcPr>
            <w:tcW w:w="5120" w:type="dxa"/>
            <w:vAlign w:val="bottom"/>
            <w:tcBorders>
              <w:top w:val="single" w:sz="8" w:color="E7E7E8"/>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54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the Algeco Group entered into a transition services agreement (the “TSA”). The Company had $0.1 million in receivables due from affiliates pertaining to the TSA at December 31, 2018.</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was reimbursed $0.4 million by an affiliate for claims paid under an insurance program during the nine months ended September 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accrued expenses of $1.2 million at December 31, 2018, included in amounts due to affiliates, related to rental equipment purchases from an affiliate of the Algeco Group.</w:t>
      </w:r>
    </w:p>
    <w:p>
      <w:pPr>
        <w:spacing w:after="0" w:line="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three and nine months ended September 30, 2019 and 2018, respectively,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80" w:type="dxa"/>
            <w:vAlign w:val="bottom"/>
            <w:shd w:val="clear" w:color="auto" w:fill="008A5F"/>
          </w:tcPr>
          <w:p>
            <w:pPr>
              <w:spacing w:after="0"/>
              <w:rPr>
                <w:sz w:val="17"/>
                <w:szCs w:val="17"/>
                <w:color w:val="auto"/>
              </w:rPr>
            </w:pPr>
          </w:p>
        </w:tc>
        <w:tc>
          <w:tcPr>
            <w:tcW w:w="232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3020" w:type="dxa"/>
            <w:vAlign w:val="bottom"/>
            <w:gridSpan w:val="3"/>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c>
          <w:tcPr>
            <w:tcW w:w="500" w:type="dxa"/>
            <w:vAlign w:val="bottom"/>
            <w:shd w:val="clear" w:color="auto" w:fill="008A5F"/>
          </w:tcPr>
          <w:p>
            <w:pPr>
              <w:spacing w:after="0"/>
              <w:rPr>
                <w:sz w:val="17"/>
                <w:szCs w:val="17"/>
                <w:color w:val="auto"/>
              </w:rPr>
            </w:pPr>
          </w:p>
        </w:tc>
        <w:tc>
          <w:tcPr>
            <w:tcW w:w="3020" w:type="dxa"/>
            <w:vAlign w:val="bottom"/>
            <w:gridSpan w:val="3"/>
            <w:shd w:val="clear" w:color="auto" w:fill="008A5F"/>
          </w:tcPr>
          <w:p>
            <w:pPr>
              <w:jc w:val="right"/>
              <w:ind w:right="85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2180" w:type="dxa"/>
            <w:vAlign w:val="bottom"/>
            <w:shd w:val="clear" w:color="auto" w:fill="008A5F"/>
          </w:tcPr>
          <w:p>
            <w:pPr>
              <w:spacing w:after="0"/>
              <w:rPr>
                <w:sz w:val="18"/>
                <w:szCs w:val="18"/>
                <w:color w:val="auto"/>
              </w:rPr>
            </w:pPr>
          </w:p>
        </w:tc>
        <w:tc>
          <w:tcPr>
            <w:tcW w:w="232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96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008A5F"/>
          </w:tcPr>
          <w:p>
            <w:pPr>
              <w:spacing w:after="0"/>
              <w:rPr>
                <w:sz w:val="18"/>
                <w:szCs w:val="18"/>
                <w:color w:val="auto"/>
              </w:rPr>
            </w:pPr>
          </w:p>
        </w:tc>
        <w:tc>
          <w:tcPr>
            <w:tcW w:w="500" w:type="dxa"/>
            <w:vAlign w:val="bottom"/>
            <w:shd w:val="clear" w:color="auto" w:fill="008A5F"/>
          </w:tcPr>
          <w:p>
            <w:pPr>
              <w:spacing w:after="0"/>
              <w:rPr>
                <w:sz w:val="18"/>
                <w:szCs w:val="18"/>
                <w:color w:val="auto"/>
              </w:rPr>
            </w:pPr>
          </w:p>
        </w:tc>
        <w:tc>
          <w:tcPr>
            <w:tcW w:w="196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008A5F"/>
          </w:tcPr>
          <w:p>
            <w:pPr>
              <w:spacing w:after="0"/>
              <w:rPr>
                <w:sz w:val="18"/>
                <w:szCs w:val="18"/>
                <w:color w:val="auto"/>
              </w:rPr>
            </w:pPr>
          </w:p>
        </w:tc>
      </w:tr>
      <w:tr>
        <w:trPr>
          <w:trHeight w:val="263"/>
        </w:trPr>
        <w:tc>
          <w:tcPr>
            <w:tcW w:w="21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32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Financial statement line item</w:t>
            </w:r>
          </w:p>
        </w:tc>
        <w:tc>
          <w:tcPr>
            <w:tcW w:w="36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700" w:type="dxa"/>
            <w:vAlign w:val="bottom"/>
            <w:shd w:val="clear" w:color="auto" w:fill="008A5F"/>
          </w:tcPr>
          <w:p>
            <w:pPr>
              <w:spacing w:after="0"/>
              <w:rPr>
                <w:sz w:val="22"/>
                <w:szCs w:val="22"/>
                <w:color w:val="auto"/>
              </w:rPr>
            </w:pPr>
          </w:p>
        </w:tc>
        <w:tc>
          <w:tcPr>
            <w:tcW w:w="10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50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700" w:type="dxa"/>
            <w:vAlign w:val="bottom"/>
            <w:shd w:val="clear" w:color="auto" w:fill="008A5F"/>
          </w:tcPr>
          <w:p>
            <w:pPr>
              <w:spacing w:after="0"/>
              <w:rPr>
                <w:sz w:val="22"/>
                <w:szCs w:val="22"/>
                <w:color w:val="auto"/>
              </w:rPr>
            </w:pPr>
          </w:p>
        </w:tc>
        <w:tc>
          <w:tcPr>
            <w:tcW w:w="10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18"/>
        </w:trPr>
        <w:tc>
          <w:tcPr>
            <w:tcW w:w="45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Leasing revenue from related Modular leasing revenue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81</w:t>
            </w:r>
          </w:p>
        </w:tc>
        <w:tc>
          <w:tcPr>
            <w:tcW w:w="7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104</w:t>
            </w:r>
          </w:p>
        </w:tc>
        <w:tc>
          <w:tcPr>
            <w:tcW w:w="5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232</w:t>
            </w:r>
          </w:p>
        </w:tc>
        <w:tc>
          <w:tcPr>
            <w:tcW w:w="7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629</w:t>
            </w:r>
          </w:p>
        </w:tc>
      </w:tr>
      <w:tr>
        <w:trPr>
          <w:trHeight w:val="214"/>
        </w:trPr>
        <w:tc>
          <w:tcPr>
            <w:tcW w:w="2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parties</w:t>
            </w:r>
          </w:p>
        </w:tc>
        <w:tc>
          <w:tcPr>
            <w:tcW w:w="232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r>
      <w:tr>
        <w:trPr>
          <w:trHeight w:val="218"/>
        </w:trPr>
        <w:tc>
          <w:tcPr>
            <w:tcW w:w="2180" w:type="dxa"/>
            <w:vAlign w:val="bottom"/>
          </w:tcPr>
          <w:p>
            <w:pPr>
              <w:ind w:left="20"/>
              <w:spacing w:after="0"/>
              <w:rPr>
                <w:sz w:val="20"/>
                <w:szCs w:val="20"/>
                <w:color w:val="auto"/>
              </w:rPr>
            </w:pPr>
            <w:r>
              <w:rPr>
                <w:rFonts w:ascii="Arial" w:cs="Arial" w:eastAsia="Arial" w:hAnsi="Arial"/>
                <w:sz w:val="16"/>
                <w:szCs w:val="16"/>
                <w:color w:val="auto"/>
              </w:rPr>
              <w:t>Rental unit sales to related</w:t>
            </w:r>
          </w:p>
        </w:tc>
        <w:tc>
          <w:tcPr>
            <w:tcW w:w="2320" w:type="dxa"/>
            <w:vAlign w:val="bottom"/>
          </w:tcPr>
          <w:p>
            <w:pPr>
              <w:ind w:left="20"/>
              <w:spacing w:after="0"/>
              <w:rPr>
                <w:sz w:val="20"/>
                <w:szCs w:val="20"/>
                <w:color w:val="auto"/>
              </w:rPr>
            </w:pPr>
            <w:r>
              <w:rPr>
                <w:rFonts w:ascii="Arial" w:cs="Arial" w:eastAsia="Arial" w:hAnsi="Arial"/>
                <w:sz w:val="16"/>
                <w:szCs w:val="16"/>
                <w:color w:val="auto"/>
              </w:rPr>
              <w:t>Rental unit sales</w:t>
            </w: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1,548</w:t>
            </w:r>
          </w:p>
        </w:tc>
        <w:tc>
          <w:tcPr>
            <w:tcW w:w="5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1,548</w:t>
            </w:r>
          </w:p>
        </w:tc>
      </w:tr>
      <w:tr>
        <w:trPr>
          <w:trHeight w:val="208"/>
        </w:trPr>
        <w:tc>
          <w:tcPr>
            <w:tcW w:w="21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parties</w:t>
            </w:r>
          </w:p>
        </w:tc>
        <w:tc>
          <w:tcPr>
            <w:tcW w:w="2320" w:type="dxa"/>
            <w:vAlign w:val="bottom"/>
            <w:tcBorders>
              <w:bottom w:val="single" w:sz="8" w:color="E7E7E8"/>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43"/>
        </w:trPr>
        <w:tc>
          <w:tcPr>
            <w:tcW w:w="2180" w:type="dxa"/>
            <w:vAlign w:val="bottom"/>
            <w:shd w:val="clear" w:color="auto" w:fill="E7E7E8"/>
          </w:tcPr>
          <w:p>
            <w:pPr>
              <w:spacing w:after="0"/>
              <w:rPr>
                <w:sz w:val="21"/>
                <w:szCs w:val="21"/>
                <w:color w:val="auto"/>
              </w:rPr>
            </w:pPr>
          </w:p>
        </w:tc>
        <w:tc>
          <w:tcPr>
            <w:tcW w:w="2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related party income, net</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81</w:t>
            </w:r>
          </w:p>
        </w:tc>
        <w:tc>
          <w:tcPr>
            <w:tcW w:w="7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1,652</w:t>
            </w:r>
          </w:p>
        </w:tc>
        <w:tc>
          <w:tcPr>
            <w:tcW w:w="5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232</w:t>
            </w:r>
          </w:p>
        </w:tc>
        <w:tc>
          <w:tcPr>
            <w:tcW w:w="7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2,177</w:t>
            </w:r>
          </w:p>
        </w:tc>
      </w:tr>
    </w:tbl>
    <w:p>
      <w:pPr>
        <w:spacing w:after="0" w:line="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$1.1 million and $1.2 million for three months ended September 30, 2019 and 2018, respectively, and $4.3 million and $3.0 million during the nine months ended September 30, 2019 and 2018, respectively.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paid $0.6 million and $0.1 million in professional fees to an entity for which two of the Company’s Directors also served in the same role for that entity, during the three months ended September 30, 2019 and 2018, respectively, and $1.2 million and $1.1 million during the nine months ended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32" w:name="page33"/>
    <w:bookmarkEnd w:id="32"/>
    <w:p>
      <w:pPr>
        <w:ind w:left="1960" w:right="100" w:hanging="1944"/>
        <w:spacing w:after="0" w:line="269" w:lineRule="auto"/>
        <w:rPr>
          <w:sz w:val="20"/>
          <w:szCs w:val="20"/>
          <w:color w:val="auto"/>
        </w:rPr>
      </w:pPr>
      <w:r>
        <w:rPr>
          <w:rFonts w:ascii="Arial" w:cs="Arial" w:eastAsia="Arial" w:hAnsi="Arial"/>
          <w:sz w:val="40"/>
          <w:szCs w:val="40"/>
          <w:b w:val="1"/>
          <w:bCs w:val="1"/>
          <w:color w:val="auto"/>
        </w:rPr>
        <w:t>ITEM 2. Management’s Discussion and Analysis of Financial Condition and Results of Operations</w:t>
      </w:r>
    </w:p>
    <w:p>
      <w:pPr>
        <w:spacing w:after="0" w:line="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("WillScot"), our operations and our present business environment. Unless the context otherwise requires, “we,” “us,” “our” and the “Company” refers to WillScot and its subsidiaries. MD&amp;A is provided as a supplement to, and should be read in conjunction with, our financial statements and the accompanying notes thereto, contained in Part I, Item 1 of this report.</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 and Outlook</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the leading provider of modular space and portable storage solutions in the United States (“US”), Canada and Mexico. As of September 30, 2019, our branch network included over 120 locations and additional storage lots to service more than 50,000 customers across the US, Canada and Mexico. We offer our customers an extensive selection of “Ready to Work” modular space and portable storage solutions and now manage a fleet of approximately 130,000 modular space units and over 26,000 portable storage units. We remain focused on our core priorities of growing modular leasing revenues by increasing modular space units on rent, both organically and through our consolidation strategy, delivering “Ready to Work” solutions to our customers with value added products and services ("VAPS"), and continually improving the overall customer experience.</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Since the end of 2017, we have complemented our already strong organic growth by acquiring and integrating regional and national competitors in Acton Mobile Holdings LLC (“Acton”) (acquired in December 2017) and Modular Space Holdings, Inc. ("ModSpace") (acquired in August 2018). The remaining integration activities for these acquisitions as of September 30, 2019 primarily consist of continued real estate exits and the related fleet relocations required to exit these properties. As of September 30, 2019, we have completed approximately 75% of our planned real estate exits, and the remaining exits will continue during the remainder of 2019 and into 2020. Five held for sale properties were sold during the three months ended September 30, 2019 for net proceeds of $4.3 million. For the nine months ended September 30, 2019, total net sale proceeds from held for sale properties were $12.9 million. These exits, along with other integration actions taken, have allowed us to realize approximately $31.2 million of cumulative synergies from these acquisitions. Approximately 70% of the estimated annualized cost synergies from the acquisitions of $70.0 million were in our run rate as of September 30, 2019. These acquisitions, coupled with WillScot's innovative "Ready to Work" solutions and commitment to customer service, have solidified WillScot's market leading position.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September 30, 2019, key drivers of financial performance included:</w:t>
      </w:r>
    </w:p>
    <w:p>
      <w:pPr>
        <w:spacing w:after="0" w:line="59" w:lineRule="exact"/>
        <w:rPr>
          <w:sz w:val="20"/>
          <w:szCs w:val="20"/>
          <w:color w:val="auto"/>
        </w:rPr>
      </w:pPr>
    </w:p>
    <w:p>
      <w:pPr>
        <w:jc w:val="both"/>
        <w:ind w:left="1300" w:hanging="320"/>
        <w:spacing w:after="0" w:line="250"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revenues increased by $53.4 million, or 24.4%, as compared to the same period in 2018, driven by a $64.7 million, or 34.3% increase in our core leasing and services revenues from both organic pricing growth, and the impact of an additional 1.5 months of contribution from the ModSpace acquisition in the third quarter of 2019. Increases in our core leasing and services revenues were partially offset by new and rental unit sales which decreased by $9.4 million, or 45.0% and by $2.0 million, or 20.8%, respectively, driven by large sales originating from ModSpace that were completed subsequent to the acquisition in the third quarter of 2018 that did not reoccur in 2019.</w:t>
      </w:r>
    </w:p>
    <w:p>
      <w:pPr>
        <w:spacing w:after="0" w:line="41"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Consolidated modular space average monthly rental rate increased to $630 representing a 12.3% increase year over year.</w:t>
      </w:r>
    </w:p>
    <w:p>
      <w:pPr>
        <w:spacing w:after="0" w:line="59" w:lineRule="exact"/>
        <w:rPr>
          <w:rFonts w:ascii="Arial" w:cs="Arial" w:eastAsia="Arial" w:hAnsi="Arial"/>
          <w:sz w:val="16"/>
          <w:szCs w:val="16"/>
          <w:color w:val="auto"/>
        </w:rPr>
      </w:pPr>
    </w:p>
    <w:p>
      <w:pPr>
        <w:ind w:left="1960" w:hanging="324"/>
        <w:spacing w:after="0" w:line="253" w:lineRule="auto"/>
        <w:rPr>
          <w:rFonts w:ascii="Arial" w:cs="Arial" w:eastAsia="Arial" w:hAnsi="Arial"/>
          <w:sz w:val="16"/>
          <w:szCs w:val="16"/>
          <w:color w:val="auto"/>
        </w:rPr>
      </w:pPr>
      <w:r>
        <w:rPr>
          <w:rFonts w:ascii="Arial" w:cs="Arial" w:eastAsia="Arial" w:hAnsi="Arial"/>
          <w:sz w:val="16"/>
          <w:szCs w:val="16"/>
          <w:color w:val="auto"/>
        </w:rPr>
        <w:t>– Consolidated average modular space units on rent increased 15,820 or 21.0% year over year, driven by an additional 1.5 months of contribution from the ModSpace acquisition, and average modular space utilization decreased 60 basis points (“bps”) year over year to 71.2%.</w:t>
      </w:r>
    </w:p>
    <w:p>
      <w:pPr>
        <w:spacing w:after="0" w:line="39"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 pro forma basis, including results of WillScot and ModSpace for all periods presented,</w:t>
      </w:r>
    </w:p>
    <w:p>
      <w:pPr>
        <w:spacing w:after="0" w:line="45" w:lineRule="exact"/>
        <w:rPr>
          <w:rFonts w:ascii="Arial" w:cs="Arial" w:eastAsia="Arial" w:hAnsi="Arial"/>
          <w:sz w:val="16"/>
          <w:szCs w:val="16"/>
          <w:color w:val="auto"/>
        </w:rPr>
      </w:pPr>
    </w:p>
    <w:p>
      <w:pPr>
        <w:ind w:left="1960" w:hanging="324"/>
        <w:spacing w:after="0" w:line="253" w:lineRule="auto"/>
        <w:rPr>
          <w:rFonts w:ascii="Arial" w:cs="Arial" w:eastAsia="Arial" w:hAnsi="Arial"/>
          <w:sz w:val="16"/>
          <w:szCs w:val="16"/>
          <w:color w:val="auto"/>
        </w:rPr>
      </w:pPr>
      <w:r>
        <w:rPr>
          <w:rFonts w:ascii="Arial" w:cs="Arial" w:eastAsia="Arial" w:hAnsi="Arial"/>
          <w:sz w:val="16"/>
          <w:szCs w:val="16"/>
          <w:color w:val="auto"/>
        </w:rPr>
        <w:t>– Modular leasing revenues increased $14.0 million, or 7.9%, driven by a 13.9% year over year increase in modular space average monthly rental rates as a result of our price optimization tools and processes, as well as by continued growth in our “Ready to Work” solutions and increased VAPS penetration across our customer base.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33" w:name="page34"/>
    <w:bookmarkEnd w:id="33"/>
    <w:p>
      <w:pPr>
        <w:ind w:left="1960" w:hanging="324"/>
        <w:spacing w:after="0" w:line="260" w:lineRule="auto"/>
        <w:rPr>
          <w:sz w:val="20"/>
          <w:szCs w:val="20"/>
          <w:color w:val="auto"/>
        </w:rPr>
      </w:pPr>
      <w:r>
        <w:rPr>
          <w:rFonts w:ascii="Arial" w:cs="Arial" w:eastAsia="Arial" w:hAnsi="Arial"/>
          <w:sz w:val="16"/>
          <w:szCs w:val="16"/>
          <w:color w:val="auto"/>
        </w:rPr>
        <w:t>– Sales revenue declined $41.0 million driven primarily by one large new sale recognized in 2018 from ModSpace related to hurricane relief in the amount of $26.3 million in our Modular - US segment.</w:t>
      </w:r>
    </w:p>
    <w:p>
      <w:pPr>
        <w:spacing w:after="0" w:line="33" w:lineRule="exact"/>
        <w:rPr>
          <w:sz w:val="20"/>
          <w:szCs w:val="20"/>
          <w:color w:val="auto"/>
        </w:rPr>
      </w:pPr>
    </w:p>
    <w:p>
      <w:pPr>
        <w:ind w:left="1960" w:right="500" w:hanging="324"/>
        <w:spacing w:after="0" w:line="260" w:lineRule="auto"/>
        <w:rPr>
          <w:sz w:val="20"/>
          <w:szCs w:val="20"/>
          <w:color w:val="auto"/>
        </w:rPr>
      </w:pPr>
      <w:r>
        <w:rPr>
          <w:rFonts w:ascii="Arial" w:cs="Arial" w:eastAsia="Arial" w:hAnsi="Arial"/>
          <w:sz w:val="16"/>
          <w:szCs w:val="16"/>
          <w:color w:val="auto"/>
        </w:rPr>
        <w:t>– Total revenues decreased $28.3 million, or 9.4%, as the impact of non-recurring sales in the prior year offset continued strong growth in our core leasing revenues.</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6"/>
          <w:szCs w:val="16"/>
          <w:color w:val="auto"/>
        </w:rPr>
        <w:t>Modular space units on rent decreased 5.2% year over year, and utilization decreased 150 bps.</w:t>
      </w:r>
    </w:p>
    <w:p>
      <w:pPr>
        <w:spacing w:after="0" w:line="52" w:lineRule="exact"/>
        <w:rPr>
          <w:sz w:val="20"/>
          <w:szCs w:val="20"/>
          <w:color w:val="auto"/>
        </w:rPr>
      </w:pPr>
    </w:p>
    <w:p>
      <w:pPr>
        <w:ind w:left="1300" w:hanging="320"/>
        <w:spacing w:after="0" w:line="26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Modular - US segment revenues, which represented 91.0% of revenue for the three months ended September 30, 2019, increased by $50.1 million, or 25.4%, as compared to the same period in 2018, through:</w:t>
      </w:r>
    </w:p>
    <w:p>
      <w:pPr>
        <w:spacing w:after="0" w:line="33" w:lineRule="exact"/>
        <w:rPr>
          <w:rFonts w:ascii="Arial" w:cs="Arial" w:eastAsia="Arial" w:hAnsi="Arial"/>
          <w:sz w:val="16"/>
          <w:szCs w:val="16"/>
          <w:color w:val="auto"/>
        </w:rPr>
      </w:pPr>
    </w:p>
    <w:p>
      <w:pPr>
        <w:ind w:left="1960" w:hanging="324"/>
        <w:spacing w:after="0" w:line="253" w:lineRule="auto"/>
        <w:rPr>
          <w:rFonts w:ascii="Arial" w:cs="Arial" w:eastAsia="Arial" w:hAnsi="Arial"/>
          <w:sz w:val="16"/>
          <w:szCs w:val="16"/>
          <w:color w:val="auto"/>
        </w:rPr>
      </w:pPr>
      <w:r>
        <w:rPr>
          <w:rFonts w:ascii="Arial" w:cs="Arial" w:eastAsia="Arial" w:hAnsi="Arial"/>
          <w:sz w:val="16"/>
          <w:szCs w:val="16"/>
          <w:color w:val="auto"/>
        </w:rPr>
        <w:t>– Modular space average monthly rental rate of $632, increased 13.1% year over year including the dilutive impacts of acquisitions. Improved pricing was driven by a combination of our price optimization tools and processes, as well as by continued growth in our “Ready to Work” solutions and increased VAPS penetration across our customer base.</w:t>
      </w:r>
    </w:p>
    <w:p>
      <w:pPr>
        <w:spacing w:after="0" w:line="39" w:lineRule="exact"/>
        <w:rPr>
          <w:rFonts w:ascii="Arial" w:cs="Arial" w:eastAsia="Arial" w:hAnsi="Arial"/>
          <w:sz w:val="16"/>
          <w:szCs w:val="16"/>
          <w:color w:val="auto"/>
        </w:rPr>
      </w:pPr>
    </w:p>
    <w:p>
      <w:pPr>
        <w:ind w:left="196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14,075, or a 20.7% year over year increase, due to the impact of an additional 1.5 months of contribution from the ModSpace acquisition in the third quarter of 2019.</w:t>
      </w:r>
    </w:p>
    <w:p>
      <w:pPr>
        <w:spacing w:after="0" w:line="33" w:lineRule="exact"/>
        <w:rPr>
          <w:rFonts w:ascii="Arial" w:cs="Arial" w:eastAsia="Arial" w:hAnsi="Arial"/>
          <w:sz w:val="16"/>
          <w:szCs w:val="16"/>
          <w:color w:val="auto"/>
        </w:rPr>
      </w:pPr>
    </w:p>
    <w:p>
      <w:pPr>
        <w:ind w:left="196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decreased 60 bps to 73.2% for the three months ended September 30, 2019, as compared to the three months ended September 30, 2018.</w:t>
      </w:r>
    </w:p>
    <w:p>
      <w:pPr>
        <w:spacing w:after="0" w:line="33" w:lineRule="exact"/>
        <w:rPr>
          <w:rFonts w:ascii="Arial" w:cs="Arial" w:eastAsia="Arial" w:hAnsi="Arial"/>
          <w:sz w:val="16"/>
          <w:szCs w:val="16"/>
          <w:color w:val="auto"/>
        </w:rPr>
      </w:pPr>
    </w:p>
    <w:p>
      <w:pPr>
        <w:ind w:left="1960" w:hanging="324"/>
        <w:spacing w:after="0" w:line="251"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and ModSpace for all periods presented, average modular space monthly rental rate increased 15.1% year over year, which is the eighth consecutive quarter of double digit growth. Average modular space units on rent and utilization declined 1.5% and 90 bps, respectively, for the three months ended September 30, 2019 versus the second quarter of 2019.</w:t>
      </w:r>
    </w:p>
    <w:p>
      <w:pPr>
        <w:spacing w:after="0" w:line="40"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Modular - Other North America segment revenues which represented 9.0% of revenues for the three months ended September 30, 2019, increased by $3.3 million, or 15.5% as compared to the same period in 2018. Increases were driven primarily by:</w:t>
      </w:r>
    </w:p>
    <w:p>
      <w:pPr>
        <w:spacing w:after="0" w:line="33"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5.3% to $618.</w:t>
      </w:r>
    </w:p>
    <w:p>
      <w:pPr>
        <w:spacing w:after="0" w:line="59" w:lineRule="exact"/>
        <w:rPr>
          <w:rFonts w:ascii="Arial" w:cs="Arial" w:eastAsia="Arial" w:hAnsi="Arial"/>
          <w:sz w:val="16"/>
          <w:szCs w:val="16"/>
          <w:color w:val="auto"/>
        </w:rPr>
      </w:pPr>
    </w:p>
    <w:p>
      <w:pPr>
        <w:ind w:left="196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by 1,745 units, or 23.5% as compared to the same period in 2018 due to the impact of an additional 1.5 months of contribution from the ModSpace acquisition the third quarter of 2019.</w:t>
      </w:r>
    </w:p>
    <w:p>
      <w:pPr>
        <w:spacing w:after="0" w:line="33"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decreased by 10 bps as compared to the same period in 2018 to 57.2%.</w:t>
      </w:r>
    </w:p>
    <w:p>
      <w:pPr>
        <w:spacing w:after="0" w:line="59" w:lineRule="exact"/>
        <w:rPr>
          <w:rFonts w:ascii="Arial" w:cs="Arial" w:eastAsia="Arial" w:hAnsi="Arial"/>
          <w:sz w:val="16"/>
          <w:szCs w:val="16"/>
          <w:color w:val="auto"/>
        </w:rPr>
      </w:pPr>
    </w:p>
    <w:p>
      <w:pPr>
        <w:ind w:left="1960" w:hanging="324"/>
        <w:spacing w:after="0" w:line="253"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and ModSpace for all periods presented, average modular space monthly rental rate increased 6.4% year over year. Average modular space units on rent and utilization increased 1.7% and 90 bps, respectively, for the three months ended September 30, 2019 versus the second quarter of 2019.</w:t>
      </w:r>
    </w:p>
    <w:p>
      <w:pPr>
        <w:spacing w:after="0" w:line="39" w:lineRule="exact"/>
        <w:rPr>
          <w:rFonts w:ascii="Arial" w:cs="Arial" w:eastAsia="Arial" w:hAnsi="Arial"/>
          <w:sz w:val="16"/>
          <w:szCs w:val="16"/>
          <w:color w:val="auto"/>
        </w:rPr>
      </w:pPr>
    </w:p>
    <w:p>
      <w:pPr>
        <w:jc w:val="both"/>
        <w:ind w:left="1300" w:hanging="320"/>
        <w:spacing w:after="0" w:line="253" w:lineRule="auto"/>
        <w:tabs>
          <w:tab w:leader="none" w:pos="1289"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Generated consolidated net income of $0.8 million for the three months ended September 30, 2019, which included $7.5 million of discrete costs expensed in the period related to the ModSpace integration, including $5.5 million of integration costs and $2.0 million of restructuring cost.</w:t>
      </w:r>
    </w:p>
    <w:p>
      <w:pPr>
        <w:spacing w:after="0" w:line="39" w:lineRule="exact"/>
        <w:rPr>
          <w:rFonts w:ascii="Arial" w:cs="Arial" w:eastAsia="Arial" w:hAnsi="Arial"/>
          <w:sz w:val="16"/>
          <w:szCs w:val="16"/>
          <w:b w:val="1"/>
          <w:bCs w:val="1"/>
          <w:color w:val="auto"/>
        </w:rPr>
      </w:pPr>
    </w:p>
    <w:p>
      <w:pPr>
        <w:jc w:val="both"/>
        <w:ind w:left="1300" w:hanging="320"/>
        <w:spacing w:after="0" w:line="25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Generated Adjusted EBITDA of $88.4 million for the three months ended September 30, 2019, representing an increase of $23.8 million or 36.8% as compared to the same period in 2018, which includes the impact of an additional 1.5 months of contribution from the ModSpace acquisition in the third quarter of 2019, as well as continued realization of commercial and cost synergies associated with the ModSpace and Acton acquisitions. Adjusted EBITDA for the Modular - US segment and the Modular - Other North America segment, respectively, was $80.4 million and $8.0 million for the three months ended September 30, 2019.</w:t>
      </w:r>
    </w:p>
    <w:p>
      <w:pPr>
        <w:spacing w:after="0" w:line="41" w:lineRule="exact"/>
        <w:rPr>
          <w:rFonts w:ascii="Arial" w:cs="Arial" w:eastAsia="Arial" w:hAnsi="Arial"/>
          <w:sz w:val="16"/>
          <w:szCs w:val="16"/>
          <w:color w:val="auto"/>
        </w:rPr>
      </w:pPr>
    </w:p>
    <w:p>
      <w:pPr>
        <w:jc w:val="both"/>
        <w:ind w:left="1300" w:hanging="320"/>
        <w:spacing w:after="0" w:line="253"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Generated Free Cash Flow of $1.3 million for the three months ended September 30, 2019, as net cash provided by operating activities of $39.0 million was reinvested primarily in value added products and fleet refurbishments to support growth of modular leasing revenues (net cash used in investing activities of $37.8 million).</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customers operate in a diversified set of end-markets,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80% of our revenues in the three months ended September 30, 2019. We believe market fundamentals underlying these markets remain favorable, and we expect continued modest market growth in the next several years. As a result of the potential for increased capital spending due to tax reform in the US, discussions of increased infrastructure spending, and rebuilding in areas impacted by natural disasters in 2017 and 2018 across the US, we are confident that we will continue to see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34" w:name="page35"/>
    <w:bookmarkEnd w:id="34"/>
    <w:p>
      <w:pPr>
        <w:spacing w:after="0"/>
        <w:rPr>
          <w:sz w:val="20"/>
          <w:szCs w:val="20"/>
          <w:color w:val="auto"/>
        </w:rPr>
      </w:pPr>
      <w:r>
        <w:rPr>
          <w:rFonts w:ascii="Arial" w:cs="Arial" w:eastAsia="Arial" w:hAnsi="Arial"/>
          <w:sz w:val="23"/>
          <w:szCs w:val="23"/>
          <w:color w:val="008A5F"/>
        </w:rPr>
        <w:t>Consolidated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Compared to the Three Months Ended September 30,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6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three months ended September 30, 2019 and 2018 are presented below:</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21"/>
                <w:szCs w:val="21"/>
                <w:color w:val="auto"/>
              </w:rPr>
            </w:pPr>
          </w:p>
        </w:tc>
        <w:tc>
          <w:tcPr>
            <w:tcW w:w="3100" w:type="dxa"/>
            <w:vAlign w:val="bottom"/>
            <w:gridSpan w:val="5"/>
            <w:shd w:val="clear" w:color="auto" w:fill="008A5F"/>
          </w:tcPr>
          <w:p>
            <w:pPr>
              <w:ind w:left="80"/>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2019 vs. 2018 $</w:t>
            </w:r>
          </w:p>
        </w:tc>
        <w:tc>
          <w:tcPr>
            <w:tcW w:w="0" w:type="dxa"/>
            <w:vAlign w:val="bottom"/>
          </w:tcPr>
          <w:p>
            <w:pPr>
              <w:spacing w:after="0"/>
              <w:rPr>
                <w:sz w:val="1"/>
                <w:szCs w:val="1"/>
                <w:color w:val="auto"/>
              </w:rPr>
            </w:pPr>
          </w:p>
        </w:tc>
      </w:tr>
      <w:tr>
        <w:trPr>
          <w:trHeight w:val="215"/>
        </w:trPr>
        <w:tc>
          <w:tcPr>
            <w:tcW w:w="658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36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58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136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8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191,294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141,660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49,634</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61,883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46,777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15,106</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11,536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(9,384)</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8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7,627</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9,567</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27"/>
        </w:trPr>
        <w:tc>
          <w:tcPr>
            <w:tcW w:w="65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272,340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218,924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53,416</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58,168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39,215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18,953</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54,364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42,390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7,421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15,089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(7,668)</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5,092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5,750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43,869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35,534</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103,426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80,946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22,480</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68,159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71,897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18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(4,157)</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30,399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30,188</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30,857</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43,447</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(12,590)</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(43,236)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42,778</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(6,507)</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(36,729)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37,491</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(3,210)</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262"/>
        </w:trPr>
        <w:tc>
          <w:tcPr>
            <w:tcW w:w="6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income (loss) attributable to WillScot</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(33,519)</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34,008</w:t>
            </w:r>
          </w:p>
        </w:tc>
        <w:tc>
          <w:tcPr>
            <w:tcW w:w="0" w:type="dxa"/>
            <w:vAlign w:val="bottom"/>
          </w:tcPr>
          <w:p>
            <w:pPr>
              <w:spacing w:after="0"/>
              <w:rPr>
                <w:sz w:val="1"/>
                <w:szCs w:val="1"/>
                <w:color w:val="auto"/>
              </w:rPr>
            </w:pPr>
          </w:p>
        </w:tc>
      </w:tr>
      <w:tr>
        <w:trPr>
          <w:trHeight w:val="20"/>
        </w:trPr>
        <w:tc>
          <w:tcPr>
            <w:tcW w:w="658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2019 and 2018</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$53.4 million, or 24.4%, to $272.3 million for the three months ended September 30, 2019 from $218.9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2018. The increase was primarily the result of a 34.3% increase in leasing and services revenue driven by increased volumes from acquisitions and improved pricing. Increased volumes were driven by units acquired as part of the ModSpace acquisition, as well as increased modular delivery and installation revenues on the combined rental fleet of 32.3% due to increased transaction volumes and higher revenues per transaction. Average modular space monthly rental rates increased 12.3% to $630 for the three months ended September 30, 2019, and average modular space units on rent increased 15,820 units, or 21.0%, due to the impact of an additional 1.5 months of contribution from the ModSpace acquisition in the third quarter of 2019. Improved pricing was driven by a combination of our price optimization tools and processes, as well as by continued growth in our “Ready to Work” solutions and increased VAPS penetration across our customer base, offset partially by lower average modular space monthly rental rates on acquired units for ModSpace. The increase in leasing and services revenue was partially offset by decreases of $9.4 million, or 45.0%, and $2.0 million, or 20.8%, on new unit and rental unit sales, respectively, as compared to the same period in 2018 driven by large sales originating from ModSpace that were completed subsequent to the acquisition in the third quarter of 2018 that did not reoccur in 2019.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35" w:name="page36"/>
    <w:bookmarkEnd w:id="35"/>
    <w:p>
      <w:pPr>
        <w:jc w:val="both"/>
        <w:ind w:firstLine="648"/>
        <w:spacing w:after="0" w:line="250"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$28.3 million, or 9.4%, year-over-year for the three months ended September 30, 2019. This decline was driven by reduced new sales, which declined $34.7 million, or 75.1%, driven primarily by one large new sale recognized in 2018 in the amount of $26.3 million in our Modular - US segment, and decreased rental unit sales, which declined $6.3 million, or 45.0%. The declines in sales volumes were partially offset by increases in our core modular leasing revenues, which increased $14.0 million, or 7.9%, driven primarily by a 13.9% increase in average modular space monthly rental rates.</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three months ended September 30, 2019 and 2018 were 107,649 and 91,194, respectively. The increase is due to the impact of an additional 1.5 months of contribution from the ModSpace acquisition in the third quarter of 2019, with modular space average units on rent increasing 15,820 units, or 21.0%, for the three months ended September 30, 2019. Modular space average monthly rental rates increased 12.3% for the three months ended September 30, 2019. Portable storage average units on rent increased by 635 units, or 4.0%, for the three months ended September 30, 2019. Average portable storage monthly rental rates increased 2.5% for the three months ended September 30, 2019. The average modular space unit utilization rate during the three months ended September 30, 2019 was 71.2%, as compared to 71.8% during the same period in 2018. This decrease was driven by lower average modular space units on rent, partially offset by a lower total modular space unit fleet size. The average portable storage unit utilization rate during the three months ended September 30, 2019 was 63.0%, as compared to 68.0% during the same period in 2018. The decrease in average portable storage utilization rate was driven by organic declines in the number of portable storage average units on rent.</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38.0% and 37.0% for the three months ended September 30, 2019 and 2018,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54.1% and 53.2% for the three months ended September 30, 2019 and 2018, respectively.</w:t>
      </w:r>
    </w:p>
    <w:p>
      <w:pPr>
        <w:spacing w:after="0" w:line="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$22.5 million, or 27.8%, to $103.4 million for the three months ended September 30, 2019 from $80.9 million for the three months ended September 30, 2018. The increase in gross profit is a result of a $30.6 million increase in modular leasing gross profit and increased delivery and installation gross profit of $3.1 million. Increases in modular leasing and services gross profit were primarily as a result of increased revenues due to additional activity and units on rent as a result of the ModSpace acquisition as well as increased margins due to favorable average monthly rental rates on modular space units and increased delivery and installation margins driven primarily by higher pricing per transaction. These increases were partially offset by increased depreciation of $8.4 million as a result of additional rental equipment acquired as part of the ModSpace acquisition, as well as continued capital investment in our existing rental equipment.</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Selling, general and administrative ("SG&amp;A") decreased $3.7 million, or 5.1%, to $68.2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compared to $71.9 million for the three months ended September 30, 2018. The primary driver of the decrease is related to lower discrete costs. Discrete items within SG&amp;A decreased for the three months ended September 30, 2019, compared to the three months ended September 30, 2018, by $12.0 million as transaction and integration costs related to the ModSpace acquisition which closed in the third quarter of 2018 decreased $10.7 million and $2.1 million, respectively, but were partially offset by an increase in stock compensation expense of $0.8 million.</w:t>
      </w:r>
    </w:p>
    <w:p>
      <w:pPr>
        <w:spacing w:after="0" w:line="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Decreases in discrete items were also offset by increased employee costs of $3.1 million driven by the increased size of the workforce, net of realized employee cost synergies savings to date achieved as a result of the restructuring activities; and increased occupancy costs of $0.6 million largely due to the expansion of our branch network and storage lots, including a portion of the expected cost savings as we have now exited approximately 75% of redundant real estate locations.</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remaining increases of $4.6 million are related to increased professional fees, insurance, computer, travel, office, bad debt, and other expenses related to operating a larger business as a result of our recent acquisitions and our expanded employee base and branch network.</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estimate incremental cost synergies of approximately $10.0 million related to the Acton and ModSpace acquisitions were realized in the three months ended September 30, 2019, which compares to approximately $2.4 million of synergies realized in the three months ended September 30, 2018, bringing cumulative synergies related to the Acton, Tyson, and ModSpace acquisitions from the dates of the acquisitions to September 30, 2019 to approximately $31.2 million. These cost synergies are consistent with our integration plans and we expect these activities to continue through 2019 as we continue our efforts to achieve expected annual recurring cost savings of over $70.0 million once our integration plans are fully executed and in our results.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of $3.7 million remained flat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as compared to the three months ended September 30, 2018.</w:t>
      </w:r>
    </w:p>
    <w:p>
      <w:pPr>
        <w:spacing w:after="0" w:line="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$2.0 million for the three months ended September 30, 2019 as compared to $6.1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The restructuring charges relate primarily to employee termination and lease breakage costs related to the ModSpace and Acton acquisitions and integration.</w:t>
      </w:r>
    </w:p>
    <w:p>
      <w:pPr>
        <w:spacing w:after="0" w:line="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$0.6 million to a $0.2 million loss for the three months ended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2019 compared to a $0.4 million gain for the three months ended September 30, 2018. The decrease in currency gains in 2019 was primarily attributable to the impact of foreign currency exchange rate changes on loans and borrowings and intercompany receivables and payables denominated in a currency other than the subsidiaries’ functional currency.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36" w:name="page37"/>
    <w:bookmarkEnd w:id="36"/>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$1.1 million and $0.6 million for the three months ended September 30, 2019 and 2018,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net of $1.1 million for the three months ended September 30, 2019 was primarily related to $0.9 million of gains on real estate sold during the period and the receipt of $1.3 million of insurance proceeds related to assets damaged during Hurricane Irma in the third quarter, which contributed $0.4 million to other income, net. Other income, net of $0.6 million for the three months ended September 30, 2018 was driven by the receipt of a settlement related to assets damaged during Hurricane Harvey which contributed $0.8 million to other income, net.</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$12.5 million, or 28.8%, to $30.9 million for the three months ended September 30, 2019 from $43.4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2018. The interest costs incurred during the three months ended September 30, 2018 included $20.5 million of bridge financing fees and upfront commitment fees related to the financing of the ModSpace acquisition. Interest expense for the three months ended September 30, 2019 includes an additional 1.5 months of expense under our current debt structure as compared to the three months ended September 30, 2018. In the third quarter of 2018, as part of financing the ModSpace acquisition, we upsized our ABL Facility to $1.425 billion, issued $300.0 million of senior secured notes (the "2023 Secured Notes"), and issued $200 million of 10% senior unsecured notes (the "Unsecured Notes"). Further, in the second quarter of 2019 we issued $190.0 million of Tack-on Notes in aggregate principal amount to the 2023 Secured Notes and used the proceeds to repay a portion of the ABL Facility. Subsequent to the issuance of the Tack-on Notes, we redeemed all $200.0 million in aggregate outstanding principal amount of the Unsecured Notes using proceeds from the ABL Facility. See Note 8 to the condensed consolidated financial statements for further discussion of our debt.</w:t>
      </w:r>
    </w:p>
    <w:p>
      <w:pPr>
        <w:spacing w:after="0" w:line="1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$5.3 million to $1.2 million for the three months ended September 30, 2019 compared to $6.5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2018. The decrease in income tax benefit was driven by the discrete benefits recorded in the three months ended September 30, 2018 which did not occur in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Nine Months Ended September 30, 2019 Compared to the Nine Months Ended September 30,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6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nine months ended September 30, 2019 and 2018 are presented below:</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2920" w:type="dxa"/>
            <w:vAlign w:val="bottom"/>
            <w:gridSpan w:val="5"/>
            <w:shd w:val="clear" w:color="auto" w:fill="008A5F"/>
          </w:tcPr>
          <w:p>
            <w:pPr>
              <w:ind w:left="520"/>
              <w:spacing w:after="0"/>
              <w:rPr>
                <w:sz w:val="20"/>
                <w:szCs w:val="20"/>
                <w:color w:val="auto"/>
              </w:rPr>
            </w:pPr>
            <w:r>
              <w:rPr>
                <w:rFonts w:ascii="Arial" w:cs="Arial" w:eastAsia="Arial" w:hAnsi="Arial"/>
                <w:sz w:val="16"/>
                <w:szCs w:val="16"/>
                <w:b w:val="1"/>
                <w:bCs w:val="1"/>
                <w:color w:val="FFFFFF"/>
              </w:rPr>
              <w:t>Nine Months Ended</w:t>
            </w:r>
          </w:p>
        </w:tc>
        <w:tc>
          <w:tcPr>
            <w:tcW w:w="14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0"/>
                <w:szCs w:val="20"/>
                <w:color w:val="auto"/>
              </w:rPr>
            </w:pPr>
          </w:p>
        </w:tc>
        <w:tc>
          <w:tcPr>
            <w:tcW w:w="184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96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2019 vs. 2018 $</w:t>
            </w:r>
          </w:p>
        </w:tc>
        <w:tc>
          <w:tcPr>
            <w:tcW w:w="0" w:type="dxa"/>
            <w:vAlign w:val="bottom"/>
          </w:tcPr>
          <w:p>
            <w:pPr>
              <w:spacing w:after="0"/>
              <w:rPr>
                <w:sz w:val="1"/>
                <w:szCs w:val="1"/>
                <w:color w:val="auto"/>
              </w:rPr>
            </w:pPr>
          </w:p>
        </w:tc>
      </w:tr>
      <w:tr>
        <w:trPr>
          <w:trHeight w:val="215"/>
        </w:trPr>
        <w:tc>
          <w:tcPr>
            <w:tcW w:w="6580" w:type="dxa"/>
            <w:vAlign w:val="bottom"/>
            <w:vMerge w:val="continue"/>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18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8"/>
                <w:szCs w:val="18"/>
                <w:color w:val="auto"/>
              </w:rPr>
            </w:pPr>
          </w:p>
        </w:tc>
        <w:tc>
          <w:tcPr>
            <w:tcW w:w="560" w:type="dxa"/>
            <w:vAlign w:val="bottom"/>
            <w:shd w:val="clear" w:color="auto" w:fill="008A5F"/>
          </w:tcPr>
          <w:p>
            <w:pPr>
              <w:spacing w:after="0"/>
              <w:rPr>
                <w:sz w:val="18"/>
                <w:szCs w:val="18"/>
                <w:color w:val="auto"/>
              </w:rPr>
            </w:pPr>
          </w:p>
        </w:tc>
        <w:tc>
          <w:tcPr>
            <w:tcW w:w="96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58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560" w:type="dxa"/>
            <w:vAlign w:val="bottom"/>
            <w:shd w:val="clear" w:color="auto" w:fill="008A5F"/>
          </w:tcPr>
          <w:p>
            <w:pPr>
              <w:spacing w:after="0"/>
              <w:rPr>
                <w:sz w:val="8"/>
                <w:szCs w:val="8"/>
                <w:color w:val="auto"/>
              </w:rPr>
            </w:pPr>
          </w:p>
        </w:tc>
        <w:tc>
          <w:tcPr>
            <w:tcW w:w="96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8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557,025</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340,171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216,854</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168,643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104,440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64,203</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38,064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33,584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29,741</w:t>
            </w:r>
          </w:p>
        </w:tc>
        <w:tc>
          <w:tcPr>
            <w:tcW w:w="10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15,813</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13,928</w:t>
            </w:r>
          </w:p>
        </w:tc>
        <w:tc>
          <w:tcPr>
            <w:tcW w:w="0" w:type="dxa"/>
            <w:vAlign w:val="bottom"/>
          </w:tcPr>
          <w:p>
            <w:pPr>
              <w:spacing w:after="0"/>
              <w:rPr>
                <w:sz w:val="1"/>
                <w:szCs w:val="1"/>
                <w:color w:val="auto"/>
              </w:rPr>
            </w:pPr>
          </w:p>
        </w:tc>
      </w:tr>
      <w:tr>
        <w:trPr>
          <w:trHeight w:val="227"/>
        </w:trPr>
        <w:tc>
          <w:tcPr>
            <w:tcW w:w="65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793,473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494,008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299,465</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160,476</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93,506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66,970</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146,175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98,038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48,137</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26,298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19,608</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10,280</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128,940</w:t>
            </w:r>
          </w:p>
        </w:tc>
        <w:tc>
          <w:tcPr>
            <w:tcW w:w="10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82,849</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46,091</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311,976</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186,507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125,469</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213,267</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164,845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48,422</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7,726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9,083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(3,293)</w:t>
            </w:r>
          </w:p>
        </w:tc>
        <w:tc>
          <w:tcPr>
            <w:tcW w:w="10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(5,013)</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78,401</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10,564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67,837</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95,353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67,321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28,032</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(24,196)</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(56,757)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32,561</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(13,572)</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11,550</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(22,174)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(43,185)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21,011</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(3,715)</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6"/>
                <w:szCs w:val="16"/>
                <w:color w:val="auto"/>
              </w:rPr>
              <w:t>Net loss attributable to WillScot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(20,725)</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(39,470)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18,745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2019 and 2018</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$299.5 million, or 60.6%, to $793.5 million for the nine months ended September 30, 2019 from $494.0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2018. The increase was primarily the result of a 63.2% increase in leasing and services revenue driven by increased volumes from acquisitions and improved pricing. Increased volumes were driven by units acquired as part of the ModSpace acquisition, as well as increased modular delivery and installation revenues on the combined rental fleet of 61.5% due to increased transaction volumes and higher revenues per transaction. Average modular space monthly rental rates increased 9.0% to $605 for the nine months ended September 30, 2019, and average modular space units on rent increased 31,563 units, or 52.0%.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ModSpace. The increase in leasing and services revenue was further complemented by increases of $4.5 million, or 13.4%, and $13.9 million, or 88.0%, on new unit and rental unit sales, respectively, as compared to the same period in 2018. Increases in both new and rental unit sales were primarily a result of our increased scale as a result of the ModSpace acquisition and our larger post-acquisition fleet size and sales teams.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38" w:name="page39"/>
    <w:bookmarkEnd w:id="38"/>
    <w:p>
      <w:pPr>
        <w:jc w:val="both"/>
        <w:ind w:firstLine="648"/>
        <w:spacing w:after="0" w:line="250"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$13.1 million, or 1.6%, year-over-year for the nine months ended September 30, 2019. This decline was driven by reduced new sales, which declined $42.6 million, or 52.8%, driven primarily by one large new sale recognized in 2018 in the amount of $26.3 million in our Modular - US segment, and decreased rental unit sales, which declined $6.7 million, or 18.4%. The declines in sales volumes were partially offset by an increase in our core modular leasing revenues, which increased $44.3 million, or 8.6%, as a result of a 13.5% increase in average modular space monthly rental rates.</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nine months ended September 30, 2019 and 2018 were 109,138 and 75,079, respectively. The increase was due to units acquired as part of the ModSpace acquisition, with modular space average units on rent increasing 31,563 units, or 52.0%, for the nine months ended September 30, 2019. Modular space average monthly rental rates increased 9.0% for the nine months ended September 30, 2019. Portable storage average units on rent increased by 2,496 units, or 17.4%, for the nine months ended September 30, 2019. Average portable storage monthly rental rates decreased 1.6% for the nine months ended September 30, 2019. The average modular space unit utilization rate during the nine months ended September 30, 2019 was 72.1%, as compared to 70.1% during the same period in 2018. This increase was driven by higher utilization on the acquired ModSpace fleet as compared to the overall average utilization for the nine months ended September 30, 2018, which included the fleet acquired from Acton and Tyson. The average portable storage unit utilization rate during the nine months ended September 30, 2019 was 64.6%, as compared to 68.3% during the same period in 2018. The decrease in average portable storage utilization rate was driven by an increase in the number of portable storage average units on rent in the Modular - US segment.</w:t>
      </w:r>
    </w:p>
    <w:p>
      <w:pPr>
        <w:spacing w:after="0" w:line="30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39.3% and 37.8% for the nine months ended September 30, 2019 and 2018,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55.6% and 54.5% for the nine months ended September 30, 2019 and 2018, respectively.</w:t>
      </w:r>
    </w:p>
    <w:p>
      <w:pPr>
        <w:spacing w:after="0" w:line="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$125.5 million, or 67.3%, to $312.0 million for the nine months ended September 30, 2019 from $186.5 million for the nine months ended September 30, 2018. The increase in gross profit is a result of a $165.8 million increase in modular leasing and services gross profit and increased new unit and rental unit gross profit of $5.6 million. Increases in modular leasing and services gross profit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$46.1 million as a result of additional rental equipment acquired as part of the ModSpace acquisition, as well as continued capital investment in our existing rental equipment.</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increased $48.5 million, or 29.4%, to $213.3 million for the nine months ended September 30, 2019, compared to $164.8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2018. Employee costs increased $23.3 million driven by the increased size of the workforce, net of realized employee cost synergies savings to date achieved as a result of the restructuring activities; and occupancy costs increased $8.2 million largely due to the expansion of our branch network and storage lots, including a portion of the expected cost savings as we have now exited approximately 75% of redundant real estate locations.</w:t>
      </w:r>
    </w:p>
    <w:p>
      <w:pPr>
        <w:spacing w:after="0" w:line="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Discrete items included in SG&amp;A decreased $3.6 million during the period as integration cost increases of $8.4 million related to the Acton and ModSpace integrations and stock compensation expense increases of $2.8 million were fully offset offset by lower transaction costs, which reduced $14.8 million as compared to the prior year.</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remaining increases in SG&amp;A of $20.7 million are related to increased professional fees, insurance, computer, travel, office, bad debt, and other expenses related to operating a larger business as a result of our recent acquisitions and our expanded employee base and branch network.</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estimate cost synergies of approximately $24.8 million related to the Acton and ModSpace acquisitions were realized in the nine months ended September 30, 2019, which compares to approximately $3.9 million of synergies realized for the nine months ended September 30, 2018, bringing cumulative synergies related to the Acton, Tyson, and ModSpace acquisitions from the dates of the acquisitions to approximately $31.2 million. This is consistent with our integration plans and we expect these activities to continue through 2019 as we continue our efforts to achieve expected annual recurring cost savings of over $70.0 million once our integration plans are fully executed and in our results.</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$2.2 million, or 28.6%, to $9.9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2019, compared to $7.7 million for the nine months ended September 30, 2018. The increase was driven primarily by depreciation on property, plant and equipment and amortization of the trade name acquired as part of the ModSpace acquisition in the third quarter of 2018.</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$5.1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as compared to $0.0 million for the nine months ended September 30, 2018. In the nine months ended September 30, 2019, we reclassified certain branch facilities that we intend to exit from property, plant and equipment to held for sale, and recognized an impairment on these assets because the carrying value of the facilities exceeded the estimated fair value less cost to sell. Additionally, one of the properties exited during the nine months ended September 30, 2019 was acquired as part of the ModSpace acquisition and had a favorable lease intangible. As a result of the exit of this property, the remaining net book value of the favorable lease intangible was deemed impaired, resulting in an impairment charge of $2.4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39" w:name="page40"/>
    <w:bookmarkEnd w:id="39"/>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$9.1 million for the nine months ended September 30, 2019 as compared to $7.2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The restructuring charges relate primarily to employee termination and lease breakage costs related to the ModSpace and Acton acquisitions and integration.</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increased by $1.6 million to a $0.4 million gain for the nine months ended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2019 compared to a $1.2 million loss for the nine months ended September 30, 2018. The decrease in currency (gains) losses, net, in 2019 was primarily attributable to the impact of foreign currency exchange rate changes on loans and borrowings and intercompany receivables and payables denominated in a currency other than the subsidiaries’ functional currency.</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$3.3 million and $5.0 million for the nine months ended September 30, 2019 and 2018, respectively.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$3.3 million for the nine months ended September 30, 2019 was primarily related to the receipt of a $0.9 million settlement in the first quarter, the receipt of $1.1 million of insurance proceeds related to assets damaged during Hurricane Harvey in the second quarter, $0.9 million of gains on real estate sold during the third quarter, and the receipt of $1.3 million of insurance proceeds related to assets damaged during Hurricane Irma in the third quarter, which contributed $0.4 million to other income, net. Other income, net of $5.0 million for the nine months ended September 30, 2018 was driven by the receipt of insurance proceeds related to assets damaged during Hurricane Harvey which contributed $4.8 million to other income, net.</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$28.1 million, or 41.8%, to $95.4 million for the nine months ended September 30, 2019 from $67.3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2018. The interest costs incurred during the nine months ended September 30, 2018 included $20.5 million of bridge financing fees and upfront commitment fees related to the financing of the ModSpace acquisition. Interest expense for the nine months ended September 30, 2019 includes an additional 7.5 months of expense under our current debt structure as compared to the nine months ended September 30, 2018. In the third quarter of 2018, as part of financing the ModSpace acquisition, we upsized our ABL Facility to $1.425 billion, issued $300.0 million of senior secured notes (the "2023 Secured Notes"), and issued the Unsecured Notes. Further, in the second quarter of 2019 we issued $190.0 million of Tack-on Notes in aggregate principal amount to the 2023 Secured Notes and used the proceeds to repay a portion of the ABL Facility. Subsequent to the issuance of the Tack-on Notes, we redeemed all $200.0 million in aggregate outstanding principal amount of the Unsecured Notes using proceeds from the ABL Facility. See Note 8 to the condensed consolidated financial statements for further discussion of our debt.</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Loss on extinguishment of debt increased $7.2 million for the nine months ended September 30, 2019 from $0.0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2018. The Company redeemed $200.0 million in aggregate outstanding principal amount of the Unsecured Notes in the second quarter at a redemption price of 102.0%, plus a make-whole premium of 1.1%, for total premiums of 3.1%. As a result, the Company recorded a loss on extinguishment of $7.2 million, which included $6.2 million of premium and $1.0 million related to the write-off of unamortized deferred financing fees. This redemption was funded from the use of proceeds from the ABL Facility.</w:t>
      </w:r>
    </w:p>
    <w:p>
      <w:pPr>
        <w:spacing w:after="0" w:line="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$11.6 million to a $2.0 million benefit for the nine months ended September 30, 2019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$13.6 million benefit for the nine months ended September 30, 2018. The decrease in income tax benefit was driven by the discrete benefits recorded in the nine months ended September 30, 2018 which did not reoccur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0" w:name="page41"/>
    <w:bookmarkEnd w:id="40"/>
    <w:p>
      <w:pPr>
        <w:spacing w:after="0"/>
        <w:rPr>
          <w:sz w:val="20"/>
          <w:szCs w:val="20"/>
          <w:color w:val="auto"/>
        </w:rPr>
      </w:pPr>
      <w:r>
        <w:rPr>
          <w:rFonts w:ascii="Arial" w:cs="Arial" w:eastAsia="Arial" w:hAnsi="Arial"/>
          <w:sz w:val="23"/>
          <w:szCs w:val="23"/>
          <w:color w:val="008A5F"/>
        </w:rPr>
        <w:t>Business Segment Results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line of business is modular leasing and sales. Modular leasing and sales comprises two reportable segments: Modular - US and Modular</w:t>
      </w:r>
    </w:p>
    <w:p>
      <w:pPr>
        <w:spacing w:after="0" w:line="5" w:lineRule="exact"/>
        <w:rPr>
          <w:sz w:val="20"/>
          <w:szCs w:val="20"/>
          <w:color w:val="auto"/>
        </w:rPr>
      </w:pPr>
    </w:p>
    <w:p>
      <w:pPr>
        <w:ind w:firstLine="8"/>
        <w:spacing w:after="0" w:line="260" w:lineRule="auto"/>
        <w:tabs>
          <w:tab w:leader="none" w:pos="1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North America. The Modular - US reportable segment includes the contiguous 48 states and Hawaii, and the Modular - Other North America reportable segment includes Alaska, Canada and Mexico.</w:t>
      </w:r>
    </w:p>
    <w:p>
      <w:pPr>
        <w:spacing w:after="0" w:line="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and nine months ended September 30, 2019 and 2018. Future changes to our organizational structure may result in changes to the segments disclosed.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0585" cy="454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0585" cy="454660"/>
                    </a:xfrm>
                    <a:prstGeom prst="rect">
                      <a:avLst/>
                    </a:prstGeom>
                    <a:noFill/>
                  </pic:spPr>
                </pic:pic>
              </a:graphicData>
            </a:graphic>
          </wp:anchor>
        </w:drawing>
      </w:r>
    </w:p>
    <w:p>
      <w:pPr>
        <w:spacing w:after="0" w:line="102"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FFFFFF"/>
        </w:rPr>
        <w:t>Three Months Ended September 30,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6"/>
                <w:szCs w:val="16"/>
                <w:color w:val="auto"/>
              </w:rPr>
            </w:pPr>
          </w:p>
        </w:tc>
        <w:tc>
          <w:tcPr>
            <w:tcW w:w="1340" w:type="dxa"/>
            <w:vAlign w:val="bottom"/>
            <w:vMerge w:val="restart"/>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16"/>
                <w:szCs w:val="16"/>
                <w:color w:val="auto"/>
              </w:rPr>
            </w:pPr>
          </w:p>
        </w:tc>
        <w:tc>
          <w:tcPr>
            <w:tcW w:w="2340" w:type="dxa"/>
            <w:vAlign w:val="bottom"/>
            <w:gridSpan w:val="3"/>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Modular - Other North</w:t>
            </w:r>
          </w:p>
        </w:tc>
        <w:tc>
          <w:tcPr>
            <w:tcW w:w="116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34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26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008A5F"/>
          </w:tcPr>
          <w:p>
            <w:pPr>
              <w:spacing w:after="0"/>
              <w:rPr>
                <w:sz w:val="18"/>
                <w:szCs w:val="18"/>
                <w:color w:val="auto"/>
              </w:rPr>
            </w:pPr>
          </w:p>
        </w:tc>
        <w:tc>
          <w:tcPr>
            <w:tcW w:w="116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86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260" w:type="dxa"/>
            <w:vAlign w:val="bottom"/>
            <w:shd w:val="clear" w:color="auto" w:fill="008A5F"/>
          </w:tcPr>
          <w:p>
            <w:pPr>
              <w:spacing w:after="0"/>
              <w:rPr>
                <w:sz w:val="8"/>
                <w:szCs w:val="8"/>
                <w:color w:val="auto"/>
              </w:rPr>
            </w:pPr>
          </w:p>
        </w:tc>
        <w:tc>
          <w:tcPr>
            <w:tcW w:w="70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247,701</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24,639</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272,340</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94,257</w:t>
            </w:r>
          </w:p>
        </w:tc>
        <w:tc>
          <w:tcPr>
            <w:tcW w:w="240" w:type="dxa"/>
            <w:vAlign w:val="bottom"/>
          </w:tcPr>
          <w:p>
            <w:pPr>
              <w:spacing w:after="0"/>
              <w:rPr>
                <w:sz w:val="20"/>
                <w:szCs w:val="20"/>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9,169</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103,426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80,424</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7,953</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88,377</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44,951</w:t>
            </w:r>
          </w:p>
        </w:tc>
        <w:tc>
          <w:tcPr>
            <w:tcW w:w="240" w:type="dxa"/>
            <w:vAlign w:val="bottom"/>
          </w:tcPr>
          <w:p>
            <w:pPr>
              <w:spacing w:after="0"/>
              <w:rPr>
                <w:sz w:val="20"/>
                <w:szCs w:val="20"/>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2,838</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47,789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82,053</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9,180</w:t>
            </w:r>
          </w:p>
        </w:tc>
        <w:tc>
          <w:tcPr>
            <w:tcW w:w="70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91,233</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73.2 %</w:t>
            </w:r>
          </w:p>
        </w:tc>
        <w:tc>
          <w:tcPr>
            <w:tcW w:w="380" w:type="dxa"/>
            <w:vAlign w:val="bottom"/>
          </w:tcPr>
          <w:p>
            <w:pPr>
              <w:spacing w:after="0"/>
              <w:rPr>
                <w:sz w:val="20"/>
                <w:szCs w:val="20"/>
                <w:color w:val="auto"/>
              </w:rPr>
            </w:pPr>
          </w:p>
        </w:tc>
        <w:tc>
          <w:tcPr>
            <w:tcW w:w="1960" w:type="dxa"/>
            <w:vAlign w:val="bottom"/>
            <w:gridSpan w:val="2"/>
          </w:tcPr>
          <w:p>
            <w:pPr>
              <w:jc w:val="right"/>
              <w:ind w:right="459"/>
              <w:spacing w:after="0"/>
              <w:rPr>
                <w:sz w:val="20"/>
                <w:szCs w:val="20"/>
                <w:color w:val="auto"/>
              </w:rPr>
            </w:pPr>
            <w:r>
              <w:rPr>
                <w:rFonts w:ascii="Arial" w:cs="Arial" w:eastAsia="Arial" w:hAnsi="Arial"/>
                <w:sz w:val="16"/>
                <w:szCs w:val="16"/>
                <w:color w:val="auto"/>
              </w:rPr>
              <w:t>57.2 %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71.2 %</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632</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618</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15,993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423</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w:t>
            </w:r>
          </w:p>
        </w:tc>
        <w:tc>
          <w:tcPr>
            <w:tcW w:w="70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98"/>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106</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37730"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7730" cy="428625"/>
                    </a:xfrm>
                    <a:prstGeom prst="rect">
                      <a:avLst/>
                    </a:prstGeom>
                    <a:noFill/>
                  </pic:spPr>
                </pic:pic>
              </a:graphicData>
            </a:graphic>
          </wp:anchor>
        </w:drawing>
      </w:r>
    </w:p>
    <w:p>
      <w:pPr>
        <w:spacing w:after="0" w:line="387"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FFFFFF"/>
        </w:rPr>
        <w:t>Three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0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230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Other North</w:t>
            </w:r>
          </w:p>
        </w:tc>
        <w:tc>
          <w:tcPr>
            <w:tcW w:w="1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r>
      <w:tr>
        <w:trPr>
          <w:trHeight w:val="234"/>
        </w:trPr>
        <w:tc>
          <w:tcPr>
            <w:tcW w:w="6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680" w:type="dxa"/>
            <w:vAlign w:val="bottom"/>
            <w:shd w:val="clear" w:color="auto" w:fill="008A5F"/>
          </w:tcPr>
          <w:p>
            <w:pPr>
              <w:spacing w:after="0"/>
              <w:rPr>
                <w:sz w:val="20"/>
                <w:szCs w:val="20"/>
                <w:color w:val="auto"/>
              </w:rPr>
            </w:pPr>
          </w:p>
        </w:tc>
        <w:tc>
          <w:tcPr>
            <w:tcW w:w="1120" w:type="dxa"/>
            <w:vAlign w:val="bottom"/>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r>
      <w:tr>
        <w:trPr>
          <w:trHeight w:val="24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197,625</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21,299</w:t>
            </w:r>
          </w:p>
        </w:tc>
        <w:tc>
          <w:tcPr>
            <w:tcW w:w="6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218,924</w:t>
            </w:r>
          </w:p>
        </w:tc>
        <w:tc>
          <w:tcPr>
            <w:tcW w:w="180" w:type="dxa"/>
            <w:vAlign w:val="bottom"/>
            <w:shd w:val="clear" w:color="auto" w:fill="E7E7E8"/>
          </w:tcPr>
          <w:p>
            <w:pPr>
              <w:spacing w:after="0"/>
              <w:rPr>
                <w:sz w:val="21"/>
                <w:szCs w:val="2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73,007</w:t>
            </w:r>
          </w:p>
        </w:tc>
        <w:tc>
          <w:tcPr>
            <w:tcW w:w="24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7,939</w:t>
            </w: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80,946</w:t>
            </w:r>
          </w:p>
        </w:tc>
        <w:tc>
          <w:tcPr>
            <w:tcW w:w="180" w:type="dxa"/>
            <w:vAlign w:val="bottom"/>
          </w:tcPr>
          <w:p>
            <w:pPr>
              <w:spacing w:after="0"/>
              <w:rPr>
                <w:sz w:val="20"/>
                <w:szCs w:val="20"/>
                <w:color w:val="auto"/>
              </w:rPr>
            </w:pP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58,454</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6,164</w:t>
            </w:r>
          </w:p>
        </w:tc>
        <w:tc>
          <w:tcPr>
            <w:tcW w:w="6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64,618</w:t>
            </w:r>
          </w:p>
        </w:tc>
        <w:tc>
          <w:tcPr>
            <w:tcW w:w="180" w:type="dxa"/>
            <w:vAlign w:val="bottom"/>
            <w:shd w:val="clear" w:color="auto" w:fill="E7E7E8"/>
          </w:tcPr>
          <w:p>
            <w:pPr>
              <w:spacing w:after="0"/>
              <w:rPr>
                <w:sz w:val="21"/>
                <w:szCs w:val="2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43,007</w:t>
            </w:r>
          </w:p>
        </w:tc>
        <w:tc>
          <w:tcPr>
            <w:tcW w:w="24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3,735</w:t>
            </w: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46,742</w:t>
            </w:r>
          </w:p>
        </w:tc>
        <w:tc>
          <w:tcPr>
            <w:tcW w:w="180" w:type="dxa"/>
            <w:vAlign w:val="bottom"/>
          </w:tcPr>
          <w:p>
            <w:pPr>
              <w:spacing w:after="0"/>
              <w:rPr>
                <w:sz w:val="20"/>
                <w:szCs w:val="20"/>
                <w:color w:val="auto"/>
              </w:rPr>
            </w:pP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67,978</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7,435</w:t>
            </w:r>
          </w:p>
        </w:tc>
        <w:tc>
          <w:tcPr>
            <w:tcW w:w="68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75,413</w:t>
            </w:r>
          </w:p>
        </w:tc>
        <w:tc>
          <w:tcPr>
            <w:tcW w:w="180" w:type="dxa"/>
            <w:vAlign w:val="bottom"/>
            <w:shd w:val="clear" w:color="auto" w:fill="E7E7E8"/>
          </w:tcPr>
          <w:p>
            <w:pPr>
              <w:spacing w:after="0"/>
              <w:rPr>
                <w:sz w:val="21"/>
                <w:szCs w:val="2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73.8 %</w:t>
            </w:r>
          </w:p>
        </w:tc>
        <w:tc>
          <w:tcPr>
            <w:tcW w:w="380" w:type="dxa"/>
            <w:vAlign w:val="bottom"/>
          </w:tcPr>
          <w:p>
            <w:pPr>
              <w:spacing w:after="0"/>
              <w:rPr>
                <w:sz w:val="20"/>
                <w:szCs w:val="20"/>
                <w:color w:val="auto"/>
              </w:rPr>
            </w:pPr>
          </w:p>
        </w:tc>
        <w:tc>
          <w:tcPr>
            <w:tcW w:w="1920" w:type="dxa"/>
            <w:vAlign w:val="bottom"/>
            <w:gridSpan w:val="2"/>
          </w:tcPr>
          <w:p>
            <w:pPr>
              <w:jc w:val="right"/>
              <w:ind w:right="419"/>
              <w:spacing w:after="0"/>
              <w:rPr>
                <w:sz w:val="20"/>
                <w:szCs w:val="20"/>
                <w:color w:val="auto"/>
              </w:rPr>
            </w:pPr>
            <w:r>
              <w:rPr>
                <w:rFonts w:ascii="Arial" w:cs="Arial" w:eastAsia="Arial" w:hAnsi="Arial"/>
                <w:sz w:val="16"/>
                <w:szCs w:val="16"/>
                <w:color w:val="auto"/>
              </w:rPr>
              <w:t>57.3 %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71.8 %</w:t>
            </w: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559</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587</w:t>
            </w:r>
          </w:p>
        </w:tc>
        <w:tc>
          <w:tcPr>
            <w:tcW w:w="6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561</w:t>
            </w:r>
          </w:p>
        </w:tc>
        <w:tc>
          <w:tcPr>
            <w:tcW w:w="180" w:type="dxa"/>
            <w:vAlign w:val="bottom"/>
            <w:shd w:val="clear" w:color="auto" w:fill="E7E7E8"/>
          </w:tcPr>
          <w:p>
            <w:pPr>
              <w:spacing w:after="0"/>
              <w:rPr>
                <w:sz w:val="21"/>
                <w:szCs w:val="2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15,373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408</w:t>
            </w:r>
          </w:p>
        </w:tc>
        <w:tc>
          <w:tcPr>
            <w:tcW w:w="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15,781</w:t>
            </w:r>
          </w:p>
        </w:tc>
        <w:tc>
          <w:tcPr>
            <w:tcW w:w="180" w:type="dxa"/>
            <w:vAlign w:val="bottom"/>
          </w:tcPr>
          <w:p>
            <w:pPr>
              <w:spacing w:after="0"/>
              <w:rPr>
                <w:sz w:val="20"/>
                <w:szCs w:val="20"/>
                <w:color w:val="auto"/>
              </w:rPr>
            </w:pP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56.4</w:t>
            </w:r>
          </w:p>
        </w:tc>
        <w:tc>
          <w:tcPr>
            <w:tcW w:w="68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0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101</w:t>
            </w: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9"/>
                <w:szCs w:val="19"/>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$50.1 million, or 25.4%, to $247.7 million for the three months ended September 30, 2019 from $197.6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2018. Modular leasing revenue increased $45.4 million, or 35.5%, driven by improved volumes and pricing. Average modular space units on rent increased 14,075 units, or 20.7%. Average modular space monthly rental rates increased 13.1% for the three months ended September 30, 2019. Volumes improved as a result of units acquired as part of the ModSpace acquisition as well as increased modular delivery and installation revenues on the combined rental fleet of 34.0% due to an additional 1.5 months of contribution from the ModSpace acquisition in the third quarter of 2019. Improved pricing was driven by a combination of our price optimization tools and processes, as well as by continued growth in our “Ready to Work” solutions and increased VAPS penetration across our customer base, offset partially by the lower average modular space monthly rental rates on acquired units. The increases in leasing and services revenue were partially offset by decreases in sales revenues. New unit sales revenue decreased $8.4 million, or 43.8%, and rental unit sales revenue decreased $1.1 million, or 12.8%. These decreases were driven by large sales originating from ModSpace that were completed subsequent to the acquisition in the third quarter of 2018 that did not reoccur in 2019.</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$25.9 million, or 9.5%, year-over-year for the three months ended September 30, 2019. This decline was driven by reduced new sales, which declined $33.6 million, or 75.8%, driven primarily by one large new unit sale recognized in 2018 in the amount of $26.3 million, and decreased rental unit sales, which declined $4.7 million, or 38.5%. The declines in sales volumes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41" w:name="page42"/>
    <w:bookmarkEnd w:id="41"/>
    <w:p>
      <w:pPr>
        <w:jc w:val="both"/>
        <w:spacing w:after="0" w:line="251" w:lineRule="auto"/>
        <w:rPr>
          <w:sz w:val="20"/>
          <w:szCs w:val="20"/>
          <w:color w:val="auto"/>
        </w:rPr>
      </w:pPr>
      <w:r>
        <w:rPr>
          <w:rFonts w:ascii="Arial" w:cs="Arial" w:eastAsia="Arial" w:hAnsi="Arial"/>
          <w:sz w:val="16"/>
          <w:szCs w:val="16"/>
          <w:color w:val="auto"/>
        </w:rPr>
        <w:t>were partially offset by increases in our core modular leasing revenues, which increased $12.9 million, or 8.0%, driven primarily by continued pricing improvement in the third quarter, with increases in pro forma average modular space monthly rental rates of $83, or 15.1%, year over year for the three months ended September 30, 2019. Modular space units on rent decreased 5.6% on a pro forma basis to 82,053 and pro forma utilization for our modular space units decreased to 73.2%, down 170 bps from 74.9% for the three months ended September 30, 2018.</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$21.2 million, or 29.0%, to $94.2 million for the three months ended September 30, 2019 from $73.0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2018. The increase in gross profit was driven by higher modular leasing and service revenues driven both by organic growth primarily from pricing and by an additional 1.5 months of contribution from the ModSpace acquisition in the third quarter of 2019, as well as due to increased modular space delivery and installation margins. Modular leasing and service gross profit increased $30.8 million, or 32.2%. The increase in gross profit from modular leasing and service revenues for the three months ended September 30, 2019 was partially offset by a $1.9 million decrease in sales gross profit and a $7.6 million increase in depreciation of rental equipment primarily related to units acquired in the ModSpace acquisition, as well as continued capital investment in our existing rental equipment.</w:t>
      </w:r>
    </w:p>
    <w:p>
      <w:pPr>
        <w:spacing w:after="0" w:line="1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$22.0 million, or 37.7%, to $80.4 million for the three months ended September 30,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$58.4 for the three months ended September 30, 2018. The increase was driven by higher modular leasing and services gross profits discussed above, partially offset by increases in SG&amp;A, excluding discrete and other items, of $6.6 million. Discrete and other items within SG&amp;A decreased for the three months ended September 30, 2019, compared to the three months ended September 30, 2018, by $11.2 million as decreases in transaction costs and integration cost related to the ModSpace and Acton acquisitions and integrations of $10.5 million and $3.0 million, respectively, were partially offset by an increase in stock compensation expense of $0.8 million and a $1.6 million increase in other costs. Increases in SG&amp;A, excluding discrete items, primarily related to increased employee costs of $3.1 million driven by the increased size of the workforce, net of realized employee cost synergies savings to date achieved as a result of the restructuring activities; and increased occupancy costs of $0.4 million largely due to the expansion of our branch network and storage lots, including a portion of the expected cost savings as we have now exited approximately 75% of redundant real estate locations. The remaining increases in SG&amp;A of $3.1 million were primarily related to increased professional fees, insurance, computer, travel, office costs, bad debt and other expenses related to operating a larger business as a result of our recent acquisitions and our expanded employee base and branch network.</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$2.0 million, or 4.7%, to $45.0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2019 from $43.0 million for the three months ended September 30, 2018. Net capital expenditures for rental equipment also increased $2.3 million, or 6.7%, to $36.7 million. The increases for both were driven by increased spend for refurbishments and VAPS to drive revenue growth and for maintenance of a larger fleet following our recent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$3.3 million, or 15.5%, to $24.6 million for the three months ended September 30, 2019 from $21.3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2018. Modular leasing revenue increased $4.1 million, or 29.9%, driven by improved volumes and pricing in the quarter. Average modular space units on rent increased by 1,745 units, or 23.5%, due to an additional 1.5 months of contribution from the ModSpace acquisition in the third quarter of 2019. Average modular space monthly rental rates increased 5.3% driven by continued growth in our “Ready to Work” solutions and increased VAPS penetration across the combined post-acquisition customer base. Modular delivery and installation revenues increased $1.0 million, or 20.4%. New unit sales were $0.8 million and $1.7 million, and rental unit sales revenue was $0.1 million and $1.0 million for the three months ended September 30, 2019 and 2018, respectively.</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$2.4 million, or 8.9%, year-over-year for the three months ended September 30, 2019. This decline was driven by reduced new and rental unit sales, which declined $1.1 million, or 57.9%, and $1.6 million, or 94.1%, respectively as a result of our focus on the core leasing business. The declines in sales volumes were partially offset by increases in our core modular leasing revenues, which increased $1.1 million, or 6.5%, driven primarily by continued pricing improvement in the third quarter, with increases in pro forma average modular space monthly rental rates of $37, or 6.4%, year-over-year for the three months ended September 30, 2019. Modular space units on rent decreased 0.8% on a pro forma basis to 9,180 and pro forma utilization for our modular space units increased to 57.2%, up 40 bps from 56.8%, for the three months ended September 30, 2018.</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$1.3 million, or 16.5%, to $9.2 million for the three months ended September 30, 2019 from $7.9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The effects of favorable foreign currency movements increased gross profit by less than $0.1 million related to changes in the Canadian dollar and Mexican peso in relation to the US dollar. The increase in gross profit, excluding the effects of foreign currency, was driven primarily by increased leasing and services revenues and margins as a result of higher modular space units on rent and average monthly rental rates, partially offset by reduced new and rental unit sales gross profit and by increased depreciation of rental equipment of $0.7 million for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2" w:name="page43"/>
    <w:bookmarkEnd w:id="42"/>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$1.8 million, or 29.0%, to $8.0 million for the three months ended September 30, 2019 from $6.2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2018. This increase was driven by increased leasing and services gross profit as a result of increased modular space volumes and average monthly rental rates, partially offset by decreased new and rental unit sales gross profit. Additionally, SG&amp;A, excluding discrete and other items, increased $0.2 million, also driven by the ModSpace acquisition, consisting primarily of increased occupancy costs of $0.2 million.</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decreased $0.9 million, or 24.3%, to $2.8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2019 from $3.7 million for the three months ended September 30, 2018. The decrease was driven by reduced spend due to increased unit selection afforded by the larger fleet following the ModSpace acquisition, partially offset by increased spending on VAPS to drive revenue growth. Net capital expenditures of $2.7 million remained flat to the prior year.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0585" cy="454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0585" cy="454660"/>
                    </a:xfrm>
                    <a:prstGeom prst="rect">
                      <a:avLst/>
                    </a:prstGeom>
                    <a:noFill/>
                  </pic:spPr>
                </pic:pic>
              </a:graphicData>
            </a:graphic>
          </wp:anchor>
        </w:drawing>
      </w:r>
    </w:p>
    <w:p>
      <w:pPr>
        <w:spacing w:after="0" w:line="102"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FFFFFF"/>
        </w:rPr>
        <w:t>Nine Months Ended September 30,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6"/>
                <w:szCs w:val="16"/>
                <w:color w:val="auto"/>
              </w:rPr>
            </w:pPr>
          </w:p>
        </w:tc>
        <w:tc>
          <w:tcPr>
            <w:tcW w:w="1340" w:type="dxa"/>
            <w:vAlign w:val="bottom"/>
            <w:vMerge w:val="restart"/>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16"/>
                <w:szCs w:val="16"/>
                <w:color w:val="auto"/>
              </w:rPr>
            </w:pPr>
          </w:p>
        </w:tc>
        <w:tc>
          <w:tcPr>
            <w:tcW w:w="2340" w:type="dxa"/>
            <w:vAlign w:val="bottom"/>
            <w:gridSpan w:val="3"/>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Modular - Other North</w:t>
            </w:r>
          </w:p>
        </w:tc>
        <w:tc>
          <w:tcPr>
            <w:tcW w:w="116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34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26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008A5F"/>
          </w:tcPr>
          <w:p>
            <w:pPr>
              <w:spacing w:after="0"/>
              <w:rPr>
                <w:sz w:val="18"/>
                <w:szCs w:val="18"/>
                <w:color w:val="auto"/>
              </w:rPr>
            </w:pPr>
          </w:p>
        </w:tc>
        <w:tc>
          <w:tcPr>
            <w:tcW w:w="116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86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260" w:type="dxa"/>
            <w:vAlign w:val="bottom"/>
            <w:shd w:val="clear" w:color="auto" w:fill="008A5F"/>
          </w:tcPr>
          <w:p>
            <w:pPr>
              <w:spacing w:after="0"/>
              <w:rPr>
                <w:sz w:val="8"/>
                <w:szCs w:val="8"/>
                <w:color w:val="auto"/>
              </w:rPr>
            </w:pPr>
          </w:p>
        </w:tc>
        <w:tc>
          <w:tcPr>
            <w:tcW w:w="70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718,038</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75,435</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793,473</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284,336</w:t>
            </w:r>
          </w:p>
        </w:tc>
        <w:tc>
          <w:tcPr>
            <w:tcW w:w="240" w:type="dxa"/>
            <w:vAlign w:val="bottom"/>
          </w:tcPr>
          <w:p>
            <w:pPr>
              <w:spacing w:after="0"/>
              <w:rPr>
                <w:sz w:val="20"/>
                <w:szCs w:val="20"/>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27,640</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311,976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238,572</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23,040</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261,612</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153,113</w:t>
            </w:r>
          </w:p>
        </w:tc>
        <w:tc>
          <w:tcPr>
            <w:tcW w:w="240" w:type="dxa"/>
            <w:vAlign w:val="bottom"/>
          </w:tcPr>
          <w:p>
            <w:pPr>
              <w:spacing w:after="0"/>
              <w:rPr>
                <w:sz w:val="20"/>
                <w:szCs w:val="20"/>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7,764</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160,877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83,285</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9,014</w:t>
            </w:r>
          </w:p>
        </w:tc>
        <w:tc>
          <w:tcPr>
            <w:tcW w:w="70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92,299</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74.3 %</w:t>
            </w:r>
          </w:p>
        </w:tc>
        <w:tc>
          <w:tcPr>
            <w:tcW w:w="380" w:type="dxa"/>
            <w:vAlign w:val="bottom"/>
          </w:tcPr>
          <w:p>
            <w:pPr>
              <w:spacing w:after="0"/>
              <w:rPr>
                <w:sz w:val="20"/>
                <w:szCs w:val="20"/>
                <w:color w:val="auto"/>
              </w:rPr>
            </w:pPr>
          </w:p>
        </w:tc>
        <w:tc>
          <w:tcPr>
            <w:tcW w:w="1960" w:type="dxa"/>
            <w:vAlign w:val="bottom"/>
            <w:gridSpan w:val="2"/>
          </w:tcPr>
          <w:p>
            <w:pPr>
              <w:jc w:val="right"/>
              <w:ind w:right="459"/>
              <w:spacing w:after="0"/>
              <w:rPr>
                <w:sz w:val="20"/>
                <w:szCs w:val="20"/>
                <w:color w:val="auto"/>
              </w:rPr>
            </w:pPr>
            <w:r>
              <w:rPr>
                <w:rFonts w:ascii="Arial" w:cs="Arial" w:eastAsia="Arial" w:hAnsi="Arial"/>
                <w:sz w:val="16"/>
                <w:szCs w:val="16"/>
                <w:color w:val="auto"/>
              </w:rPr>
              <w:t>56.2 %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72.1 %</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606</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592</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605</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16,427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412</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52.9</w:t>
            </w:r>
          </w:p>
        </w:tc>
        <w:tc>
          <w:tcPr>
            <w:tcW w:w="70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98"/>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111</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37730"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7730" cy="428625"/>
                    </a:xfrm>
                    <a:prstGeom prst="rect">
                      <a:avLst/>
                    </a:prstGeom>
                    <a:noFill/>
                  </pic:spPr>
                </pic:pic>
              </a:graphicData>
            </a:graphic>
          </wp:anchor>
        </w:drawing>
      </w:r>
    </w:p>
    <w:p>
      <w:pPr>
        <w:spacing w:after="0" w:line="333"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FFFFFF"/>
        </w:rPr>
        <w:t>Nine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232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12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r>
      <w:tr>
        <w:trPr>
          <w:trHeight w:val="234"/>
        </w:trPr>
        <w:tc>
          <w:tcPr>
            <w:tcW w:w="58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444,525</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49,483</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494,008</w:t>
            </w:r>
          </w:p>
        </w:tc>
        <w:tc>
          <w:tcPr>
            <w:tcW w:w="180" w:type="dxa"/>
            <w:vAlign w:val="bottom"/>
            <w:shd w:val="clear" w:color="auto" w:fill="E7E7E8"/>
          </w:tcPr>
          <w:p>
            <w:pPr>
              <w:spacing w:after="0"/>
              <w:rPr>
                <w:sz w:val="21"/>
                <w:szCs w:val="2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169,556</w:t>
            </w:r>
          </w:p>
        </w:tc>
        <w:tc>
          <w:tcPr>
            <w:tcW w:w="24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16,951</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186,507</w:t>
            </w:r>
          </w:p>
        </w:tc>
        <w:tc>
          <w:tcPr>
            <w:tcW w:w="180" w:type="dxa"/>
            <w:vAlign w:val="bottom"/>
          </w:tcPr>
          <w:p>
            <w:pPr>
              <w:spacing w:after="0"/>
              <w:rPr>
                <w:sz w:val="20"/>
                <w:szCs w:val="20"/>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129,170</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12,856</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142,026</w:t>
            </w:r>
          </w:p>
        </w:tc>
        <w:tc>
          <w:tcPr>
            <w:tcW w:w="180" w:type="dxa"/>
            <w:vAlign w:val="bottom"/>
            <w:shd w:val="clear" w:color="auto" w:fill="E7E7E8"/>
          </w:tcPr>
          <w:p>
            <w:pPr>
              <w:spacing w:after="0"/>
              <w:rPr>
                <w:sz w:val="21"/>
                <w:szCs w:val="2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104,462</w:t>
            </w:r>
          </w:p>
        </w:tc>
        <w:tc>
          <w:tcPr>
            <w:tcW w:w="24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7,043</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111,505</w:t>
            </w:r>
          </w:p>
        </w:tc>
        <w:tc>
          <w:tcPr>
            <w:tcW w:w="180" w:type="dxa"/>
            <w:vAlign w:val="bottom"/>
          </w:tcPr>
          <w:p>
            <w:pPr>
              <w:spacing w:after="0"/>
              <w:rPr>
                <w:sz w:val="20"/>
                <w:szCs w:val="20"/>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54,592</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6,144</w:t>
            </w:r>
          </w:p>
        </w:tc>
        <w:tc>
          <w:tcPr>
            <w:tcW w:w="70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60,736</w:t>
            </w:r>
          </w:p>
        </w:tc>
        <w:tc>
          <w:tcPr>
            <w:tcW w:w="180" w:type="dxa"/>
            <w:vAlign w:val="bottom"/>
            <w:shd w:val="clear" w:color="auto" w:fill="E7E7E8"/>
          </w:tcPr>
          <w:p>
            <w:pPr>
              <w:spacing w:after="0"/>
              <w:rPr>
                <w:sz w:val="21"/>
                <w:szCs w:val="2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71.9 %</w:t>
            </w:r>
          </w:p>
        </w:tc>
        <w:tc>
          <w:tcPr>
            <w:tcW w:w="380" w:type="dxa"/>
            <w:vAlign w:val="bottom"/>
          </w:tcPr>
          <w:p>
            <w:pPr>
              <w:spacing w:after="0"/>
              <w:rPr>
                <w:sz w:val="20"/>
                <w:szCs w:val="20"/>
                <w:color w:val="auto"/>
              </w:rPr>
            </w:pPr>
          </w:p>
        </w:tc>
        <w:tc>
          <w:tcPr>
            <w:tcW w:w="1940" w:type="dxa"/>
            <w:vAlign w:val="bottom"/>
            <w:gridSpan w:val="2"/>
          </w:tcPr>
          <w:p>
            <w:pPr>
              <w:jc w:val="right"/>
              <w:ind w:right="439"/>
              <w:spacing w:after="0"/>
              <w:rPr>
                <w:sz w:val="20"/>
                <w:szCs w:val="20"/>
                <w:color w:val="auto"/>
              </w:rPr>
            </w:pPr>
            <w:r>
              <w:rPr>
                <w:rFonts w:ascii="Arial" w:cs="Arial" w:eastAsia="Arial" w:hAnsi="Arial"/>
                <w:sz w:val="16"/>
                <w:szCs w:val="16"/>
                <w:color w:val="auto"/>
              </w:rPr>
              <w:t>57.1 %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70.1 %</w:t>
            </w: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555</w:t>
            </w:r>
          </w:p>
        </w:tc>
        <w:tc>
          <w:tcPr>
            <w:tcW w:w="180" w:type="dxa"/>
            <w:vAlign w:val="bottom"/>
            <w:shd w:val="clear" w:color="auto" w:fill="E7E7E8"/>
          </w:tcPr>
          <w:p>
            <w:pPr>
              <w:spacing w:after="0"/>
              <w:rPr>
                <w:sz w:val="21"/>
                <w:szCs w:val="2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13,964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379</w:t>
            </w:r>
          </w:p>
        </w:tc>
        <w:tc>
          <w:tcPr>
            <w:tcW w:w="7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14,343</w:t>
            </w:r>
          </w:p>
        </w:tc>
        <w:tc>
          <w:tcPr>
            <w:tcW w:w="180" w:type="dxa"/>
            <w:vAlign w:val="bottom"/>
          </w:tcPr>
          <w:p>
            <w:pPr>
              <w:spacing w:after="0"/>
              <w:rPr>
                <w:sz w:val="20"/>
                <w:szCs w:val="20"/>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68.6</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56.5</w:t>
            </w:r>
          </w:p>
        </w:tc>
        <w:tc>
          <w:tcPr>
            <w:tcW w:w="70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9"/>
                <w:szCs w:val="19"/>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$273.5 million, or 61.5%, to $718.0 million for the nine months ended September 30, 2019 from $444.5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2018. Modular leasing revenue increased $199.9 million, or 65.2%, driven by improved volumes and pricing. Average modular space units on rent increased 28,693 units, or 52.6%. Average modular space monthly rental rates increased 9.6% for the nine months ended September 30, 2019. Improved volumes were driven by units acquired as part of the ModSpace acquisition, as well as increased modular delivery and installation revenues on the combined rental fleet of 66.6%. Improved pricing was driven by a combination of our price optimization tools and processes, as well as by continued growth in our “Ready to Work” solutions and increased VAPS penetration across our customer base, offset partially by the lower average modular space monthly rental rates on acquired units. The increases in leasing and services revenue were complemented by increases in sales revenues. New unit sales revenue increased $5.0 million, or 16.6% and rental unit sales revenue increased $6.5 million, or 45.5%. Increases in new unit sales and rental unit sales were primarily a result of the ModSpace acquisition and our larger post-acquisition sales team and fleet size.</w:t>
      </w:r>
    </w:p>
    <w:p>
      <w:pPr>
        <w:spacing w:after="0" w:line="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$8.2 million, or 1.1%, year-over-year for the nine months ended September 30, 2019. This decline was driven by reduced new sales, which declined $40.3 million, or 53.4% driven primarily by one large new sale recognized in the third quarter of 2018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16"/>
          <w:szCs w:val="16"/>
          <w:color w:val="auto"/>
        </w:rPr>
        <w:t>the amount of $26.3 million, and decreased rental unit sales, which declined $10.0 million, or 32.4%. The declines in sales volumes were partially offset by increases in our core modular leasing revenues, which increased $44.3 million, or 9.6%, driven primarily by continued pricing improvement, with increases in pro forma average modular space monthly rental rates of $77, or 14.6%, year over year for the nine months ended September 30, 2019. Modular space units on rent decreased 3.9% on a pro forma basis to 83,285 and pro forma utilization for our modular space units decreased to 74.3%, down 40 bps from 74.7% for the nine months ended September 30, 2018.</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$114.9 million, or 67.8%, to $284.4 million for the nine months ended September 30, 2019 from $169.5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months ended September 30, 2018. The increase in gross profit was driven by higher modular leasing and service revenues driven both by organic growth and through the ModSpace acquisition, as well as due to increased modular space delivery and installation margins. The increase in gross profit from modular leasing and service revenues was partially offset by a $42.4 million increase in depreciation of rental equipment primarily related to units acquired in the ModSpace acquisition for the nine months ended September 30, 2019, as well as continued capital investment in our existing rental equipment.</w:t>
      </w:r>
    </w:p>
    <w:p>
      <w:pPr>
        <w:spacing w:after="0" w:line="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$109.5 million, or 84.8%, to $238.6 million for the nine months ended September 30,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$129.1 million for the nine months ended September 30, 2018. The increase was driven by higher modular leasing and services gross profits discussed above, partially offset by increases in SG&amp;A, excluding discrete and other items, of $45.9 million. Discrete and other items within SG&amp;A decreased for the nine months ended September 30, 2019, compared to the nine months ended September 30, 2018, by $4.1 million as decreases in transaction costs related to the ModSpace, Acton, and Tyson acquisitions of $14.6 million were partially offset by increases in integration cost of $5.8 million, an increase in stock compensation expense of $2.8 million, and a $2.0 million increase in other costs. Increases in SG&amp;A, excluding discrete items, primarily relate to increased employee costs of $21.5 million driven by the increased size of the workforce, net of realized employee cost synergies savings to date achieved as a result of the restructuring activities; and increased occupancy costs of $6.4 million largely due to the expansion of our branch network and storage lots, including a portion of the expected cost savings as we have now exited approximately 75% of redundant real estate locations. The remaining increases of $18.0 million are primarily related to increased professional fees, insurance, computer, travel, office costs, bad debt and other expenses related to operating a larger business as a result of our recent acquisitions and our expanded employee base and branch network.</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$48.6 million, or 46.5%, to $153.1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2019 from $104.5 million for the nine months ended September 30, 2018. Net capital expenditures for rental equipment also increased $46.0 million, or 54.4%, to $130.5 million. The increases for both were driven by increased spend for refurbishments and VAPS to drive revenue growth and for maintenance of a larger fleet following our recent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$25.9 million, or 52.3%, to $75.4 million for the nine months ended September 30, 2019 from $49.5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2018. Modular leasing revenue increased $17.0 million, or 51.2%, driven by improved volumes and pricing in the quarter. Average modular space units on rent increased by 2,870 units, or 46.7%, for the period, and average modular space monthly rental rates increased 4.2%. Improved volumes were driven by units acquired as part of the ModSpace acquisition and improved pricing was driven primarily through continued growth in our “Ready to Work” solutions and increased VAPS penetration across the combined post-acquisition customer base. Modular delivery and installation revenues increased $2.1 million, or 18.6%. New unit sales were $2.9 million and $3.4 million, and rental unit sales revenue was $8.9 million and $1.6 million for the nine months ended September 30, 2019 and 2018, respectively. The increase in modular delivery and installation revenues was primarily driven by the ModSpace acquisition and our larger post-acquisition sales team and fleet size. The increase in rental unit sales revenue was primarily driven by several large rental unit sale projects in the first half of 2019.</w:t>
      </w:r>
    </w:p>
    <w:p>
      <w:pPr>
        <w:spacing w:after="0" w:line="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$5.1 million, or 6.3%, year-over-year for the nine months ended September 30, 2019. This decline was driven by reduced modular delivery and installation revenues and reduced new unit sales, which declined $6.3 million, or 32.0%, and $2.3 million, or 44.2%, respectively. The decline in modular delivery and installation revenues was driven by several large projects that began or were completed during the prior year and resulted in large delivery and installation revenues. These declines were partially offset by increases in rental unit sales of $3.3 million, or 58.9%. Core modular leasing revenues increased $0.3 million, or 0.6%, with increases in pro forma average modular space monthly rental rates of $ 22, or 3.9%, for the nine months ended September 30, 2019, being partially offset by a decrease in modular space units on rent of 2.3% on a pro forma basis to 9,014. Pro forma utilization for our modular space units decreased to 56.2%, down 40 bps from 56.6%, for the nine months ended September 30, 2018.</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$10.6 million, or 62.4%, to $27.6 million for the nine months ended September 30, 2019 from $17.0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The effects of favorable foreign currency movements increased gross profit by less than $0.2 million related to changes in the Canadian dollar and Mexican peso in relation to the US dollar. The increase in gross profit, excluding the effects of foreign currency, was driven primarily by increased leasing and services revenues and margins as a result of higher modular space units on rent and average monthly rental rates.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6"/>
          <w:szCs w:val="16"/>
          <w:color w:val="auto"/>
        </w:rPr>
        <w:t>Additionally, rental unit sales gross profit increased due to higher volume. These increases were slightly offset by increased depreciation of rental equipment of $3.7 million for nine months ended September 30, 2019.</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$10.1 million, or 78.3%, to $23.0 million for the nine months ended September 30,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$12.9 million for the nine months ended September 30, 2018. This increase was driven by increased leasing and services gross profit as a result of increased modular space volumes and average monthly rental rates and increased rental unit sales gross profit, partially offset by increased SG&amp;A, excluding discrete items, of $4.2 million, also driven by the ModSpace acquisition, consisting primarily of increased employee costs of $1.8 million and increased occupancy costs of $1.8 million.</w:t>
      </w:r>
    </w:p>
    <w:p>
      <w:pPr>
        <w:spacing w:after="0" w:line="2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$0.8 million, or 11.4%, to $7.8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2019 from $7.0 million for the nine months ended September 30, 2018. The increase was driven by increased spend for new fleet and VAPS to drive revenue growth and for maintenance of a larger fleet following the ModSpace acquisition. Net capital expenditures decreased $6.5 million, or 120.4%, to negative $1.1 million during the nine months ended September 30, 2019, as a result of increased rental unit sales in the period that exceeded capital expenditures for rental equipment.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intrinsic operating results of the Company.</w:t>
      </w:r>
    </w:p>
    <w:p>
      <w:pPr>
        <w:spacing w:after="0" w:line="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 xml:space="preserve">Management also evaluates Free Cash Flow as defined in </w:t>
      </w:r>
      <w:r>
        <w:rPr>
          <w:rFonts w:ascii="Arial" w:cs="Arial" w:eastAsia="Arial" w:hAnsi="Arial"/>
          <w:sz w:val="16"/>
          <w:szCs w:val="16"/>
          <w:i w:val="1"/>
          <w:iCs w:val="1"/>
          <w:color w:val="auto"/>
        </w:rPr>
        <w:t>Item 2, Liquidity and Capital Resources</w:t>
      </w:r>
      <w:r>
        <w:rPr>
          <w:rFonts w:ascii="Arial" w:cs="Arial" w:eastAsia="Arial" w:hAnsi="Arial"/>
          <w:sz w:val="16"/>
          <w:szCs w:val="16"/>
          <w:color w:val="auto"/>
        </w:rPr>
        <w:t>, as it provides useful additional information concerning cash flow available to meet future debt service obligations and working capital requirements.</w:t>
      </w:r>
    </w:p>
    <w:p>
      <w:pPr>
        <w:spacing w:after="0"/>
        <w:rPr>
          <w:sz w:val="20"/>
          <w:szCs w:val="20"/>
          <w:color w:val="auto"/>
        </w:rPr>
      </w:pPr>
      <w:r>
        <w:rPr>
          <w:rFonts w:ascii="Arial" w:cs="Arial" w:eastAsia="Arial" w:hAnsi="Arial"/>
          <w:sz w:val="18"/>
          <w:szCs w:val="18"/>
          <w:b w:val="1"/>
          <w:bCs w:val="1"/>
          <w:color w:val="auto"/>
        </w:rPr>
        <w:t>Adjusted EBITDA</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expense, income tax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39" w:lineRule="exact"/>
        <w:rPr>
          <w:sz w:val="20"/>
          <w:szCs w:val="20"/>
          <w:color w:val="auto"/>
        </w:rPr>
      </w:pPr>
    </w:p>
    <w:p>
      <w:pPr>
        <w:ind w:left="1300" w:hanging="320"/>
        <w:spacing w:after="0" w:line="246"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Currency losses (gains), net: on monetary assets and liabilities denominated in foreign currencies other than the subsidiaries’ functional currency. Substantially all such currency losses (gains) are unrealized and attributable to financings due to and from affiliated companies.</w:t>
      </w: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Non-cash impairment charges associated with goodwill and other long-lived assets.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 including employee and lease termination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ind w:left="1300" w:hanging="320"/>
        <w:spacing w:after="0" w:line="250"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240"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3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34"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5" w:name="page46"/>
    <w:bookmarkEnd w:id="45"/>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5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income (loss) to Adjusted EBITDA:</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84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120" w:type="dxa"/>
            <w:vAlign w:val="bottom"/>
            <w:gridSpan w:val="5"/>
            <w:shd w:val="clear" w:color="auto" w:fill="008A5F"/>
          </w:tcPr>
          <w:p>
            <w:pPr>
              <w:ind w:left="520"/>
              <w:spacing w:after="0"/>
              <w:rPr>
                <w:sz w:val="20"/>
                <w:szCs w:val="20"/>
                <w:color w:val="auto"/>
              </w:rPr>
            </w:pPr>
            <w:r>
              <w:rPr>
                <w:rFonts w:ascii="Arial" w:cs="Arial" w:eastAsia="Arial" w:hAnsi="Arial"/>
                <w:sz w:val="16"/>
                <w:szCs w:val="16"/>
                <w:b w:val="1"/>
                <w:bCs w:val="1"/>
                <w:color w:val="FFFFFF"/>
              </w:rPr>
              <w:t>Three Months Ended</w:t>
            </w:r>
          </w:p>
        </w:tc>
        <w:tc>
          <w:tcPr>
            <w:tcW w:w="340" w:type="dxa"/>
            <w:vAlign w:val="bottom"/>
            <w:shd w:val="clear" w:color="auto" w:fill="008A5F"/>
          </w:tcPr>
          <w:p>
            <w:pPr>
              <w:spacing w:after="0"/>
              <w:rPr>
                <w:sz w:val="17"/>
                <w:szCs w:val="17"/>
                <w:color w:val="auto"/>
              </w:rPr>
            </w:pPr>
          </w:p>
        </w:tc>
        <w:tc>
          <w:tcPr>
            <w:tcW w:w="2720" w:type="dxa"/>
            <w:vAlign w:val="bottom"/>
            <w:gridSpan w:val="4"/>
            <w:shd w:val="clear" w:color="auto" w:fill="008A5F"/>
          </w:tcPr>
          <w:p>
            <w:pPr>
              <w:jc w:val="right"/>
              <w:ind w:right="69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484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4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76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960" w:type="dxa"/>
            <w:vAlign w:val="bottom"/>
            <w:shd w:val="clear" w:color="auto" w:fill="008A5F"/>
          </w:tcPr>
          <w:p>
            <w:pPr>
              <w:spacing w:after="0"/>
              <w:rPr>
                <w:sz w:val="18"/>
                <w:szCs w:val="18"/>
                <w:color w:val="auto"/>
              </w:rPr>
            </w:pPr>
          </w:p>
        </w:tc>
      </w:tr>
      <w:tr>
        <w:trPr>
          <w:trHeight w:val="263"/>
        </w:trPr>
        <w:tc>
          <w:tcPr>
            <w:tcW w:w="48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2"/>
                <w:szCs w:val="22"/>
                <w:color w:val="auto"/>
              </w:rPr>
            </w:pPr>
          </w:p>
        </w:tc>
        <w:tc>
          <w:tcPr>
            <w:tcW w:w="560" w:type="dxa"/>
            <w:vAlign w:val="bottom"/>
            <w:shd w:val="clear" w:color="auto" w:fill="008A5F"/>
          </w:tcPr>
          <w:p>
            <w:pPr>
              <w:spacing w:after="0"/>
              <w:rPr>
                <w:sz w:val="22"/>
                <w:szCs w:val="22"/>
                <w:color w:val="auto"/>
              </w:rPr>
            </w:pPr>
          </w:p>
        </w:tc>
        <w:tc>
          <w:tcPr>
            <w:tcW w:w="10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20" w:type="dxa"/>
            <w:vAlign w:val="bottom"/>
            <w:shd w:val="clear" w:color="auto" w:fill="008A5F"/>
          </w:tcPr>
          <w:p>
            <w:pPr>
              <w:spacing w:after="0"/>
              <w:rPr>
                <w:sz w:val="22"/>
                <w:szCs w:val="22"/>
                <w:color w:val="auto"/>
              </w:rPr>
            </w:pPr>
          </w:p>
        </w:tc>
        <w:tc>
          <w:tcPr>
            <w:tcW w:w="9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(36,729)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(22,174)</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(43,185)</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3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(13,572)</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E7E7E8"/>
          </w:tcPr>
          <w:p>
            <w:pPr>
              <w:spacing w:after="0"/>
              <w:rPr>
                <w:sz w:val="21"/>
                <w:szCs w:val="21"/>
                <w:color w:val="auto"/>
              </w:rPr>
            </w:pPr>
          </w:p>
        </w:tc>
        <w:tc>
          <w:tcPr>
            <w:tcW w:w="138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spacing w:after="0"/>
              <w:rPr>
                <w:sz w:val="21"/>
                <w:szCs w:val="21"/>
                <w:color w:val="auto"/>
              </w:rPr>
            </w:pPr>
          </w:p>
        </w:tc>
        <w:tc>
          <w:tcPr>
            <w:tcW w:w="11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30,857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43,447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95,353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67,321</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47,576</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39,254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138,818</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90,575</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1,171</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380" w:type="dxa"/>
            <w:vAlign w:val="bottom"/>
            <w:shd w:val="clear" w:color="auto" w:fill="E7E7E8"/>
          </w:tcPr>
          <w:p>
            <w:pPr>
              <w:spacing w:after="0"/>
              <w:rPr>
                <w:sz w:val="21"/>
                <w:szCs w:val="21"/>
                <w:color w:val="auto"/>
              </w:rPr>
            </w:pPr>
          </w:p>
        </w:tc>
        <w:tc>
          <w:tcPr>
            <w:tcW w:w="138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spacing w:after="0"/>
              <w:rPr>
                <w:sz w:val="21"/>
                <w:szCs w:val="21"/>
                <w:color w:val="auto"/>
              </w:rPr>
            </w:pPr>
          </w:p>
        </w:tc>
        <w:tc>
          <w:tcPr>
            <w:tcW w:w="11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9,083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7,214</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Transaction costs</w:t>
            </w:r>
          </w:p>
        </w:tc>
        <w:tc>
          <w:tcPr>
            <w:tcW w:w="380" w:type="dxa"/>
            <w:vAlign w:val="bottom"/>
            <w:shd w:val="clear" w:color="auto" w:fill="E7E7E8"/>
          </w:tcPr>
          <w:p>
            <w:pPr>
              <w:spacing w:after="0"/>
              <w:rPr>
                <w:sz w:val="21"/>
                <w:szCs w:val="21"/>
                <w:color w:val="auto"/>
              </w:rPr>
            </w:pPr>
          </w:p>
        </w:tc>
        <w:tc>
          <w:tcPr>
            <w:tcW w:w="138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10,672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14,790</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5,483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7,453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23,863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14,868</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5,003</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2,225</w:t>
            </w:r>
          </w:p>
        </w:tc>
      </w:tr>
      <w:tr>
        <w:trPr>
          <w:trHeight w:val="237"/>
        </w:trPr>
        <w:tc>
          <w:tcPr>
            <w:tcW w:w="48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619</w:t>
            </w:r>
          </w:p>
        </w:tc>
      </w:tr>
      <w:tr>
        <w:trPr>
          <w:trHeight w:val="268"/>
        </w:trPr>
        <w:tc>
          <w:tcPr>
            <w:tcW w:w="48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88,377</w:t>
            </w:r>
          </w:p>
        </w:tc>
        <w:tc>
          <w:tcPr>
            <w:tcW w:w="120" w:type="dxa"/>
            <w:vAlign w:val="bottom"/>
            <w:tcBorders>
              <w:bottom w:val="single" w:sz="8" w:color="E7E7E8"/>
            </w:tcBorders>
            <w:shd w:val="clear" w:color="auto" w:fill="E7E7E8"/>
          </w:tcPr>
          <w:p>
            <w:pPr>
              <w:spacing w:after="0"/>
              <w:rPr>
                <w:sz w:val="22"/>
                <w:szCs w:val="22"/>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64,618</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261,612</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142,026</w:t>
            </w:r>
          </w:p>
        </w:tc>
      </w:tr>
      <w:tr>
        <w:trPr>
          <w:trHeight w:val="20"/>
        </w:trPr>
        <w:tc>
          <w:tcPr>
            <w:tcW w:w="484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70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180" w:type="dxa"/>
            <w:vAlign w:val="bottom"/>
            <w:gridSpan w:val="5"/>
            <w:shd w:val="clear" w:color="auto" w:fill="008A5F"/>
          </w:tcPr>
          <w:p>
            <w:pPr>
              <w:ind w:left="540"/>
              <w:spacing w:after="0"/>
              <w:rPr>
                <w:sz w:val="20"/>
                <w:szCs w:val="20"/>
                <w:color w:val="auto"/>
              </w:rPr>
            </w:pPr>
            <w:r>
              <w:rPr>
                <w:rFonts w:ascii="Arial" w:cs="Arial" w:eastAsia="Arial" w:hAnsi="Arial"/>
                <w:sz w:val="16"/>
                <w:szCs w:val="16"/>
                <w:b w:val="1"/>
                <w:bCs w:val="1"/>
                <w:color w:val="FFFFFF"/>
              </w:rPr>
              <w:t>Three Months Ended</w:t>
            </w:r>
          </w:p>
        </w:tc>
        <w:tc>
          <w:tcPr>
            <w:tcW w:w="340" w:type="dxa"/>
            <w:vAlign w:val="bottom"/>
            <w:shd w:val="clear" w:color="auto" w:fill="008A5F"/>
          </w:tcPr>
          <w:p>
            <w:pPr>
              <w:spacing w:after="0"/>
              <w:rPr>
                <w:sz w:val="17"/>
                <w:szCs w:val="17"/>
                <w:color w:val="auto"/>
              </w:rPr>
            </w:pPr>
          </w:p>
        </w:tc>
        <w:tc>
          <w:tcPr>
            <w:tcW w:w="2800" w:type="dxa"/>
            <w:vAlign w:val="bottom"/>
            <w:gridSpan w:val="4"/>
            <w:shd w:val="clear" w:color="auto" w:fill="008A5F"/>
          </w:tcPr>
          <w:p>
            <w:pPr>
              <w:jc w:val="right"/>
              <w:ind w:right="73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470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8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10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82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980" w:type="dxa"/>
            <w:vAlign w:val="bottom"/>
            <w:shd w:val="clear" w:color="auto" w:fill="008A5F"/>
          </w:tcPr>
          <w:p>
            <w:pPr>
              <w:spacing w:after="0"/>
              <w:rPr>
                <w:sz w:val="18"/>
                <w:szCs w:val="18"/>
                <w:color w:val="auto"/>
              </w:rPr>
            </w:pPr>
          </w:p>
        </w:tc>
      </w:tr>
      <w:tr>
        <w:trPr>
          <w:trHeight w:val="263"/>
        </w:trPr>
        <w:tc>
          <w:tcPr>
            <w:tcW w:w="4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2"/>
                <w:szCs w:val="22"/>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80" w:type="dxa"/>
            <w:vAlign w:val="bottom"/>
            <w:shd w:val="clear" w:color="auto" w:fill="008A5F"/>
          </w:tcPr>
          <w:p>
            <w:pPr>
              <w:spacing w:after="0"/>
              <w:rPr>
                <w:sz w:val="22"/>
                <w:szCs w:val="22"/>
                <w:color w:val="auto"/>
              </w:rPr>
            </w:pPr>
          </w:p>
        </w:tc>
        <w:tc>
          <w:tcPr>
            <w:tcW w:w="11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8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40" w:type="dxa"/>
            <w:vAlign w:val="bottom"/>
            <w:shd w:val="clear" w:color="auto" w:fill="008A5F"/>
          </w:tcPr>
          <w:p>
            <w:pPr>
              <w:spacing w:after="0"/>
              <w:rPr>
                <w:sz w:val="22"/>
                <w:szCs w:val="22"/>
                <w:color w:val="auto"/>
              </w:rPr>
            </w:pPr>
          </w:p>
        </w:tc>
        <w:tc>
          <w:tcPr>
            <w:tcW w:w="98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272,340</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218,924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793,473</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494,008</w:t>
            </w:r>
          </w:p>
        </w:tc>
      </w:tr>
      <w:tr>
        <w:trPr>
          <w:trHeight w:val="54"/>
        </w:trPr>
        <w:tc>
          <w:tcPr>
            <w:tcW w:w="4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(B)</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103,426</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80,946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311,976</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186,507</w:t>
            </w:r>
          </w:p>
        </w:tc>
      </w:tr>
      <w:tr>
        <w:trPr>
          <w:trHeight w:val="237"/>
        </w:trPr>
        <w:tc>
          <w:tcPr>
            <w:tcW w:w="4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43,869</w:t>
            </w:r>
          </w:p>
        </w:tc>
        <w:tc>
          <w:tcPr>
            <w:tcW w:w="10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35,534</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128,940</w:t>
            </w:r>
          </w:p>
        </w:tc>
        <w:tc>
          <w:tcPr>
            <w:tcW w:w="10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82,849</w:t>
            </w:r>
          </w:p>
        </w:tc>
      </w:tr>
      <w:tr>
        <w:trPr>
          <w:trHeight w:val="262"/>
        </w:trPr>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Gross Profit (C)</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147,295</w:t>
            </w:r>
          </w:p>
        </w:tc>
        <w:tc>
          <w:tcPr>
            <w:tcW w:w="100" w:type="dxa"/>
            <w:vAlign w:val="bottom"/>
            <w:tcBorders>
              <w:bottom w:val="single" w:sz="8" w:color="E7E7E8"/>
            </w:tcBorders>
            <w:shd w:val="clear" w:color="auto" w:fill="E7E7E8"/>
          </w:tcPr>
          <w:p>
            <w:pPr>
              <w:spacing w:after="0"/>
              <w:rPr>
                <w:sz w:val="22"/>
                <w:szCs w:val="22"/>
                <w:color w:val="auto"/>
              </w:rPr>
            </w:pP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116,480</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440,916</w:t>
            </w:r>
          </w:p>
        </w:tc>
        <w:tc>
          <w:tcPr>
            <w:tcW w:w="100" w:type="dxa"/>
            <w:vAlign w:val="bottom"/>
            <w:tcBorders>
              <w:bottom w:val="single" w:sz="8" w:color="E7E7E8"/>
            </w:tcBorders>
            <w:shd w:val="clear" w:color="auto" w:fill="E7E7E8"/>
          </w:tcPr>
          <w:p>
            <w:pPr>
              <w:spacing w:after="0"/>
              <w:rPr>
                <w:sz w:val="22"/>
                <w:szCs w:val="22"/>
                <w:color w:val="auto"/>
              </w:rPr>
            </w:pPr>
          </w:p>
        </w:tc>
        <w:tc>
          <w:tcPr>
            <w:tcW w:w="540" w:type="dxa"/>
            <w:vAlign w:val="bottom"/>
            <w:tcBorders>
              <w:bottom w:val="single" w:sz="8" w:color="auto"/>
            </w:tcBorders>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269,356</w:t>
            </w:r>
          </w:p>
        </w:tc>
      </w:tr>
      <w:tr>
        <w:trPr>
          <w:trHeight w:val="24"/>
        </w:trPr>
        <w:tc>
          <w:tcPr>
            <w:tcW w:w="4700" w:type="dxa"/>
            <w:vAlign w:val="bottom"/>
            <w:tcBorders>
              <w:top w:val="single" w:sz="8" w:color="E7E7E8"/>
            </w:tcBorders>
          </w:tcPr>
          <w:p>
            <w:pPr>
              <w:spacing w:after="0"/>
              <w:rPr>
                <w:sz w:val="2"/>
                <w:szCs w:val="2"/>
                <w:color w:val="auto"/>
              </w:rPr>
            </w:pPr>
          </w:p>
        </w:tc>
        <w:tc>
          <w:tcPr>
            <w:tcW w:w="380" w:type="dxa"/>
            <w:vAlign w:val="bottom"/>
            <w:tcBorders>
              <w:top w:val="single" w:sz="8" w:color="E7E7E8"/>
              <w:bottom w:val="single" w:sz="8" w:color="auto"/>
            </w:tcBorders>
          </w:tcPr>
          <w:p>
            <w:pPr>
              <w:spacing w:after="0"/>
              <w:rPr>
                <w:sz w:val="2"/>
                <w:szCs w:val="2"/>
                <w:color w:val="auto"/>
              </w:rPr>
            </w:pPr>
          </w:p>
        </w:tc>
        <w:tc>
          <w:tcPr>
            <w:tcW w:w="1300" w:type="dxa"/>
            <w:vAlign w:val="bottom"/>
            <w:tcBorders>
              <w:top w:val="single" w:sz="8" w:color="E7E7E8"/>
              <w:bottom w:val="single" w:sz="8" w:color="auto"/>
            </w:tcBorders>
          </w:tcPr>
          <w:p>
            <w:pPr>
              <w:spacing w:after="0"/>
              <w:rPr>
                <w:sz w:val="2"/>
                <w:szCs w:val="2"/>
                <w:color w:val="auto"/>
              </w:rPr>
            </w:pPr>
          </w:p>
        </w:tc>
        <w:tc>
          <w:tcPr>
            <w:tcW w:w="100" w:type="dxa"/>
            <w:vAlign w:val="bottom"/>
            <w:tcBorders>
              <w:top w:val="single" w:sz="8" w:color="E7E7E8"/>
            </w:tcBorders>
          </w:tcPr>
          <w:p>
            <w:pPr>
              <w:spacing w:after="0"/>
              <w:rPr>
                <w:sz w:val="2"/>
                <w:szCs w:val="2"/>
                <w:color w:val="auto"/>
              </w:rPr>
            </w:pPr>
          </w:p>
        </w:tc>
        <w:tc>
          <w:tcPr>
            <w:tcW w:w="580" w:type="dxa"/>
            <w:vAlign w:val="bottom"/>
            <w:tcBorders>
              <w:top w:val="single" w:sz="8" w:color="E7E7E8"/>
              <w:bottom w:val="single" w:sz="8" w:color="auto"/>
            </w:tcBorders>
          </w:tcPr>
          <w:p>
            <w:pPr>
              <w:spacing w:after="0"/>
              <w:rPr>
                <w:sz w:val="2"/>
                <w:szCs w:val="2"/>
                <w:color w:val="auto"/>
              </w:rPr>
            </w:pPr>
          </w:p>
        </w:tc>
        <w:tc>
          <w:tcPr>
            <w:tcW w:w="1100" w:type="dxa"/>
            <w:vAlign w:val="bottom"/>
            <w:tcBorders>
              <w:top w:val="single" w:sz="8" w:color="E7E7E8"/>
              <w:bottom w:val="single" w:sz="8" w:color="auto"/>
            </w:tcBorders>
          </w:tcPr>
          <w:p>
            <w:pPr>
              <w:spacing w:after="0"/>
              <w:rPr>
                <w:sz w:val="2"/>
                <w:szCs w:val="2"/>
                <w:color w:val="auto"/>
              </w:rPr>
            </w:pPr>
          </w:p>
        </w:tc>
        <w:tc>
          <w:tcPr>
            <w:tcW w:w="100" w:type="dxa"/>
            <w:vAlign w:val="bottom"/>
            <w:tcBorders>
              <w:top w:val="single" w:sz="8" w:color="E7E7E8"/>
            </w:tcBorders>
          </w:tcPr>
          <w:p>
            <w:pPr>
              <w:spacing w:after="0"/>
              <w:rPr>
                <w:sz w:val="2"/>
                <w:szCs w:val="2"/>
                <w:color w:val="auto"/>
              </w:rPr>
            </w:pPr>
          </w:p>
        </w:tc>
        <w:tc>
          <w:tcPr>
            <w:tcW w:w="340" w:type="dxa"/>
            <w:vAlign w:val="bottom"/>
            <w:tcBorders>
              <w:top w:val="single" w:sz="8" w:color="E7E7E8"/>
              <w:bottom w:val="single" w:sz="8" w:color="auto"/>
            </w:tcBorders>
          </w:tcPr>
          <w:p>
            <w:pPr>
              <w:spacing w:after="0"/>
              <w:rPr>
                <w:sz w:val="2"/>
                <w:szCs w:val="2"/>
                <w:color w:val="auto"/>
              </w:rPr>
            </w:pPr>
          </w:p>
        </w:tc>
        <w:tc>
          <w:tcPr>
            <w:tcW w:w="1180" w:type="dxa"/>
            <w:vAlign w:val="bottom"/>
            <w:tcBorders>
              <w:top w:val="single" w:sz="8" w:color="E7E7E8"/>
              <w:bottom w:val="single" w:sz="8" w:color="auto"/>
            </w:tcBorders>
          </w:tcPr>
          <w:p>
            <w:pPr>
              <w:spacing w:after="0"/>
              <w:rPr>
                <w:sz w:val="2"/>
                <w:szCs w:val="2"/>
                <w:color w:val="auto"/>
              </w:rPr>
            </w:pPr>
          </w:p>
        </w:tc>
        <w:tc>
          <w:tcPr>
            <w:tcW w:w="100" w:type="dxa"/>
            <w:vAlign w:val="bottom"/>
            <w:tcBorders>
              <w:top w:val="single" w:sz="8" w:color="E7E7E8"/>
            </w:tcBorders>
          </w:tcPr>
          <w:p>
            <w:pPr>
              <w:spacing w:after="0"/>
              <w:rPr>
                <w:sz w:val="2"/>
                <w:szCs w:val="2"/>
                <w:color w:val="auto"/>
              </w:rPr>
            </w:pPr>
          </w:p>
        </w:tc>
        <w:tc>
          <w:tcPr>
            <w:tcW w:w="540" w:type="dxa"/>
            <w:vAlign w:val="bottom"/>
            <w:tcBorders>
              <w:top w:val="single" w:sz="8" w:color="E7E7E8"/>
              <w:bottom w:val="single" w:sz="8" w:color="auto"/>
            </w:tcBorders>
          </w:tcPr>
          <w:p>
            <w:pPr>
              <w:spacing w:after="0"/>
              <w:rPr>
                <w:sz w:val="2"/>
                <w:szCs w:val="2"/>
                <w:color w:val="auto"/>
              </w:rPr>
            </w:pPr>
          </w:p>
        </w:tc>
        <w:tc>
          <w:tcPr>
            <w:tcW w:w="980" w:type="dxa"/>
            <w:vAlign w:val="bottom"/>
            <w:tcBorders>
              <w:top w:val="single" w:sz="8" w:color="E7E7E8"/>
              <w:bottom w:val="single" w:sz="8" w:color="auto"/>
            </w:tcBorders>
          </w:tcPr>
          <w:p>
            <w:pPr>
              <w:spacing w:after="0"/>
              <w:rPr>
                <w:sz w:val="2"/>
                <w:szCs w:val="2"/>
                <w:color w:val="auto"/>
              </w:rPr>
            </w:pPr>
          </w:p>
        </w:tc>
      </w:tr>
      <w:tr>
        <w:trPr>
          <w:trHeight w:val="247"/>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Percentage (B/A)</w:t>
            </w: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37.0 %</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39.3 %</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37.8 %</w:t>
            </w:r>
          </w:p>
        </w:tc>
      </w:tr>
      <w:tr>
        <w:trPr>
          <w:trHeight w:val="224"/>
        </w:trPr>
        <w:tc>
          <w:tcPr>
            <w:tcW w:w="470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54.1 %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54.5 %</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 and Net CAPEX for Rental Equipment</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Net Capital Expenditures ("Net CAPEX") and Net CAPEX for Rental Equipment as capital expenditures for purchases and capitalized refurbishments of rental equipment and purchases of property, plant and equipment (collectively "Total Capital Expenditures"), reduced by proceeds from the sale of rental equipment. Net CAPEX for Rental Equipment is defined as capital expenditures for purchases and capitalized refurbishments of rental equipment, reduced by proceeds from the sale of rental equipment. Our management believes that the presentation of Net CAPEX and Net CAPEX for Rental Equipment provides useful information to investors regarding the net capital invested into our rental fleet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The following table provides an unaudited reconciliation of purchase of rental equipment to Net CAPEX for Rental Equipment and to Net CAPEX:</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84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120" w:type="dxa"/>
            <w:vAlign w:val="bottom"/>
            <w:gridSpan w:val="5"/>
            <w:shd w:val="clear" w:color="auto" w:fill="008A5F"/>
          </w:tcPr>
          <w:p>
            <w:pPr>
              <w:ind w:left="520"/>
              <w:spacing w:after="0"/>
              <w:rPr>
                <w:sz w:val="20"/>
                <w:szCs w:val="20"/>
                <w:color w:val="auto"/>
              </w:rPr>
            </w:pPr>
            <w:r>
              <w:rPr>
                <w:rFonts w:ascii="Arial" w:cs="Arial" w:eastAsia="Arial" w:hAnsi="Arial"/>
                <w:sz w:val="16"/>
                <w:szCs w:val="16"/>
                <w:b w:val="1"/>
                <w:bCs w:val="1"/>
                <w:color w:val="FFFFFF"/>
              </w:rPr>
              <w:t>Three Months Ended</w:t>
            </w:r>
          </w:p>
        </w:tc>
        <w:tc>
          <w:tcPr>
            <w:tcW w:w="340" w:type="dxa"/>
            <w:vAlign w:val="bottom"/>
            <w:shd w:val="clear" w:color="auto" w:fill="008A5F"/>
          </w:tcPr>
          <w:p>
            <w:pPr>
              <w:spacing w:after="0"/>
              <w:rPr>
                <w:sz w:val="17"/>
                <w:szCs w:val="17"/>
                <w:color w:val="auto"/>
              </w:rPr>
            </w:pPr>
          </w:p>
        </w:tc>
        <w:tc>
          <w:tcPr>
            <w:tcW w:w="2720" w:type="dxa"/>
            <w:vAlign w:val="bottom"/>
            <w:gridSpan w:val="4"/>
            <w:shd w:val="clear" w:color="auto" w:fill="008A5F"/>
          </w:tcPr>
          <w:p>
            <w:pPr>
              <w:jc w:val="right"/>
              <w:ind w:right="69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484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4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10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76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960" w:type="dxa"/>
            <w:vAlign w:val="bottom"/>
            <w:shd w:val="clear" w:color="auto" w:fill="008A5F"/>
          </w:tcPr>
          <w:p>
            <w:pPr>
              <w:spacing w:after="0"/>
              <w:rPr>
                <w:sz w:val="18"/>
                <w:szCs w:val="18"/>
                <w:color w:val="auto"/>
              </w:rPr>
            </w:pPr>
          </w:p>
        </w:tc>
      </w:tr>
      <w:tr>
        <w:trPr>
          <w:trHeight w:val="263"/>
        </w:trPr>
        <w:tc>
          <w:tcPr>
            <w:tcW w:w="48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2"/>
                <w:szCs w:val="22"/>
                <w:color w:val="auto"/>
              </w:rPr>
            </w:pPr>
          </w:p>
        </w:tc>
        <w:tc>
          <w:tcPr>
            <w:tcW w:w="560" w:type="dxa"/>
            <w:vAlign w:val="bottom"/>
            <w:shd w:val="clear" w:color="auto" w:fill="008A5F"/>
          </w:tcPr>
          <w:p>
            <w:pPr>
              <w:spacing w:after="0"/>
              <w:rPr>
                <w:sz w:val="22"/>
                <w:szCs w:val="22"/>
                <w:color w:val="auto"/>
              </w:rPr>
            </w:pPr>
          </w:p>
        </w:tc>
        <w:tc>
          <w:tcPr>
            <w:tcW w:w="10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20" w:type="dxa"/>
            <w:vAlign w:val="bottom"/>
            <w:shd w:val="clear" w:color="auto" w:fill="008A5F"/>
          </w:tcPr>
          <w:p>
            <w:pPr>
              <w:spacing w:after="0"/>
              <w:rPr>
                <w:sz w:val="22"/>
                <w:szCs w:val="22"/>
                <w:color w:val="auto"/>
              </w:rPr>
            </w:pPr>
          </w:p>
        </w:tc>
        <w:tc>
          <w:tcPr>
            <w:tcW w:w="9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(47,789)</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(46,742)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(160,877)</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(111,505)</w:t>
            </w:r>
          </w:p>
        </w:tc>
      </w:tr>
      <w:tr>
        <w:trPr>
          <w:trHeight w:val="237"/>
        </w:trPr>
        <w:tc>
          <w:tcPr>
            <w:tcW w:w="48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8,421</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9,560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31,504</w:t>
            </w:r>
          </w:p>
        </w:tc>
        <w:tc>
          <w:tcPr>
            <w:tcW w:w="10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21,593</w:t>
            </w:r>
          </w:p>
        </w:tc>
      </w:tr>
      <w:tr>
        <w:trPr>
          <w:trHeight w:val="24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CAPEX for Rental Equipment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(39,368)</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(37,182)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(129,373)</w:t>
            </w:r>
          </w:p>
        </w:tc>
        <w:tc>
          <w:tcPr>
            <w:tcW w:w="10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(89,912)</w:t>
            </w:r>
          </w:p>
        </w:tc>
      </w:tr>
      <w:tr>
        <w:trPr>
          <w:trHeight w:val="237"/>
        </w:trPr>
        <w:tc>
          <w:tcPr>
            <w:tcW w:w="48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E7E7E8"/>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(6,600)</w:t>
            </w:r>
          </w:p>
        </w:tc>
        <w:tc>
          <w:tcPr>
            <w:tcW w:w="10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(3,091)</w:t>
            </w:r>
          </w:p>
        </w:tc>
      </w:tr>
      <w:tr>
        <w:trPr>
          <w:trHeight w:val="262"/>
        </w:trPr>
        <w:tc>
          <w:tcPr>
            <w:tcW w:w="484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CAPEX</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(42,069)</w:t>
            </w:r>
          </w:p>
        </w:tc>
        <w:tc>
          <w:tcPr>
            <w:tcW w:w="120" w:type="dxa"/>
            <w:vAlign w:val="bottom"/>
            <w:tcBorders>
              <w:bottom w:val="single" w:sz="8" w:color="E7E7E8"/>
            </w:tcBorders>
            <w:shd w:val="clear" w:color="auto" w:fill="E7E7E8"/>
          </w:tcPr>
          <w:p>
            <w:pPr>
              <w:spacing w:after="0"/>
              <w:rPr>
                <w:sz w:val="22"/>
                <w:szCs w:val="22"/>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(38,657)</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(135,973)</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(93,003)</w:t>
            </w:r>
          </w:p>
        </w:tc>
      </w:tr>
      <w:tr>
        <w:trPr>
          <w:trHeight w:val="20"/>
        </w:trPr>
        <w:tc>
          <w:tcPr>
            <w:tcW w:w="484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borrowings under the ABL Facility, and sales of equity and debt securities. We believe that our liquidity sources and operating cash flows are sufficient to address our operating, debt service and capital requirements over the next twelve months.</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consolidation strategy includes the pursuit of strategic acquisitions that we believe will add value to our existing business. We continue to review available acquisition opportunities with the awareness that any such acquisition may require us to incur additional debt to finance the acquisition and/or to issue shares of our Class A common stock or other equity securities as acquisition consideration or as part of an overall financing plan. From time to time we may also seek to streamline our capital structure and improve our financial position through refinancing or restructuring our existing debt or retiring certain of our securities for cash or other consideration.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with an aggregate principal amount of up to $600.0 million.</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July and August 2018, the Company entered into three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4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September 30, 2019, the Borrowers had $489.2 million of available borrowing capacity under the ABL Facility, including $354.8 million under the US ABL Facility and $134.4 million under the Canadian ABL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Nine Months Ended September 30, 2019 and 2018</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20" w:type="dxa"/>
            <w:vAlign w:val="bottom"/>
            <w:shd w:val="clear" w:color="auto" w:fill="008A5F"/>
          </w:tcPr>
          <w:p>
            <w:pPr>
              <w:spacing w:after="0"/>
              <w:rPr>
                <w:sz w:val="17"/>
                <w:szCs w:val="17"/>
                <w:color w:val="auto"/>
              </w:rPr>
            </w:pPr>
          </w:p>
        </w:tc>
        <w:tc>
          <w:tcPr>
            <w:tcW w:w="300" w:type="dxa"/>
            <w:vAlign w:val="bottom"/>
            <w:shd w:val="clear" w:color="auto" w:fill="008A5F"/>
          </w:tcPr>
          <w:p>
            <w:pPr>
              <w:spacing w:after="0"/>
              <w:rPr>
                <w:sz w:val="17"/>
                <w:szCs w:val="17"/>
                <w:color w:val="auto"/>
              </w:rPr>
            </w:pPr>
          </w:p>
        </w:tc>
        <w:tc>
          <w:tcPr>
            <w:tcW w:w="2780" w:type="dxa"/>
            <w:vAlign w:val="bottom"/>
            <w:gridSpan w:val="4"/>
            <w:shd w:val="clear" w:color="auto" w:fill="008A5F"/>
          </w:tcPr>
          <w:p>
            <w:pPr>
              <w:jc w:val="right"/>
              <w:ind w:right="69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5"/>
        </w:trPr>
        <w:tc>
          <w:tcPr>
            <w:tcW w:w="8320" w:type="dxa"/>
            <w:vAlign w:val="bottom"/>
            <w:shd w:val="clear" w:color="auto" w:fill="008A5F"/>
          </w:tcPr>
          <w:p>
            <w:pPr>
              <w:spacing w:after="0"/>
              <w:rPr>
                <w:sz w:val="18"/>
                <w:szCs w:val="18"/>
                <w:color w:val="auto"/>
              </w:rPr>
            </w:pPr>
          </w:p>
        </w:tc>
        <w:tc>
          <w:tcPr>
            <w:tcW w:w="300" w:type="dxa"/>
            <w:vAlign w:val="bottom"/>
            <w:shd w:val="clear" w:color="auto" w:fill="008A5F"/>
          </w:tcPr>
          <w:p>
            <w:pPr>
              <w:spacing w:after="0"/>
              <w:rPr>
                <w:sz w:val="18"/>
                <w:szCs w:val="18"/>
                <w:color w:val="auto"/>
              </w:rPr>
            </w:pPr>
          </w:p>
        </w:tc>
        <w:tc>
          <w:tcPr>
            <w:tcW w:w="2780" w:type="dxa"/>
            <w:vAlign w:val="bottom"/>
            <w:gridSpan w:val="4"/>
            <w:shd w:val="clear" w:color="auto" w:fill="008A5F"/>
          </w:tcPr>
          <w:p>
            <w:pPr>
              <w:jc w:val="right"/>
              <w:ind w:right="899"/>
              <w:spacing w:after="0"/>
              <w:rPr>
                <w:sz w:val="20"/>
                <w:szCs w:val="20"/>
                <w:color w:val="auto"/>
              </w:rPr>
            </w:pPr>
            <w:r>
              <w:rPr>
                <w:rFonts w:ascii="Arial" w:cs="Arial" w:eastAsia="Arial" w:hAnsi="Arial"/>
                <w:sz w:val="16"/>
                <w:szCs w:val="16"/>
                <w:b w:val="1"/>
                <w:bCs w:val="1"/>
                <w:color w:val="FFFFFF"/>
              </w:rPr>
              <w:t>September 30,</w:t>
            </w:r>
          </w:p>
        </w:tc>
        <w:tc>
          <w:tcPr>
            <w:tcW w:w="0" w:type="dxa"/>
            <w:vAlign w:val="bottom"/>
          </w:tcPr>
          <w:p>
            <w:pPr>
              <w:spacing w:after="0"/>
              <w:rPr>
                <w:sz w:val="1"/>
                <w:szCs w:val="1"/>
                <w:color w:val="auto"/>
              </w:rPr>
            </w:pPr>
          </w:p>
        </w:tc>
      </w:tr>
      <w:tr>
        <w:trPr>
          <w:trHeight w:val="230"/>
        </w:trPr>
        <w:tc>
          <w:tcPr>
            <w:tcW w:w="83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19"/>
                <w:szCs w:val="19"/>
                <w:color w:val="auto"/>
              </w:rPr>
            </w:pPr>
          </w:p>
        </w:tc>
        <w:tc>
          <w:tcPr>
            <w:tcW w:w="120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9"/>
                <w:szCs w:val="19"/>
                <w:color w:val="auto"/>
              </w:rPr>
            </w:pPr>
          </w:p>
        </w:tc>
        <w:tc>
          <w:tcPr>
            <w:tcW w:w="300" w:type="dxa"/>
            <w:vAlign w:val="bottom"/>
            <w:shd w:val="clear" w:color="auto" w:fill="008A5F"/>
          </w:tcPr>
          <w:p>
            <w:pPr>
              <w:spacing w:after="0"/>
              <w:rPr>
                <w:sz w:val="19"/>
                <w:szCs w:val="19"/>
                <w:color w:val="auto"/>
              </w:rPr>
            </w:pPr>
          </w:p>
        </w:tc>
        <w:tc>
          <w:tcPr>
            <w:tcW w:w="118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01"/>
        </w:trPr>
        <w:tc>
          <w:tcPr>
            <w:tcW w:w="832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20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99,076</w:t>
            </w:r>
          </w:p>
        </w:tc>
        <w:tc>
          <w:tcPr>
            <w:tcW w:w="100" w:type="dxa"/>
            <w:vAlign w:val="bottom"/>
            <w:shd w:val="clear" w:color="auto" w:fill="E7E7E8"/>
          </w:tcPr>
          <w:p>
            <w:pPr>
              <w:spacing w:after="0"/>
              <w:rPr>
                <w:sz w:val="19"/>
                <w:szCs w:val="19"/>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15,580</w:t>
            </w:r>
          </w:p>
        </w:tc>
        <w:tc>
          <w:tcPr>
            <w:tcW w:w="0" w:type="dxa"/>
            <w:vAlign w:val="bottom"/>
          </w:tcPr>
          <w:p>
            <w:pPr>
              <w:spacing w:after="0"/>
              <w:rPr>
                <w:sz w:val="1"/>
                <w:szCs w:val="1"/>
                <w:color w:val="auto"/>
              </w:rPr>
            </w:pPr>
          </w:p>
        </w:tc>
      </w:tr>
      <w:tr>
        <w:trPr>
          <w:trHeight w:val="87"/>
        </w:trPr>
        <w:tc>
          <w:tcPr>
            <w:tcW w:w="8320" w:type="dxa"/>
            <w:vAlign w:val="bottom"/>
            <w:shd w:val="clear" w:color="auto" w:fill="E7E7E8"/>
          </w:tcPr>
          <w:p>
            <w:pPr>
              <w:spacing w:after="0"/>
              <w:rPr>
                <w:sz w:val="7"/>
                <w:szCs w:val="7"/>
                <w:color w:val="auto"/>
              </w:rPr>
            </w:pPr>
          </w:p>
        </w:tc>
        <w:tc>
          <w:tcPr>
            <w:tcW w:w="300" w:type="dxa"/>
            <w:vAlign w:val="bottom"/>
            <w:shd w:val="clear" w:color="auto" w:fill="E7E7E8"/>
          </w:tcPr>
          <w:p>
            <w:pPr>
              <w:spacing w:after="0"/>
              <w:rPr>
                <w:sz w:val="7"/>
                <w:szCs w:val="7"/>
                <w:color w:val="auto"/>
              </w:rPr>
            </w:pPr>
          </w:p>
        </w:tc>
        <w:tc>
          <w:tcPr>
            <w:tcW w:w="120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00" w:type="dxa"/>
            <w:vAlign w:val="bottom"/>
            <w:shd w:val="clear" w:color="auto" w:fill="E7E7E8"/>
          </w:tcPr>
          <w:p>
            <w:pPr>
              <w:spacing w:after="0"/>
              <w:rPr>
                <w:sz w:val="7"/>
                <w:szCs w:val="7"/>
                <w:color w:val="auto"/>
              </w:rPr>
            </w:pPr>
          </w:p>
        </w:tc>
        <w:tc>
          <w:tcPr>
            <w:tcW w:w="118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30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(1,176,468)</w:t>
            </w:r>
          </w:p>
        </w:tc>
        <w:tc>
          <w:tcPr>
            <w:tcW w:w="0" w:type="dxa"/>
            <w:vAlign w:val="bottom"/>
          </w:tcPr>
          <w:p>
            <w:pPr>
              <w:spacing w:after="0"/>
              <w:rPr>
                <w:sz w:val="1"/>
                <w:szCs w:val="1"/>
                <w:color w:val="auto"/>
              </w:rPr>
            </w:pPr>
          </w:p>
        </w:tc>
      </w:tr>
      <w:tr>
        <w:trPr>
          <w:trHeight w:val="87"/>
        </w:trPr>
        <w:tc>
          <w:tcPr>
            <w:tcW w:w="8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300" w:type="dxa"/>
            <w:vAlign w:val="bottom"/>
            <w:shd w:val="clear" w:color="auto" w:fill="E7E7E8"/>
          </w:tcPr>
          <w:p>
            <w:pPr>
              <w:spacing w:after="0"/>
              <w:rPr>
                <w:sz w:val="19"/>
                <w:szCs w:val="19"/>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18,627</w:t>
            </w:r>
          </w:p>
        </w:tc>
        <w:tc>
          <w:tcPr>
            <w:tcW w:w="10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1,161,406</w:t>
            </w:r>
          </w:p>
        </w:tc>
        <w:tc>
          <w:tcPr>
            <w:tcW w:w="0" w:type="dxa"/>
            <w:vAlign w:val="bottom"/>
          </w:tcPr>
          <w:p>
            <w:pPr>
              <w:spacing w:after="0"/>
              <w:rPr>
                <w:sz w:val="1"/>
                <w:szCs w:val="1"/>
                <w:color w:val="auto"/>
              </w:rPr>
            </w:pPr>
          </w:p>
        </w:tc>
      </w:tr>
      <w:tr>
        <w:trPr>
          <w:trHeight w:val="87"/>
        </w:trPr>
        <w:tc>
          <w:tcPr>
            <w:tcW w:w="8320" w:type="dxa"/>
            <w:vAlign w:val="bottom"/>
            <w:shd w:val="clear" w:color="auto" w:fill="E7E7E8"/>
          </w:tcPr>
          <w:p>
            <w:pPr>
              <w:spacing w:after="0"/>
              <w:rPr>
                <w:sz w:val="7"/>
                <w:szCs w:val="7"/>
                <w:color w:val="auto"/>
              </w:rPr>
            </w:pPr>
          </w:p>
        </w:tc>
        <w:tc>
          <w:tcPr>
            <w:tcW w:w="300" w:type="dxa"/>
            <w:vAlign w:val="bottom"/>
            <w:shd w:val="clear" w:color="auto" w:fill="E7E7E8"/>
          </w:tcPr>
          <w:p>
            <w:pPr>
              <w:spacing w:after="0"/>
              <w:rPr>
                <w:sz w:val="7"/>
                <w:szCs w:val="7"/>
                <w:color w:val="auto"/>
              </w:rPr>
            </w:pPr>
          </w:p>
        </w:tc>
        <w:tc>
          <w:tcPr>
            <w:tcW w:w="120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00" w:type="dxa"/>
            <w:vAlign w:val="bottom"/>
            <w:shd w:val="clear" w:color="auto" w:fill="E7E7E8"/>
          </w:tcPr>
          <w:p>
            <w:pPr>
              <w:spacing w:after="0"/>
              <w:rPr>
                <w:sz w:val="7"/>
                <w:szCs w:val="7"/>
                <w:color w:val="auto"/>
              </w:rPr>
            </w:pPr>
          </w:p>
        </w:tc>
        <w:tc>
          <w:tcPr>
            <w:tcW w:w="118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87"/>
        </w:trPr>
        <w:tc>
          <w:tcPr>
            <w:tcW w:w="8320" w:type="dxa"/>
            <w:vAlign w:val="bottom"/>
            <w:tcBorders>
              <w:bottom w:val="single" w:sz="8" w:color="E7E7E8"/>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E7E7E8"/>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832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(5,007)</w:t>
            </w:r>
          </w:p>
        </w:tc>
        <w:tc>
          <w:tcPr>
            <w:tcW w:w="100" w:type="dxa"/>
            <w:vAlign w:val="bottom"/>
            <w:tcBorders>
              <w:bottom w:val="single" w:sz="8" w:color="E7E7E8"/>
            </w:tcBorders>
            <w:shd w:val="clear" w:color="auto" w:fill="E7E7E8"/>
          </w:tcPr>
          <w:p>
            <w:pPr>
              <w:spacing w:after="0"/>
              <w:rPr>
                <w:sz w:val="24"/>
                <w:szCs w:val="24"/>
                <w:color w:val="auto"/>
              </w:rPr>
            </w:pPr>
          </w:p>
        </w:tc>
        <w:tc>
          <w:tcPr>
            <w:tcW w:w="3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83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operating activities for the nine months ended September 30, 2019 was $99.1 million as compared to $15.6 million for the nine months ended September 30, 2018, an increase of $83.5 million. The increase was primarily due to an increase of $108.9 million of net income, adjusted for non-cash items, during 2019 compared to 2018 due to the impact of the ModSpace acquisition on revenue and gross profit, which is reflected in the first nine months of 2019, but is only included for a month and a half in 2018. The increase in net income, adjusted for non-cash items, was partially offset by a decrease of $25.4 million in the net movements of the operating assets and liabilities. The decrease related to the operating assets and liabilities was attributable to an increase in accounts receivable and an increase in cash interest payments in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first nine months of 2019, partially offset by an increase in accounts payable and deferred revenue.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nine months ended September 30, 2019 was $122.8 million as compared to $1,176.5 million for the nine months ended September 30, 2018, a decrease of $1,053.7 million. The decrease in cash used in investing activities was driven by a $1,084.1 million decrease in cash used for business acquisitions, a $9.9 million increase in proceeds from the sale of rental equipment, and a $12.5 million increase in proceeds from the sale of property, plant, and equipment. The decrease in cash used in business acquisitions was due to the acquisition of Acton and ModSpace in the first nine months of 2018 with no business acquisitions during the same period of 2019. Proceeds from the sale of rental equipment increased due to increased sales volume as a result of the acquisition of ModSpace. Proceeds from the sale of property, plant and equipment increased primarily as a result of the sale of seven held for sale properties during the nine months ended September 30, 2019, as part of the ongoing integration and consolidation process following the acquisition of ModSpace.</w:t>
      </w:r>
    </w:p>
    <w:p>
      <w:pPr>
        <w:spacing w:after="0" w:line="4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overall decrease in cash used in investing activities was partially offset by an increase in capital expenditures of $52.9 million in 2019 that was primarily a result of increased refurbishments of existing fleet, following our recent acquisitions, and purchases of VAPS to drive revenue growth.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financing activities for the nine months ended September 30, 2019 was $18.6 million as compared to $1,161.4 million for the nine months ended September 30, 2018, a decrease of $1,142.8 million. The decrease is primarily due to a reduction in borrowings, net of repayments of $1,020.1 million, and a decrease in receipts from the issuance of common stock of $147.0 million primarily related to the financing of the ModSpace acquisition. In connection with the ModSpace acquisition, in the third quarter of 2018, we borrowed an aggregate of $1,079.1 million related to the issuance of the 2023 Secured Notes and the Unsecured Notes, and through the up-sized ABL Facility. We also received proceeds from the issuance of the Company's Class A common stock of $147.2 million.</w:t>
      </w:r>
    </w:p>
    <w:p>
      <w:pPr>
        <w:spacing w:after="0" w:line="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decrease in cash provided by financing activities was partially offset by a decrease in financing fees payments of $32.2 million due to the ModSpace financing activities in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7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Free Cash Flow is a non-GAAP measure. Free Cash Flow is defined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 The following table provides a reconciliation of net cash provided by operating activities to Free Cash Flow. Free Cash Flows for the three months ended September 30, 2019 and 2018, are derived by subtracting the cash flows from operating activities and the relevant line items within financing activities for the six months ended June 30, 2019 and 2018, from corresponding items for the nine months ended September 30, 2019 and 2018,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110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2720" w:type="dxa"/>
            <w:vAlign w:val="bottom"/>
            <w:gridSpan w:val="4"/>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Nine Months Ended</w:t>
            </w:r>
          </w:p>
        </w:tc>
      </w:tr>
      <w:tr>
        <w:trPr>
          <w:trHeight w:val="215"/>
        </w:trPr>
        <w:tc>
          <w:tcPr>
            <w:tcW w:w="526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2900" w:type="dxa"/>
            <w:vAlign w:val="bottom"/>
            <w:gridSpan w:val="4"/>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Three Months Ended September 30,</w:t>
            </w:r>
          </w:p>
        </w:tc>
        <w:tc>
          <w:tcPr>
            <w:tcW w:w="380" w:type="dxa"/>
            <w:vAlign w:val="bottom"/>
            <w:shd w:val="clear" w:color="auto" w:fill="008A5F"/>
          </w:tcPr>
          <w:p>
            <w:pPr>
              <w:spacing w:after="0"/>
              <w:rPr>
                <w:sz w:val="18"/>
                <w:szCs w:val="18"/>
                <w:color w:val="auto"/>
              </w:rPr>
            </w:pPr>
          </w:p>
        </w:tc>
        <w:tc>
          <w:tcPr>
            <w:tcW w:w="178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September 30,</w:t>
            </w:r>
          </w:p>
        </w:tc>
        <w:tc>
          <w:tcPr>
            <w:tcW w:w="940" w:type="dxa"/>
            <w:vAlign w:val="bottom"/>
            <w:shd w:val="clear" w:color="auto" w:fill="008A5F"/>
          </w:tcPr>
          <w:p>
            <w:pPr>
              <w:spacing w:after="0"/>
              <w:rPr>
                <w:sz w:val="18"/>
                <w:szCs w:val="18"/>
                <w:color w:val="auto"/>
              </w:rPr>
            </w:pPr>
          </w:p>
        </w:tc>
      </w:tr>
      <w:tr>
        <w:trPr>
          <w:trHeight w:val="263"/>
        </w:trPr>
        <w:tc>
          <w:tcPr>
            <w:tcW w:w="52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0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38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2"/>
                <w:szCs w:val="22"/>
                <w:color w:val="auto"/>
              </w:rPr>
            </w:pPr>
          </w:p>
        </w:tc>
        <w:tc>
          <w:tcPr>
            <w:tcW w:w="540" w:type="dxa"/>
            <w:vAlign w:val="bottom"/>
            <w:shd w:val="clear" w:color="auto" w:fill="008A5F"/>
          </w:tcPr>
          <w:p>
            <w:pPr>
              <w:spacing w:after="0"/>
              <w:rPr>
                <w:sz w:val="22"/>
                <w:szCs w:val="22"/>
                <w:color w:val="auto"/>
              </w:rPr>
            </w:pPr>
          </w:p>
        </w:tc>
        <w:tc>
          <w:tcPr>
            <w:tcW w:w="9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5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39,022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(3,220)</w:t>
            </w:r>
          </w:p>
        </w:tc>
        <w:tc>
          <w:tcPr>
            <w:tcW w:w="3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99,076</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15,580</w:t>
            </w:r>
          </w:p>
        </w:tc>
      </w:tr>
      <w:tr>
        <w:trPr>
          <w:trHeight w:val="233"/>
        </w:trPr>
        <w:tc>
          <w:tcPr>
            <w:tcW w:w="52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(47,789)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(46,742)</w:t>
            </w:r>
          </w:p>
        </w:tc>
        <w:tc>
          <w:tcPr>
            <w:tcW w:w="3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(160,877)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(111,505)</w:t>
            </w:r>
          </w:p>
        </w:tc>
      </w:tr>
      <w:tr>
        <w:trPr>
          <w:trHeight w:val="253"/>
        </w:trPr>
        <w:tc>
          <w:tcPr>
            <w:tcW w:w="5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8,421</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9,560</w:t>
            </w: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31,504</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9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21,593</w:t>
            </w:r>
          </w:p>
        </w:tc>
      </w:tr>
      <w:tr>
        <w:trPr>
          <w:trHeight w:val="233"/>
        </w:trPr>
        <w:tc>
          <w:tcPr>
            <w:tcW w:w="52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(1,475)</w:t>
            </w:r>
          </w:p>
        </w:tc>
        <w:tc>
          <w:tcPr>
            <w:tcW w:w="3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(3,091)</w:t>
            </w:r>
          </w:p>
        </w:tc>
      </w:tr>
      <w:tr>
        <w:trPr>
          <w:trHeight w:val="253"/>
        </w:trPr>
        <w:tc>
          <w:tcPr>
            <w:tcW w:w="5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14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4,308</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13,199</w:t>
            </w:r>
          </w:p>
        </w:tc>
        <w:tc>
          <w:tcPr>
            <w:tcW w:w="100" w:type="dxa"/>
            <w:vAlign w:val="bottom"/>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spacing w:after="0"/>
              <w:rPr>
                <w:sz w:val="21"/>
                <w:szCs w:val="21"/>
                <w:color w:val="auto"/>
              </w:rPr>
            </w:pPr>
          </w:p>
        </w:tc>
        <w:tc>
          <w:tcPr>
            <w:tcW w:w="9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681</w:t>
            </w:r>
          </w:p>
        </w:tc>
      </w:tr>
      <w:tr>
        <w:trPr>
          <w:trHeight w:val="230"/>
        </w:trPr>
        <w:tc>
          <w:tcPr>
            <w:tcW w:w="526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(41,877)</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(23,698)</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(76,742)</w:t>
            </w:r>
          </w:p>
        </w:tc>
      </w:tr>
      <w:tr>
        <w:trPr>
          <w:trHeight w:val="27"/>
        </w:trPr>
        <w:tc>
          <w:tcPr>
            <w:tcW w:w="5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Free Cash Flow for the nine months ended September 30, 2019 was an outflow of $23.7 million as compared to an outflow of $76.7 million for the nine months ended September 30, 2018, an increase in Free Cash Flow of $53.0 million. Free Cash Flow increased year over year principally driven by increases in Adjusted EBITDA of $119.6 million, or 84.2%, for the nine months ended September 30, 2019 and an increase of $12.5 million in proceeds from the sale of property, plant, and equipment as a result of the sale of surplus real estate in the period. These increases were partially offset by an increase in integration, restructuring, and transaction costs incurred of $3.9 million primarily related to the ModSpace integration, increased interest paid during the period of $66.2 million due to increased debt on the US ABL Facility and as a result of the issuance of the 2023 Secured Notes and the Unsecured Notes which only impacted 1.5 months of the nine months ended September 30, 2018, and a Net CAPEX increase of $43.0 million as a result of the increased fleet size and our investment in refurbishments of rental equipment and VAPS.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8" w:name="page49"/>
    <w:bookmarkEnd w:id="48"/>
    <w:p>
      <w:pPr>
        <w:spacing w:after="0"/>
        <w:rPr>
          <w:sz w:val="20"/>
          <w:szCs w:val="20"/>
          <w:color w:val="auto"/>
        </w:rPr>
      </w:pPr>
      <w:r>
        <w:rPr>
          <w:rFonts w:ascii="Arial" w:cs="Arial" w:eastAsia="Arial" w:hAnsi="Arial"/>
          <w:sz w:val="23"/>
          <w:szCs w:val="23"/>
          <w:color w:val="008A5F"/>
        </w:rPr>
        <w:t>Contractual Obligations</w:t>
      </w:r>
    </w:p>
    <w:p>
      <w:pPr>
        <w:spacing w:after="0" w:line="4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Other than changes which occur in the normal course of business, there were no significant changes to the contractual obligations reported in our 2018 Form 10-K for the three and nine months ended September 30, 2019.</w:t>
      </w:r>
    </w:p>
    <w:p>
      <w:pPr>
        <w:spacing w:after="0" w:line="347"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fiscal year ended December 31, 2018.</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than adoption of recent accounting standards as discussed in Note 1 to the notes to our unaudited condensed consolidated financial statements, there were no significant changes to our critical accounting policies during the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Refer to Part I, Item 1, Note 1 of the notes to our financial statements included in this Quarterly Report on Form 10-Q for our assessment of recently issued and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it can give no assurance that any such forward-looking statement will materialize.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(including cost increases resulting from tariffs);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 and achieve desired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retain key personnel;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other risks and uncertainties described in the periodic reports we file with the SEC from time to time (including our Annual Report on Form 10-K for the year ending December 31, 2018), which are available through the SEC’s EDGAR system at www.sec.gov and on our website.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49" w:name="page50"/>
    <w:bookmarkEnd w:id="49"/>
    <w:p>
      <w:pPr>
        <w:jc w:val="both"/>
        <w:ind w:firstLine="648"/>
        <w:spacing w:after="0" w:line="260" w:lineRule="auto"/>
        <w:rPr>
          <w:sz w:val="20"/>
          <w:szCs w:val="20"/>
          <w:color w:val="auto"/>
        </w:rPr>
      </w:pPr>
      <w:r>
        <w:rPr>
          <w:rFonts w:ascii="Arial" w:cs="Arial" w:eastAsia="Arial" w:hAnsi="Arial"/>
          <w:sz w:val="16"/>
          <w:szCs w:val="16"/>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244" w:lineRule="exact"/>
        <w:rPr>
          <w:sz w:val="20"/>
          <w:szCs w:val="20"/>
          <w:color w:val="auto"/>
        </w:rPr>
      </w:pPr>
    </w:p>
    <w:p>
      <w:pPr>
        <w:ind w:left="1960" w:right="1140" w:hanging="1944"/>
        <w:spacing w:after="0" w:line="269" w:lineRule="auto"/>
        <w:rPr>
          <w:sz w:val="20"/>
          <w:szCs w:val="20"/>
          <w:color w:val="auto"/>
        </w:rPr>
      </w:pPr>
      <w:r>
        <w:rPr>
          <w:rFonts w:ascii="Arial" w:cs="Arial" w:eastAsia="Arial" w:hAnsi="Arial"/>
          <w:sz w:val="40"/>
          <w:szCs w:val="40"/>
          <w:b w:val="1"/>
          <w:bCs w:val="1"/>
          <w:color w:val="auto"/>
        </w:rPr>
        <w:t>ITEM 3. Quantitative and Qualitative Disclosures about Market Risk</w:t>
      </w:r>
    </w:p>
    <w:p>
      <w:pPr>
        <w:spacing w:after="0" w:line="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$917.5 million in outstanding principal under the ABL Facility at September 30, 2019.</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aggregate notional amount of variable-rate debt under our ABL Facility into fixed-rate debt. The swap agreement provides for WillScot to pay a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3.06% per annum on the outstanding debt in exchange for receiving a variable interest rate based on 1-month LIBOR. The effect is a synthetically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5.56% on the $400.0 million notional amount, when including the current applicable margin.</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$1.1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Controls and Procedures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Exchange Act, as of September 30, 2019. Based upon that evaluation, our Chief Executive Officer and Chief Financial Officer concluded that our disclosure controls and procedures were effective as of September 30, 2019.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our quarter ended September 30, 2019,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50" w:name="page51"/>
    <w:bookmarkEnd w:id="50"/>
    <w:p>
      <w:pPr>
        <w:ind w:left="5020"/>
        <w:spacing w:after="0"/>
        <w:rPr>
          <w:sz w:val="20"/>
          <w:szCs w:val="20"/>
          <w:color w:val="auto"/>
        </w:rPr>
      </w:pPr>
      <w:r>
        <w:rPr>
          <w:rFonts w:ascii="Arial" w:cs="Arial" w:eastAsia="Arial" w:hAnsi="Arial"/>
          <w:sz w:val="40"/>
          <w:szCs w:val="40"/>
          <w:b w:val="1"/>
          <w:bCs w:val="1"/>
          <w:color w:val="008A5F"/>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Legal Proceedings</w:t>
      </w:r>
    </w:p>
    <w:p>
      <w:pPr>
        <w:spacing w:after="0" w:line="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September 30, 2019, there were no material pending legal proceedings in which we or any of our subsidiaries are a party or to which any of our property is subject.</w:t>
      </w: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Annual Report on Form 10-K for the year ended December 31, 2018, which have not materially changed other than as reflected below.</w:t>
      </w:r>
    </w:p>
    <w:p>
      <w:pPr>
        <w:spacing w:after="0" w:line="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Trade policies and changes in trade policies, including the imposition of tariffs, their enforcement and downstream consequences, may have a material adverse impact on our business, results of operations, and outlook.</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Tariffs and/or other developments with respect to trade policies, trade agreements, and government regulations could have a material adverse impact on the Company's business, financial condition and results of operations. For example, the United States government has imposed tariffs on steel, aluminum and lumber imports from certain countries, which could result in increased costs to the Company for these materials. Without limitation, (i) tariffs currently in place and (ii) the imposition by the federal government of new tariffs on imports to the United States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could have a material adverse impact on our business, financial condition and results of operations.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2. Unregistered Sales of Equity Securities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Defaults Upon Senior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5. Other Information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51" w:name="page52"/>
    <w:bookmarkEnd w:id="51"/>
    <w:p>
      <w:pPr>
        <w:spacing w:after="0"/>
        <w:rPr>
          <w:sz w:val="20"/>
          <w:szCs w:val="20"/>
          <w:color w:val="auto"/>
        </w:rPr>
      </w:pPr>
      <w:r>
        <w:rPr>
          <w:rFonts w:ascii="Arial" w:cs="Arial" w:eastAsia="Arial" w:hAnsi="Arial"/>
          <w:sz w:val="39"/>
          <w:szCs w:val="39"/>
          <w:b w:val="1"/>
          <w:bCs w:val="1"/>
          <w:color w:val="auto"/>
        </w:rPr>
        <w:t>ITEM 6. Exhibits</w:t>
      </w:r>
    </w:p>
    <w:p>
      <w:pPr>
        <w:sectPr>
          <w:pgSz w:w="11900" w:h="16838" w:orient="portrait"/>
          <w:cols w:equalWidth="0" w:num="1">
            <w:col w:w="11360"/>
          </w:cols>
          <w:pgMar w:left="240" w:top="1082" w:right="299" w:bottom="1440" w:gutter="0" w:footer="0" w:header="0"/>
        </w:sectPr>
      </w:pPr>
    </w:p>
    <w:p>
      <w:pPr>
        <w:spacing w:after="0" w:line="78"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FFFFFF"/>
        </w:rPr>
        <w:t>Exhibit No.</w:t>
      </w:r>
    </w:p>
    <w:p>
      <w:pPr>
        <w:spacing w:after="0" w:line="78" w:lineRule="exact"/>
        <w:rPr>
          <w:sz w:val="20"/>
          <w:szCs w:val="20"/>
          <w:color w:val="auto"/>
        </w:rPr>
      </w:pPr>
    </w:p>
    <w:p>
      <w:pPr>
        <w:ind w:left="340"/>
        <w:spacing w:after="0"/>
        <w:rPr>
          <w:rFonts w:ascii="Arial" w:cs="Arial" w:eastAsia="Arial" w:hAnsi="Arial"/>
          <w:sz w:val="16"/>
          <w:szCs w:val="16"/>
          <w:color w:val="auto"/>
        </w:rPr>
      </w:pPr>
      <w:hyperlink w:anchor="page54">
        <w:r>
          <w:rPr>
            <w:rFonts w:ascii="Arial" w:cs="Arial" w:eastAsia="Arial" w:hAnsi="Arial"/>
            <w:sz w:val="16"/>
            <w:szCs w:val="16"/>
            <w:color w:val="auto"/>
          </w:rPr>
          <w:t>31.1</w:t>
        </w:r>
      </w:hyperlink>
    </w:p>
    <w:p>
      <w:pPr>
        <w:spacing w:after="0" w:line="59" w:lineRule="exact"/>
        <w:rPr>
          <w:sz w:val="20"/>
          <w:szCs w:val="20"/>
          <w:color w:val="auto"/>
        </w:rPr>
      </w:pPr>
    </w:p>
    <w:p>
      <w:pPr>
        <w:ind w:left="340"/>
        <w:spacing w:after="0"/>
        <w:rPr>
          <w:rFonts w:ascii="Arial" w:cs="Arial" w:eastAsia="Arial" w:hAnsi="Arial"/>
          <w:sz w:val="16"/>
          <w:szCs w:val="16"/>
          <w:color w:val="auto"/>
        </w:rPr>
      </w:pPr>
      <w:hyperlink w:anchor="page55">
        <w:r>
          <w:rPr>
            <w:rFonts w:ascii="Arial" w:cs="Arial" w:eastAsia="Arial" w:hAnsi="Arial"/>
            <w:sz w:val="16"/>
            <w:szCs w:val="16"/>
            <w:color w:val="auto"/>
          </w:rPr>
          <w:t>31.2</w:t>
        </w:r>
      </w:hyperlink>
    </w:p>
    <w:p>
      <w:pPr>
        <w:spacing w:after="0" w:line="59" w:lineRule="exact"/>
        <w:rPr>
          <w:sz w:val="20"/>
          <w:szCs w:val="20"/>
          <w:color w:val="auto"/>
        </w:rPr>
      </w:pPr>
    </w:p>
    <w:p>
      <w:pPr>
        <w:ind w:left="340"/>
        <w:spacing w:after="0"/>
        <w:rPr>
          <w:rFonts w:ascii="Arial" w:cs="Arial" w:eastAsia="Arial" w:hAnsi="Arial"/>
          <w:sz w:val="16"/>
          <w:szCs w:val="16"/>
          <w:color w:val="auto"/>
        </w:rPr>
      </w:pPr>
      <w:hyperlink w:anchor="page56">
        <w:r>
          <w:rPr>
            <w:rFonts w:ascii="Arial" w:cs="Arial" w:eastAsia="Arial" w:hAnsi="Arial"/>
            <w:sz w:val="16"/>
            <w:szCs w:val="16"/>
            <w:color w:val="auto"/>
          </w:rPr>
          <w:t>32.1</w:t>
        </w:r>
      </w:hyperlink>
    </w:p>
    <w:p>
      <w:pPr>
        <w:spacing w:after="0" w:line="59" w:lineRule="exact"/>
        <w:rPr>
          <w:sz w:val="20"/>
          <w:szCs w:val="20"/>
          <w:color w:val="auto"/>
        </w:rPr>
      </w:pPr>
    </w:p>
    <w:p>
      <w:pPr>
        <w:ind w:left="340"/>
        <w:spacing w:after="0"/>
        <w:rPr>
          <w:rFonts w:ascii="Arial" w:cs="Arial" w:eastAsia="Arial" w:hAnsi="Arial"/>
          <w:sz w:val="16"/>
          <w:szCs w:val="16"/>
          <w:color w:val="auto"/>
        </w:rPr>
      </w:pPr>
      <w:hyperlink w:anchor="page57">
        <w:r>
          <w:rPr>
            <w:rFonts w:ascii="Arial" w:cs="Arial" w:eastAsia="Arial" w:hAnsi="Arial"/>
            <w:sz w:val="16"/>
            <w:szCs w:val="16"/>
            <w:color w:val="auto"/>
          </w:rPr>
          <w:t>32.2</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91">
        <w:r>
          <w:rPr>
            <w:rFonts w:ascii="Arial" w:cs="Arial" w:eastAsia="Arial" w:hAnsi="Arial"/>
            <w:sz w:val="16"/>
            <w:szCs w:val="16"/>
            <w:color w:val="auto"/>
          </w:rPr>
          <w:t>10.1</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92">
        <w:r>
          <w:rPr>
            <w:rFonts w:ascii="Arial" w:cs="Arial" w:eastAsia="Arial" w:hAnsi="Arial"/>
            <w:sz w:val="16"/>
            <w:szCs w:val="16"/>
            <w:color w:val="auto"/>
          </w:rPr>
          <w:t>10.2</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93">
        <w:r>
          <w:rPr>
            <w:rFonts w:ascii="Arial" w:cs="Arial" w:eastAsia="Arial" w:hAnsi="Arial"/>
            <w:sz w:val="16"/>
            <w:szCs w:val="16"/>
            <w:color w:val="auto"/>
          </w:rPr>
          <w:t>10.3</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94">
        <w:r>
          <w:rPr>
            <w:rFonts w:ascii="Arial" w:cs="Arial" w:eastAsia="Arial" w:hAnsi="Arial"/>
            <w:sz w:val="16"/>
            <w:szCs w:val="16"/>
            <w:color w:val="auto"/>
          </w:rPr>
          <w:t>10.4</w:t>
        </w:r>
      </w:hyperlink>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101.INS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101.SCH</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101.CAL</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101.DEF</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101.LAB</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left="-27"/>
        <w:spacing w:after="0"/>
        <w:rPr>
          <w:sz w:val="20"/>
          <w:szCs w:val="20"/>
          <w:color w:val="auto"/>
        </w:rPr>
      </w:pPr>
      <w:r>
        <w:rPr>
          <w:rFonts w:ascii="Arial" w:cs="Arial" w:eastAsia="Arial" w:hAnsi="Arial"/>
          <w:sz w:val="16"/>
          <w:szCs w:val="16"/>
          <w:b w:val="1"/>
          <w:bCs w:val="1"/>
          <w:color w:val="FFFFFF"/>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7220585"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20585" cy="291465"/>
                    </a:xfrm>
                    <a:prstGeom prst="rect">
                      <a:avLst/>
                    </a:prstGeom>
                    <a:noFill/>
                  </pic:spPr>
                </pic:pic>
              </a:graphicData>
            </a:graphic>
          </wp:anchor>
        </w:drawing>
      </w:r>
    </w:p>
    <w:p>
      <w:pPr>
        <w:spacing w:after="0" w:line="58" w:lineRule="exact"/>
        <w:rPr>
          <w:sz w:val="20"/>
          <w:szCs w:val="20"/>
          <w:color w:val="auto"/>
        </w:rPr>
      </w:pPr>
    </w:p>
    <w:p>
      <w:pPr>
        <w:ind w:left="328" w:hanging="328"/>
        <w:spacing w:after="0"/>
        <w:tabs>
          <w:tab w:leader="none" w:pos="328" w:val="left"/>
        </w:tabs>
        <w:numPr>
          <w:ilvl w:val="0"/>
          <w:numId w:val="18"/>
        </w:numPr>
        <w:rPr>
          <w:rFonts w:ascii="Arial" w:cs="Arial" w:eastAsia="Arial" w:hAnsi="Arial"/>
          <w:sz w:val="16"/>
          <w:szCs w:val="16"/>
          <w:color w:val="auto"/>
        </w:rPr>
      </w:pPr>
      <w:hyperlink w:anchor="page54">
        <w:r>
          <w:rPr>
            <w:rFonts w:ascii="Arial" w:cs="Arial" w:eastAsia="Arial" w:hAnsi="Arial"/>
            <w:sz w:val="16"/>
            <w:szCs w:val="16"/>
            <w:color w:val="auto"/>
          </w:rPr>
          <w:t>Certification of Chief Executive Officer pursuant to Section 302 of the Sarbanes-Oxley Act of 2002</w:t>
        </w:r>
      </w:hyperlink>
    </w:p>
    <w:p>
      <w:pPr>
        <w:spacing w:after="0" w:line="59" w:lineRule="exact"/>
        <w:rPr>
          <w:rFonts w:ascii="Arial" w:cs="Arial" w:eastAsia="Arial" w:hAnsi="Arial"/>
          <w:sz w:val="16"/>
          <w:szCs w:val="16"/>
          <w:color w:val="auto"/>
        </w:rPr>
      </w:pPr>
    </w:p>
    <w:p>
      <w:pPr>
        <w:jc w:val="both"/>
        <w:ind w:left="8" w:right="3020" w:hanging="8"/>
        <w:spacing w:after="0" w:line="305" w:lineRule="auto"/>
        <w:tabs>
          <w:tab w:leader="none" w:pos="332" w:val="left"/>
        </w:tabs>
        <w:numPr>
          <w:ilvl w:val="0"/>
          <w:numId w:val="18"/>
        </w:numPr>
        <w:rPr>
          <w:rFonts w:ascii="Arial" w:cs="Arial" w:eastAsia="Arial" w:hAnsi="Arial"/>
          <w:sz w:val="16"/>
          <w:szCs w:val="16"/>
          <w:color w:val="auto"/>
        </w:rPr>
      </w:pPr>
      <w:hyperlink w:anchor="page55">
        <w:r>
          <w:rPr>
            <w:rFonts w:ascii="Arial" w:cs="Arial" w:eastAsia="Arial" w:hAnsi="Arial"/>
            <w:sz w:val="16"/>
            <w:szCs w:val="16"/>
            <w:color w:val="auto"/>
          </w:rPr>
          <w:t>Certification of Chief Financial Officer pursuant to Section 302 of the Sarbanes-Oxley Act of 2002</w:t>
        </w:r>
      </w:hyperlink>
      <w:r>
        <w:rPr>
          <w:rFonts w:ascii="Arial" w:cs="Arial" w:eastAsia="Arial" w:hAnsi="Arial"/>
          <w:sz w:val="16"/>
          <w:szCs w:val="16"/>
          <w:color w:val="auto"/>
        </w:rPr>
        <w:t xml:space="preserve"> ** </w:t>
      </w:r>
      <w:hyperlink w:anchor="page56">
        <w:r>
          <w:rPr>
            <w:rFonts w:ascii="Arial" w:cs="Arial" w:eastAsia="Arial" w:hAnsi="Arial"/>
            <w:sz w:val="16"/>
            <w:szCs w:val="16"/>
            <w:color w:val="auto"/>
          </w:rPr>
          <w:t>Certification of Chief Executive Officer pursuant to Section 906 of the Sarbanes-Oxley Act of 2002</w:t>
        </w:r>
      </w:hyperlink>
      <w:r>
        <w:rPr>
          <w:rFonts w:ascii="Arial" w:cs="Arial" w:eastAsia="Arial" w:hAnsi="Arial"/>
          <w:sz w:val="16"/>
          <w:szCs w:val="16"/>
          <w:color w:val="auto"/>
        </w:rPr>
        <w:t xml:space="preserve"> ** </w:t>
      </w:r>
      <w:hyperlink w:anchor="page57">
        <w:r>
          <w:rPr>
            <w:rFonts w:ascii="Arial" w:cs="Arial" w:eastAsia="Arial" w:hAnsi="Arial"/>
            <w:sz w:val="16"/>
            <w:szCs w:val="16"/>
            <w:color w:val="auto"/>
          </w:rPr>
          <w:t>Certification of Chief Financial Officer pursuant to Section 906 of the Sarbanes-Oxley Act of 2002</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-317500</wp:posOffset>
            </wp:positionV>
            <wp:extent cx="722058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-8890</wp:posOffset>
            </wp:positionV>
            <wp:extent cx="722058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ind w:left="328" w:right="100"/>
        <w:spacing w:after="0" w:line="232" w:lineRule="auto"/>
        <w:rPr>
          <w:rFonts w:ascii="Arial" w:cs="Arial" w:eastAsia="Arial" w:hAnsi="Arial"/>
          <w:sz w:val="16"/>
          <w:szCs w:val="16"/>
          <w:color w:val="auto"/>
        </w:rPr>
      </w:pPr>
      <w:hyperlink r:id="rId91">
        <w:r>
          <w:rPr>
            <w:rFonts w:ascii="Arial" w:cs="Arial" w:eastAsia="Arial" w:hAnsi="Arial"/>
            <w:sz w:val="16"/>
            <w:szCs w:val="16"/>
            <w:color w:val="auto"/>
          </w:rPr>
          <w:t>Form of Performance-Based RSU Award Agreement (incorporated by reference to Exhibit 10.1 to the Company’s Form 8-K filed March 22,</w:t>
        </w:r>
      </w:hyperlink>
      <w:r>
        <w:rPr>
          <w:rFonts w:ascii="Arial" w:cs="Arial" w:eastAsia="Arial" w:hAnsi="Arial"/>
          <w:sz w:val="16"/>
          <w:szCs w:val="16"/>
          <w:color w:val="auto"/>
        </w:rPr>
        <w:t xml:space="preserve"> </w:t>
      </w:r>
      <w:hyperlink r:id="rId91">
        <w:r>
          <w:rPr>
            <w:rFonts w:ascii="Arial" w:cs="Arial" w:eastAsia="Arial" w:hAnsi="Arial"/>
            <w:sz w:val="16"/>
            <w:szCs w:val="16"/>
            <w:color w:val="auto"/>
          </w:rPr>
          <w:t>2019)</w:t>
        </w:r>
      </w:hyperlink>
    </w:p>
    <w:p>
      <w:pPr>
        <w:spacing w:after="0" w:line="22" w:lineRule="exact"/>
        <w:rPr>
          <w:sz w:val="20"/>
          <w:szCs w:val="20"/>
          <w:color w:val="auto"/>
        </w:rPr>
      </w:pPr>
    </w:p>
    <w:p>
      <w:pPr>
        <w:ind w:left="328" w:right="60"/>
        <w:spacing w:after="0" w:line="232" w:lineRule="auto"/>
        <w:rPr>
          <w:rFonts w:ascii="Arial" w:cs="Arial" w:eastAsia="Arial" w:hAnsi="Arial"/>
          <w:sz w:val="16"/>
          <w:szCs w:val="16"/>
          <w:color w:val="auto"/>
        </w:rPr>
      </w:pPr>
      <w:hyperlink r:id="rId92">
        <w:r>
          <w:rPr>
            <w:rFonts w:ascii="Arial" w:cs="Arial" w:eastAsia="Arial" w:hAnsi="Arial"/>
            <w:sz w:val="16"/>
            <w:szCs w:val="16"/>
            <w:color w:val="auto"/>
          </w:rPr>
          <w:t>Amended Employment Letter with Sally Shanks dated March 18, 2019 (incorporated by reference to Exhibit 10.1 to the Company’s Form 8-</w:t>
        </w:r>
      </w:hyperlink>
      <w:hyperlink r:id="rId92">
        <w:r>
          <w:rPr>
            <w:rFonts w:ascii="Arial" w:cs="Arial" w:eastAsia="Arial" w:hAnsi="Arial"/>
            <w:sz w:val="16"/>
            <w:szCs w:val="16"/>
            <w:color w:val="auto"/>
          </w:rPr>
          <w:t>K filed March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wp:posOffset>
            </wp:positionV>
            <wp:extent cx="7220585"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2" w:lineRule="exact"/>
        <w:rPr>
          <w:sz w:val="20"/>
          <w:szCs w:val="20"/>
          <w:color w:val="auto"/>
        </w:rPr>
      </w:pPr>
    </w:p>
    <w:p>
      <w:pPr>
        <w:ind w:left="328" w:right="340"/>
        <w:spacing w:after="0" w:line="232" w:lineRule="auto"/>
        <w:rPr>
          <w:rFonts w:ascii="Arial" w:cs="Arial" w:eastAsia="Arial" w:hAnsi="Arial"/>
          <w:sz w:val="16"/>
          <w:szCs w:val="16"/>
          <w:color w:val="auto"/>
        </w:rPr>
      </w:pPr>
      <w:hyperlink r:id="rId93">
        <w:r>
          <w:rPr>
            <w:rFonts w:ascii="Arial" w:cs="Arial" w:eastAsia="Arial" w:hAnsi="Arial"/>
            <w:sz w:val="16"/>
            <w:szCs w:val="16"/>
            <w:color w:val="auto"/>
          </w:rPr>
          <w:t>Separation and Release Claims Agreement with Bradley L. Bacon dated May 17, 2019 (incorporated by reference to Exhibit 10.1 to the</w:t>
        </w:r>
      </w:hyperlink>
      <w:r>
        <w:rPr>
          <w:rFonts w:ascii="Arial" w:cs="Arial" w:eastAsia="Arial" w:hAnsi="Arial"/>
          <w:sz w:val="16"/>
          <w:szCs w:val="16"/>
          <w:color w:val="auto"/>
        </w:rPr>
        <w:t xml:space="preserve"> </w:t>
      </w:r>
      <w:hyperlink r:id="rId93">
        <w:r>
          <w:rPr>
            <w:rFonts w:ascii="Arial" w:cs="Arial" w:eastAsia="Arial" w:hAnsi="Arial"/>
            <w:sz w:val="16"/>
            <w:szCs w:val="16"/>
            <w:color w:val="auto"/>
          </w:rPr>
          <w:t>Company's Form 8-K filed May 17, 2019)</w:t>
        </w:r>
      </w:hyperlink>
    </w:p>
    <w:p>
      <w:pPr>
        <w:spacing w:after="0" w:line="22" w:lineRule="exact"/>
        <w:rPr>
          <w:sz w:val="20"/>
          <w:szCs w:val="20"/>
          <w:color w:val="auto"/>
        </w:rPr>
      </w:pPr>
    </w:p>
    <w:p>
      <w:pPr>
        <w:ind w:left="328" w:right="240"/>
        <w:spacing w:after="0" w:line="232" w:lineRule="auto"/>
        <w:rPr>
          <w:rFonts w:ascii="Arial" w:cs="Arial" w:eastAsia="Arial" w:hAnsi="Arial"/>
          <w:sz w:val="16"/>
          <w:szCs w:val="16"/>
          <w:color w:val="auto"/>
        </w:rPr>
      </w:pPr>
      <w:hyperlink r:id="rId94">
        <w:r>
          <w:rPr>
            <w:rFonts w:ascii="Arial" w:cs="Arial" w:eastAsia="Arial" w:hAnsi="Arial"/>
            <w:sz w:val="16"/>
            <w:szCs w:val="16"/>
            <w:color w:val="auto"/>
          </w:rPr>
          <w:t>Employment Agreement with Hezron Timothy Lopez (incorporated by reference to Exhibit 10.1 to the Company's Form 8-K filed June 19,</w:t>
        </w:r>
      </w:hyperlink>
      <w:r>
        <w:rPr>
          <w:rFonts w:ascii="Arial" w:cs="Arial" w:eastAsia="Arial" w:hAnsi="Arial"/>
          <w:sz w:val="16"/>
          <w:szCs w:val="16"/>
          <w:color w:val="auto"/>
        </w:rPr>
        <w:t xml:space="preserve"> </w:t>
      </w:r>
      <w:hyperlink r:id="rId94">
        <w:r>
          <w:rPr>
            <w:rFonts w:ascii="Arial" w:cs="Arial" w:eastAsia="Arial" w:hAnsi="Arial"/>
            <w:sz w:val="16"/>
            <w:szCs w:val="16"/>
            <w:color w:val="auto"/>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wp:posOffset>
            </wp:positionV>
            <wp:extent cx="722058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20585" cy="274320"/>
                    </a:xfrm>
                    <a:prstGeom prst="rect">
                      <a:avLst/>
                    </a:prstGeom>
                    <a:noFill/>
                  </pic:spPr>
                </pic:pic>
              </a:graphicData>
            </a:graphic>
          </wp:anchor>
        </w:drawing>
      </w:r>
    </w:p>
    <w:p>
      <w:pPr>
        <w:spacing w:after="0" w:line="16" w:lineRule="exact"/>
        <w:rPr>
          <w:sz w:val="20"/>
          <w:szCs w:val="20"/>
          <w:color w:val="auto"/>
        </w:rPr>
      </w:pPr>
    </w:p>
    <w:p>
      <w:pPr>
        <w:ind w:left="328"/>
        <w:spacing w:after="0" w:line="260"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line="34"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19050</wp:posOffset>
            </wp:positionV>
            <wp:extent cx="722058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Calculation Linkbase Document</w:t>
      </w:r>
    </w:p>
    <w:p>
      <w:pPr>
        <w:spacing w:after="0" w:line="5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19050</wp:posOffset>
            </wp:positionV>
            <wp:extent cx="722058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Label Linkbase Document</w:t>
      </w:r>
    </w:p>
    <w:p>
      <w:pPr>
        <w:spacing w:after="0" w:line="5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Presentation Linkbase Document</w:t>
      </w:r>
    </w:p>
    <w:p>
      <w:pPr>
        <w:spacing w:after="0" w:line="143" w:lineRule="exact"/>
        <w:rPr>
          <w:sz w:val="20"/>
          <w:szCs w:val="20"/>
          <w:color w:val="auto"/>
        </w:rPr>
      </w:pPr>
    </w:p>
    <w:p>
      <w:pPr>
        <w:sectPr>
          <w:pgSz w:w="11900" w:h="16838" w:orient="portrait"/>
          <w:cols w:equalWidth="0" w:num="2">
            <w:col w:w="920" w:space="92"/>
            <w:col w:w="10348"/>
          </w:cols>
          <w:pgMar w:left="240" w:top="1082" w:right="29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82" w:right="29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23"/>
          <w:szCs w:val="23"/>
          <w:color w:val="008A5F"/>
        </w:rPr>
        <w:t>Signature</w:t>
      </w:r>
    </w:p>
    <w:p>
      <w:pPr>
        <w:spacing w:after="0" w:line="9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WillScot Corporation</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5720" w:type="dxa"/>
            <w:vAlign w:val="bottom"/>
          </w:tcPr>
          <w:p>
            <w:pPr>
              <w:ind w:left="518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23"/>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720" w:type="dxa"/>
            <w:vAlign w:val="bottom"/>
          </w:tcPr>
          <w:p>
            <w:pPr>
              <w:ind w:left="200"/>
              <w:spacing w:after="0"/>
              <w:rPr>
                <w:sz w:val="20"/>
                <w:szCs w:val="20"/>
                <w:color w:val="auto"/>
              </w:rPr>
            </w:pPr>
            <w:r>
              <w:rPr>
                <w:rFonts w:ascii="Arial" w:cs="Arial" w:eastAsia="Arial" w:hAnsi="Arial"/>
                <w:sz w:val="16"/>
                <w:szCs w:val="16"/>
                <w:color w:val="auto"/>
              </w:rPr>
              <w:t>November 8, 2019</w:t>
            </w:r>
          </w:p>
        </w:tc>
        <w:tc>
          <w:tcPr>
            <w:tcW w:w="4940" w:type="dxa"/>
            <w:vAlign w:val="bottom"/>
          </w:tcPr>
          <w:p>
            <w:pPr>
              <w:ind w:left="340"/>
              <w:spacing w:after="0"/>
              <w:rPr>
                <w:sz w:val="20"/>
                <w:szCs w:val="20"/>
                <w:color w:val="auto"/>
              </w:rPr>
            </w:pPr>
            <w:r>
              <w:rPr>
                <w:rFonts w:ascii="Arial" w:cs="Arial" w:eastAsia="Arial" w:hAnsi="Arial"/>
                <w:sz w:val="16"/>
                <w:szCs w:val="16"/>
                <w:color w:val="auto"/>
              </w:rPr>
              <w:t>Timothy D. Boswell</w:t>
            </w:r>
          </w:p>
        </w:tc>
      </w:tr>
      <w:tr>
        <w:trPr>
          <w:trHeight w:val="216"/>
        </w:trPr>
        <w:tc>
          <w:tcPr>
            <w:tcW w:w="7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1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2019</w:t>
      </w:r>
    </w:p>
    <w:p>
      <w:pPr>
        <w:spacing w:after="0" w:line="5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64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90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2019</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19050</wp:posOffset>
            </wp:positionV>
            <wp:extent cx="28644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2019</w:t>
      </w:r>
    </w:p>
    <w:p>
      <w:pPr>
        <w:spacing w:after="0" w:line="100"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19050</wp:posOffset>
            </wp:positionV>
            <wp:extent cx="2546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40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2019</w:t>
      </w:r>
    </w:p>
    <w:p>
      <w:pPr>
        <w:spacing w:after="0" w:line="100"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19050</wp:posOffset>
            </wp:positionV>
            <wp:extent cx="25558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
      <w:numFmt w:val="bullet"/>
      <w:start w:val="1"/>
    </w:lvl>
    <w:lvl w:ilvl="1">
      <w:lvlJc w:val="left"/>
      <w:lvlText w:val="\endash "/>
      <w:numFmt w:val="bullet"/>
      <w:start w:val="1"/>
    </w:lvl>
  </w:abstractNum>
  <w:abstractNum w:abstractNumId="11">
    <w:nsid w:val="25E45D32"/>
    <w:multiLevelType w:val="hybridMultilevel"/>
    <w:lvl w:ilvl="0">
      <w:lvlJc w:val="left"/>
      <w:lvlText w:val="•"/>
      <w:numFmt w:val="bullet"/>
      <w:start w:val="1"/>
    </w:lvl>
    <w:lvl w:ilvl="1">
      <w:lvlJc w:val="left"/>
      <w:lvlText w:val="\endash "/>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91" Type="http://schemas.openxmlformats.org/officeDocument/2006/relationships/hyperlink" Target="http://www.sec.gov/Archives/edgar/data/1647088/000110465919016868/a19-6989_3ex10d1.htm" TargetMode="External"/><Relationship Id="rId92" Type="http://schemas.openxmlformats.org/officeDocument/2006/relationships/hyperlink" Target="http://www.sec.gov/Archives/edgar/data/1647088/000110465919016594/a19-6989_1ex10d1.htm" TargetMode="External"/><Relationship Id="rId93" Type="http://schemas.openxmlformats.org/officeDocument/2006/relationships/hyperlink" Target="http://www.sec.gov/Archives/edgar/data/1647088/000110465919030318/a19-10072_2ex10d1.htm" TargetMode="External"/><Relationship Id="rId94" Type="http://schemas.openxmlformats.org/officeDocument/2006/relationships/hyperlink" Target="http://www.sec.gov/Archives/edgar/data/1647088/000110465919036394/a19-11676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2019-12-28T01:47:32Z</dcterms:created>
  <dcterms:modified xsi:type="dcterms:W3CDTF">2019-12-28T01:47:32Z</dcterms:modified>
</cp:coreProperties>
</file>