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89" w:lineRule="exact"/>
        <w:rPr>
          <w:sz w:val="24"/>
          <w:szCs w:val="24"/>
          <w:color w:val="auto"/>
        </w:rPr>
      </w:pPr>
    </w:p>
    <w:p>
      <w:pPr>
        <w:ind w:left="1520" w:hanging="808"/>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920" w:right="2680" w:hanging="3208"/>
        <w:spacing w:after="0" w:line="333"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48"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2195830</wp:posOffset>
            </wp:positionH>
            <wp:positionV relativeFrom="paragraph">
              <wp:posOffset>60325</wp:posOffset>
            </wp:positionV>
            <wp:extent cx="2750820" cy="769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0820" cy="769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MOBILE MINI HOLDINGS CORP.</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940" w:type="dxa"/>
            <w:vAlign w:val="bottom"/>
          </w:tcPr>
          <w:p>
            <w:pPr>
              <w:spacing w:after="0"/>
              <w:rPr>
                <w:sz w:val="14"/>
                <w:szCs w:val="14"/>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4"/>
                <w:szCs w:val="14"/>
                <w:color w:val="auto"/>
              </w:rPr>
            </w:pPr>
          </w:p>
        </w:tc>
      </w:tr>
      <w:tr>
        <w:trPr>
          <w:trHeight w:val="193"/>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6"/>
                <w:szCs w:val="16"/>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180"/>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5"/>
                <w:szCs w:val="15"/>
                <w:color w:val="auto"/>
              </w:rPr>
            </w:pPr>
          </w:p>
        </w:tc>
        <w:tc>
          <w:tcPr>
            <w:tcW w:w="3600" w:type="dxa"/>
            <w:vAlign w:val="bottom"/>
          </w:tcPr>
          <w:p>
            <w:pPr>
              <w:jc w:val="center"/>
              <w:ind w:right="131"/>
              <w:spacing w:after="0"/>
              <w:rPr>
                <w:sz w:val="20"/>
                <w:szCs w:val="20"/>
                <w:color w:val="auto"/>
              </w:rPr>
            </w:pPr>
            <w:r>
              <w:rPr>
                <w:rFonts w:ascii="Arial" w:cs="Arial" w:eastAsia="Arial" w:hAnsi="Arial"/>
                <w:sz w:val="14"/>
                <w:szCs w:val="14"/>
                <w:color w:val="auto"/>
                <w:w w:val="98"/>
              </w:rPr>
              <w:t>(I.R.S. Employer Identification No.)</w:t>
            </w:r>
          </w:p>
        </w:tc>
      </w:tr>
      <w:tr>
        <w:trPr>
          <w:trHeight w:val="232"/>
        </w:trPr>
        <w:tc>
          <w:tcPr>
            <w:tcW w:w="3940" w:type="dxa"/>
            <w:vAlign w:val="bottom"/>
          </w:tcPr>
          <w:p>
            <w:pPr>
              <w:spacing w:after="0"/>
              <w:rPr>
                <w:sz w:val="20"/>
                <w:szCs w:val="20"/>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20"/>
                <w:szCs w:val="20"/>
                <w:color w:val="auto"/>
              </w:rPr>
            </w:pPr>
          </w:p>
        </w:tc>
      </w:tr>
      <w:tr>
        <w:trPr>
          <w:trHeight w:val="171"/>
        </w:trPr>
        <w:tc>
          <w:tcPr>
            <w:tcW w:w="3940" w:type="dxa"/>
            <w:vAlign w:val="bottom"/>
          </w:tcPr>
          <w:p>
            <w:pPr>
              <w:spacing w:after="0"/>
              <w:rPr>
                <w:sz w:val="14"/>
                <w:szCs w:val="1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Phoenix, Arizona 85008</w:t>
            </w:r>
          </w:p>
        </w:tc>
        <w:tc>
          <w:tcPr>
            <w:tcW w:w="3600" w:type="dxa"/>
            <w:vAlign w:val="bottom"/>
          </w:tcPr>
          <w:p>
            <w:pPr>
              <w:spacing w:after="0"/>
              <w:rPr>
                <w:sz w:val="14"/>
                <w:szCs w:val="14"/>
                <w:color w:val="auto"/>
              </w:rPr>
            </w:pPr>
          </w:p>
        </w:tc>
      </w:tr>
      <w:tr>
        <w:trPr>
          <w:trHeight w:val="164"/>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4"/>
                <w:szCs w:val="14"/>
                <w:color w:val="auto"/>
              </w:rPr>
            </w:pPr>
          </w:p>
        </w:tc>
      </w:tr>
      <w:tr>
        <w:trPr>
          <w:trHeight w:val="377"/>
        </w:trPr>
        <w:tc>
          <w:tcPr>
            <w:tcW w:w="3940" w:type="dxa"/>
            <w:vAlign w:val="bottom"/>
          </w:tcPr>
          <w:p>
            <w:pPr>
              <w:spacing w:after="0"/>
              <w:rPr>
                <w:sz w:val="24"/>
                <w:szCs w:val="2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(480) 894-6311</w:t>
            </w:r>
          </w:p>
        </w:tc>
        <w:tc>
          <w:tcPr>
            <w:tcW w:w="3600" w:type="dxa"/>
            <w:vAlign w:val="bottom"/>
          </w:tcPr>
          <w:p>
            <w:pPr>
              <w:spacing w:after="0"/>
              <w:rPr>
                <w:sz w:val="24"/>
                <w:szCs w:val="24"/>
                <w:color w:val="auto"/>
              </w:rPr>
            </w:pPr>
          </w:p>
        </w:tc>
      </w:tr>
      <w:tr>
        <w:trPr>
          <w:trHeight w:val="164"/>
        </w:trPr>
        <w:tc>
          <w:tcPr>
            <w:tcW w:w="3940" w:type="dxa"/>
            <w:vAlign w:val="bottom"/>
          </w:tcPr>
          <w:p>
            <w:pPr>
              <w:spacing w:after="0"/>
              <w:rPr>
                <w:sz w:val="14"/>
                <w:szCs w:val="1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4"/>
                <w:szCs w:val="14"/>
                <w:color w:val="auto"/>
              </w:rPr>
            </w:pPr>
          </w:p>
        </w:tc>
      </w:tr>
      <w:tr>
        <w:trPr>
          <w:trHeight w:val="258"/>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3600" w:type="dxa"/>
            <w:vAlign w:val="bottom"/>
          </w:tcPr>
          <w:p>
            <w:pPr>
              <w:spacing w:after="0"/>
              <w:rPr>
                <w:sz w:val="22"/>
                <w:szCs w:val="22"/>
                <w:color w:val="auto"/>
              </w:rPr>
            </w:pPr>
          </w:p>
        </w:tc>
      </w:tr>
      <w:tr>
        <w:trPr>
          <w:trHeight w:val="387"/>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2"/>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75"/>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7"/>
              </w:rPr>
              <w:t>The Nasdaq Capital Market</w:t>
            </w:r>
          </w:p>
        </w:tc>
      </w:tr>
      <w:tr>
        <w:trPr>
          <w:trHeight w:val="236"/>
        </w:trPr>
        <w:tc>
          <w:tcPr>
            <w:tcW w:w="3940" w:type="dxa"/>
            <w:vAlign w:val="bottom"/>
          </w:tcPr>
          <w:p>
            <w:pPr>
              <w:jc w:val="center"/>
              <w:ind w:left="991"/>
              <w:spacing w:after="0"/>
              <w:rPr>
                <w:sz w:val="20"/>
                <w:szCs w:val="20"/>
                <w:color w:val="auto"/>
              </w:rPr>
            </w:pPr>
            <w:r>
              <w:rPr>
                <w:rFonts w:ascii="Arial" w:cs="Arial" w:eastAsia="Arial" w:hAnsi="Arial"/>
                <w:sz w:val="14"/>
                <w:szCs w:val="14"/>
                <w:color w:val="auto"/>
                <w:w w:val="97"/>
              </w:rPr>
              <w:t>Warrants to purchase Common Stock</w:t>
            </w:r>
            <w:r>
              <w:rPr>
                <w:rFonts w:ascii="Arial" w:cs="Arial" w:eastAsia="Arial" w:hAnsi="Arial"/>
                <w:sz w:val="17"/>
                <w:szCs w:val="17"/>
                <w:color w:val="auto"/>
                <w:w w:val="97"/>
                <w:vertAlign w:val="superscript"/>
              </w:rPr>
              <w:t>(1)</w:t>
            </w:r>
          </w:p>
        </w:tc>
        <w:tc>
          <w:tcPr>
            <w:tcW w:w="3700" w:type="dxa"/>
            <w:vAlign w:val="bottom"/>
          </w:tcPr>
          <w:p>
            <w:pPr>
              <w:jc w:val="center"/>
              <w:ind w:left="291"/>
              <w:spacing w:after="0"/>
              <w:rPr>
                <w:sz w:val="20"/>
                <w:szCs w:val="20"/>
                <w:color w:val="auto"/>
              </w:rPr>
            </w:pPr>
            <w:r>
              <w:rPr>
                <w:rFonts w:ascii="Arial" w:cs="Arial" w:eastAsia="Arial" w:hAnsi="Arial"/>
                <w:sz w:val="14"/>
                <w:szCs w:val="14"/>
                <w:color w:val="auto"/>
                <w:w w:val="99"/>
              </w:rPr>
              <w:t>WSCTW</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8"/>
              </w:rPr>
              <w:t>OTC Markets Group Inc.</w:t>
            </w:r>
          </w:p>
        </w:tc>
      </w:tr>
    </w:tbl>
    <w:p>
      <w:pPr>
        <w:spacing w:after="0" w:line="76" w:lineRule="exact"/>
        <w:rPr>
          <w:sz w:val="24"/>
          <w:szCs w:val="24"/>
          <w:color w:val="auto"/>
        </w:rPr>
      </w:pPr>
    </w:p>
    <w:p>
      <w:pPr>
        <w:ind w:firstLine="622"/>
        <w:spacing w:after="0" w:line="237" w:lineRule="auto"/>
        <w:tabs>
          <w:tab w:leader="none" w:pos="767" w:val="left"/>
        </w:tabs>
        <w:numPr>
          <w:ilvl w:val="0"/>
          <w:numId w:val="3"/>
        </w:numPr>
        <w:rPr>
          <w:rFonts w:ascii="Arial" w:cs="Arial" w:eastAsia="Arial" w:hAnsi="Arial"/>
          <w:sz w:val="9"/>
          <w:szCs w:val="9"/>
          <w:color w:val="auto"/>
        </w:rPr>
      </w:pPr>
      <w:r>
        <w:rPr>
          <w:rFonts w:ascii="Arial" w:cs="Arial" w:eastAsia="Arial" w:hAnsi="Arial"/>
          <w:sz w:val="14"/>
          <w:szCs w:val="14"/>
          <w:color w:val="auto"/>
        </w:rPr>
        <w:t>Issued in connection with the registrant's acquisition of Modular Space Holding, Inc. in August 2018, which are exercisable for one share of the registrant's common stock at an exercise price of $15.50 per share.</w:t>
      </w:r>
    </w:p>
    <w:p>
      <w:pPr>
        <w:spacing w:after="0" w:line="146" w:lineRule="exact"/>
        <w:rPr>
          <w:sz w:val="24"/>
          <w:szCs w:val="24"/>
          <w:color w:val="auto"/>
        </w:rPr>
      </w:pPr>
    </w:p>
    <w:p>
      <w:pPr>
        <w:ind w:firstLine="619"/>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firstLine="619"/>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0" w:lineRule="exact"/>
        <w:rPr>
          <w:sz w:val="24"/>
          <w:szCs w:val="24"/>
          <w:color w:val="auto"/>
        </w:rPr>
      </w:pPr>
    </w:p>
    <w:p>
      <w:pPr>
        <w:ind w:firstLine="619"/>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3" w:right="339" w:bottom="1440" w:gutter="0" w:footer="0" w:header="0"/>
        </w:sectPr>
      </w:pPr>
    </w:p>
    <w:p>
      <w:pPr>
        <w:spacing w:after="0" w:line="47" w:lineRule="exact"/>
        <w:rPr>
          <w:sz w:val="24"/>
          <w:szCs w:val="24"/>
          <w:color w:val="auto"/>
        </w:rPr>
      </w:pPr>
    </w:p>
    <w:p>
      <w:pPr>
        <w:ind w:left="12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6" w:lineRule="exact"/>
        <w:rPr>
          <w:sz w:val="24"/>
          <w:szCs w:val="24"/>
          <w:color w:val="auto"/>
        </w:rPr>
      </w:pPr>
    </w:p>
    <w:p>
      <w:pPr>
        <w:sectPr>
          <w:pgSz w:w="11900" w:h="16838" w:orient="portrait"/>
          <w:cols w:equalWidth="0" w:num="2">
            <w:col w:w="6160" w:space="720"/>
            <w:col w:w="4360"/>
          </w:cols>
          <w:pgMar w:left="320" w:top="923" w:right="339" w:bottom="1440" w:gutter="0" w:footer="0" w:header="0"/>
          <w:type w:val="continuous"/>
        </w:sectPr>
      </w:pPr>
    </w:p>
    <w:p>
      <w:pPr>
        <w:ind w:left="13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86" w:lineRule="exact"/>
        <w:rPr>
          <w:sz w:val="24"/>
          <w:szCs w:val="24"/>
          <w:color w:val="auto"/>
        </w:rPr>
      </w:pPr>
    </w:p>
    <w:p>
      <w:pPr>
        <w:sectPr>
          <w:pgSz w:w="11900" w:h="16838" w:orient="portrait"/>
          <w:cols w:equalWidth="0" w:num="2">
            <w:col w:w="6160" w:space="720"/>
            <w:col w:w="4360"/>
          </w:cols>
          <w:pgMar w:left="320" w:top="923" w:right="339" w:bottom="1440" w:gutter="0" w:footer="0" w:header="0"/>
          <w:type w:val="continuous"/>
        </w:sectPr>
      </w:pPr>
    </w:p>
    <w:p>
      <w:pPr>
        <w:ind w:firstLine="619"/>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620" w:right="3600"/>
        <w:spacing w:after="0" w:line="21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222,521,576 shares at April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895350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MOBILE MINI HOLDINGS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3" w:lineRule="exact"/>
        <w:rPr>
          <w:sz w:val="20"/>
          <w:szCs w:val="20"/>
          <w:color w:val="auto"/>
        </w:rPr>
      </w:pPr>
    </w:p>
    <w:p>
      <w:pPr>
        <w:ind w:left="20"/>
        <w:spacing w:after="0"/>
        <w:rPr>
          <w:rFonts w:ascii="Arial" w:cs="Arial" w:eastAsia="Arial" w:hAnsi="Arial"/>
          <w:sz w:val="15"/>
          <w:szCs w:val="15"/>
          <w:b w:val="1"/>
          <w:bCs w:val="1"/>
          <w:color w:val="auto"/>
        </w:rPr>
      </w:pPr>
      <w:hyperlink w:anchor="page2">
        <w:r>
          <w:rPr>
            <w:rFonts w:ascii="Arial" w:cs="Arial" w:eastAsia="Arial" w:hAnsi="Arial"/>
            <w:sz w:val="15"/>
            <w:szCs w:val="15"/>
            <w:b w:val="1"/>
            <w:bCs w:val="1"/>
            <w:color w:val="auto"/>
          </w:rPr>
          <w:t xml:space="preserve">PART I </w:t>
        </w:r>
      </w:hyperlink>
      <w:r>
        <w:rPr>
          <w:rFonts w:ascii="Arial" w:cs="Arial" w:eastAsia="Arial" w:hAnsi="Arial"/>
          <w:sz w:val="15"/>
          <w:szCs w:val="15"/>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23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99" w:lineRule="exact"/>
        <w:rPr>
          <w:sz w:val="20"/>
          <w:szCs w:val="20"/>
          <w:color w:val="auto"/>
        </w:rPr>
      </w:pPr>
    </w:p>
    <w:p>
      <w:pPr>
        <w:ind w:left="400"/>
        <w:spacing w:after="0"/>
        <w:tabs>
          <w:tab w:leader="none" w:pos="1240" w:val="left"/>
        </w:tabs>
        <w:rPr>
          <w:rFonts w:ascii="Arial" w:cs="Arial" w:eastAsia="Arial" w:hAnsi="Arial"/>
          <w:sz w:val="15"/>
          <w:szCs w:val="15"/>
          <w:color w:val="auto"/>
        </w:rPr>
      </w:pPr>
      <w:hyperlink w:anchor="page3">
        <w:r>
          <w:rPr>
            <w:rFonts w:ascii="Arial" w:cs="Arial" w:eastAsia="Arial" w:hAnsi="Arial"/>
            <w:sz w:val="15"/>
            <w:szCs w:val="15"/>
            <w:color w:val="auto"/>
          </w:rPr>
          <w:t>Item 1</w:t>
        </w:r>
      </w:hyperlink>
      <w:r>
        <w:rPr>
          <w:rFonts w:ascii="Arial" w:cs="Arial" w:eastAsia="Arial" w:hAnsi="Arial"/>
          <w:sz w:val="15"/>
          <w:szCs w:val="15"/>
          <w:color w:val="auto"/>
        </w:rPr>
        <w:tab/>
      </w:r>
      <w:hyperlink w:anchor="page3">
        <w:r>
          <w:rPr>
            <w:rFonts w:ascii="Arial" w:cs="Arial" w:eastAsia="Arial" w:hAnsi="Arial"/>
            <w:sz w:val="15"/>
            <w:szCs w:val="15"/>
            <w:color w:val="auto"/>
          </w:rPr>
          <w:t>Financial Statements (unaudited, except as noted below)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67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rFonts w:ascii="Arial" w:cs="Arial" w:eastAsia="Arial" w:hAnsi="Arial"/>
          <w:sz w:val="15"/>
          <w:szCs w:val="15"/>
          <w:color w:val="auto"/>
        </w:rPr>
      </w:pPr>
      <w:hyperlink w:anchor="page3">
        <w:r>
          <w:rPr>
            <w:rFonts w:ascii="Arial" w:cs="Arial" w:eastAsia="Arial" w:hAnsi="Arial"/>
            <w:sz w:val="15"/>
            <w:szCs w:val="15"/>
            <w:color w:val="auto"/>
          </w:rPr>
          <w:t>Condensed Consolidated Balance Sheets as of March 31, 2022 and December 31, 2021 (audited)</w:t>
        </w:r>
      </w:hyperlink>
    </w:p>
    <w:p>
      <w:pPr>
        <w:spacing w:after="0" w:line="201" w:lineRule="exact"/>
        <w:rPr>
          <w:sz w:val="20"/>
          <w:szCs w:val="20"/>
          <w:color w:val="auto"/>
        </w:rPr>
      </w:pPr>
    </w:p>
    <w:p>
      <w:pPr>
        <w:ind w:left="1600"/>
        <w:spacing w:after="0"/>
        <w:rPr>
          <w:rFonts w:ascii="Arial" w:cs="Arial" w:eastAsia="Arial" w:hAnsi="Arial"/>
          <w:sz w:val="15"/>
          <w:szCs w:val="15"/>
          <w:color w:val="auto"/>
        </w:rPr>
      </w:pPr>
      <w:hyperlink w:anchor="page3">
        <w:r>
          <w:rPr>
            <w:rFonts w:ascii="Arial" w:cs="Arial" w:eastAsia="Arial" w:hAnsi="Arial"/>
            <w:sz w:val="15"/>
            <w:szCs w:val="15"/>
            <w:color w:val="auto"/>
          </w:rPr>
          <w:t>Condensed Consolidated Statements of Operations for the Three Months Ended March 31, 2022 and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670"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for the Three Months Ended March 31, 2022 and 2021</w:t>
      </w:r>
    </w:p>
    <w:p>
      <w:pPr>
        <w:spacing w:after="0" w:line="201" w:lineRule="exact"/>
        <w:rPr>
          <w:sz w:val="20"/>
          <w:szCs w:val="20"/>
          <w:color w:val="auto"/>
        </w:rPr>
      </w:pPr>
    </w:p>
    <w:p>
      <w:pPr>
        <w:ind w:left="1600" w:right="1820"/>
        <w:spacing w:after="0" w:line="305" w:lineRule="auto"/>
        <w:rPr>
          <w:rFonts w:ascii="Arial" w:cs="Arial" w:eastAsia="Arial" w:hAnsi="Arial"/>
          <w:sz w:val="15"/>
          <w:szCs w:val="15"/>
          <w:color w:val="auto"/>
        </w:rPr>
      </w:pPr>
      <w:hyperlink w:anchor="page5">
        <w:r>
          <w:rPr>
            <w:rFonts w:ascii="Arial" w:cs="Arial" w:eastAsia="Arial" w:hAnsi="Arial"/>
            <w:sz w:val="15"/>
            <w:szCs w:val="15"/>
            <w:color w:val="auto"/>
          </w:rPr>
          <w:t>Condensed Consolidated Statements of Changes in Equity for the Three Months Ended March 31, 2022 and 2021</w:t>
        </w:r>
      </w:hyperlink>
      <w:r>
        <w:rPr>
          <w:rFonts w:ascii="Arial" w:cs="Arial" w:eastAsia="Arial" w:hAnsi="Arial"/>
          <w:sz w:val="15"/>
          <w:szCs w:val="15"/>
          <w:color w:val="auto"/>
        </w:rPr>
        <w:t xml:space="preserve"> </w:t>
      </w:r>
      <w:hyperlink w:anchor="page6">
        <w:r>
          <w:rPr>
            <w:rFonts w:ascii="Arial" w:cs="Arial" w:eastAsia="Arial" w:hAnsi="Arial"/>
            <w:sz w:val="15"/>
            <w:szCs w:val="15"/>
            <w:color w:val="auto"/>
          </w:rPr>
          <w:t>Condensed Consolidated Statements of Cash Flows for the Three Months Ended March 31, 2022 and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13867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22" w:lineRule="exact"/>
        <w:rPr>
          <w:sz w:val="20"/>
          <w:szCs w:val="20"/>
          <w:color w:val="auto"/>
        </w:rPr>
      </w:pPr>
    </w:p>
    <w:p>
      <w:pPr>
        <w:ind w:left="1600"/>
        <w:spacing w:after="0"/>
        <w:rPr>
          <w:rFonts w:ascii="Arial" w:cs="Arial" w:eastAsia="Arial" w:hAnsi="Arial"/>
          <w:sz w:val="15"/>
          <w:szCs w:val="15"/>
          <w:color w:val="auto"/>
        </w:rPr>
      </w:pPr>
      <w:hyperlink w:anchor="page7">
        <w:r>
          <w:rPr>
            <w:rFonts w:ascii="Arial" w:cs="Arial" w:eastAsia="Arial" w:hAnsi="Arial"/>
            <w:sz w:val="15"/>
            <w:szCs w:val="15"/>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67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40" w:val="left"/>
        </w:tabs>
        <w:rPr>
          <w:rFonts w:ascii="Arial" w:cs="Arial" w:eastAsia="Arial" w:hAnsi="Arial"/>
          <w:sz w:val="15"/>
          <w:szCs w:val="15"/>
          <w:color w:val="auto"/>
        </w:rPr>
      </w:pPr>
      <w:hyperlink w:anchor="page23">
        <w:r>
          <w:rPr>
            <w:rFonts w:ascii="Arial" w:cs="Arial" w:eastAsia="Arial" w:hAnsi="Arial"/>
            <w:sz w:val="15"/>
            <w:szCs w:val="15"/>
            <w:color w:val="auto"/>
          </w:rPr>
          <w:t>Item 2</w:t>
        </w:r>
      </w:hyperlink>
      <w:r>
        <w:rPr>
          <w:rFonts w:ascii="Arial" w:cs="Arial" w:eastAsia="Arial" w:hAnsi="Arial"/>
          <w:sz w:val="15"/>
          <w:szCs w:val="15"/>
          <w:color w:val="auto"/>
        </w:rPr>
        <w:tab/>
      </w:r>
      <w:hyperlink w:anchor="page23">
        <w:r>
          <w:rPr>
            <w:rFonts w:ascii="Arial" w:cs="Arial" w:eastAsia="Arial" w:hAnsi="Arial"/>
            <w:sz w:val="15"/>
            <w:szCs w:val="15"/>
            <w:color w:val="auto"/>
          </w:rPr>
          <w:t>Management’s Discussion and Analysis of Financial Condition and Results of Operations</w:t>
        </w:r>
      </w:hyperlink>
    </w:p>
    <w:p>
      <w:pPr>
        <w:spacing w:after="0" w:line="201" w:lineRule="exact"/>
        <w:rPr>
          <w:sz w:val="20"/>
          <w:szCs w:val="20"/>
          <w:color w:val="auto"/>
        </w:rPr>
      </w:pPr>
    </w:p>
    <w:p>
      <w:pPr>
        <w:ind w:left="400"/>
        <w:spacing w:after="0"/>
        <w:tabs>
          <w:tab w:leader="none" w:pos="1240" w:val="left"/>
        </w:tabs>
        <w:rPr>
          <w:rFonts w:ascii="Arial" w:cs="Arial" w:eastAsia="Arial" w:hAnsi="Arial"/>
          <w:sz w:val="15"/>
          <w:szCs w:val="15"/>
          <w:color w:val="auto"/>
        </w:rPr>
      </w:pPr>
      <w:hyperlink w:anchor="page38">
        <w:r>
          <w:rPr>
            <w:rFonts w:ascii="Arial" w:cs="Arial" w:eastAsia="Arial" w:hAnsi="Arial"/>
            <w:sz w:val="15"/>
            <w:szCs w:val="15"/>
            <w:color w:val="auto"/>
          </w:rPr>
          <w:t>Item 3</w:t>
        </w:r>
      </w:hyperlink>
      <w:r>
        <w:rPr>
          <w:rFonts w:ascii="Arial" w:cs="Arial" w:eastAsia="Arial" w:hAnsi="Arial"/>
          <w:sz w:val="15"/>
          <w:szCs w:val="15"/>
          <w:color w:val="auto"/>
        </w:rPr>
        <w:tab/>
      </w:r>
      <w:hyperlink w:anchor="page38">
        <w:r>
          <w:rPr>
            <w:rFonts w:ascii="Arial" w:cs="Arial" w:eastAsia="Arial" w:hAnsi="Arial"/>
            <w:sz w:val="15"/>
            <w:szCs w:val="15"/>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670"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40" w:val="left"/>
        </w:tabs>
        <w:rPr>
          <w:rFonts w:ascii="Arial" w:cs="Arial" w:eastAsia="Arial" w:hAnsi="Arial"/>
          <w:sz w:val="15"/>
          <w:szCs w:val="15"/>
          <w:color w:val="auto"/>
        </w:rPr>
      </w:pPr>
      <w:hyperlink w:anchor="page38">
        <w:r>
          <w:rPr>
            <w:rFonts w:ascii="Arial" w:cs="Arial" w:eastAsia="Arial" w:hAnsi="Arial"/>
            <w:sz w:val="15"/>
            <w:szCs w:val="15"/>
            <w:color w:val="auto"/>
          </w:rPr>
          <w:t>Item 4</w:t>
        </w:r>
      </w:hyperlink>
      <w:r>
        <w:rPr>
          <w:rFonts w:ascii="Arial" w:cs="Arial" w:eastAsia="Arial" w:hAnsi="Arial"/>
          <w:sz w:val="15"/>
          <w:szCs w:val="15"/>
          <w:color w:val="auto"/>
        </w:rPr>
        <w:tab/>
      </w:r>
      <w:hyperlink w:anchor="page38">
        <w:r>
          <w:rPr>
            <w:rFonts w:ascii="Arial" w:cs="Arial" w:eastAsia="Arial" w:hAnsi="Arial"/>
            <w:sz w:val="15"/>
            <w:szCs w:val="15"/>
            <w:color w:val="auto"/>
          </w:rPr>
          <w:t>Controls and Procedures</w:t>
        </w:r>
      </w:hyperlink>
    </w:p>
    <w:p>
      <w:pPr>
        <w:spacing w:after="0" w:line="183" w:lineRule="exact"/>
        <w:rPr>
          <w:sz w:val="20"/>
          <w:szCs w:val="20"/>
          <w:color w:val="auto"/>
        </w:rPr>
      </w:pPr>
    </w:p>
    <w:p>
      <w:pPr>
        <w:ind w:left="20"/>
        <w:spacing w:after="0"/>
        <w:rPr>
          <w:rFonts w:ascii="Arial" w:cs="Arial" w:eastAsia="Arial" w:hAnsi="Arial"/>
          <w:sz w:val="15"/>
          <w:szCs w:val="15"/>
          <w:b w:val="1"/>
          <w:bCs w:val="1"/>
          <w:color w:val="auto"/>
        </w:rPr>
      </w:pPr>
      <w:hyperlink w:anchor="page39">
        <w:r>
          <w:rPr>
            <w:rFonts w:ascii="Arial" w:cs="Arial" w:eastAsia="Arial" w:hAnsi="Arial"/>
            <w:sz w:val="15"/>
            <w:szCs w:val="15"/>
            <w:b w:val="1"/>
            <w:bCs w:val="1"/>
            <w:color w:val="auto"/>
          </w:rPr>
          <w:t>PART II Other Information</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00" w:type="dxa"/>
            <w:vAlign w:val="bottom"/>
            <w:shd w:val="clear" w:color="auto" w:fill="DBDBDB"/>
          </w:tcPr>
          <w:p>
            <w:pPr>
              <w:ind w:left="400"/>
              <w:spacing w:after="0"/>
              <w:rPr>
                <w:rFonts w:ascii="Arial" w:cs="Arial" w:eastAsia="Arial" w:hAnsi="Arial"/>
                <w:sz w:val="15"/>
                <w:szCs w:val="15"/>
                <w:color w:val="auto"/>
              </w:rPr>
            </w:pPr>
            <w:hyperlink w:anchor="page40">
              <w:r>
                <w:rPr>
                  <w:rFonts w:ascii="Arial" w:cs="Arial" w:eastAsia="Arial" w:hAnsi="Arial"/>
                  <w:sz w:val="15"/>
                  <w:szCs w:val="15"/>
                  <w:color w:val="auto"/>
                </w:rPr>
                <w:t>Item 1</w:t>
              </w:r>
            </w:hyperlink>
          </w:p>
        </w:tc>
        <w:tc>
          <w:tcPr>
            <w:tcW w:w="10140" w:type="dxa"/>
            <w:vAlign w:val="bottom"/>
            <w:shd w:val="clear" w:color="auto" w:fill="DBDBDB"/>
          </w:tcPr>
          <w:p>
            <w:pPr>
              <w:ind w:left="160"/>
              <w:spacing w:after="0"/>
              <w:rPr>
                <w:rFonts w:ascii="Arial" w:cs="Arial" w:eastAsia="Arial" w:hAnsi="Arial"/>
                <w:sz w:val="15"/>
                <w:szCs w:val="15"/>
                <w:color w:val="auto"/>
              </w:rPr>
            </w:pPr>
            <w:hyperlink w:anchor="page40">
              <w:r>
                <w:rPr>
                  <w:rFonts w:ascii="Arial" w:cs="Arial" w:eastAsia="Arial" w:hAnsi="Arial"/>
                  <w:sz w:val="15"/>
                  <w:szCs w:val="15"/>
                  <w:color w:val="auto"/>
                </w:rPr>
                <w:t>Legal Proceedings</w:t>
              </w:r>
            </w:hyperlink>
          </w:p>
        </w:tc>
      </w:tr>
      <w:tr>
        <w:trPr>
          <w:trHeight w:val="168"/>
        </w:trPr>
        <w:tc>
          <w:tcPr>
            <w:tcW w:w="1100" w:type="dxa"/>
            <w:vAlign w:val="bottom"/>
            <w:shd w:val="clear" w:color="auto" w:fill="DBDBDB"/>
          </w:tcPr>
          <w:p>
            <w:pPr>
              <w:spacing w:after="0"/>
              <w:rPr>
                <w:sz w:val="14"/>
                <w:szCs w:val="14"/>
                <w:color w:val="auto"/>
              </w:rPr>
            </w:pPr>
          </w:p>
        </w:tc>
        <w:tc>
          <w:tcPr>
            <w:tcW w:w="10140" w:type="dxa"/>
            <w:vAlign w:val="bottom"/>
            <w:shd w:val="clear" w:color="auto" w:fill="DBDBDB"/>
          </w:tcPr>
          <w:p>
            <w:pPr>
              <w:spacing w:after="0"/>
              <w:rPr>
                <w:sz w:val="14"/>
                <w:szCs w:val="14"/>
                <w:color w:val="auto"/>
              </w:rPr>
            </w:pPr>
          </w:p>
        </w:tc>
      </w:tr>
      <w:tr>
        <w:trPr>
          <w:trHeight w:val="201"/>
        </w:trPr>
        <w:tc>
          <w:tcPr>
            <w:tcW w:w="1100" w:type="dxa"/>
            <w:vAlign w:val="bottom"/>
          </w:tcPr>
          <w:p>
            <w:pPr>
              <w:ind w:left="400"/>
              <w:spacing w:after="0"/>
              <w:rPr>
                <w:rFonts w:ascii="Arial" w:cs="Arial" w:eastAsia="Arial" w:hAnsi="Arial"/>
                <w:sz w:val="15"/>
                <w:szCs w:val="15"/>
                <w:color w:val="auto"/>
              </w:rPr>
            </w:pPr>
            <w:hyperlink w:anchor="page40">
              <w:r>
                <w:rPr>
                  <w:rFonts w:ascii="Arial" w:cs="Arial" w:eastAsia="Arial" w:hAnsi="Arial"/>
                  <w:sz w:val="15"/>
                  <w:szCs w:val="15"/>
                  <w:color w:val="auto"/>
                </w:rPr>
                <w:t>Item 1A</w:t>
              </w:r>
            </w:hyperlink>
          </w:p>
        </w:tc>
        <w:tc>
          <w:tcPr>
            <w:tcW w:w="10140" w:type="dxa"/>
            <w:vAlign w:val="bottom"/>
          </w:tcPr>
          <w:p>
            <w:pPr>
              <w:ind w:left="160"/>
              <w:spacing w:after="0"/>
              <w:rPr>
                <w:rFonts w:ascii="Arial" w:cs="Arial" w:eastAsia="Arial" w:hAnsi="Arial"/>
                <w:sz w:val="15"/>
                <w:szCs w:val="15"/>
                <w:color w:val="auto"/>
              </w:rPr>
            </w:pPr>
            <w:hyperlink w:anchor="page40">
              <w:r>
                <w:rPr>
                  <w:rFonts w:ascii="Arial" w:cs="Arial" w:eastAsia="Arial" w:hAnsi="Arial"/>
                  <w:sz w:val="15"/>
                  <w:szCs w:val="15"/>
                  <w:color w:val="auto"/>
                </w:rPr>
                <w:t>Risk Factors</w:t>
              </w:r>
            </w:hyperlink>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rFonts w:ascii="Arial" w:cs="Arial" w:eastAsia="Arial" w:hAnsi="Arial"/>
                <w:sz w:val="15"/>
                <w:szCs w:val="15"/>
                <w:color w:val="auto"/>
              </w:rPr>
            </w:pPr>
            <w:hyperlink w:anchor="page40">
              <w:r>
                <w:rPr>
                  <w:rFonts w:ascii="Arial" w:cs="Arial" w:eastAsia="Arial" w:hAnsi="Arial"/>
                  <w:sz w:val="15"/>
                  <w:szCs w:val="15"/>
                  <w:color w:val="auto"/>
                </w:rPr>
                <w:t>Item 2</w:t>
              </w:r>
            </w:hyperlink>
          </w:p>
        </w:tc>
        <w:tc>
          <w:tcPr>
            <w:tcW w:w="10140" w:type="dxa"/>
            <w:vAlign w:val="bottom"/>
            <w:shd w:val="clear" w:color="auto" w:fill="DBDBDB"/>
          </w:tcPr>
          <w:p>
            <w:pPr>
              <w:ind w:left="160"/>
              <w:spacing w:after="0"/>
              <w:rPr>
                <w:rFonts w:ascii="Arial" w:cs="Arial" w:eastAsia="Arial" w:hAnsi="Arial"/>
                <w:sz w:val="15"/>
                <w:szCs w:val="15"/>
                <w:color w:val="auto"/>
              </w:rPr>
            </w:pPr>
            <w:hyperlink w:anchor="page40">
              <w:r>
                <w:rPr>
                  <w:rFonts w:ascii="Arial" w:cs="Arial" w:eastAsia="Arial" w:hAnsi="Arial"/>
                  <w:sz w:val="15"/>
                  <w:szCs w:val="15"/>
                  <w:color w:val="auto"/>
                </w:rPr>
                <w:t>Unregistered Sales of Equity Securities and Use of Proceeds</w:t>
              </w:r>
            </w:hyperlink>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01"/>
        </w:trPr>
        <w:tc>
          <w:tcPr>
            <w:tcW w:w="1100" w:type="dxa"/>
            <w:vAlign w:val="bottom"/>
          </w:tcPr>
          <w:p>
            <w:pPr>
              <w:ind w:left="400"/>
              <w:spacing w:after="0"/>
              <w:rPr>
                <w:rFonts w:ascii="Arial" w:cs="Arial" w:eastAsia="Arial" w:hAnsi="Arial"/>
                <w:sz w:val="15"/>
                <w:szCs w:val="15"/>
                <w:color w:val="auto"/>
              </w:rPr>
            </w:pPr>
            <w:hyperlink w:anchor="page40">
              <w:r>
                <w:rPr>
                  <w:rFonts w:ascii="Arial" w:cs="Arial" w:eastAsia="Arial" w:hAnsi="Arial"/>
                  <w:sz w:val="15"/>
                  <w:szCs w:val="15"/>
                  <w:color w:val="auto"/>
                </w:rPr>
                <w:t>Item 3</w:t>
              </w:r>
            </w:hyperlink>
          </w:p>
        </w:tc>
        <w:tc>
          <w:tcPr>
            <w:tcW w:w="10140" w:type="dxa"/>
            <w:vAlign w:val="bottom"/>
          </w:tcPr>
          <w:p>
            <w:pPr>
              <w:ind w:left="160"/>
              <w:spacing w:after="0"/>
              <w:rPr>
                <w:rFonts w:ascii="Arial" w:cs="Arial" w:eastAsia="Arial" w:hAnsi="Arial"/>
                <w:sz w:val="15"/>
                <w:szCs w:val="15"/>
                <w:color w:val="auto"/>
              </w:rPr>
            </w:pPr>
            <w:hyperlink w:anchor="page40">
              <w:r>
                <w:rPr>
                  <w:rFonts w:ascii="Arial" w:cs="Arial" w:eastAsia="Arial" w:hAnsi="Arial"/>
                  <w:sz w:val="15"/>
                  <w:szCs w:val="15"/>
                  <w:color w:val="auto"/>
                </w:rPr>
                <w:t>Defaults Upon Senior Securities</w:t>
              </w:r>
            </w:hyperlink>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rFonts w:ascii="Arial" w:cs="Arial" w:eastAsia="Arial" w:hAnsi="Arial"/>
                <w:sz w:val="15"/>
                <w:szCs w:val="15"/>
                <w:color w:val="auto"/>
              </w:rPr>
            </w:pPr>
            <w:hyperlink w:anchor="page40">
              <w:r>
                <w:rPr>
                  <w:rFonts w:ascii="Arial" w:cs="Arial" w:eastAsia="Arial" w:hAnsi="Arial"/>
                  <w:sz w:val="15"/>
                  <w:szCs w:val="15"/>
                  <w:color w:val="auto"/>
                </w:rPr>
                <w:t>Item 4</w:t>
              </w:r>
            </w:hyperlink>
          </w:p>
        </w:tc>
        <w:tc>
          <w:tcPr>
            <w:tcW w:w="10140" w:type="dxa"/>
            <w:vAlign w:val="bottom"/>
            <w:shd w:val="clear" w:color="auto" w:fill="DBDBDB"/>
          </w:tcPr>
          <w:p>
            <w:pPr>
              <w:ind w:left="160"/>
              <w:spacing w:after="0"/>
              <w:rPr>
                <w:rFonts w:ascii="Arial" w:cs="Arial" w:eastAsia="Arial" w:hAnsi="Arial"/>
                <w:sz w:val="15"/>
                <w:szCs w:val="15"/>
                <w:color w:val="auto"/>
              </w:rPr>
            </w:pPr>
            <w:hyperlink w:anchor="page40">
              <w:r>
                <w:rPr>
                  <w:rFonts w:ascii="Arial" w:cs="Arial" w:eastAsia="Arial" w:hAnsi="Arial"/>
                  <w:sz w:val="15"/>
                  <w:szCs w:val="15"/>
                  <w:color w:val="auto"/>
                </w:rPr>
                <w:t>Mine Safety Disclosures</w:t>
              </w:r>
            </w:hyperlink>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01"/>
        </w:trPr>
        <w:tc>
          <w:tcPr>
            <w:tcW w:w="1100" w:type="dxa"/>
            <w:vAlign w:val="bottom"/>
          </w:tcPr>
          <w:p>
            <w:pPr>
              <w:ind w:left="400"/>
              <w:spacing w:after="0"/>
              <w:rPr>
                <w:rFonts w:ascii="Arial" w:cs="Arial" w:eastAsia="Arial" w:hAnsi="Arial"/>
                <w:sz w:val="15"/>
                <w:szCs w:val="15"/>
                <w:color w:val="auto"/>
              </w:rPr>
            </w:pPr>
            <w:hyperlink w:anchor="page40">
              <w:r>
                <w:rPr>
                  <w:rFonts w:ascii="Arial" w:cs="Arial" w:eastAsia="Arial" w:hAnsi="Arial"/>
                  <w:sz w:val="15"/>
                  <w:szCs w:val="15"/>
                  <w:color w:val="auto"/>
                </w:rPr>
                <w:t>Item 5</w:t>
              </w:r>
            </w:hyperlink>
          </w:p>
        </w:tc>
        <w:tc>
          <w:tcPr>
            <w:tcW w:w="10140" w:type="dxa"/>
            <w:vAlign w:val="bottom"/>
          </w:tcPr>
          <w:p>
            <w:pPr>
              <w:ind w:left="160"/>
              <w:spacing w:after="0"/>
              <w:rPr>
                <w:rFonts w:ascii="Arial" w:cs="Arial" w:eastAsia="Arial" w:hAnsi="Arial"/>
                <w:sz w:val="15"/>
                <w:szCs w:val="15"/>
                <w:color w:val="auto"/>
              </w:rPr>
            </w:pPr>
            <w:hyperlink w:anchor="page40">
              <w:r>
                <w:rPr>
                  <w:rFonts w:ascii="Arial" w:cs="Arial" w:eastAsia="Arial" w:hAnsi="Arial"/>
                  <w:sz w:val="15"/>
                  <w:szCs w:val="15"/>
                  <w:color w:val="auto"/>
                </w:rPr>
                <w:t>Other Information</w:t>
              </w:r>
            </w:hyperlink>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rFonts w:ascii="Arial" w:cs="Arial" w:eastAsia="Arial" w:hAnsi="Arial"/>
                <w:sz w:val="15"/>
                <w:szCs w:val="15"/>
                <w:color w:val="auto"/>
              </w:rPr>
            </w:pPr>
            <w:hyperlink w:anchor="page41">
              <w:r>
                <w:rPr>
                  <w:rFonts w:ascii="Arial" w:cs="Arial" w:eastAsia="Arial" w:hAnsi="Arial"/>
                  <w:sz w:val="15"/>
                  <w:szCs w:val="15"/>
                  <w:color w:val="auto"/>
                </w:rPr>
                <w:t>Item 6</w:t>
              </w:r>
            </w:hyperlink>
          </w:p>
        </w:tc>
        <w:tc>
          <w:tcPr>
            <w:tcW w:w="10140" w:type="dxa"/>
            <w:vAlign w:val="bottom"/>
            <w:shd w:val="clear" w:color="auto" w:fill="DBDBDB"/>
          </w:tcPr>
          <w:p>
            <w:pPr>
              <w:ind w:left="160"/>
              <w:spacing w:after="0"/>
              <w:rPr>
                <w:rFonts w:ascii="Arial" w:cs="Arial" w:eastAsia="Arial" w:hAnsi="Arial"/>
                <w:sz w:val="15"/>
                <w:szCs w:val="15"/>
                <w:color w:val="auto"/>
              </w:rPr>
            </w:pPr>
            <w:hyperlink w:anchor="page41">
              <w:r>
                <w:rPr>
                  <w:rFonts w:ascii="Arial" w:cs="Arial" w:eastAsia="Arial" w:hAnsi="Arial"/>
                  <w:sz w:val="15"/>
                  <w:szCs w:val="15"/>
                  <w:color w:val="auto"/>
                </w:rPr>
                <w:t>Exhibits</w:t>
              </w:r>
            </w:hyperlink>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04"/>
        </w:trPr>
        <w:tc>
          <w:tcPr>
            <w:tcW w:w="1100" w:type="dxa"/>
            <w:vAlign w:val="bottom"/>
          </w:tcPr>
          <w:p>
            <w:pPr>
              <w:ind w:left="20"/>
              <w:spacing w:after="0"/>
              <w:rPr>
                <w:rFonts w:ascii="Arial" w:cs="Arial" w:eastAsia="Arial" w:hAnsi="Arial"/>
                <w:sz w:val="15"/>
                <w:szCs w:val="15"/>
                <w:b w:val="1"/>
                <w:bCs w:val="1"/>
                <w:color w:val="auto"/>
              </w:rPr>
            </w:pPr>
            <w:hyperlink w:anchor="page41">
              <w:r>
                <w:rPr>
                  <w:rFonts w:ascii="Arial" w:cs="Arial" w:eastAsia="Arial" w:hAnsi="Arial"/>
                  <w:sz w:val="15"/>
                  <w:szCs w:val="15"/>
                  <w:b w:val="1"/>
                  <w:bCs w:val="1"/>
                  <w:color w:val="auto"/>
                </w:rPr>
                <w:t>SIGNATURE</w:t>
              </w:r>
            </w:hyperlink>
          </w:p>
        </w:tc>
        <w:tc>
          <w:tcPr>
            <w:tcW w:w="10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203835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55"/>
        </w:trPr>
        <w:tc>
          <w:tcPr>
            <w:tcW w:w="3480" w:type="dxa"/>
            <w:vAlign w:val="bottom"/>
          </w:tcPr>
          <w:p>
            <w:pPr>
              <w:ind w:left="2180"/>
              <w:spacing w:after="0"/>
              <w:rPr>
                <w:sz w:val="20"/>
                <w:szCs w:val="20"/>
                <w:color w:val="auto"/>
              </w:rPr>
            </w:pPr>
            <w:r>
              <w:rPr>
                <w:rFonts w:ascii="Arial" w:cs="Arial" w:eastAsia="Arial" w:hAnsi="Arial"/>
                <w:sz w:val="34"/>
                <w:szCs w:val="34"/>
                <w:b w:val="1"/>
                <w:bCs w:val="1"/>
                <w:color w:val="auto"/>
              </w:rPr>
              <w:t>ITEM 1.</w:t>
            </w:r>
          </w:p>
        </w:tc>
        <w:tc>
          <w:tcPr>
            <w:tcW w:w="4300" w:type="dxa"/>
            <w:vAlign w:val="bottom"/>
            <w:gridSpan w:val="2"/>
          </w:tcPr>
          <w:p>
            <w:pPr>
              <w:jc w:val="right"/>
              <w:ind w:right="503"/>
              <w:spacing w:after="0"/>
              <w:rPr>
                <w:sz w:val="20"/>
                <w:szCs w:val="20"/>
                <w:color w:val="auto"/>
              </w:rPr>
            </w:pPr>
            <w:r>
              <w:rPr>
                <w:rFonts w:ascii="Arial" w:cs="Arial" w:eastAsia="Arial" w:hAnsi="Arial"/>
                <w:sz w:val="34"/>
                <w:szCs w:val="34"/>
                <w:b w:val="1"/>
                <w:bCs w:val="1"/>
                <w:color w:val="auto"/>
              </w:rPr>
              <w:t>Financial Statements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80" w:type="dxa"/>
            <w:vAlign w:val="bottom"/>
          </w:tcPr>
          <w:p>
            <w:pPr>
              <w:spacing w:after="0"/>
              <w:rPr>
                <w:sz w:val="24"/>
                <w:szCs w:val="24"/>
                <w:color w:val="auto"/>
              </w:rPr>
            </w:pPr>
          </w:p>
        </w:tc>
        <w:tc>
          <w:tcPr>
            <w:tcW w:w="4300" w:type="dxa"/>
            <w:vAlign w:val="bottom"/>
            <w:gridSpan w:val="2"/>
          </w:tcPr>
          <w:p>
            <w:pPr>
              <w:jc w:val="right"/>
              <w:ind w:right="303"/>
              <w:spacing w:after="0"/>
              <w:rPr>
                <w:sz w:val="20"/>
                <w:szCs w:val="20"/>
                <w:color w:val="auto"/>
              </w:rPr>
            </w:pPr>
            <w:r>
              <w:rPr>
                <w:rFonts w:ascii="Arial" w:cs="Arial" w:eastAsia="Arial" w:hAnsi="Arial"/>
                <w:sz w:val="22"/>
                <w:szCs w:val="22"/>
                <w:color w:val="1D2758"/>
              </w:rPr>
              <w:t>WillScot Mobile Mini Holdings Corp.</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480" w:type="dxa"/>
            <w:vAlign w:val="bottom"/>
          </w:tcPr>
          <w:p>
            <w:pPr>
              <w:spacing w:after="0"/>
              <w:rPr>
                <w:sz w:val="23"/>
                <w:szCs w:val="23"/>
                <w:color w:val="auto"/>
              </w:rPr>
            </w:pPr>
          </w:p>
        </w:tc>
        <w:tc>
          <w:tcPr>
            <w:tcW w:w="4300" w:type="dxa"/>
            <w:vAlign w:val="bottom"/>
            <w:gridSpan w:val="2"/>
          </w:tcPr>
          <w:p>
            <w:pPr>
              <w:jc w:val="right"/>
              <w:ind w:right="3"/>
              <w:spacing w:after="0"/>
              <w:rPr>
                <w:sz w:val="20"/>
                <w:szCs w:val="20"/>
                <w:color w:val="auto"/>
              </w:rPr>
            </w:pPr>
            <w:r>
              <w:rPr>
                <w:rFonts w:ascii="Arial" w:cs="Arial" w:eastAsia="Arial" w:hAnsi="Arial"/>
                <w:sz w:val="22"/>
                <w:szCs w:val="22"/>
                <w:color w:val="1D2758"/>
              </w:rPr>
              <w:t>Condensed Consolidated Balance Sheets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720" w:type="dxa"/>
            <w:vAlign w:val="bottom"/>
            <w:shd w:val="clear" w:color="auto" w:fill="1D2758"/>
          </w:tcPr>
          <w:p>
            <w:pPr>
              <w:spacing w:after="0"/>
              <w:rPr>
                <w:sz w:val="24"/>
                <w:szCs w:val="24"/>
                <w:color w:val="auto"/>
              </w:rPr>
            </w:pPr>
          </w:p>
        </w:tc>
        <w:tc>
          <w:tcPr>
            <w:tcW w:w="2560" w:type="dxa"/>
            <w:vAlign w:val="bottom"/>
            <w:gridSpan w:val="3"/>
            <w:vMerge w:val="restart"/>
            <w:shd w:val="clear" w:color="auto" w:fill="1D2758"/>
          </w:tcPr>
          <w:p>
            <w:pPr>
              <w:ind w:left="240"/>
              <w:spacing w:after="0"/>
              <w:rPr>
                <w:sz w:val="20"/>
                <w:szCs w:val="20"/>
                <w:color w:val="auto"/>
              </w:rPr>
            </w:pPr>
            <w:r>
              <w:rPr>
                <w:rFonts w:ascii="Arial" w:cs="Arial" w:eastAsia="Arial" w:hAnsi="Arial"/>
                <w:sz w:val="15"/>
                <w:szCs w:val="15"/>
                <w:b w:val="1"/>
                <w:bCs w:val="1"/>
                <w:color w:val="FFFFFF"/>
              </w:rPr>
              <w:t>March 31, 2022 (unaudited)</w:t>
            </w:r>
          </w:p>
        </w:tc>
        <w:tc>
          <w:tcPr>
            <w:tcW w:w="340" w:type="dxa"/>
            <w:vAlign w:val="bottom"/>
            <w:shd w:val="clear" w:color="auto" w:fill="1D2758"/>
          </w:tcPr>
          <w:p>
            <w:pPr>
              <w:spacing w:after="0"/>
              <w:rPr>
                <w:sz w:val="24"/>
                <w:szCs w:val="24"/>
                <w:color w:val="auto"/>
              </w:rPr>
            </w:pPr>
          </w:p>
        </w:tc>
        <w:tc>
          <w:tcPr>
            <w:tcW w:w="21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109"/>
        </w:trPr>
        <w:tc>
          <w:tcPr>
            <w:tcW w:w="3480" w:type="dxa"/>
            <w:vAlign w:val="bottom"/>
            <w:vMerge w:val="continue"/>
            <w:shd w:val="clear" w:color="auto" w:fill="1D2758"/>
          </w:tcPr>
          <w:p>
            <w:pPr>
              <w:spacing w:after="0"/>
              <w:rPr>
                <w:sz w:val="9"/>
                <w:szCs w:val="9"/>
                <w:color w:val="auto"/>
              </w:rPr>
            </w:pPr>
          </w:p>
        </w:tc>
        <w:tc>
          <w:tcPr>
            <w:tcW w:w="2720" w:type="dxa"/>
            <w:vAlign w:val="bottom"/>
            <w:shd w:val="clear" w:color="auto" w:fill="1D2758"/>
          </w:tcPr>
          <w:p>
            <w:pPr>
              <w:spacing w:after="0"/>
              <w:rPr>
                <w:sz w:val="9"/>
                <w:szCs w:val="9"/>
                <w:color w:val="auto"/>
              </w:rPr>
            </w:pPr>
          </w:p>
        </w:tc>
        <w:tc>
          <w:tcPr>
            <w:tcW w:w="2560" w:type="dxa"/>
            <w:vAlign w:val="bottom"/>
            <w:gridSpan w:val="3"/>
            <w:vMerge w:val="continue"/>
            <w:shd w:val="clear" w:color="auto" w:fill="1D2758"/>
          </w:tcPr>
          <w:p>
            <w:pPr>
              <w:spacing w:after="0"/>
              <w:rPr>
                <w:sz w:val="9"/>
                <w:szCs w:val="9"/>
                <w:color w:val="auto"/>
              </w:rPr>
            </w:pPr>
          </w:p>
        </w:tc>
        <w:tc>
          <w:tcPr>
            <w:tcW w:w="340" w:type="dxa"/>
            <w:vAlign w:val="bottom"/>
            <w:shd w:val="clear" w:color="auto" w:fill="1D2758"/>
          </w:tcPr>
          <w:p>
            <w:pPr>
              <w:spacing w:after="0"/>
              <w:rPr>
                <w:sz w:val="9"/>
                <w:szCs w:val="9"/>
                <w:color w:val="auto"/>
              </w:rPr>
            </w:pPr>
          </w:p>
        </w:tc>
        <w:tc>
          <w:tcPr>
            <w:tcW w:w="214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272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720" w:type="dxa"/>
            <w:vAlign w:val="bottom"/>
          </w:tcPr>
          <w:p>
            <w:pPr>
              <w:spacing w:after="0"/>
              <w:rPr>
                <w:sz w:val="17"/>
                <w:szCs w:val="17"/>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11,321</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172"/>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Trade receivables, net of allowances for credit losses at March 31, 2022 and</w:t>
            </w:r>
          </w:p>
        </w:tc>
        <w:tc>
          <w:tcPr>
            <w:tcW w:w="158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1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December 31, 2021 of $49,258 and $47,629, respectively</w:t>
            </w:r>
          </w:p>
        </w:tc>
        <w:tc>
          <w:tcPr>
            <w:tcW w:w="1580" w:type="dxa"/>
            <w:vAlign w:val="bottom"/>
            <w:shd w:val="clear" w:color="auto" w:fill="DDDDDD"/>
          </w:tcPr>
          <w:p>
            <w:pPr>
              <w:spacing w:after="0"/>
              <w:rPr>
                <w:sz w:val="16"/>
                <w:szCs w:val="16"/>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403,153</w:t>
            </w:r>
          </w:p>
        </w:tc>
        <w:tc>
          <w:tcPr>
            <w:tcW w:w="8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399,887</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39,885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32,739</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40,283</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36,761</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272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495,596</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483,040</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3,164,084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3,080,981</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315,402</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312,178</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241,132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247,064</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1,177,288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1,178,806</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453,785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460,678</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2720" w:type="dxa"/>
            <w:vAlign w:val="bottom"/>
            <w:shd w:val="clear" w:color="auto" w:fill="DDDDDD"/>
          </w:tcPr>
          <w:p>
            <w:pPr>
              <w:spacing w:after="0"/>
              <w:rPr>
                <w:sz w:val="18"/>
                <w:szCs w:val="18"/>
                <w:color w:val="auto"/>
              </w:rPr>
            </w:pPr>
          </w:p>
        </w:tc>
        <w:tc>
          <w:tcPr>
            <w:tcW w:w="158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10,852</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Total long-term assets</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5,362,177</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5,290,559</w:t>
            </w:r>
          </w:p>
        </w:tc>
        <w:tc>
          <w:tcPr>
            <w:tcW w:w="0" w:type="dxa"/>
            <w:vAlign w:val="bottom"/>
          </w:tcPr>
          <w:p>
            <w:pPr>
              <w:spacing w:after="0"/>
              <w:rPr>
                <w:sz w:val="1"/>
                <w:szCs w:val="1"/>
                <w:color w:val="auto"/>
              </w:rPr>
            </w:pPr>
          </w:p>
        </w:tc>
      </w:tr>
      <w:tr>
        <w:trPr>
          <w:trHeight w:val="224"/>
        </w:trPr>
        <w:tc>
          <w:tcPr>
            <w:tcW w:w="34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assets</w:t>
            </w:r>
          </w:p>
        </w:tc>
        <w:tc>
          <w:tcPr>
            <w:tcW w:w="2720" w:type="dxa"/>
            <w:vAlign w:val="bottom"/>
            <w:tcBorders>
              <w:bottom w:val="single" w:sz="8" w:color="DDDDDD"/>
            </w:tcBorders>
            <w:shd w:val="clear" w:color="auto" w:fill="DDDDDD"/>
          </w:tcPr>
          <w:p>
            <w:pPr>
              <w:spacing w:after="0"/>
              <w:rPr>
                <w:sz w:val="19"/>
                <w:szCs w:val="19"/>
                <w:color w:val="auto"/>
              </w:rPr>
            </w:pPr>
          </w:p>
        </w:tc>
        <w:tc>
          <w:tcPr>
            <w:tcW w:w="1580" w:type="dxa"/>
            <w:vAlign w:val="bottom"/>
            <w:tcBorders>
              <w:bottom w:val="single" w:sz="8" w:color="auto"/>
            </w:tcBorders>
            <w:shd w:val="clear" w:color="auto" w:fill="DDDDDD"/>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5,857,773</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348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2720" w:type="dxa"/>
            <w:vAlign w:val="bottom"/>
            <w:tcBorders>
              <w:top w:val="single" w:sz="8" w:color="DDDDDD"/>
            </w:tcBorders>
          </w:tcPr>
          <w:p>
            <w:pPr>
              <w:spacing w:after="0" w:line="20" w:lineRule="exact"/>
              <w:rPr>
                <w:sz w:val="1"/>
                <w:szCs w:val="1"/>
                <w:color w:val="auto"/>
              </w:rPr>
            </w:pPr>
          </w:p>
        </w:tc>
        <w:tc>
          <w:tcPr>
            <w:tcW w:w="1580" w:type="dxa"/>
            <w:vAlign w:val="bottom"/>
            <w:tcBorders>
              <w:top w:val="single" w:sz="8" w:color="DDDDDD"/>
              <w:bottom w:val="single" w:sz="8" w:color="auto"/>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1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80" w:type="dxa"/>
            <w:vAlign w:val="bottom"/>
            <w:vMerge w:val="continue"/>
          </w:tcPr>
          <w:p>
            <w:pPr>
              <w:spacing w:after="0"/>
              <w:rPr>
                <w:sz w:val="13"/>
                <w:szCs w:val="13"/>
                <w:color w:val="auto"/>
              </w:rPr>
            </w:pPr>
          </w:p>
        </w:tc>
        <w:tc>
          <w:tcPr>
            <w:tcW w:w="2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Accounts payable</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135,355</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118,271</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102,938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100,195</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employee benefits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44,634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68,414</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172,907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159,639</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Operating lease liabilities - current</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53,646</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53,005</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Current portion of long-term debt</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19,792</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18,121</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272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529,272</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517,645</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2,790,842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2,694,319</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367,480</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354,879</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187,930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194,256</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2720" w:type="dxa"/>
            <w:vAlign w:val="bottom"/>
            <w:shd w:val="clear" w:color="auto" w:fill="DDDDDD"/>
          </w:tcPr>
          <w:p>
            <w:pPr>
              <w:spacing w:after="0"/>
              <w:rPr>
                <w:sz w:val="18"/>
                <w:szCs w:val="18"/>
                <w:color w:val="auto"/>
              </w:rPr>
            </w:pPr>
          </w:p>
        </w:tc>
        <w:tc>
          <w:tcPr>
            <w:tcW w:w="158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16,064</w:t>
            </w:r>
          </w:p>
        </w:tc>
        <w:tc>
          <w:tcPr>
            <w:tcW w:w="8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15,737</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Long-term liabilities</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3,362,316</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3,259,191</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w:t>
            </w:r>
          </w:p>
        </w:tc>
        <w:tc>
          <w:tcPr>
            <w:tcW w:w="2720" w:type="dxa"/>
            <w:vAlign w:val="bottom"/>
            <w:shd w:val="clear" w:color="auto" w:fill="DDDDDD"/>
          </w:tcPr>
          <w:p>
            <w:pPr>
              <w:spacing w:after="0"/>
              <w:rPr>
                <w:sz w:val="17"/>
                <w:szCs w:val="17"/>
                <w:color w:val="auto"/>
              </w:rPr>
            </w:pPr>
          </w:p>
        </w:tc>
        <w:tc>
          <w:tcPr>
            <w:tcW w:w="158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3,891,588</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3,776,836</w:t>
            </w: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Arial" w:cs="Arial" w:eastAsia="Arial" w:hAnsi="Arial"/>
                <w:sz w:val="15"/>
                <w:szCs w:val="15"/>
                <w:color w:val="auto"/>
              </w:rPr>
              <w:t>Commitments and contingencies (see Note 16)</w:t>
            </w:r>
          </w:p>
        </w:tc>
        <w:tc>
          <w:tcPr>
            <w:tcW w:w="2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Preferred Stock: $0.0001 par, 1,000,000 shares authorized and zero shares issued</w:t>
            </w:r>
          </w:p>
        </w:tc>
        <w:tc>
          <w:tcPr>
            <w:tcW w:w="158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1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and outstanding at March 31, 2022 and December 31, 2021</w:t>
            </w:r>
          </w:p>
        </w:tc>
        <w:tc>
          <w:tcPr>
            <w:tcW w:w="1580" w:type="dxa"/>
            <w:vAlign w:val="bottom"/>
            <w:shd w:val="clear" w:color="auto" w:fill="DDDDDD"/>
          </w:tcPr>
          <w:p>
            <w:pPr>
              <w:spacing w:after="0"/>
              <w:rPr>
                <w:sz w:val="16"/>
                <w:szCs w:val="16"/>
                <w:color w:val="auto"/>
              </w:rPr>
            </w:pPr>
          </w:p>
        </w:tc>
        <w:tc>
          <w:tcPr>
            <w:tcW w:w="980" w:type="dxa"/>
            <w:vAlign w:val="bottom"/>
            <w:gridSpan w:val="2"/>
            <w:shd w:val="clear" w:color="auto" w:fill="DDDDDD"/>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DDDDDD"/>
          </w:tcPr>
          <w:p>
            <w:pPr>
              <w:spacing w:after="0"/>
              <w:rPr>
                <w:sz w:val="16"/>
                <w:szCs w:val="16"/>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200" w:type="dxa"/>
            <w:vAlign w:val="bottom"/>
            <w:gridSpan w:val="2"/>
          </w:tcPr>
          <w:p>
            <w:pPr>
              <w:ind w:left="220"/>
              <w:spacing w:after="0" w:line="169" w:lineRule="exact"/>
              <w:rPr>
                <w:sz w:val="20"/>
                <w:szCs w:val="20"/>
                <w:color w:val="auto"/>
              </w:rPr>
            </w:pPr>
            <w:r>
              <w:rPr>
                <w:rFonts w:ascii="Arial" w:cs="Arial" w:eastAsia="Arial" w:hAnsi="Arial"/>
                <w:sz w:val="15"/>
                <w:szCs w:val="15"/>
                <w:color w:val="auto"/>
              </w:rPr>
              <w:t>Common Stock: $0.0001 par, 500,000,000 shares authorized and 223,174,389 and</w:t>
            </w: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223,939,527 shares issued and outstanding at March 31, 2022 and December 31,</w:t>
            </w: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20"/>
              <w:spacing w:after="0"/>
              <w:rPr>
                <w:sz w:val="20"/>
                <w:szCs w:val="20"/>
                <w:color w:val="auto"/>
              </w:rPr>
            </w:pPr>
            <w:r>
              <w:rPr>
                <w:rFonts w:ascii="Arial" w:cs="Arial" w:eastAsia="Arial" w:hAnsi="Arial"/>
                <w:sz w:val="15"/>
                <w:szCs w:val="15"/>
                <w:color w:val="auto"/>
              </w:rPr>
              <w:t>2021, respectively</w:t>
            </w:r>
          </w:p>
        </w:tc>
        <w:tc>
          <w:tcPr>
            <w:tcW w:w="2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Additional paid-in-capital</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3,536,906</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3,616,902</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(30,824)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deficit</w:t>
            </w:r>
          </w:p>
        </w:tc>
        <w:tc>
          <w:tcPr>
            <w:tcW w:w="2720" w:type="dxa"/>
            <w:vAlign w:val="bottom"/>
            <w:shd w:val="clear" w:color="auto" w:fill="DDDDDD"/>
          </w:tcPr>
          <w:p>
            <w:pPr>
              <w:spacing w:after="0"/>
              <w:rPr>
                <w:sz w:val="18"/>
                <w:szCs w:val="18"/>
                <w:color w:val="auto"/>
              </w:rPr>
            </w:pPr>
          </w:p>
        </w:tc>
        <w:tc>
          <w:tcPr>
            <w:tcW w:w="158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(1,539,919)</w:t>
            </w:r>
          </w:p>
        </w:tc>
        <w:tc>
          <w:tcPr>
            <w:tcW w:w="8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(1,591,090)</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shareholders' equity</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1,966,185</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24"/>
        </w:trPr>
        <w:tc>
          <w:tcPr>
            <w:tcW w:w="34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2720" w:type="dxa"/>
            <w:vAlign w:val="bottom"/>
            <w:tcBorders>
              <w:bottom w:val="single" w:sz="8" w:color="DDDDDD"/>
            </w:tcBorders>
            <w:shd w:val="clear" w:color="auto" w:fill="DDDDDD"/>
          </w:tcPr>
          <w:p>
            <w:pPr>
              <w:spacing w:after="0"/>
              <w:rPr>
                <w:sz w:val="19"/>
                <w:szCs w:val="19"/>
                <w:color w:val="auto"/>
              </w:rPr>
            </w:pPr>
          </w:p>
        </w:tc>
        <w:tc>
          <w:tcPr>
            <w:tcW w:w="1580" w:type="dxa"/>
            <w:vAlign w:val="bottom"/>
            <w:tcBorders>
              <w:bottom w:val="single" w:sz="8" w:color="auto"/>
            </w:tcBorders>
            <w:shd w:val="clear" w:color="auto" w:fill="DDDDDD"/>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5,857,773</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3480" w:type="dxa"/>
            <w:vAlign w:val="bottom"/>
            <w:tcBorders>
              <w:top w:val="single" w:sz="8" w:color="DDDDDD"/>
            </w:tcBorders>
          </w:tcPr>
          <w:p>
            <w:pPr>
              <w:spacing w:after="0" w:line="20" w:lineRule="exact"/>
              <w:rPr>
                <w:sz w:val="1"/>
                <w:szCs w:val="1"/>
                <w:color w:val="auto"/>
              </w:rPr>
            </w:pPr>
          </w:p>
        </w:tc>
        <w:tc>
          <w:tcPr>
            <w:tcW w:w="2720" w:type="dxa"/>
            <w:vAlign w:val="bottom"/>
            <w:tcBorders>
              <w:top w:val="single" w:sz="8" w:color="DDDDDD"/>
            </w:tcBorders>
          </w:tcPr>
          <w:p>
            <w:pPr>
              <w:spacing w:after="0" w:line="20" w:lineRule="exact"/>
              <w:rPr>
                <w:sz w:val="1"/>
                <w:szCs w:val="1"/>
                <w:color w:val="auto"/>
              </w:rPr>
            </w:pPr>
          </w:p>
        </w:tc>
        <w:tc>
          <w:tcPr>
            <w:tcW w:w="1580" w:type="dxa"/>
            <w:vAlign w:val="bottom"/>
            <w:tcBorders>
              <w:top w:val="single" w:sz="8" w:color="DDDDDD"/>
              <w:bottom w:val="single" w:sz="8" w:color="auto"/>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1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20" w:type="dxa"/>
            <w:vAlign w:val="bottom"/>
            <w:shd w:val="clear" w:color="auto" w:fill="1D2758"/>
          </w:tcPr>
          <w:p>
            <w:pPr>
              <w:spacing w:after="0"/>
              <w:rPr>
                <w:sz w:val="17"/>
                <w:szCs w:val="17"/>
                <w:color w:val="auto"/>
              </w:rPr>
            </w:pPr>
          </w:p>
        </w:tc>
        <w:tc>
          <w:tcPr>
            <w:tcW w:w="4040" w:type="dxa"/>
            <w:vAlign w:val="bottom"/>
            <w:gridSpan w:val="4"/>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Three Months Ended March 31,</w:t>
            </w:r>
          </w:p>
        </w:tc>
        <w:tc>
          <w:tcPr>
            <w:tcW w:w="9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14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4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9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6220" w:type="dxa"/>
            <w:vAlign w:val="bottom"/>
            <w:shd w:val="clear" w:color="auto" w:fill="1D2758"/>
          </w:tcPr>
          <w:p>
            <w:pPr>
              <w:spacing w:after="0"/>
              <w:rPr>
                <w:sz w:val="8"/>
                <w:szCs w:val="8"/>
                <w:color w:val="auto"/>
              </w:rPr>
            </w:pPr>
          </w:p>
        </w:tc>
        <w:tc>
          <w:tcPr>
            <w:tcW w:w="1480" w:type="dxa"/>
            <w:vAlign w:val="bottom"/>
            <w:vMerge w:val="continue"/>
            <w:shd w:val="clear" w:color="auto" w:fill="1D2758"/>
          </w:tcPr>
          <w:p>
            <w:pPr>
              <w:spacing w:after="0"/>
              <w:rPr>
                <w:sz w:val="8"/>
                <w:szCs w:val="8"/>
                <w:color w:val="auto"/>
              </w:rPr>
            </w:pPr>
          </w:p>
        </w:tc>
        <w:tc>
          <w:tcPr>
            <w:tcW w:w="100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460" w:type="dxa"/>
            <w:vAlign w:val="bottom"/>
            <w:vMerge w:val="continue"/>
            <w:shd w:val="clear" w:color="auto" w:fill="1D2758"/>
          </w:tcPr>
          <w:p>
            <w:pPr>
              <w:spacing w:after="0"/>
              <w:rPr>
                <w:sz w:val="8"/>
                <w:szCs w:val="8"/>
                <w:color w:val="auto"/>
              </w:rPr>
            </w:pPr>
          </w:p>
        </w:tc>
        <w:tc>
          <w:tcPr>
            <w:tcW w:w="98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4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480" w:type="dxa"/>
            <w:vAlign w:val="bottom"/>
            <w:shd w:val="clear" w:color="auto" w:fill="DBDBDB"/>
          </w:tcPr>
          <w:p>
            <w:pPr>
              <w:jc w:val="right"/>
              <w:ind w:right="128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393,192</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jc w:val="right"/>
              <w:ind w:right="12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315,662</w:t>
            </w:r>
          </w:p>
        </w:tc>
        <w:tc>
          <w:tcPr>
            <w:tcW w:w="0" w:type="dxa"/>
            <w:vAlign w:val="bottom"/>
          </w:tcPr>
          <w:p>
            <w:pPr>
              <w:spacing w:after="0"/>
              <w:rPr>
                <w:sz w:val="1"/>
                <w:szCs w:val="1"/>
                <w:color w:val="auto"/>
              </w:rPr>
            </w:pPr>
          </w:p>
        </w:tc>
      </w:tr>
      <w:tr>
        <w:trPr>
          <w:trHeight w:val="203"/>
        </w:trPr>
        <w:tc>
          <w:tcPr>
            <w:tcW w:w="622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100,331</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83,504</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6,597</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10,955</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4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8,774</w:t>
            </w:r>
          </w:p>
        </w:tc>
        <w:tc>
          <w:tcPr>
            <w:tcW w:w="100" w:type="dxa"/>
            <w:vAlign w:val="bottom"/>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15,202</w:t>
            </w:r>
          </w:p>
        </w:tc>
        <w:tc>
          <w:tcPr>
            <w:tcW w:w="0" w:type="dxa"/>
            <w:vAlign w:val="bottom"/>
          </w:tcPr>
          <w:p>
            <w:pPr>
              <w:spacing w:after="0"/>
              <w:rPr>
                <w:sz w:val="1"/>
                <w:szCs w:val="1"/>
                <w:color w:val="auto"/>
              </w:rPr>
            </w:pPr>
          </w:p>
        </w:tc>
      </w:tr>
      <w:tr>
        <w:trPr>
          <w:trHeight w:val="196"/>
        </w:trPr>
        <w:tc>
          <w:tcPr>
            <w:tcW w:w="622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508,894</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425,323</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88,878</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69,895</w:t>
            </w:r>
          </w:p>
        </w:tc>
        <w:tc>
          <w:tcPr>
            <w:tcW w:w="0" w:type="dxa"/>
            <w:vAlign w:val="bottom"/>
          </w:tcPr>
          <w:p>
            <w:pPr>
              <w:spacing w:after="0"/>
              <w:rPr>
                <w:sz w:val="1"/>
                <w:szCs w:val="1"/>
                <w:color w:val="auto"/>
              </w:rPr>
            </w:pPr>
          </w:p>
        </w:tc>
      </w:tr>
      <w:tr>
        <w:trPr>
          <w:trHeight w:val="203"/>
        </w:trPr>
        <w:tc>
          <w:tcPr>
            <w:tcW w:w="622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81,515</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70,136</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4,326</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7,109</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5,144</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9,105</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62,216</w:t>
            </w:r>
          </w:p>
        </w:tc>
        <w:tc>
          <w:tcPr>
            <w:tcW w:w="100" w:type="dxa"/>
            <w:vAlign w:val="bottom"/>
            <w:tcBorders>
              <w:bottom w:val="single" w:sz="8" w:color="DBDBDB"/>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55,698</w:t>
            </w:r>
          </w:p>
        </w:tc>
        <w:tc>
          <w:tcPr>
            <w:tcW w:w="0" w:type="dxa"/>
            <w:vAlign w:val="bottom"/>
          </w:tcPr>
          <w:p>
            <w:pPr>
              <w:spacing w:after="0"/>
              <w:rPr>
                <w:sz w:val="1"/>
                <w:szCs w:val="1"/>
                <w:color w:val="auto"/>
              </w:rPr>
            </w:pPr>
          </w:p>
        </w:tc>
      </w:tr>
      <w:tr>
        <w:trPr>
          <w:trHeight w:val="202"/>
        </w:trPr>
        <w:tc>
          <w:tcPr>
            <w:tcW w:w="62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4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266,815</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213,380</w:t>
            </w: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Expenses: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150,210</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117,329</w:t>
            </w: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19,604</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18,324</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1,253</w:t>
            </w: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4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3,142</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1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w:t>
            </w:r>
          </w:p>
        </w:tc>
        <w:tc>
          <w:tcPr>
            <w:tcW w:w="100" w:type="dxa"/>
            <w:vAlign w:val="bottom"/>
            <w:tcBorders>
              <w:bottom w:val="single" w:sz="8" w:color="DBDBDB"/>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202"/>
        </w:trPr>
        <w:tc>
          <w:tcPr>
            <w:tcW w:w="62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4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97,909</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75,284</w:t>
            </w: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30,990</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29,964</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148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27,207</w:t>
            </w: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14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3,185</w:t>
            </w:r>
          </w:p>
        </w:tc>
        <w:tc>
          <w:tcPr>
            <w:tcW w:w="0" w:type="dxa"/>
            <w:vAlign w:val="bottom"/>
          </w:tcPr>
          <w:p>
            <w:pPr>
              <w:spacing w:after="0"/>
              <w:rPr>
                <w:sz w:val="1"/>
                <w:szCs w:val="1"/>
                <w:color w:val="auto"/>
              </w:rPr>
            </w:pPr>
          </w:p>
        </w:tc>
      </w:tr>
      <w:tr>
        <w:trPr>
          <w:trHeight w:val="202"/>
        </w:trPr>
        <w:tc>
          <w:tcPr>
            <w:tcW w:w="62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1480" w:type="dxa"/>
            <w:vAlign w:val="bottom"/>
            <w:tcBorders>
              <w:top w:val="single" w:sz="8" w:color="auto"/>
            </w:tcBorders>
            <w:shd w:val="clear" w:color="auto" w:fill="DBDBDB"/>
          </w:tcPr>
          <w:p>
            <w:pPr>
              <w:spacing w:after="0"/>
              <w:rPr>
                <w:sz w:val="17"/>
                <w:szCs w:val="17"/>
                <w:color w:val="auto"/>
              </w:rPr>
            </w:pP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66,919</w:t>
            </w:r>
          </w:p>
        </w:tc>
        <w:tc>
          <w:tcPr>
            <w:tcW w:w="100" w:type="dxa"/>
            <w:vAlign w:val="bottom"/>
            <w:tcBorders>
              <w:top w:val="single" w:sz="8" w:color="DBDBDB"/>
            </w:tcBorders>
            <w:shd w:val="clear" w:color="auto" w:fill="DBDBDB"/>
          </w:tcPr>
          <w:p>
            <w:pPr>
              <w:spacing w:after="0"/>
              <w:rPr>
                <w:sz w:val="17"/>
                <w:szCs w:val="17"/>
                <w:color w:val="auto"/>
              </w:rPr>
            </w:pPr>
          </w:p>
        </w:tc>
        <w:tc>
          <w:tcPr>
            <w:tcW w:w="1460" w:type="dxa"/>
            <w:vAlign w:val="bottom"/>
            <w:tcBorders>
              <w:top w:val="single" w:sz="8" w:color="auto"/>
            </w:tcBorders>
            <w:shd w:val="clear" w:color="auto" w:fill="DBDBDB"/>
          </w:tcPr>
          <w:p>
            <w:pPr>
              <w:spacing w:after="0"/>
              <w:rPr>
                <w:sz w:val="17"/>
                <w:szCs w:val="17"/>
                <w:color w:val="auto"/>
              </w:rPr>
            </w:pP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14,928</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1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15,748</w:t>
            </w:r>
          </w:p>
        </w:tc>
        <w:tc>
          <w:tcPr>
            <w:tcW w:w="100" w:type="dxa"/>
            <w:vAlign w:val="bottom"/>
            <w:tcBorders>
              <w:bottom w:val="single" w:sz="8" w:color="DBDBDB"/>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201"/>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480" w:type="dxa"/>
            <w:vAlign w:val="bottom"/>
            <w:tcBorders>
              <w:bottom w:val="single" w:sz="8" w:color="auto"/>
            </w:tcBorders>
            <w:shd w:val="clear" w:color="auto" w:fill="DBDBDB"/>
          </w:tcPr>
          <w:p>
            <w:pPr>
              <w:jc w:val="right"/>
              <w:ind w:right="128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51,171</w:t>
            </w:r>
          </w:p>
        </w:tc>
        <w:tc>
          <w:tcPr>
            <w:tcW w:w="100" w:type="dxa"/>
            <w:vAlign w:val="bottom"/>
            <w:tcBorders>
              <w:bottom w:val="single" w:sz="8" w:color="DBDBDB"/>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1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4,447</w:t>
            </w:r>
          </w:p>
        </w:tc>
        <w:tc>
          <w:tcPr>
            <w:tcW w:w="0" w:type="dxa"/>
            <w:vAlign w:val="bottom"/>
          </w:tcPr>
          <w:p>
            <w:pPr>
              <w:spacing w:after="0"/>
              <w:rPr>
                <w:sz w:val="1"/>
                <w:szCs w:val="1"/>
                <w:color w:val="auto"/>
              </w:rPr>
            </w:pP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w:t>
            </w:r>
          </w:p>
        </w:tc>
        <w:tc>
          <w:tcPr>
            <w:tcW w:w="14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Basic</w:t>
            </w:r>
          </w:p>
        </w:tc>
        <w:tc>
          <w:tcPr>
            <w:tcW w:w="1480" w:type="dxa"/>
            <w:vAlign w:val="bottom"/>
          </w:tcPr>
          <w:p>
            <w:pPr>
              <w:jc w:val="right"/>
              <w:ind w:right="128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0.23</w:t>
            </w:r>
          </w:p>
        </w:tc>
        <w:tc>
          <w:tcPr>
            <w:tcW w:w="100" w:type="dxa"/>
            <w:vAlign w:val="bottom"/>
          </w:tcPr>
          <w:p>
            <w:pPr>
              <w:spacing w:after="0"/>
              <w:rPr>
                <w:sz w:val="17"/>
                <w:szCs w:val="17"/>
                <w:color w:val="auto"/>
              </w:rPr>
            </w:pPr>
          </w:p>
        </w:tc>
        <w:tc>
          <w:tcPr>
            <w:tcW w:w="1460" w:type="dxa"/>
            <w:vAlign w:val="bottom"/>
          </w:tcPr>
          <w:p>
            <w:pPr>
              <w:jc w:val="right"/>
              <w:ind w:right="128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1480" w:type="dxa"/>
            <w:vAlign w:val="bottom"/>
            <w:shd w:val="clear" w:color="auto" w:fill="DBDBDB"/>
          </w:tcPr>
          <w:p>
            <w:pPr>
              <w:jc w:val="right"/>
              <w:ind w:right="128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0.22</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jc w:val="right"/>
              <w:ind w:right="12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1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223,490,912</w:t>
            </w:r>
          </w:p>
        </w:tc>
        <w:tc>
          <w:tcPr>
            <w:tcW w:w="1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228,293,197</w:t>
            </w:r>
          </w:p>
        </w:tc>
        <w:tc>
          <w:tcPr>
            <w:tcW w:w="0" w:type="dxa"/>
            <w:vAlign w:val="bottom"/>
          </w:tcPr>
          <w:p>
            <w:pPr>
              <w:spacing w:after="0"/>
              <w:rPr>
                <w:sz w:val="1"/>
                <w:szCs w:val="1"/>
                <w:color w:val="auto"/>
              </w:rPr>
            </w:pPr>
          </w:p>
        </w:tc>
      </w:tr>
      <w:tr>
        <w:trPr>
          <w:trHeight w:val="201"/>
        </w:trPr>
        <w:tc>
          <w:tcPr>
            <w:tcW w:w="6220" w:type="dxa"/>
            <w:vAlign w:val="bottom"/>
          </w:tcPr>
          <w:p>
            <w:pPr>
              <w:ind w:left="20"/>
              <w:spacing w:after="0"/>
              <w:rPr>
                <w:sz w:val="20"/>
                <w:szCs w:val="20"/>
                <w:color w:val="auto"/>
              </w:rPr>
            </w:pPr>
            <w:r>
              <w:rPr>
                <w:rFonts w:ascii="Arial" w:cs="Arial" w:eastAsia="Arial" w:hAnsi="Arial"/>
                <w:sz w:val="15"/>
                <w:szCs w:val="15"/>
                <w:color w:val="auto"/>
              </w:rPr>
              <w:t>Diluted</w:t>
            </w:r>
          </w:p>
        </w:tc>
        <w:tc>
          <w:tcPr>
            <w:tcW w:w="1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228,955,504</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234,720,295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4" w:name="page5"/>
    <w:bookmarkEnd w:id="4"/>
    <w:p>
      <w:pPr>
        <w:jc w:val="center"/>
        <w:spacing w:after="0" w:line="255" w:lineRule="auto"/>
        <w:rPr>
          <w:sz w:val="20"/>
          <w:szCs w:val="20"/>
          <w:color w:val="auto"/>
        </w:rPr>
      </w:pPr>
      <w:r>
        <w:rPr>
          <w:rFonts w:ascii="Arial" w:cs="Arial" w:eastAsia="Arial" w:hAnsi="Arial"/>
          <w:sz w:val="22"/>
          <w:szCs w:val="22"/>
          <w:color w:val="1D2758"/>
        </w:rPr>
        <w:t>WillScot Mobile Mini Holdings Corp. Condensed Consolidated Statements of Comprehensive Income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shd w:val="clear" w:color="auto" w:fill="1D2758"/>
          </w:tcPr>
          <w:p>
            <w:pPr>
              <w:spacing w:after="0"/>
              <w:rPr>
                <w:sz w:val="17"/>
                <w:szCs w:val="17"/>
                <w:color w:val="auto"/>
              </w:rPr>
            </w:pPr>
          </w:p>
        </w:tc>
        <w:tc>
          <w:tcPr>
            <w:tcW w:w="3760" w:type="dxa"/>
            <w:vAlign w:val="bottom"/>
            <w:gridSpan w:val="4"/>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Three Months Ended March 31,</w:t>
            </w:r>
          </w:p>
        </w:tc>
        <w:tc>
          <w:tcPr>
            <w:tcW w:w="7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48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2022</w:t>
            </w:r>
          </w:p>
        </w:tc>
        <w:tc>
          <w:tcPr>
            <w:tcW w:w="7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6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2021</w:t>
            </w:r>
          </w:p>
        </w:tc>
        <w:tc>
          <w:tcPr>
            <w:tcW w:w="7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74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74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60" w:type="dxa"/>
            <w:vAlign w:val="bottom"/>
            <w:vMerge w:val="continue"/>
            <w:shd w:val="clear" w:color="auto" w:fill="1D2758"/>
          </w:tcPr>
          <w:p>
            <w:pPr>
              <w:spacing w:after="0"/>
              <w:rPr>
                <w:sz w:val="14"/>
                <w:szCs w:val="14"/>
                <w:color w:val="auto"/>
              </w:rPr>
            </w:pPr>
          </w:p>
        </w:tc>
        <w:tc>
          <w:tcPr>
            <w:tcW w:w="7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480" w:type="dxa"/>
            <w:vAlign w:val="bottom"/>
            <w:shd w:val="clear" w:color="auto" w:fill="DBDBDB"/>
          </w:tcPr>
          <w:p>
            <w:pPr>
              <w:jc w:val="right"/>
              <w:ind w:right="130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51,171</w:t>
            </w:r>
          </w:p>
        </w:tc>
        <w:tc>
          <w:tcPr>
            <w:tcW w:w="8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128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4,447</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rPr>
                <w:sz w:val="20"/>
                <w:szCs w:val="20"/>
                <w:color w:val="auto"/>
              </w:rPr>
            </w:pPr>
            <w:r>
              <w:rPr>
                <w:rFonts w:ascii="Arial" w:cs="Arial" w:eastAsia="Arial" w:hAnsi="Arial"/>
                <w:sz w:val="15"/>
                <w:szCs w:val="15"/>
                <w:color w:val="auto"/>
              </w:rPr>
              <w:t>Other comprehensive (loss) income:</w:t>
            </w: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Foreign currency translation adjustment, net of income tax expense of $0 for both the three</w:t>
            </w:r>
          </w:p>
        </w:tc>
        <w:tc>
          <w:tcPr>
            <w:tcW w:w="14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months ended March 31, 2022 and 2021</w:t>
            </w:r>
          </w:p>
        </w:tc>
        <w:tc>
          <w:tcPr>
            <w:tcW w:w="148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(4,074)</w:t>
            </w:r>
          </w:p>
        </w:tc>
        <w:tc>
          <w:tcPr>
            <w:tcW w:w="8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5,034</w:t>
            </w:r>
          </w:p>
        </w:tc>
        <w:tc>
          <w:tcPr>
            <w:tcW w:w="0" w:type="dxa"/>
            <w:vAlign w:val="bottom"/>
          </w:tcPr>
          <w:p>
            <w:pPr>
              <w:spacing w:after="0"/>
              <w:rPr>
                <w:sz w:val="1"/>
                <w:szCs w:val="1"/>
                <w:color w:val="auto"/>
              </w:rPr>
            </w:pPr>
          </w:p>
        </w:tc>
      </w:tr>
      <w:tr>
        <w:trPr>
          <w:trHeight w:val="169"/>
        </w:trPr>
        <w:tc>
          <w:tcPr>
            <w:tcW w:w="6740" w:type="dxa"/>
            <w:vAlign w:val="bottom"/>
          </w:tcPr>
          <w:p>
            <w:pPr>
              <w:ind w:left="220"/>
              <w:spacing w:after="0" w:line="169" w:lineRule="exact"/>
              <w:rPr>
                <w:sz w:val="20"/>
                <w:szCs w:val="20"/>
                <w:color w:val="auto"/>
              </w:rPr>
            </w:pPr>
            <w:r>
              <w:rPr>
                <w:rFonts w:ascii="Arial" w:cs="Arial" w:eastAsia="Arial" w:hAnsi="Arial"/>
                <w:sz w:val="15"/>
                <w:szCs w:val="15"/>
                <w:color w:val="auto"/>
              </w:rPr>
              <w:t>Net gain on derivatives, net of income tax expense of $777 and $667 for the three months</w:t>
            </w: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ended March 31, 2022 and 2021, respectively</w:t>
            </w:r>
          </w:p>
        </w:tc>
        <w:tc>
          <w:tcPr>
            <w:tcW w:w="1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2,321</w:t>
            </w:r>
          </w:p>
        </w:tc>
        <w:tc>
          <w:tcPr>
            <w:tcW w:w="80" w:type="dxa"/>
            <w:vAlign w:val="bottom"/>
            <w:tcBorders>
              <w:bottom w:val="single" w:sz="8" w:color="DBDBDB"/>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2,177</w:t>
            </w:r>
          </w:p>
        </w:tc>
        <w:tc>
          <w:tcPr>
            <w:tcW w:w="0" w:type="dxa"/>
            <w:vAlign w:val="bottom"/>
          </w:tcPr>
          <w:p>
            <w:pPr>
              <w:spacing w:after="0"/>
              <w:rPr>
                <w:sz w:val="1"/>
                <w:szCs w:val="1"/>
                <w:color w:val="auto"/>
              </w:rPr>
            </w:pPr>
          </w:p>
        </w:tc>
      </w:tr>
      <w:tr>
        <w:trPr>
          <w:trHeight w:val="199"/>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(loss) income</w:t>
            </w:r>
          </w:p>
        </w:tc>
        <w:tc>
          <w:tcPr>
            <w:tcW w:w="148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80" w:type="dxa"/>
            <w:vAlign w:val="bottom"/>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0" w:type="dxa"/>
            <w:vAlign w:val="bottom"/>
          </w:tcPr>
          <w:p>
            <w:pPr>
              <w:spacing w:after="0"/>
              <w:rPr>
                <w:sz w:val="1"/>
                <w:szCs w:val="1"/>
                <w:color w:val="auto"/>
              </w:rPr>
            </w:pPr>
          </w:p>
        </w:tc>
      </w:tr>
      <w:tr>
        <w:trPr>
          <w:trHeight w:val="202"/>
        </w:trPr>
        <w:tc>
          <w:tcPr>
            <w:tcW w:w="674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1480" w:type="dxa"/>
            <w:vAlign w:val="bottom"/>
            <w:tcBorders>
              <w:bottom w:val="single" w:sz="8" w:color="auto"/>
            </w:tcBorders>
          </w:tcPr>
          <w:p>
            <w:pPr>
              <w:jc w:val="right"/>
              <w:ind w:right="130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49,418</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12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11,658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 w:name="page6"/>
    <w:bookmarkEnd w:id="5"/>
    <w:p>
      <w:pPr>
        <w:jc w:val="center"/>
        <w:ind w:left="340" w:right="2700"/>
        <w:spacing w:after="0" w:line="255" w:lineRule="auto"/>
        <w:rPr>
          <w:sz w:val="20"/>
          <w:szCs w:val="20"/>
          <w:color w:val="auto"/>
        </w:rPr>
      </w:pPr>
      <w:r>
        <w:rPr>
          <w:rFonts w:ascii="Arial" w:cs="Arial" w:eastAsia="Arial" w:hAnsi="Arial"/>
          <w:sz w:val="22"/>
          <w:szCs w:val="22"/>
          <w:color w:val="1D2758"/>
        </w:rPr>
        <w:t>WillScot Mobile Mini Holdings Corp. Condensed Consolidated Statements of Changes in Equity (Unaudited)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2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740" w:type="dxa"/>
            <w:vAlign w:val="bottom"/>
            <w:shd w:val="clear" w:color="auto" w:fill="1D2758"/>
          </w:tcPr>
          <w:p>
            <w:pPr>
              <w:spacing w:after="0"/>
              <w:rPr>
                <w:sz w:val="13"/>
                <w:szCs w:val="13"/>
                <w:color w:val="auto"/>
              </w:rPr>
            </w:pPr>
          </w:p>
        </w:tc>
        <w:tc>
          <w:tcPr>
            <w:tcW w:w="24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84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860" w:type="dxa"/>
            <w:vAlign w:val="bottom"/>
            <w:shd w:val="clear" w:color="auto" w:fill="1D2758"/>
          </w:tcPr>
          <w:p>
            <w:pPr>
              <w:jc w:val="center"/>
              <w:ind w:right="26"/>
              <w:spacing w:after="0"/>
              <w:rPr>
                <w:sz w:val="20"/>
                <w:szCs w:val="20"/>
                <w:color w:val="auto"/>
              </w:rPr>
            </w:pPr>
            <w:r>
              <w:rPr>
                <w:rFonts w:ascii="Arial" w:cs="Arial" w:eastAsia="Arial" w:hAnsi="Arial"/>
                <w:sz w:val="12"/>
                <w:szCs w:val="12"/>
                <w:b w:val="1"/>
                <w:bCs w:val="1"/>
                <w:color w:val="FFFFFF"/>
              </w:rPr>
              <w:t>Accumulated</w:t>
            </w:r>
          </w:p>
        </w:tc>
        <w:tc>
          <w:tcPr>
            <w:tcW w:w="100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shd w:val="clear" w:color="auto" w:fill="1D2758"/>
          </w:tcPr>
          <w:p>
            <w:pPr>
              <w:spacing w:after="0"/>
              <w:rPr>
                <w:sz w:val="12"/>
                <w:szCs w:val="12"/>
                <w:color w:val="auto"/>
              </w:rPr>
            </w:pPr>
          </w:p>
        </w:tc>
        <w:tc>
          <w:tcPr>
            <w:tcW w:w="1720" w:type="dxa"/>
            <w:vAlign w:val="bottom"/>
            <w:gridSpan w:val="2"/>
            <w:shd w:val="clear" w:color="auto" w:fill="1D2758"/>
          </w:tcPr>
          <w:p>
            <w:pPr>
              <w:jc w:val="right"/>
              <w:ind w:right="208"/>
              <w:spacing w:after="0"/>
              <w:rPr>
                <w:sz w:val="20"/>
                <w:szCs w:val="20"/>
                <w:color w:val="auto"/>
              </w:rPr>
            </w:pPr>
            <w:r>
              <w:rPr>
                <w:rFonts w:ascii="Arial" w:cs="Arial" w:eastAsia="Arial" w:hAnsi="Arial"/>
                <w:sz w:val="12"/>
                <w:szCs w:val="12"/>
                <w:b w:val="1"/>
                <w:bCs w:val="1"/>
                <w:color w:val="FFFFFF"/>
              </w:rPr>
              <w:t>Common Stock</w:t>
            </w:r>
          </w:p>
        </w:tc>
        <w:tc>
          <w:tcPr>
            <w:tcW w:w="24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84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860" w:type="dxa"/>
            <w:vAlign w:val="bottom"/>
            <w:shd w:val="clear" w:color="auto" w:fill="1D2758"/>
          </w:tcPr>
          <w:p>
            <w:pPr>
              <w:jc w:val="center"/>
              <w:ind w:right="26"/>
              <w:spacing w:after="0"/>
              <w:rPr>
                <w:sz w:val="20"/>
                <w:szCs w:val="20"/>
                <w:color w:val="auto"/>
              </w:rPr>
            </w:pPr>
            <w:r>
              <w:rPr>
                <w:rFonts w:ascii="Arial" w:cs="Arial" w:eastAsia="Arial" w:hAnsi="Arial"/>
                <w:sz w:val="12"/>
                <w:szCs w:val="12"/>
                <w:b w:val="1"/>
                <w:bCs w:val="1"/>
                <w:color w:val="FFFFFF"/>
                <w:w w:val="99"/>
              </w:rPr>
              <w:t>Other</w:t>
            </w:r>
          </w:p>
        </w:tc>
        <w:tc>
          <w:tcPr>
            <w:tcW w:w="100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820" w:type="dxa"/>
            <w:vAlign w:val="bottom"/>
            <w:shd w:val="clear" w:color="auto" w:fill="1D2758"/>
          </w:tcPr>
          <w:p>
            <w:pPr>
              <w:jc w:val="center"/>
              <w:ind w:right="66"/>
              <w:spacing w:after="0"/>
              <w:rPr>
                <w:sz w:val="20"/>
                <w:szCs w:val="20"/>
                <w:color w:val="auto"/>
              </w:rPr>
            </w:pPr>
            <w:r>
              <w:rPr>
                <w:rFonts w:ascii="Arial" w:cs="Arial" w:eastAsia="Arial" w:hAnsi="Arial"/>
                <w:sz w:val="12"/>
                <w:szCs w:val="12"/>
                <w:b w:val="1"/>
                <w:bCs w:val="1"/>
                <w:color w:val="FFFFFF"/>
                <w:w w:val="97"/>
              </w:rPr>
              <w:t>Total</w:t>
            </w:r>
          </w:p>
        </w:tc>
        <w:tc>
          <w:tcPr>
            <w:tcW w:w="0" w:type="dxa"/>
            <w:vAlign w:val="bottom"/>
          </w:tcPr>
          <w:p>
            <w:pPr>
              <w:spacing w:after="0"/>
              <w:rPr>
                <w:sz w:val="1"/>
                <w:szCs w:val="1"/>
                <w:color w:val="auto"/>
              </w:rPr>
            </w:pPr>
          </w:p>
        </w:tc>
      </w:tr>
      <w:tr>
        <w:trPr>
          <w:trHeight w:val="90"/>
        </w:trPr>
        <w:tc>
          <w:tcPr>
            <w:tcW w:w="532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980" w:type="dxa"/>
            <w:vAlign w:val="bottom"/>
            <w:vMerge w:val="restart"/>
            <w:shd w:val="clear" w:color="auto" w:fill="1D2758"/>
          </w:tcPr>
          <w:p>
            <w:pPr>
              <w:jc w:val="right"/>
              <w:ind w:right="226"/>
              <w:spacing w:after="0"/>
              <w:rPr>
                <w:sz w:val="20"/>
                <w:szCs w:val="20"/>
                <w:color w:val="auto"/>
              </w:rPr>
            </w:pPr>
            <w:r>
              <w:rPr>
                <w:rFonts w:ascii="Arial" w:cs="Arial" w:eastAsia="Arial" w:hAnsi="Arial"/>
                <w:sz w:val="12"/>
                <w:szCs w:val="12"/>
                <w:b w:val="1"/>
                <w:bCs w:val="1"/>
                <w:color w:val="FFFFFF"/>
              </w:rPr>
              <w:t>Shares</w:t>
            </w:r>
          </w:p>
        </w:tc>
        <w:tc>
          <w:tcPr>
            <w:tcW w:w="74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Amount</w:t>
            </w:r>
          </w:p>
        </w:tc>
        <w:tc>
          <w:tcPr>
            <w:tcW w:w="240" w:type="dxa"/>
            <w:vAlign w:val="bottom"/>
            <w:shd w:val="clear" w:color="auto" w:fill="1D2758"/>
          </w:tcPr>
          <w:p>
            <w:pPr>
              <w:spacing w:after="0"/>
              <w:rPr>
                <w:sz w:val="7"/>
                <w:szCs w:val="7"/>
                <w:color w:val="auto"/>
              </w:rPr>
            </w:pPr>
          </w:p>
        </w:tc>
        <w:tc>
          <w:tcPr>
            <w:tcW w:w="1000" w:type="dxa"/>
            <w:vAlign w:val="bottom"/>
            <w:gridSpan w:val="2"/>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Additional Paid-</w:t>
            </w:r>
          </w:p>
        </w:tc>
        <w:tc>
          <w:tcPr>
            <w:tcW w:w="980" w:type="dxa"/>
            <w:vAlign w:val="bottom"/>
            <w:gridSpan w:val="2"/>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Comprehensive</w:t>
            </w:r>
          </w:p>
        </w:tc>
        <w:tc>
          <w:tcPr>
            <w:tcW w:w="1000" w:type="dxa"/>
            <w:vAlign w:val="bottom"/>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Accumulated</w:t>
            </w:r>
          </w:p>
        </w:tc>
        <w:tc>
          <w:tcPr>
            <w:tcW w:w="980" w:type="dxa"/>
            <w:vAlign w:val="bottom"/>
            <w:gridSpan w:val="2"/>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Shareholders'</w:t>
            </w:r>
          </w:p>
        </w:tc>
        <w:tc>
          <w:tcPr>
            <w:tcW w:w="0" w:type="dxa"/>
            <w:vAlign w:val="bottom"/>
          </w:tcPr>
          <w:p>
            <w:pPr>
              <w:spacing w:after="0"/>
              <w:rPr>
                <w:sz w:val="1"/>
                <w:szCs w:val="1"/>
                <w:color w:val="auto"/>
              </w:rPr>
            </w:pPr>
          </w:p>
        </w:tc>
      </w:tr>
      <w:tr>
        <w:trPr>
          <w:trHeight w:val="168"/>
        </w:trPr>
        <w:tc>
          <w:tcPr>
            <w:tcW w:w="5320" w:type="dxa"/>
            <w:vAlign w:val="bottom"/>
            <w:vMerge w:val="continue"/>
            <w:shd w:val="clear" w:color="auto" w:fill="1D2758"/>
          </w:tcPr>
          <w:p>
            <w:pPr>
              <w:spacing w:after="0"/>
              <w:rPr>
                <w:sz w:val="14"/>
                <w:szCs w:val="14"/>
                <w:color w:val="auto"/>
              </w:rPr>
            </w:pPr>
          </w:p>
        </w:tc>
        <w:tc>
          <w:tcPr>
            <w:tcW w:w="980" w:type="dxa"/>
            <w:vAlign w:val="bottom"/>
            <w:vMerge w:val="continue"/>
            <w:shd w:val="clear" w:color="auto" w:fill="1D2758"/>
          </w:tcPr>
          <w:p>
            <w:pPr>
              <w:spacing w:after="0"/>
              <w:rPr>
                <w:sz w:val="14"/>
                <w:szCs w:val="14"/>
                <w:color w:val="auto"/>
              </w:rPr>
            </w:pPr>
          </w:p>
        </w:tc>
        <w:tc>
          <w:tcPr>
            <w:tcW w:w="740" w:type="dxa"/>
            <w:vAlign w:val="bottom"/>
            <w:vMerge w:val="continue"/>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840" w:type="dxa"/>
            <w:vAlign w:val="bottom"/>
            <w:shd w:val="clear" w:color="auto" w:fill="1D2758"/>
          </w:tcPr>
          <w:p>
            <w:pPr>
              <w:jc w:val="center"/>
              <w:ind w:right="85"/>
              <w:spacing w:after="0"/>
              <w:rPr>
                <w:sz w:val="20"/>
                <w:szCs w:val="20"/>
                <w:color w:val="auto"/>
              </w:rPr>
            </w:pPr>
            <w:r>
              <w:rPr>
                <w:rFonts w:ascii="Arial" w:cs="Arial" w:eastAsia="Arial" w:hAnsi="Arial"/>
                <w:sz w:val="12"/>
                <w:szCs w:val="12"/>
                <w:b w:val="1"/>
                <w:bCs w:val="1"/>
                <w:color w:val="FFFFFF"/>
              </w:rPr>
              <w:t>in-Capital</w:t>
            </w:r>
          </w:p>
        </w:tc>
        <w:tc>
          <w:tcPr>
            <w:tcW w:w="980" w:type="dxa"/>
            <w:vAlign w:val="bottom"/>
            <w:gridSpan w:val="2"/>
            <w:shd w:val="clear" w:color="auto" w:fill="1D2758"/>
          </w:tcPr>
          <w:p>
            <w:pPr>
              <w:jc w:val="center"/>
              <w:spacing w:after="0"/>
              <w:rPr>
                <w:sz w:val="20"/>
                <w:szCs w:val="20"/>
                <w:color w:val="auto"/>
              </w:rPr>
            </w:pPr>
            <w:r>
              <w:rPr>
                <w:rFonts w:ascii="Arial" w:cs="Arial" w:eastAsia="Arial" w:hAnsi="Arial"/>
                <w:sz w:val="12"/>
                <w:szCs w:val="12"/>
                <w:b w:val="1"/>
                <w:bCs w:val="1"/>
                <w:color w:val="FFFFFF"/>
              </w:rPr>
              <w:t>Income (Loss)</w:t>
            </w:r>
          </w:p>
        </w:tc>
        <w:tc>
          <w:tcPr>
            <w:tcW w:w="100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rPr>
              <w:t>Deficit</w:t>
            </w:r>
          </w:p>
        </w:tc>
        <w:tc>
          <w:tcPr>
            <w:tcW w:w="160" w:type="dxa"/>
            <w:vAlign w:val="bottom"/>
            <w:shd w:val="clear" w:color="auto" w:fill="1D2758"/>
          </w:tcPr>
          <w:p>
            <w:pPr>
              <w:spacing w:after="0"/>
              <w:rPr>
                <w:sz w:val="14"/>
                <w:szCs w:val="14"/>
                <w:color w:val="auto"/>
              </w:rPr>
            </w:pPr>
          </w:p>
        </w:tc>
        <w:tc>
          <w:tcPr>
            <w:tcW w:w="820" w:type="dxa"/>
            <w:vAlign w:val="bottom"/>
            <w:shd w:val="clear" w:color="auto" w:fill="1D2758"/>
          </w:tcPr>
          <w:p>
            <w:pPr>
              <w:jc w:val="center"/>
              <w:ind w:right="66"/>
              <w:spacing w:after="0"/>
              <w:rPr>
                <w:sz w:val="20"/>
                <w:szCs w:val="20"/>
                <w:color w:val="auto"/>
              </w:rPr>
            </w:pPr>
            <w:r>
              <w:rPr>
                <w:rFonts w:ascii="Arial" w:cs="Arial" w:eastAsia="Arial" w:hAnsi="Arial"/>
                <w:sz w:val="12"/>
                <w:szCs w:val="12"/>
                <w:b w:val="1"/>
                <w:bCs w:val="1"/>
                <w:color w:val="FFFFFF"/>
                <w:w w:val="98"/>
              </w:rPr>
              <w:t>Equity</w:t>
            </w:r>
          </w:p>
        </w:tc>
        <w:tc>
          <w:tcPr>
            <w:tcW w:w="0" w:type="dxa"/>
            <w:vAlign w:val="bottom"/>
          </w:tcPr>
          <w:p>
            <w:pPr>
              <w:spacing w:after="0"/>
              <w:rPr>
                <w:sz w:val="1"/>
                <w:szCs w:val="1"/>
                <w:color w:val="auto"/>
              </w:rPr>
            </w:pPr>
          </w:p>
        </w:tc>
      </w:tr>
      <w:tr>
        <w:trPr>
          <w:trHeight w:val="206"/>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223,940</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5"/>
                <w:szCs w:val="15"/>
                <w:color w:val="auto"/>
                <w:w w:val="95"/>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22</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3,616,902</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10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 (1,591,090)</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03"/>
        </w:trPr>
        <w:tc>
          <w:tcPr>
            <w:tcW w:w="53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51,171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9"/>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203"/>
        </w:trPr>
        <w:tc>
          <w:tcPr>
            <w:tcW w:w="5320" w:type="dxa"/>
            <w:vAlign w:val="bottom"/>
          </w:tcPr>
          <w:p>
            <w:pPr>
              <w:ind w:left="220"/>
              <w:spacing w:after="0"/>
              <w:rPr>
                <w:sz w:val="20"/>
                <w:szCs w:val="20"/>
                <w:color w:val="auto"/>
              </w:rPr>
            </w:pPr>
            <w:r>
              <w:rPr>
                <w:rFonts w:ascii="Arial" w:cs="Arial" w:eastAsia="Arial" w:hAnsi="Arial"/>
                <w:sz w:val="15"/>
                <w:szCs w:val="15"/>
                <w:color w:val="auto"/>
              </w:rPr>
              <w:t>Stock-based compensation and issuance of Common Stock from vesting</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498</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6,395</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6,395</w:t>
            </w:r>
          </w:p>
        </w:tc>
        <w:tc>
          <w:tcPr>
            <w:tcW w:w="0" w:type="dxa"/>
            <w:vAlign w:val="bottom"/>
          </w:tcPr>
          <w:p>
            <w:pPr>
              <w:spacing w:after="0"/>
              <w:rPr>
                <w:sz w:val="1"/>
                <w:szCs w:val="1"/>
                <w:color w:val="auto"/>
              </w:rPr>
            </w:pPr>
          </w:p>
        </w:tc>
      </w:tr>
      <w:tr>
        <w:trPr>
          <w:trHeight w:val="209"/>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 and warrants</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(2,064)</w:t>
            </w:r>
          </w:p>
        </w:tc>
        <w:tc>
          <w:tcPr>
            <w:tcW w:w="74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(77,409)</w:t>
            </w:r>
          </w:p>
        </w:tc>
        <w:tc>
          <w:tcPr>
            <w:tcW w:w="12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(77,409)</w:t>
            </w:r>
          </w:p>
        </w:tc>
        <w:tc>
          <w:tcPr>
            <w:tcW w:w="0" w:type="dxa"/>
            <w:vAlign w:val="bottom"/>
          </w:tcPr>
          <w:p>
            <w:pPr>
              <w:spacing w:after="0"/>
              <w:rPr>
                <w:sz w:val="1"/>
                <w:szCs w:val="1"/>
                <w:color w:val="auto"/>
              </w:rPr>
            </w:pPr>
          </w:p>
        </w:tc>
      </w:tr>
      <w:tr>
        <w:trPr>
          <w:trHeight w:val="203"/>
        </w:trPr>
        <w:tc>
          <w:tcPr>
            <w:tcW w:w="5320" w:type="dxa"/>
            <w:vAlign w:val="bottom"/>
          </w:tcPr>
          <w:p>
            <w:pPr>
              <w:ind w:left="220"/>
              <w:spacing w:after="0"/>
              <w:rPr>
                <w:sz w:val="20"/>
                <w:szCs w:val="20"/>
                <w:color w:val="auto"/>
              </w:rPr>
            </w:pPr>
            <w:r>
              <w:rPr>
                <w:rFonts w:ascii="Arial" w:cs="Arial" w:eastAsia="Arial" w:hAnsi="Arial"/>
                <w:sz w:val="15"/>
                <w:szCs w:val="15"/>
                <w:color w:val="auto"/>
              </w:rPr>
              <w:t>Issuance of Common Stock from the exercise of options and warrants</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800</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3,313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09"/>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Withholding taxes on net share settlement of stock-based compensation</w:t>
            </w: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(12,295)</w:t>
            </w:r>
          </w:p>
        </w:tc>
        <w:tc>
          <w:tcPr>
            <w:tcW w:w="12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223,174</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3,536,906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(30,824)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 (1,539,919)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1,966,185</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0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40" w:type="dxa"/>
            <w:vAlign w:val="bottom"/>
            <w:gridSpan w:val="3"/>
            <w:shd w:val="clear" w:color="auto" w:fill="1D2758"/>
          </w:tcPr>
          <w:p>
            <w:pPr>
              <w:ind w:left="4180"/>
              <w:spacing w:after="0"/>
              <w:rPr>
                <w:sz w:val="20"/>
                <w:szCs w:val="20"/>
                <w:color w:val="auto"/>
              </w:rPr>
            </w:pPr>
            <w:r>
              <w:rPr>
                <w:rFonts w:ascii="Arial" w:cs="Arial" w:eastAsia="Arial" w:hAnsi="Arial"/>
                <w:sz w:val="15"/>
                <w:szCs w:val="15"/>
                <w:b w:val="1"/>
                <w:bCs w:val="1"/>
                <w:color w:val="FFFFFF"/>
              </w:rPr>
              <w:t>Three Months Ended March 31, 2021</w:t>
            </w:r>
          </w:p>
        </w:tc>
        <w:tc>
          <w:tcPr>
            <w:tcW w:w="24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84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86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8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32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74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84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860" w:type="dxa"/>
            <w:vAlign w:val="bottom"/>
            <w:shd w:val="clear" w:color="auto" w:fill="1D2758"/>
          </w:tcPr>
          <w:p>
            <w:pPr>
              <w:jc w:val="center"/>
              <w:ind w:right="26"/>
              <w:spacing w:after="0"/>
              <w:rPr>
                <w:sz w:val="20"/>
                <w:szCs w:val="20"/>
                <w:color w:val="auto"/>
              </w:rPr>
            </w:pPr>
            <w:r>
              <w:rPr>
                <w:rFonts w:ascii="Arial" w:cs="Arial" w:eastAsia="Arial" w:hAnsi="Arial"/>
                <w:sz w:val="12"/>
                <w:szCs w:val="12"/>
                <w:b w:val="1"/>
                <w:bCs w:val="1"/>
                <w:color w:val="FFFFFF"/>
              </w:rPr>
              <w:t>Accumulated</w:t>
            </w:r>
          </w:p>
        </w:tc>
        <w:tc>
          <w:tcPr>
            <w:tcW w:w="100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shd w:val="clear" w:color="auto" w:fill="1D2758"/>
          </w:tcPr>
          <w:p>
            <w:pPr>
              <w:spacing w:after="0"/>
              <w:rPr>
                <w:sz w:val="12"/>
                <w:szCs w:val="12"/>
                <w:color w:val="auto"/>
              </w:rPr>
            </w:pPr>
          </w:p>
        </w:tc>
        <w:tc>
          <w:tcPr>
            <w:tcW w:w="1720" w:type="dxa"/>
            <w:vAlign w:val="bottom"/>
            <w:gridSpan w:val="2"/>
            <w:shd w:val="clear" w:color="auto" w:fill="1D2758"/>
          </w:tcPr>
          <w:p>
            <w:pPr>
              <w:jc w:val="right"/>
              <w:ind w:right="228"/>
              <w:spacing w:after="0"/>
              <w:rPr>
                <w:sz w:val="20"/>
                <w:szCs w:val="20"/>
                <w:color w:val="auto"/>
              </w:rPr>
            </w:pPr>
            <w:r>
              <w:rPr>
                <w:rFonts w:ascii="Arial" w:cs="Arial" w:eastAsia="Arial" w:hAnsi="Arial"/>
                <w:sz w:val="12"/>
                <w:szCs w:val="12"/>
                <w:b w:val="1"/>
                <w:bCs w:val="1"/>
                <w:color w:val="FFFFFF"/>
              </w:rPr>
              <w:t>Common Stock</w:t>
            </w:r>
          </w:p>
        </w:tc>
        <w:tc>
          <w:tcPr>
            <w:tcW w:w="24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84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860" w:type="dxa"/>
            <w:vAlign w:val="bottom"/>
            <w:shd w:val="clear" w:color="auto" w:fill="1D2758"/>
          </w:tcPr>
          <w:p>
            <w:pPr>
              <w:jc w:val="center"/>
              <w:ind w:right="26"/>
              <w:spacing w:after="0"/>
              <w:rPr>
                <w:sz w:val="20"/>
                <w:szCs w:val="20"/>
                <w:color w:val="auto"/>
              </w:rPr>
            </w:pPr>
            <w:r>
              <w:rPr>
                <w:rFonts w:ascii="Arial" w:cs="Arial" w:eastAsia="Arial" w:hAnsi="Arial"/>
                <w:sz w:val="12"/>
                <w:szCs w:val="12"/>
                <w:b w:val="1"/>
                <w:bCs w:val="1"/>
                <w:color w:val="FFFFFF"/>
                <w:w w:val="99"/>
              </w:rPr>
              <w:t>Other</w:t>
            </w:r>
          </w:p>
        </w:tc>
        <w:tc>
          <w:tcPr>
            <w:tcW w:w="100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820" w:type="dxa"/>
            <w:vAlign w:val="bottom"/>
            <w:shd w:val="clear" w:color="auto" w:fill="1D2758"/>
          </w:tcPr>
          <w:p>
            <w:pPr>
              <w:jc w:val="center"/>
              <w:ind w:right="66"/>
              <w:spacing w:after="0"/>
              <w:rPr>
                <w:sz w:val="20"/>
                <w:szCs w:val="20"/>
                <w:color w:val="auto"/>
              </w:rPr>
            </w:pPr>
            <w:r>
              <w:rPr>
                <w:rFonts w:ascii="Arial" w:cs="Arial" w:eastAsia="Arial" w:hAnsi="Arial"/>
                <w:sz w:val="12"/>
                <w:szCs w:val="12"/>
                <w:b w:val="1"/>
                <w:bCs w:val="1"/>
                <w:color w:val="FFFFFF"/>
                <w:w w:val="97"/>
              </w:rPr>
              <w:t>Total</w:t>
            </w:r>
          </w:p>
        </w:tc>
        <w:tc>
          <w:tcPr>
            <w:tcW w:w="0" w:type="dxa"/>
            <w:vAlign w:val="bottom"/>
          </w:tcPr>
          <w:p>
            <w:pPr>
              <w:spacing w:after="0"/>
              <w:rPr>
                <w:sz w:val="1"/>
                <w:szCs w:val="1"/>
                <w:color w:val="auto"/>
              </w:rPr>
            </w:pPr>
          </w:p>
        </w:tc>
      </w:tr>
      <w:tr>
        <w:trPr>
          <w:trHeight w:val="90"/>
        </w:trPr>
        <w:tc>
          <w:tcPr>
            <w:tcW w:w="532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980" w:type="dxa"/>
            <w:vAlign w:val="bottom"/>
            <w:vMerge w:val="restart"/>
            <w:shd w:val="clear" w:color="auto" w:fill="1D2758"/>
          </w:tcPr>
          <w:p>
            <w:pPr>
              <w:jc w:val="right"/>
              <w:ind w:right="226"/>
              <w:spacing w:after="0"/>
              <w:rPr>
                <w:sz w:val="20"/>
                <w:szCs w:val="20"/>
                <w:color w:val="auto"/>
              </w:rPr>
            </w:pPr>
            <w:r>
              <w:rPr>
                <w:rFonts w:ascii="Arial" w:cs="Arial" w:eastAsia="Arial" w:hAnsi="Arial"/>
                <w:sz w:val="12"/>
                <w:szCs w:val="12"/>
                <w:b w:val="1"/>
                <w:bCs w:val="1"/>
                <w:color w:val="FFFFFF"/>
              </w:rPr>
              <w:t>Shares</w:t>
            </w:r>
          </w:p>
        </w:tc>
        <w:tc>
          <w:tcPr>
            <w:tcW w:w="74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Amount</w:t>
            </w:r>
          </w:p>
        </w:tc>
        <w:tc>
          <w:tcPr>
            <w:tcW w:w="240" w:type="dxa"/>
            <w:vAlign w:val="bottom"/>
            <w:shd w:val="clear" w:color="auto" w:fill="1D2758"/>
          </w:tcPr>
          <w:p>
            <w:pPr>
              <w:spacing w:after="0"/>
              <w:rPr>
                <w:sz w:val="7"/>
                <w:szCs w:val="7"/>
                <w:color w:val="auto"/>
              </w:rPr>
            </w:pPr>
          </w:p>
        </w:tc>
        <w:tc>
          <w:tcPr>
            <w:tcW w:w="1000" w:type="dxa"/>
            <w:vAlign w:val="bottom"/>
            <w:gridSpan w:val="2"/>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Additional Paid-</w:t>
            </w:r>
          </w:p>
        </w:tc>
        <w:tc>
          <w:tcPr>
            <w:tcW w:w="980" w:type="dxa"/>
            <w:vAlign w:val="bottom"/>
            <w:gridSpan w:val="2"/>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Comprehensive</w:t>
            </w:r>
          </w:p>
        </w:tc>
        <w:tc>
          <w:tcPr>
            <w:tcW w:w="1000" w:type="dxa"/>
            <w:vAlign w:val="bottom"/>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Accumulated</w:t>
            </w:r>
          </w:p>
        </w:tc>
        <w:tc>
          <w:tcPr>
            <w:tcW w:w="980" w:type="dxa"/>
            <w:vAlign w:val="bottom"/>
            <w:gridSpan w:val="2"/>
            <w:shd w:val="clear" w:color="auto" w:fill="1D2758"/>
          </w:tcPr>
          <w:p>
            <w:pPr>
              <w:jc w:val="center"/>
              <w:spacing w:after="0" w:line="91" w:lineRule="exact"/>
              <w:rPr>
                <w:sz w:val="20"/>
                <w:szCs w:val="20"/>
                <w:color w:val="auto"/>
              </w:rPr>
            </w:pPr>
            <w:r>
              <w:rPr>
                <w:rFonts w:ascii="Arial" w:cs="Arial" w:eastAsia="Arial" w:hAnsi="Arial"/>
                <w:sz w:val="10"/>
                <w:szCs w:val="10"/>
                <w:b w:val="1"/>
                <w:bCs w:val="1"/>
                <w:color w:val="FFFFFF"/>
              </w:rPr>
              <w:t>Shareholders'</w:t>
            </w:r>
          </w:p>
        </w:tc>
        <w:tc>
          <w:tcPr>
            <w:tcW w:w="0" w:type="dxa"/>
            <w:vAlign w:val="bottom"/>
          </w:tcPr>
          <w:p>
            <w:pPr>
              <w:spacing w:after="0"/>
              <w:rPr>
                <w:sz w:val="1"/>
                <w:szCs w:val="1"/>
                <w:color w:val="auto"/>
              </w:rPr>
            </w:pPr>
          </w:p>
        </w:tc>
      </w:tr>
      <w:tr>
        <w:trPr>
          <w:trHeight w:val="168"/>
        </w:trPr>
        <w:tc>
          <w:tcPr>
            <w:tcW w:w="5320" w:type="dxa"/>
            <w:vAlign w:val="bottom"/>
            <w:vMerge w:val="continue"/>
            <w:shd w:val="clear" w:color="auto" w:fill="1D2758"/>
          </w:tcPr>
          <w:p>
            <w:pPr>
              <w:spacing w:after="0"/>
              <w:rPr>
                <w:sz w:val="14"/>
                <w:szCs w:val="14"/>
                <w:color w:val="auto"/>
              </w:rPr>
            </w:pPr>
          </w:p>
        </w:tc>
        <w:tc>
          <w:tcPr>
            <w:tcW w:w="980" w:type="dxa"/>
            <w:vAlign w:val="bottom"/>
            <w:vMerge w:val="continue"/>
            <w:shd w:val="clear" w:color="auto" w:fill="1D2758"/>
          </w:tcPr>
          <w:p>
            <w:pPr>
              <w:spacing w:after="0"/>
              <w:rPr>
                <w:sz w:val="14"/>
                <w:szCs w:val="14"/>
                <w:color w:val="auto"/>
              </w:rPr>
            </w:pPr>
          </w:p>
        </w:tc>
        <w:tc>
          <w:tcPr>
            <w:tcW w:w="740" w:type="dxa"/>
            <w:vAlign w:val="bottom"/>
            <w:vMerge w:val="continue"/>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840" w:type="dxa"/>
            <w:vAlign w:val="bottom"/>
            <w:shd w:val="clear" w:color="auto" w:fill="1D2758"/>
          </w:tcPr>
          <w:p>
            <w:pPr>
              <w:jc w:val="center"/>
              <w:ind w:right="85"/>
              <w:spacing w:after="0"/>
              <w:rPr>
                <w:sz w:val="20"/>
                <w:szCs w:val="20"/>
                <w:color w:val="auto"/>
              </w:rPr>
            </w:pPr>
            <w:r>
              <w:rPr>
                <w:rFonts w:ascii="Arial" w:cs="Arial" w:eastAsia="Arial" w:hAnsi="Arial"/>
                <w:sz w:val="12"/>
                <w:szCs w:val="12"/>
                <w:b w:val="1"/>
                <w:bCs w:val="1"/>
                <w:color w:val="FFFFFF"/>
              </w:rPr>
              <w:t>in-Capital</w:t>
            </w:r>
          </w:p>
        </w:tc>
        <w:tc>
          <w:tcPr>
            <w:tcW w:w="980" w:type="dxa"/>
            <w:vAlign w:val="bottom"/>
            <w:gridSpan w:val="2"/>
            <w:shd w:val="clear" w:color="auto" w:fill="1D2758"/>
          </w:tcPr>
          <w:p>
            <w:pPr>
              <w:jc w:val="center"/>
              <w:spacing w:after="0"/>
              <w:rPr>
                <w:sz w:val="20"/>
                <w:szCs w:val="20"/>
                <w:color w:val="auto"/>
              </w:rPr>
            </w:pPr>
            <w:r>
              <w:rPr>
                <w:rFonts w:ascii="Arial" w:cs="Arial" w:eastAsia="Arial" w:hAnsi="Arial"/>
                <w:sz w:val="12"/>
                <w:szCs w:val="12"/>
                <w:b w:val="1"/>
                <w:bCs w:val="1"/>
                <w:color w:val="FFFFFF"/>
              </w:rPr>
              <w:t>Income (Loss)</w:t>
            </w:r>
          </w:p>
        </w:tc>
        <w:tc>
          <w:tcPr>
            <w:tcW w:w="100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rPr>
              <w:t>Deficit</w:t>
            </w:r>
          </w:p>
        </w:tc>
        <w:tc>
          <w:tcPr>
            <w:tcW w:w="160" w:type="dxa"/>
            <w:vAlign w:val="bottom"/>
            <w:shd w:val="clear" w:color="auto" w:fill="1D2758"/>
          </w:tcPr>
          <w:p>
            <w:pPr>
              <w:spacing w:after="0"/>
              <w:rPr>
                <w:sz w:val="14"/>
                <w:szCs w:val="14"/>
                <w:color w:val="auto"/>
              </w:rPr>
            </w:pPr>
          </w:p>
        </w:tc>
        <w:tc>
          <w:tcPr>
            <w:tcW w:w="820" w:type="dxa"/>
            <w:vAlign w:val="bottom"/>
            <w:shd w:val="clear" w:color="auto" w:fill="1D2758"/>
          </w:tcPr>
          <w:p>
            <w:pPr>
              <w:jc w:val="center"/>
              <w:ind w:right="66"/>
              <w:spacing w:after="0"/>
              <w:rPr>
                <w:sz w:val="20"/>
                <w:szCs w:val="20"/>
                <w:color w:val="auto"/>
              </w:rPr>
            </w:pPr>
            <w:r>
              <w:rPr>
                <w:rFonts w:ascii="Arial" w:cs="Arial" w:eastAsia="Arial" w:hAnsi="Arial"/>
                <w:sz w:val="12"/>
                <w:szCs w:val="12"/>
                <w:b w:val="1"/>
                <w:bCs w:val="1"/>
                <w:color w:val="FFFFFF"/>
                <w:w w:val="98"/>
              </w:rPr>
              <w:t>Equity</w:t>
            </w:r>
          </w:p>
        </w:tc>
        <w:tc>
          <w:tcPr>
            <w:tcW w:w="0" w:type="dxa"/>
            <w:vAlign w:val="bottom"/>
          </w:tcPr>
          <w:p>
            <w:pPr>
              <w:spacing w:after="0"/>
              <w:rPr>
                <w:sz w:val="1"/>
                <w:szCs w:val="1"/>
                <w:color w:val="auto"/>
              </w:rPr>
            </w:pPr>
          </w:p>
        </w:tc>
      </w:tr>
      <w:tr>
        <w:trPr>
          <w:trHeight w:val="206"/>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229,038</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5"/>
                <w:szCs w:val="15"/>
                <w:color w:val="auto"/>
                <w:w w:val="95"/>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23</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3,852,291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10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 (1,751,234)</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2,063,873</w:t>
            </w:r>
          </w:p>
        </w:tc>
        <w:tc>
          <w:tcPr>
            <w:tcW w:w="0" w:type="dxa"/>
            <w:vAlign w:val="bottom"/>
          </w:tcPr>
          <w:p>
            <w:pPr>
              <w:spacing w:after="0"/>
              <w:rPr>
                <w:sz w:val="1"/>
                <w:szCs w:val="1"/>
                <w:color w:val="auto"/>
              </w:rPr>
            </w:pPr>
          </w:p>
        </w:tc>
      </w:tr>
      <w:tr>
        <w:trPr>
          <w:trHeight w:val="203"/>
        </w:trPr>
        <w:tc>
          <w:tcPr>
            <w:tcW w:w="53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4,447</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4,447</w:t>
            </w:r>
          </w:p>
        </w:tc>
        <w:tc>
          <w:tcPr>
            <w:tcW w:w="0" w:type="dxa"/>
            <w:vAlign w:val="bottom"/>
          </w:tcPr>
          <w:p>
            <w:pPr>
              <w:spacing w:after="0"/>
              <w:rPr>
                <w:sz w:val="1"/>
                <w:szCs w:val="1"/>
                <w:color w:val="auto"/>
              </w:rPr>
            </w:pPr>
          </w:p>
        </w:tc>
      </w:tr>
      <w:tr>
        <w:trPr>
          <w:trHeight w:val="209"/>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0" w:type="dxa"/>
            <w:vAlign w:val="bottom"/>
          </w:tcPr>
          <w:p>
            <w:pPr>
              <w:spacing w:after="0"/>
              <w:rPr>
                <w:sz w:val="1"/>
                <w:szCs w:val="1"/>
                <w:color w:val="auto"/>
              </w:rPr>
            </w:pPr>
          </w:p>
        </w:tc>
      </w:tr>
      <w:tr>
        <w:trPr>
          <w:trHeight w:val="203"/>
        </w:trPr>
        <w:tc>
          <w:tcPr>
            <w:tcW w:w="5320" w:type="dxa"/>
            <w:vAlign w:val="bottom"/>
          </w:tcPr>
          <w:p>
            <w:pPr>
              <w:ind w:left="220"/>
              <w:spacing w:after="0"/>
              <w:rPr>
                <w:sz w:val="20"/>
                <w:szCs w:val="20"/>
                <w:color w:val="auto"/>
              </w:rPr>
            </w:pPr>
            <w:r>
              <w:rPr>
                <w:rFonts w:ascii="Arial" w:cs="Arial" w:eastAsia="Arial" w:hAnsi="Arial"/>
                <w:sz w:val="15"/>
                <w:szCs w:val="15"/>
                <w:color w:val="auto"/>
              </w:rPr>
              <w:t>Stock-based compensation and issuance of Common Stock from vesting</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229</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4,951</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4,951</w:t>
            </w:r>
          </w:p>
        </w:tc>
        <w:tc>
          <w:tcPr>
            <w:tcW w:w="0" w:type="dxa"/>
            <w:vAlign w:val="bottom"/>
          </w:tcPr>
          <w:p>
            <w:pPr>
              <w:spacing w:after="0"/>
              <w:rPr>
                <w:sz w:val="1"/>
                <w:szCs w:val="1"/>
                <w:color w:val="auto"/>
              </w:rPr>
            </w:pPr>
          </w:p>
        </w:tc>
      </w:tr>
      <w:tr>
        <w:trPr>
          <w:trHeight w:val="209"/>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 and warrants</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(2,793)</w:t>
            </w:r>
          </w:p>
        </w:tc>
        <w:tc>
          <w:tcPr>
            <w:tcW w:w="74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12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0" w:type="dxa"/>
            <w:vAlign w:val="bottom"/>
          </w:tcPr>
          <w:p>
            <w:pPr>
              <w:spacing w:after="0"/>
              <w:rPr>
                <w:sz w:val="1"/>
                <w:szCs w:val="1"/>
                <w:color w:val="auto"/>
              </w:rPr>
            </w:pPr>
          </w:p>
        </w:tc>
      </w:tr>
      <w:tr>
        <w:trPr>
          <w:trHeight w:val="203"/>
        </w:trPr>
        <w:tc>
          <w:tcPr>
            <w:tcW w:w="5320" w:type="dxa"/>
            <w:vAlign w:val="bottom"/>
          </w:tcPr>
          <w:p>
            <w:pPr>
              <w:ind w:left="220"/>
              <w:spacing w:after="0"/>
              <w:rPr>
                <w:sz w:val="20"/>
                <w:szCs w:val="20"/>
                <w:color w:val="auto"/>
              </w:rPr>
            </w:pPr>
            <w:r>
              <w:rPr>
                <w:rFonts w:ascii="Arial" w:cs="Arial" w:eastAsia="Arial" w:hAnsi="Arial"/>
                <w:sz w:val="15"/>
                <w:szCs w:val="15"/>
                <w:color w:val="auto"/>
              </w:rPr>
              <w:t>Issuance of Common Stock from the exercise of options and warrants</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341</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5,414</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5,414</w:t>
            </w:r>
          </w:p>
        </w:tc>
        <w:tc>
          <w:tcPr>
            <w:tcW w:w="0" w:type="dxa"/>
            <w:vAlign w:val="bottom"/>
          </w:tcPr>
          <w:p>
            <w:pPr>
              <w:spacing w:after="0"/>
              <w:rPr>
                <w:sz w:val="1"/>
                <w:szCs w:val="1"/>
                <w:color w:val="auto"/>
              </w:rPr>
            </w:pPr>
          </w:p>
        </w:tc>
      </w:tr>
      <w:tr>
        <w:trPr>
          <w:trHeight w:val="209"/>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Withholding taxes on net share settlement of stock-based compensation</w:t>
            </w: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12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226,815</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3,782,649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(29,996)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 (1,746,787)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2,005,889</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1D2758"/>
        </w:rPr>
        <w:t>WillScot Mobile Mini Holdings Corp.</w:t>
      </w:r>
    </w:p>
    <w:p>
      <w:pPr>
        <w:jc w:val="center"/>
        <w:spacing w:after="0"/>
        <w:rPr>
          <w:sz w:val="20"/>
          <w:szCs w:val="20"/>
          <w:color w:val="auto"/>
        </w:rPr>
      </w:pPr>
      <w:r>
        <w:rPr>
          <w:rFonts w:ascii="Arial" w:cs="Arial" w:eastAsia="Arial" w:hAnsi="Arial"/>
          <w:sz w:val="22"/>
          <w:szCs w:val="22"/>
          <w:color w:val="1D2758"/>
        </w:rPr>
        <w:t>Condensed Consolidated Statements of Cash Flows (Unaudited)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shd w:val="clear" w:color="auto" w:fill="1D2758"/>
          </w:tcPr>
          <w:p>
            <w:pPr>
              <w:spacing w:after="0"/>
              <w:rPr>
                <w:sz w:val="16"/>
                <w:szCs w:val="16"/>
                <w:color w:val="auto"/>
              </w:rPr>
            </w:pPr>
          </w:p>
        </w:tc>
        <w:tc>
          <w:tcPr>
            <w:tcW w:w="4140" w:type="dxa"/>
            <w:vAlign w:val="bottom"/>
            <w:gridSpan w:val="4"/>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Three Months Ended March 31,</w:t>
            </w:r>
          </w:p>
        </w:tc>
        <w:tc>
          <w:tcPr>
            <w:tcW w:w="86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2022</w:t>
            </w:r>
          </w:p>
        </w:tc>
        <w:tc>
          <w:tcPr>
            <w:tcW w:w="8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5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2021</w:t>
            </w:r>
          </w:p>
        </w:tc>
        <w:tc>
          <w:tcPr>
            <w:tcW w:w="8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240" w:type="dxa"/>
            <w:vAlign w:val="bottom"/>
            <w:shd w:val="clear" w:color="auto" w:fill="1D2758"/>
          </w:tcPr>
          <w:p>
            <w:pPr>
              <w:spacing w:after="0"/>
              <w:rPr>
                <w:sz w:val="14"/>
                <w:szCs w:val="14"/>
                <w:color w:val="auto"/>
              </w:rPr>
            </w:pPr>
          </w:p>
        </w:tc>
        <w:tc>
          <w:tcPr>
            <w:tcW w:w="1600" w:type="dxa"/>
            <w:vAlign w:val="bottom"/>
            <w:vMerge w:val="continue"/>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580" w:type="dxa"/>
            <w:vAlign w:val="bottom"/>
            <w:vMerge w:val="continue"/>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6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51,171</w:t>
            </w:r>
          </w:p>
        </w:tc>
        <w:tc>
          <w:tcPr>
            <w:tcW w:w="100" w:type="dxa"/>
            <w:vAlign w:val="bottom"/>
          </w:tcPr>
          <w:p>
            <w:pPr>
              <w:spacing w:after="0"/>
              <w:rPr>
                <w:sz w:val="17"/>
                <w:szCs w:val="17"/>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4,447</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81,820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74,855</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8,601</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8,516</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(3,232)</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(8,128)</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3,489</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3,565</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Fair value loss on common stock warrant liabilities</w:t>
            </w:r>
          </w:p>
        </w:tc>
        <w:tc>
          <w:tcPr>
            <w:tcW w:w="16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27,207</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Loss on extinguishment of debt</w:t>
            </w:r>
          </w:p>
        </w:tc>
        <w:tc>
          <w:tcPr>
            <w:tcW w:w="160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3,185</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6,395</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4,951</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income tax expense</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12,362</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8,057</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Unrealized currency losses (gains), net</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Other</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914</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24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Trade receivables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(12,064)</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(7,122)</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(2,452)</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Prepaid expenses and other assets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(9,042)</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2,995</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268</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3,577</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(1,239)</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(13,096)</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13,120</w:t>
            </w:r>
          </w:p>
        </w:tc>
        <w:tc>
          <w:tcPr>
            <w:tcW w:w="100" w:type="dxa"/>
            <w:vAlign w:val="bottom"/>
            <w:tcBorders>
              <w:bottom w:val="single" w:sz="8" w:color="DBDBDB"/>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4,115</w:t>
            </w:r>
          </w:p>
        </w:tc>
        <w:tc>
          <w:tcPr>
            <w:tcW w:w="0" w:type="dxa"/>
            <w:vAlign w:val="bottom"/>
          </w:tcPr>
          <w:p>
            <w:pPr>
              <w:spacing w:after="0"/>
              <w:rPr>
                <w:sz w:val="1"/>
                <w:szCs w:val="1"/>
                <w:color w:val="auto"/>
              </w:rPr>
            </w:pPr>
          </w:p>
        </w:tc>
      </w:tr>
      <w:tr>
        <w:trPr>
          <w:trHeight w:val="202"/>
        </w:trPr>
        <w:tc>
          <w:tcPr>
            <w:tcW w:w="62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6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145,527</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122,071</w:t>
            </w: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Acquisition</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(57,457)</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14,554</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15,202</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(95,236)</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(52,535)</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13,729</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60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(10,481)</w:t>
            </w:r>
          </w:p>
        </w:tc>
        <w:tc>
          <w:tcPr>
            <w:tcW w:w="100" w:type="dxa"/>
            <w:vAlign w:val="bottom"/>
            <w:shd w:val="clear" w:color="auto" w:fill="DBDBDB"/>
          </w:tcPr>
          <w:p>
            <w:pPr>
              <w:spacing w:after="0"/>
              <w:rPr>
                <w:sz w:val="18"/>
                <w:szCs w:val="18"/>
                <w:color w:val="auto"/>
              </w:rPr>
            </w:pPr>
          </w:p>
        </w:tc>
        <w:tc>
          <w:tcPr>
            <w:tcW w:w="158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(7,307)</w:t>
            </w:r>
          </w:p>
        </w:tc>
        <w:tc>
          <w:tcPr>
            <w:tcW w:w="0" w:type="dxa"/>
            <w:vAlign w:val="bottom"/>
          </w:tcPr>
          <w:p>
            <w:pPr>
              <w:spacing w:after="0"/>
              <w:rPr>
                <w:sz w:val="1"/>
                <w:szCs w:val="1"/>
                <w:color w:val="auto"/>
              </w:rPr>
            </w:pPr>
          </w:p>
        </w:tc>
      </w:tr>
      <w:tr>
        <w:trPr>
          <w:trHeight w:val="196"/>
        </w:trPr>
        <w:tc>
          <w:tcPr>
            <w:tcW w:w="6240" w:type="dxa"/>
            <w:vAlign w:val="bottom"/>
          </w:tcPr>
          <w:p>
            <w:pPr>
              <w:ind w:left="540"/>
              <w:spacing w:after="0"/>
              <w:rPr>
                <w:sz w:val="20"/>
                <w:szCs w:val="20"/>
                <w:color w:val="auto"/>
              </w:rPr>
            </w:pPr>
            <w:r>
              <w:rPr>
                <w:rFonts w:ascii="Arial" w:cs="Arial" w:eastAsia="Arial" w:hAnsi="Arial"/>
                <w:sz w:val="15"/>
                <w:szCs w:val="15"/>
                <w:color w:val="auto"/>
              </w:rPr>
              <w:t>Net cash used in investing activities</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(148,360)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(30,911)</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3,313</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5,414</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 and warrants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(77,708)</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(81,618)</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1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152,500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162,000</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Repayment of borrowings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(59,000)</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(166,112)</w:t>
            </w:r>
          </w:p>
        </w:tc>
        <w:tc>
          <w:tcPr>
            <w:tcW w:w="0" w:type="dxa"/>
            <w:vAlign w:val="bottom"/>
          </w:tcPr>
          <w:p>
            <w:pPr>
              <w:spacing w:after="0"/>
              <w:rPr>
                <w:sz w:val="1"/>
                <w:szCs w:val="1"/>
                <w:color w:val="auto"/>
              </w:rPr>
            </w:pPr>
          </w:p>
        </w:tc>
      </w:tr>
      <w:tr>
        <w:trPr>
          <w:trHeight w:val="203"/>
        </w:trPr>
        <w:tc>
          <w:tcPr>
            <w:tcW w:w="6240" w:type="dxa"/>
            <w:vAlign w:val="bottom"/>
          </w:tcPr>
          <w:p>
            <w:pPr>
              <w:ind w:left="440"/>
              <w:spacing w:after="0"/>
              <w:rPr>
                <w:sz w:val="20"/>
                <w:szCs w:val="20"/>
                <w:color w:val="auto"/>
              </w:rPr>
            </w:pPr>
            <w:r>
              <w:rPr>
                <w:rFonts w:ascii="Arial" w:cs="Arial" w:eastAsia="Arial" w:hAnsi="Arial"/>
                <w:sz w:val="15"/>
                <w:szCs w:val="15"/>
                <w:color w:val="auto"/>
              </w:rPr>
              <w:t>Payment of debt extinguishment premium costs</w:t>
            </w:r>
          </w:p>
        </w:tc>
        <w:tc>
          <w:tcPr>
            <w:tcW w:w="16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(1,950)</w:t>
            </w:r>
          </w:p>
        </w:tc>
        <w:tc>
          <w:tcPr>
            <w:tcW w:w="0" w:type="dxa"/>
            <w:vAlign w:val="bottom"/>
          </w:tcPr>
          <w:p>
            <w:pPr>
              <w:spacing w:after="0"/>
              <w:rPr>
                <w:sz w:val="1"/>
                <w:szCs w:val="1"/>
                <w:color w:val="auto"/>
              </w:rPr>
            </w:pPr>
          </w:p>
        </w:tc>
      </w:tr>
      <w:tr>
        <w:trPr>
          <w:trHeight w:val="209"/>
        </w:trPr>
        <w:tc>
          <w:tcPr>
            <w:tcW w:w="62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Principal payments on finance lease obligations</w:t>
            </w:r>
          </w:p>
        </w:tc>
        <w:tc>
          <w:tcPr>
            <w:tcW w:w="160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(5,224)</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(3,735)</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Taxes paid on employee stock awards</w:t>
            </w:r>
          </w:p>
        </w:tc>
        <w:tc>
          <w:tcPr>
            <w:tcW w:w="1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(12,295)</w:t>
            </w:r>
          </w:p>
        </w:tc>
        <w:tc>
          <w:tcPr>
            <w:tcW w:w="100" w:type="dxa"/>
            <w:vAlign w:val="bottom"/>
            <w:tcBorders>
              <w:bottom w:val="single" w:sz="8" w:color="DBDBDB"/>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202"/>
        </w:trPr>
        <w:tc>
          <w:tcPr>
            <w:tcW w:w="6240" w:type="dxa"/>
            <w:vAlign w:val="bottom"/>
            <w:shd w:val="clear" w:color="auto" w:fill="DBDBDB"/>
          </w:tcPr>
          <w:p>
            <w:pPr>
              <w:ind w:left="540"/>
              <w:spacing w:after="0"/>
              <w:rPr>
                <w:sz w:val="20"/>
                <w:szCs w:val="20"/>
                <w:color w:val="auto"/>
              </w:rPr>
            </w:pPr>
            <w:r>
              <w:rPr>
                <w:rFonts w:ascii="Arial" w:cs="Arial" w:eastAsia="Arial" w:hAnsi="Arial"/>
                <w:sz w:val="15"/>
                <w:szCs w:val="15"/>
                <w:color w:val="auto"/>
              </w:rPr>
              <w:t>Net cash provided by (used in) financing activities</w:t>
            </w:r>
          </w:p>
        </w:tc>
        <w:tc>
          <w:tcPr>
            <w:tcW w:w="16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1,586</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(89,220)</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Borders>
              <w:bottom w:val="single" w:sz="8" w:color="DBDBDB"/>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2"/>
        </w:trPr>
        <w:tc>
          <w:tcPr>
            <w:tcW w:w="62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6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(1,378)</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1,997</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tcBorders>
              <w:bottom w:val="single" w:sz="8" w:color="DBDBDB"/>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24,937</w:t>
            </w:r>
          </w:p>
        </w:tc>
        <w:tc>
          <w:tcPr>
            <w:tcW w:w="0" w:type="dxa"/>
            <w:vAlign w:val="bottom"/>
          </w:tcPr>
          <w:p>
            <w:pPr>
              <w:spacing w:after="0"/>
              <w:rPr>
                <w:sz w:val="1"/>
                <w:szCs w:val="1"/>
                <w:color w:val="auto"/>
              </w:rPr>
            </w:pPr>
          </w:p>
        </w:tc>
      </w:tr>
      <w:tr>
        <w:trPr>
          <w:trHeight w:val="224"/>
        </w:trPr>
        <w:tc>
          <w:tcPr>
            <w:tcW w:w="62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600" w:type="dxa"/>
            <w:vAlign w:val="bottom"/>
            <w:tcBorders>
              <w:bottom w:val="single" w:sz="8" w:color="auto"/>
            </w:tcBorders>
            <w:shd w:val="clear" w:color="auto" w:fill="DBDBDB"/>
          </w:tcPr>
          <w:p>
            <w:pPr>
              <w:jc w:val="right"/>
              <w:ind w:right="142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11,321</w:t>
            </w:r>
          </w:p>
        </w:tc>
        <w:tc>
          <w:tcPr>
            <w:tcW w:w="100" w:type="dxa"/>
            <w:vAlign w:val="bottom"/>
            <w:tcBorders>
              <w:bottom w:val="single" w:sz="8" w:color="DBDBDB"/>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ind w:right="14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26,934</w:t>
            </w:r>
          </w:p>
        </w:tc>
        <w:tc>
          <w:tcPr>
            <w:tcW w:w="0" w:type="dxa"/>
            <w:vAlign w:val="bottom"/>
          </w:tcPr>
          <w:p>
            <w:pPr>
              <w:spacing w:after="0"/>
              <w:rPr>
                <w:sz w:val="1"/>
                <w:szCs w:val="1"/>
                <w:color w:val="auto"/>
              </w:rPr>
            </w:pPr>
          </w:p>
        </w:tc>
      </w:tr>
      <w:tr>
        <w:trPr>
          <w:trHeight w:val="20"/>
        </w:trPr>
        <w:tc>
          <w:tcPr>
            <w:tcW w:w="624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16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tcPr>
          <w:p>
            <w:pPr>
              <w:ind w:left="220"/>
              <w:spacing w:after="0" w:line="207" w:lineRule="exact"/>
              <w:rPr>
                <w:sz w:val="20"/>
                <w:szCs w:val="20"/>
                <w:color w:val="auto"/>
              </w:rPr>
            </w:pPr>
            <w:r>
              <w:rPr>
                <w:rFonts w:ascii="Arial" w:cs="Arial" w:eastAsia="Arial" w:hAnsi="Arial"/>
                <w:sz w:val="15"/>
                <w:szCs w:val="15"/>
                <w:color w:val="auto"/>
              </w:rPr>
              <w:t xml:space="preserve">Interest paid </w:t>
            </w:r>
            <w:r>
              <w:rPr>
                <w:rFonts w:ascii="Arial" w:cs="Arial" w:eastAsia="Arial" w:hAnsi="Arial"/>
                <w:sz w:val="20"/>
                <w:szCs w:val="20"/>
                <w:color w:val="auto"/>
                <w:vertAlign w:val="superscript"/>
              </w:rPr>
              <w:t>1</w:t>
            </w: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22,197</w:t>
            </w:r>
          </w:p>
        </w:tc>
        <w:tc>
          <w:tcPr>
            <w:tcW w:w="100" w:type="dxa"/>
            <w:vAlign w:val="bottom"/>
          </w:tcPr>
          <w:p>
            <w:pPr>
              <w:spacing w:after="0"/>
              <w:rPr>
                <w:sz w:val="17"/>
                <w:szCs w:val="17"/>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23,050</w:t>
            </w:r>
          </w:p>
        </w:tc>
        <w:tc>
          <w:tcPr>
            <w:tcW w:w="0" w:type="dxa"/>
            <w:vAlign w:val="bottom"/>
          </w:tcPr>
          <w:p>
            <w:pPr>
              <w:spacing w:after="0"/>
              <w:rPr>
                <w:sz w:val="1"/>
                <w:szCs w:val="1"/>
                <w:color w:val="auto"/>
              </w:rPr>
            </w:pPr>
          </w:p>
        </w:tc>
      </w:tr>
      <w:tr>
        <w:trPr>
          <w:trHeight w:val="206"/>
        </w:trPr>
        <w:tc>
          <w:tcPr>
            <w:tcW w:w="62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1600" w:type="dxa"/>
            <w:vAlign w:val="bottom"/>
            <w:shd w:val="clear" w:color="auto" w:fill="DBDBDB"/>
          </w:tcPr>
          <w:p>
            <w:pPr>
              <w:jc w:val="right"/>
              <w:ind w:right="142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2,606</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ind w:right="140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588</w:t>
            </w:r>
          </w:p>
        </w:tc>
        <w:tc>
          <w:tcPr>
            <w:tcW w:w="0" w:type="dxa"/>
            <w:vAlign w:val="bottom"/>
          </w:tcPr>
          <w:p>
            <w:pPr>
              <w:spacing w:after="0"/>
              <w:rPr>
                <w:sz w:val="1"/>
                <w:szCs w:val="1"/>
                <w:color w:val="auto"/>
              </w:rPr>
            </w:pPr>
          </w:p>
        </w:tc>
      </w:tr>
      <w:tr>
        <w:trPr>
          <w:trHeight w:val="201"/>
        </w:trPr>
        <w:tc>
          <w:tcPr>
            <w:tcW w:w="624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28,433</w:t>
            </w:r>
          </w:p>
        </w:tc>
        <w:tc>
          <w:tcPr>
            <w:tcW w:w="100" w:type="dxa"/>
            <w:vAlign w:val="bottom"/>
          </w:tcPr>
          <w:p>
            <w:pPr>
              <w:spacing w:after="0"/>
              <w:rPr>
                <w:sz w:val="17"/>
                <w:szCs w:val="17"/>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25,975</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00" w:hanging="97"/>
        <w:spacing w:after="0"/>
        <w:tabs>
          <w:tab w:leader="none" w:pos="10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Includes $2,961 of payments related to the interest rate swap for the three months ended March 31,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Condensed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8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business services provider specializing in innovative flexible work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8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3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3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results of operations for the three months ended March 31, 2022 are not necessarily indicative of the results to be expected for the full year. For further information, refer to the consolidated financial statements and notes included in the Company's Annual Report on Form 10-K for the year ended December 31,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2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 xml:space="preserve">In March 2020, the Financial Accounting Standards Board ("FASB") issued Accounting Standards Update ("ASU") 2020-04, </w:t>
      </w:r>
      <w:r>
        <w:rPr>
          <w:rFonts w:ascii="Arial" w:cs="Arial" w:eastAsia="Arial" w:hAnsi="Arial"/>
          <w:sz w:val="15"/>
          <w:szCs w:val="15"/>
          <w:i w:val="1"/>
          <w:iCs w:val="1"/>
          <w:color w:val="auto"/>
        </w:rPr>
        <w:t>Reference Rate Reform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848): Facilitation of the Effects of Reference Rate Reform on Financial Reporting. </w:t>
      </w:r>
      <w:r>
        <w:rPr>
          <w:rFonts w:ascii="Arial" w:cs="Arial" w:eastAsia="Arial" w:hAnsi="Arial"/>
          <w:sz w:val="15"/>
          <w:szCs w:val="15"/>
          <w:color w:val="auto"/>
        </w:rPr>
        <w:t>This update was intended to ease the potential burden in accounting for and</w:t>
      </w:r>
      <w:r>
        <w:rPr>
          <w:rFonts w:ascii="Arial" w:cs="Arial" w:eastAsia="Arial" w:hAnsi="Arial"/>
          <w:sz w:val="15"/>
          <w:szCs w:val="15"/>
          <w:i w:val="1"/>
          <w:iCs w:val="1"/>
          <w:color w:val="auto"/>
        </w:rPr>
        <w:t xml:space="preserve"> </w:t>
      </w:r>
      <w:r>
        <w:rPr>
          <w:rFonts w:ascii="Arial" w:cs="Arial" w:eastAsia="Arial" w:hAnsi="Arial"/>
          <w:sz w:val="15"/>
          <w:szCs w:val="15"/>
          <w:color w:val="auto"/>
        </w:rPr>
        <w:t>recognizing the effects of reference rate reform. It provided optional practical expedients and exceptions for applying U.S. GAAP to contracts, hedging relationships, and other transactions affected by reference rate reform, if certain criteria are met. This update became effective on March 12, 2020 and is available for use through December 31, 2022. The Company is currently evaluating the impact of reference rate reform and the potential impact of adoption of these elective practical expedients on its condensed consolidated financial statements and does not expect the impact to be material.</w:t>
      </w:r>
    </w:p>
    <w:p>
      <w:pPr>
        <w:spacing w:after="0" w:line="1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("ASU 2021-08"). ASU 2021-08 requires that an acquirer recognize and measure contract assets and liabilities acquired in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combination in accordance with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 ASU 2021-08 is effective for annual periods beginning after December 15, 2022, including interim periods therein, with early adoption permitted. The guidance will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06"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On July 1, 2020, WillScot Corporation, a Delaware corporation (“WillScot”), and Mobile Mini, Inc. (“Mobile Mini”) merged (the “Merger”). Immediately following the Merger, WillScot changed its name to “WillScot Mobile Mini Holdings Corp.”</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On March 18, 2022, the Company acquired certain assets and liabilities, which consisted primarily of approximately 400 blast resistant modular units.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85"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recorded $4.1 million and $7.3 million in integration costs related to acquisitions and the Merger within selling, general and administrative ("SG&amp;A") expense during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1D2758"/>
        </w:rPr>
        <w:t>NOTE 3 - Revenue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months ended March 31,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4"/>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9"/>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451,968</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371,269</w:t>
            </w:r>
          </w:p>
        </w:tc>
      </w:tr>
      <w:tr>
        <w:trPr>
          <w:trHeight w:val="203"/>
        </w:trPr>
        <w:tc>
          <w:tcPr>
            <w:tcW w:w="7540" w:type="dxa"/>
            <w:vAlign w:val="bottom"/>
          </w:tcPr>
          <w:p>
            <w:pPr>
              <w:ind w:left="20"/>
              <w:spacing w:after="0"/>
              <w:rPr>
                <w:sz w:val="20"/>
                <w:szCs w:val="20"/>
                <w:color w:val="auto"/>
              </w:rPr>
            </w:pPr>
            <w:r>
              <w:rPr>
                <w:rFonts w:ascii="Arial" w:cs="Arial" w:eastAsia="Arial" w:hAnsi="Arial"/>
                <w:sz w:val="15"/>
                <w:szCs w:val="15"/>
                <w:color w:val="auto"/>
              </w:rPr>
              <w:t>Canada</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25,273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23,584</w:t>
            </w:r>
          </w:p>
        </w:tc>
      </w:tr>
      <w:tr>
        <w:trPr>
          <w:trHeight w:val="20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4,214</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3,463</w:t>
            </w:r>
          </w:p>
        </w:tc>
      </w:tr>
      <w:tr>
        <w:trPr>
          <w:trHeight w:val="203"/>
        </w:trPr>
        <w:tc>
          <w:tcPr>
            <w:tcW w:w="7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UK</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27,439</w:t>
            </w:r>
          </w:p>
        </w:tc>
        <w:tc>
          <w:tcPr>
            <w:tcW w:w="10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27,007</w:t>
            </w:r>
          </w:p>
        </w:tc>
      </w:tr>
      <w:tr>
        <w:trPr>
          <w:trHeight w:val="227"/>
        </w:trPr>
        <w:tc>
          <w:tcPr>
            <w:tcW w:w="75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508,894</w:t>
            </w:r>
          </w:p>
        </w:tc>
        <w:tc>
          <w:tcPr>
            <w:tcW w:w="1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425,323</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7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rental modular space, portable space and tank and pump units along with value-added products and services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 The Company’s revenue by major product and service line for the three months ended March 31, was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4"/>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9"/>
        </w:trPr>
        <w:tc>
          <w:tcPr>
            <w:tcW w:w="7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0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199,078</w:t>
            </w:r>
          </w:p>
        </w:tc>
        <w:tc>
          <w:tcPr>
            <w:tcW w:w="80" w:type="dxa"/>
            <w:vAlign w:val="bottom"/>
            <w:shd w:val="clear" w:color="auto" w:fill="DDDDDD"/>
          </w:tcPr>
          <w:p>
            <w:pPr>
              <w:spacing w:after="0"/>
              <w:rPr>
                <w:sz w:val="17"/>
                <w:szCs w:val="17"/>
                <w:color w:val="auto"/>
              </w:rPr>
            </w:pPr>
          </w:p>
        </w:tc>
        <w:tc>
          <w:tcPr>
            <w:tcW w:w="72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169,952</w:t>
            </w:r>
          </w:p>
        </w:tc>
      </w:tr>
      <w:tr>
        <w:trPr>
          <w:trHeight w:val="203"/>
        </w:trPr>
        <w:tc>
          <w:tcPr>
            <w:tcW w:w="750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77,988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54,613</w:t>
            </w:r>
          </w:p>
        </w:tc>
      </w:tr>
      <w:tr>
        <w:trPr>
          <w:trHeight w:val="209"/>
        </w:trPr>
        <w:tc>
          <w:tcPr>
            <w:tcW w:w="7500" w:type="dxa"/>
            <w:vAlign w:val="bottom"/>
            <w:shd w:val="clear" w:color="auto" w:fill="DDDDDD"/>
          </w:tcPr>
          <w:p>
            <w:pPr>
              <w:ind w:left="20"/>
              <w:spacing w:after="0"/>
              <w:rPr>
                <w:sz w:val="20"/>
                <w:szCs w:val="20"/>
                <w:color w:val="auto"/>
              </w:rPr>
            </w:pPr>
            <w:r>
              <w:rPr>
                <w:rFonts w:ascii="Arial" w:cs="Arial" w:eastAsia="Arial" w:hAnsi="Arial"/>
                <w:sz w:val="15"/>
                <w:szCs w:val="15"/>
                <w:color w:val="auto"/>
              </w:rPr>
              <w:t>Tank and pump leasing revenue</w:t>
            </w:r>
          </w:p>
        </w:tc>
        <w:tc>
          <w:tcPr>
            <w:tcW w:w="420"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19,230</w:t>
            </w:r>
          </w:p>
        </w:tc>
        <w:tc>
          <w:tcPr>
            <w:tcW w:w="8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15,760</w:t>
            </w:r>
          </w:p>
        </w:tc>
      </w:tr>
      <w:tr>
        <w:trPr>
          <w:trHeight w:val="206"/>
        </w:trPr>
        <w:tc>
          <w:tcPr>
            <w:tcW w:w="7500" w:type="dxa"/>
            <w:vAlign w:val="bottom"/>
          </w:tcPr>
          <w:p>
            <w:pPr>
              <w:ind w:left="20"/>
              <w:spacing w:after="0" w:line="20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80,926</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62,426</w:t>
            </w:r>
          </w:p>
        </w:tc>
      </w:tr>
      <w:tr>
        <w:trPr>
          <w:trHeight w:val="206"/>
        </w:trPr>
        <w:tc>
          <w:tcPr>
            <w:tcW w:w="7500" w:type="dxa"/>
            <w:vAlign w:val="bottom"/>
            <w:shd w:val="clear" w:color="auto" w:fill="DDDDDD"/>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420" w:type="dxa"/>
            <w:vAlign w:val="bottom"/>
            <w:tcBorders>
              <w:bottom w:val="single" w:sz="8" w:color="auto"/>
            </w:tcBorders>
            <w:shd w:val="clear" w:color="auto" w:fill="DDDDDD"/>
          </w:tcPr>
          <w:p>
            <w:pPr>
              <w:spacing w:after="0"/>
              <w:rPr>
                <w:sz w:val="17"/>
                <w:szCs w:val="17"/>
                <w:color w:val="auto"/>
              </w:rPr>
            </w:pPr>
          </w:p>
        </w:tc>
        <w:tc>
          <w:tcPr>
            <w:tcW w:w="14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15,970</w:t>
            </w:r>
          </w:p>
        </w:tc>
        <w:tc>
          <w:tcPr>
            <w:tcW w:w="80" w:type="dxa"/>
            <w:vAlign w:val="bottom"/>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12,911</w:t>
            </w:r>
          </w:p>
        </w:tc>
      </w:tr>
      <w:tr>
        <w:trPr>
          <w:trHeight w:val="196"/>
        </w:trPr>
        <w:tc>
          <w:tcPr>
            <w:tcW w:w="7500" w:type="dxa"/>
            <w:vAlign w:val="bottom"/>
          </w:tcPr>
          <w:p>
            <w:pPr>
              <w:ind w:left="220"/>
              <w:spacing w:after="0"/>
              <w:rPr>
                <w:sz w:val="20"/>
                <w:szCs w:val="20"/>
                <w:color w:val="auto"/>
              </w:rPr>
            </w:pPr>
            <w:r>
              <w:rPr>
                <w:rFonts w:ascii="Arial" w:cs="Arial" w:eastAsia="Arial" w:hAnsi="Arial"/>
                <w:sz w:val="15"/>
                <w:szCs w:val="15"/>
                <w:color w:val="auto"/>
              </w:rPr>
              <w:t>Leasing revenue</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393,192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315,662</w:t>
            </w:r>
          </w:p>
        </w:tc>
      </w:tr>
      <w:tr>
        <w:trPr>
          <w:trHeight w:val="206"/>
        </w:trPr>
        <w:tc>
          <w:tcPr>
            <w:tcW w:w="7500" w:type="dxa"/>
            <w:vAlign w:val="bottom"/>
            <w:shd w:val="clear" w:color="auto" w:fill="DDDDDD"/>
          </w:tcPr>
          <w:p>
            <w:pPr>
              <w:ind w:left="20"/>
              <w:spacing w:after="0"/>
              <w:rPr>
                <w:sz w:val="20"/>
                <w:szCs w:val="20"/>
                <w:color w:val="auto"/>
              </w:rPr>
            </w:pPr>
            <w:r>
              <w:rPr>
                <w:rFonts w:ascii="Arial" w:cs="Arial" w:eastAsia="Arial" w:hAnsi="Arial"/>
                <w:sz w:val="15"/>
                <w:szCs w:val="15"/>
                <w:color w:val="auto"/>
              </w:rPr>
              <w:t>Delivery and installation revenue</w:t>
            </w:r>
          </w:p>
        </w:tc>
        <w:tc>
          <w:tcPr>
            <w:tcW w:w="420" w:type="dxa"/>
            <w:vAlign w:val="bottom"/>
            <w:tcBorders>
              <w:bottom w:val="single" w:sz="8" w:color="auto"/>
            </w:tcBorders>
            <w:shd w:val="clear" w:color="auto" w:fill="DDDDDD"/>
          </w:tcPr>
          <w:p>
            <w:pPr>
              <w:spacing w:after="0"/>
              <w:rPr>
                <w:sz w:val="17"/>
                <w:szCs w:val="17"/>
                <w:color w:val="auto"/>
              </w:rPr>
            </w:pPr>
          </w:p>
        </w:tc>
        <w:tc>
          <w:tcPr>
            <w:tcW w:w="14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100,331</w:t>
            </w:r>
          </w:p>
        </w:tc>
        <w:tc>
          <w:tcPr>
            <w:tcW w:w="80" w:type="dxa"/>
            <w:vAlign w:val="bottom"/>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83,504</w:t>
            </w:r>
          </w:p>
        </w:tc>
      </w:tr>
      <w:tr>
        <w:trPr>
          <w:trHeight w:val="199"/>
        </w:trPr>
        <w:tc>
          <w:tcPr>
            <w:tcW w:w="7500" w:type="dxa"/>
            <w:vAlign w:val="bottom"/>
          </w:tcPr>
          <w:p>
            <w:pPr>
              <w:ind w:left="220"/>
              <w:spacing w:after="0"/>
              <w:rPr>
                <w:sz w:val="20"/>
                <w:szCs w:val="20"/>
                <w:color w:val="auto"/>
              </w:rPr>
            </w:pPr>
            <w:r>
              <w:rPr>
                <w:rFonts w:ascii="Arial" w:cs="Arial" w:eastAsia="Arial" w:hAnsi="Arial"/>
                <w:sz w:val="15"/>
                <w:szCs w:val="15"/>
                <w:color w:val="auto"/>
              </w:rPr>
              <w:t>Total leasing and services revenue</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493,523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399,166</w:t>
            </w:r>
          </w:p>
        </w:tc>
      </w:tr>
      <w:tr>
        <w:trPr>
          <w:trHeight w:val="209"/>
        </w:trPr>
        <w:tc>
          <w:tcPr>
            <w:tcW w:w="7500" w:type="dxa"/>
            <w:vAlign w:val="bottom"/>
            <w:shd w:val="clear" w:color="auto" w:fill="DDDDDD"/>
          </w:tcPr>
          <w:p>
            <w:pPr>
              <w:ind w:left="20"/>
              <w:spacing w:after="0"/>
              <w:rPr>
                <w:sz w:val="20"/>
                <w:szCs w:val="20"/>
                <w:color w:val="auto"/>
              </w:rPr>
            </w:pPr>
            <w:r>
              <w:rPr>
                <w:rFonts w:ascii="Arial" w:cs="Arial" w:eastAsia="Arial" w:hAnsi="Arial"/>
                <w:sz w:val="15"/>
                <w:szCs w:val="15"/>
                <w:color w:val="auto"/>
              </w:rPr>
              <w:t>New unit sales revenue</w:t>
            </w:r>
          </w:p>
        </w:tc>
        <w:tc>
          <w:tcPr>
            <w:tcW w:w="420"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6,597</w:t>
            </w:r>
          </w:p>
        </w:tc>
        <w:tc>
          <w:tcPr>
            <w:tcW w:w="8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10,955</w:t>
            </w:r>
          </w:p>
        </w:tc>
      </w:tr>
      <w:tr>
        <w:trPr>
          <w:trHeight w:val="203"/>
        </w:trPr>
        <w:tc>
          <w:tcPr>
            <w:tcW w:w="750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Rental unit sales revenue</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8,774</w:t>
            </w:r>
          </w:p>
        </w:tc>
        <w:tc>
          <w:tcPr>
            <w:tcW w:w="8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15,202</w:t>
            </w:r>
          </w:p>
        </w:tc>
      </w:tr>
      <w:tr>
        <w:trPr>
          <w:trHeight w:val="227"/>
        </w:trPr>
        <w:tc>
          <w:tcPr>
            <w:tcW w:w="7500" w:type="dxa"/>
            <w:vAlign w:val="bottom"/>
            <w:tcBorders>
              <w:bottom w:val="single" w:sz="8" w:color="DDDDDD"/>
            </w:tcBorders>
            <w:shd w:val="clear" w:color="auto" w:fill="DDDDDD"/>
          </w:tcPr>
          <w:p>
            <w:pPr>
              <w:ind w:left="3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508,894</w:t>
            </w:r>
          </w:p>
        </w:tc>
        <w:tc>
          <w:tcPr>
            <w:tcW w:w="80" w:type="dxa"/>
            <w:vAlign w:val="bottom"/>
            <w:tcBorders>
              <w:bottom w:val="single" w:sz="8" w:color="DDDDDD"/>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425,323</w:t>
            </w:r>
          </w:p>
        </w:tc>
      </w:tr>
      <w:tr>
        <w:trPr>
          <w:trHeight w:val="20"/>
        </w:trPr>
        <w:tc>
          <w:tcPr>
            <w:tcW w:w="750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4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w:t>
      </w:r>
    </w:p>
    <w:p>
      <w:pPr>
        <w:ind w:left="480"/>
        <w:spacing w:after="0"/>
        <w:rPr>
          <w:sz w:val="20"/>
          <w:szCs w:val="20"/>
          <w:color w:val="auto"/>
        </w:rPr>
      </w:pPr>
      <w:r>
        <w:rPr>
          <w:rFonts w:ascii="Arial" w:cs="Arial" w:eastAsia="Arial" w:hAnsi="Arial"/>
          <w:sz w:val="14"/>
          <w:szCs w:val="14"/>
          <w:color w:val="auto"/>
        </w:rPr>
        <w:t>Includes $7.5 million and $6.2 million of service revenue for the three months ended March 31, 2022 and 2021, respectively.</w:t>
      </w:r>
    </w:p>
    <w:p>
      <w:pPr>
        <w:spacing w:after="0" w:line="19" w:lineRule="exact"/>
        <w:rPr>
          <w:sz w:val="20"/>
          <w:szCs w:val="20"/>
          <w:color w:val="auto"/>
        </w:rPr>
      </w:pPr>
    </w:p>
    <w:p>
      <w:pPr>
        <w:ind w:left="480" w:hanging="46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7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 xml:space="preserve">The majority of revenue (76% and 73% for the three months ended March 31, 2022 and 2021, respectively) was generated by rental income subject to the guidance of ASU 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sale of units subject to the guidance in ASC 606.</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and Credit Losses</w:t>
      </w:r>
    </w:p>
    <w:p>
      <w:pPr>
        <w:spacing w:after="0" w:line="8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The Company manages credit risk associated with its accounts receivables at the customer level. Because the same customers generate the revenues that are accounted for under both ASC 606 and ASC 842, the discussions below on credit risk and the Company's allowance for credit losses address the Company's total revenues. Concentration of credit risk with respect to the Company's receivables is limited because of a large number of geographically diverse customers who operate in a variety of end user markets.</w:t>
      </w:r>
    </w:p>
    <w:p>
      <w:pPr>
        <w:spacing w:after="0" w:line="35"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is exposed to credit losses from trade receivables. The Company assesses each customer’s ability to pay for the products it leases or sells by conducting a credit review. The credit review considers expected billing exposure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15"/>
          <w:szCs w:val="15"/>
          <w:color w:val="auto"/>
        </w:rPr>
        <w:t>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collection experience and, as applicable, current conditions and reasonable and supportable forecasts that affect collectability. The Company's estimate reflects changing circumstances, including changes in the economy or in the particular circumstances of individual customers. Accordingly, the Company may be required to increase or decrease its allowance.</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4"/>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9"/>
        </w:trPr>
        <w:tc>
          <w:tcPr>
            <w:tcW w:w="7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47,629</w:t>
            </w:r>
          </w:p>
        </w:tc>
        <w:tc>
          <w:tcPr>
            <w:tcW w:w="80" w:type="dxa"/>
            <w:vAlign w:val="bottom"/>
            <w:shd w:val="clear" w:color="auto" w:fill="DDDDDD"/>
          </w:tcPr>
          <w:p>
            <w:pPr>
              <w:spacing w:after="0"/>
              <w:rPr>
                <w:sz w:val="17"/>
                <w:szCs w:val="17"/>
                <w:color w:val="auto"/>
              </w:rPr>
            </w:pPr>
          </w:p>
        </w:tc>
        <w:tc>
          <w:tcPr>
            <w:tcW w:w="72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29,258</w:t>
            </w:r>
          </w:p>
        </w:tc>
      </w:tr>
      <w:tr>
        <w:trPr>
          <w:trHeight w:val="203"/>
        </w:trPr>
        <w:tc>
          <w:tcPr>
            <w:tcW w:w="750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8,601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8,516</w:t>
            </w:r>
          </w:p>
        </w:tc>
      </w:tr>
      <w:tr>
        <w:trPr>
          <w:trHeight w:val="209"/>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420" w:type="dxa"/>
            <w:vAlign w:val="bottom"/>
            <w:shd w:val="clear" w:color="auto" w:fill="DDDDDD"/>
          </w:tcPr>
          <w:p>
            <w:pPr>
              <w:spacing w:after="0"/>
              <w:rPr>
                <w:sz w:val="18"/>
                <w:szCs w:val="18"/>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(7,010)</w:t>
            </w:r>
          </w:p>
        </w:tc>
        <w:tc>
          <w:tcPr>
            <w:tcW w:w="8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(5,813)</w:t>
            </w:r>
          </w:p>
        </w:tc>
      </w:tr>
      <w:tr>
        <w:trPr>
          <w:trHeight w:val="203"/>
        </w:trPr>
        <w:tc>
          <w:tcPr>
            <w:tcW w:w="75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w:t>
            </w:r>
          </w:p>
        </w:tc>
        <w:tc>
          <w:tcPr>
            <w:tcW w:w="8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w:t>
            </w:r>
          </w:p>
        </w:tc>
      </w:tr>
      <w:tr>
        <w:trPr>
          <w:trHeight w:val="224"/>
        </w:trPr>
        <w:tc>
          <w:tcPr>
            <w:tcW w:w="7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420" w:type="dxa"/>
            <w:vAlign w:val="bottom"/>
            <w:tcBorders>
              <w:bottom w:val="single" w:sz="8" w:color="auto"/>
            </w:tcBorders>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49,258</w:t>
            </w:r>
          </w:p>
        </w:tc>
        <w:tc>
          <w:tcPr>
            <w:tcW w:w="80" w:type="dxa"/>
            <w:vAlign w:val="bottom"/>
            <w:tcBorders>
              <w:bottom w:val="single" w:sz="8" w:color="DDDDDD"/>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31,630</w:t>
            </w:r>
          </w:p>
        </w:tc>
      </w:tr>
      <w:tr>
        <w:trPr>
          <w:trHeight w:val="20"/>
        </w:trPr>
        <w:tc>
          <w:tcPr>
            <w:tcW w:w="75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4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8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During the three months ended March 31, 2022, $20.3 million of deferred revenue relating to these services was recognized as revenue. As of March 31, 2022 and December 31, 2021, the Company had approximately $84.4 million and $79.4 million, respectively, of deferred revenue related to these services.</w:t>
      </w:r>
    </w:p>
    <w:p>
      <w:pPr>
        <w:spacing w:after="0" w:line="3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The Company does not have material contract assets and it did not recognize any material impairments of contract assets.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expedient to omit disclosure of such amounts.</w:t>
      </w:r>
    </w:p>
    <w:p>
      <w:pPr>
        <w:spacing w:after="0" w:line="3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therefore, the commissions are expensed as incurred.</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1D2758"/>
        </w:rPr>
        <w:t>NOTE 4 - Leases</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March 31, 2022, the undiscounted future lease payments for operating and finance lease liabilities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0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ind w:left="380"/>
              <w:spacing w:after="0"/>
              <w:rPr>
                <w:sz w:val="20"/>
                <w:szCs w:val="20"/>
                <w:color w:val="auto"/>
              </w:rPr>
            </w:pPr>
            <w:r>
              <w:rPr>
                <w:rFonts w:ascii="Arial" w:cs="Arial" w:eastAsia="Arial" w:hAnsi="Arial"/>
                <w:sz w:val="15"/>
                <w:szCs w:val="15"/>
                <w:b w:val="1"/>
                <w:bCs w:val="1"/>
                <w:color w:val="FFFFFF"/>
              </w:rPr>
              <w:t>Operating</w:t>
            </w:r>
          </w:p>
        </w:tc>
        <w:tc>
          <w:tcPr>
            <w:tcW w:w="540" w:type="dxa"/>
            <w:vAlign w:val="bottom"/>
            <w:shd w:val="clear" w:color="auto" w:fill="1D2758"/>
          </w:tcPr>
          <w:p>
            <w:pPr>
              <w:spacing w:after="0"/>
              <w:rPr>
                <w:sz w:val="17"/>
                <w:szCs w:val="17"/>
                <w:color w:val="auto"/>
              </w:rPr>
            </w:pPr>
          </w:p>
        </w:tc>
        <w:tc>
          <w:tcPr>
            <w:tcW w:w="194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Finance</w:t>
            </w:r>
          </w:p>
        </w:tc>
      </w:tr>
      <w:tr>
        <w:trPr>
          <w:trHeight w:val="206"/>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2022 (remaining)</w:t>
            </w: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48,135</w:t>
            </w:r>
          </w:p>
        </w:tc>
        <w:tc>
          <w:tcPr>
            <w:tcW w:w="80" w:type="dxa"/>
            <w:vAlign w:val="bottom"/>
            <w:shd w:val="clear" w:color="auto" w:fill="DBDBDB"/>
          </w:tcPr>
          <w:p>
            <w:pPr>
              <w:spacing w:after="0"/>
              <w:rPr>
                <w:sz w:val="17"/>
                <w:szCs w:val="17"/>
                <w:color w:val="auto"/>
              </w:rPr>
            </w:pPr>
          </w:p>
        </w:tc>
        <w:tc>
          <w:tcPr>
            <w:tcW w:w="54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16,756</w:t>
            </w:r>
          </w:p>
        </w:tc>
      </w:tr>
      <w:tr>
        <w:trPr>
          <w:trHeight w:val="203"/>
        </w:trPr>
        <w:tc>
          <w:tcPr>
            <w:tcW w:w="6200" w:type="dxa"/>
            <w:vAlign w:val="bottom"/>
          </w:tcPr>
          <w:p>
            <w:pPr>
              <w:ind w:left="20"/>
              <w:spacing w:after="0"/>
              <w:rPr>
                <w:sz w:val="20"/>
                <w:szCs w:val="20"/>
                <w:color w:val="auto"/>
              </w:rPr>
            </w:pPr>
            <w:r>
              <w:rPr>
                <w:rFonts w:ascii="Arial" w:cs="Arial" w:eastAsia="Arial" w:hAnsi="Arial"/>
                <w:sz w:val="15"/>
                <w:szCs w:val="15"/>
                <w:color w:val="auto"/>
              </w:rPr>
              <w:t>2023</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55,336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18,638</w:t>
            </w:r>
          </w:p>
        </w:tc>
      </w:tr>
      <w:tr>
        <w:trPr>
          <w:trHeight w:val="209"/>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46,826</w:t>
            </w:r>
          </w:p>
        </w:tc>
        <w:tc>
          <w:tcPr>
            <w:tcW w:w="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15,717</w:t>
            </w:r>
          </w:p>
        </w:tc>
      </w:tr>
      <w:tr>
        <w:trPr>
          <w:trHeight w:val="203"/>
        </w:trPr>
        <w:tc>
          <w:tcPr>
            <w:tcW w:w="6200" w:type="dxa"/>
            <w:vAlign w:val="bottom"/>
          </w:tcPr>
          <w:p>
            <w:pPr>
              <w:ind w:left="20"/>
              <w:spacing w:after="0"/>
              <w:rPr>
                <w:sz w:val="20"/>
                <w:szCs w:val="20"/>
                <w:color w:val="auto"/>
              </w:rPr>
            </w:pPr>
            <w:r>
              <w:rPr>
                <w:rFonts w:ascii="Arial" w:cs="Arial" w:eastAsia="Arial" w:hAnsi="Arial"/>
                <w:sz w:val="15"/>
                <w:szCs w:val="15"/>
                <w:color w:val="auto"/>
              </w:rPr>
              <w:t>2025</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39,301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15,825</w:t>
            </w:r>
          </w:p>
        </w:tc>
      </w:tr>
      <w:tr>
        <w:trPr>
          <w:trHeight w:val="209"/>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28,736</w:t>
            </w:r>
          </w:p>
        </w:tc>
        <w:tc>
          <w:tcPr>
            <w:tcW w:w="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13,815</w:t>
            </w:r>
          </w:p>
        </w:tc>
      </w:tr>
      <w:tr>
        <w:trPr>
          <w:trHeight w:val="203"/>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63,915</w:t>
            </w:r>
          </w:p>
        </w:tc>
        <w:tc>
          <w:tcPr>
            <w:tcW w:w="8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17,416</w:t>
            </w:r>
          </w:p>
        </w:tc>
      </w:tr>
      <w:tr>
        <w:trPr>
          <w:trHeight w:val="202"/>
        </w:trPr>
        <w:tc>
          <w:tcPr>
            <w:tcW w:w="62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500" w:type="dxa"/>
            <w:vAlign w:val="bottom"/>
            <w:shd w:val="clear" w:color="auto" w:fill="DBDBDB"/>
          </w:tcPr>
          <w:p>
            <w:pPr>
              <w:spacing w:after="0"/>
              <w:rPr>
                <w:sz w:val="17"/>
                <w:szCs w:val="17"/>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282,249</w:t>
            </w:r>
          </w:p>
        </w:tc>
        <w:tc>
          <w:tcPr>
            <w:tcW w:w="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98,167</w:t>
            </w:r>
          </w:p>
        </w:tc>
      </w:tr>
      <w:tr>
        <w:trPr>
          <w:trHeight w:val="203"/>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(40,673)</w:t>
            </w:r>
          </w:p>
        </w:tc>
        <w:tc>
          <w:tcPr>
            <w:tcW w:w="8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(7,474)</w:t>
            </w:r>
          </w:p>
        </w:tc>
      </w:tr>
      <w:tr>
        <w:trPr>
          <w:trHeight w:val="224"/>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50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241,576</w:t>
            </w:r>
          </w:p>
        </w:tc>
        <w:tc>
          <w:tcPr>
            <w:tcW w:w="8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90,693</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lease activity during the three months ended March 31, 2022 and 2021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17"/>
                <w:szCs w:val="17"/>
                <w:color w:val="auto"/>
              </w:rPr>
            </w:pPr>
          </w:p>
        </w:tc>
        <w:tc>
          <w:tcPr>
            <w:tcW w:w="4440" w:type="dxa"/>
            <w:vAlign w:val="bottom"/>
            <w:gridSpan w:val="4"/>
            <w:shd w:val="clear" w:color="auto" w:fill="1D2758"/>
          </w:tcPr>
          <w:p>
            <w:pPr>
              <w:jc w:val="right"/>
              <w:ind w:right="1283"/>
              <w:spacing w:after="0"/>
              <w:rPr>
                <w:sz w:val="20"/>
                <w:szCs w:val="20"/>
                <w:color w:val="auto"/>
              </w:rPr>
            </w:pPr>
            <w:r>
              <w:rPr>
                <w:rFonts w:ascii="Arial" w:cs="Arial" w:eastAsia="Arial" w:hAnsi="Arial"/>
                <w:sz w:val="15"/>
                <w:szCs w:val="15"/>
                <w:b w:val="1"/>
                <w:bCs w:val="1"/>
                <w:color w:val="FFFFFF"/>
              </w:rPr>
              <w:t>Three Months Ended March 31,</w:t>
            </w: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58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203"/>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5,224</w:t>
            </w:r>
          </w:p>
        </w:tc>
        <w:tc>
          <w:tcPr>
            <w:tcW w:w="80" w:type="dxa"/>
            <w:vAlign w:val="bottom"/>
          </w:tcPr>
          <w:p>
            <w:pPr>
              <w:spacing w:after="0"/>
              <w:rPr>
                <w:sz w:val="17"/>
                <w:szCs w:val="17"/>
                <w:color w:val="auto"/>
              </w:rPr>
            </w:pP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4,378</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654</w:t>
            </w:r>
          </w:p>
        </w:tc>
        <w:tc>
          <w:tcPr>
            <w:tcW w:w="80" w:type="dxa"/>
            <w:vAlign w:val="bottom"/>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547</w:t>
            </w:r>
          </w:p>
        </w:tc>
      </w:tr>
      <w:tr>
        <w:trPr>
          <w:trHeight w:val="202"/>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5,878</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4,925</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9"/>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Fixed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825</w:t>
            </w:r>
          </w:p>
        </w:tc>
        <w:tc>
          <w:tcPr>
            <w:tcW w:w="80" w:type="dxa"/>
            <w:vAlign w:val="bottom"/>
          </w:tcPr>
          <w:p>
            <w:pPr>
              <w:spacing w:after="0"/>
              <w:rPr>
                <w:sz w:val="17"/>
                <w:szCs w:val="17"/>
                <w:color w:val="auto"/>
              </w:rPr>
            </w:pP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1,106</w:t>
            </w:r>
          </w:p>
        </w:tc>
      </w:tr>
      <w:tr>
        <w:trPr>
          <w:trHeight w:val="209"/>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16,289</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14,472</w:t>
            </w: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213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596</w:t>
            </w: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Short-term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9,042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6,379</w:t>
            </w:r>
          </w:p>
        </w:tc>
      </w:tr>
      <w:tr>
        <w:trPr>
          <w:trHeight w:val="209"/>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715</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w:t>
            </w: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Variable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9"/>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1,287</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1,802</w:t>
            </w: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2,169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1,838</w:t>
            </w:r>
          </w:p>
        </w:tc>
      </w:tr>
      <w:tr>
        <w:trPr>
          <w:trHeight w:val="206"/>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w:t>
            </w:r>
          </w:p>
        </w:tc>
      </w:tr>
      <w:tr>
        <w:trPr>
          <w:trHeight w:val="202"/>
        </w:trPr>
        <w:tc>
          <w:tcPr>
            <w:tcW w:w="6220" w:type="dxa"/>
            <w:vAlign w:val="bottom"/>
          </w:tcPr>
          <w:p>
            <w:pPr>
              <w:ind w:left="20"/>
              <w:spacing w:after="0"/>
              <w:rPr>
                <w:sz w:val="20"/>
                <w:szCs w:val="20"/>
                <w:color w:val="auto"/>
              </w:rPr>
            </w:pPr>
            <w:r>
              <w:rPr>
                <w:rFonts w:ascii="Arial" w:cs="Arial" w:eastAsia="Arial" w:hAnsi="Arial"/>
                <w:sz w:val="15"/>
                <w:szCs w:val="15"/>
                <w:color w:val="auto"/>
              </w:rPr>
              <w:t>Total operating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30,590</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26,921</w:t>
            </w:r>
          </w:p>
        </w:tc>
      </w:tr>
      <w:tr>
        <w:trPr>
          <w:trHeight w:val="20"/>
        </w:trPr>
        <w:tc>
          <w:tcPr>
            <w:tcW w:w="6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Lease impairment expense and other related charges relate to closed locations that are no longer used in operations as a result of consolidation activities within the Company. During the three months ended March 31, 2022, the Company recorded $0.3 million in lease impairment expense and other related charges which is comprised of closed location rent expense. During the three months ended March 31, 2021, the Company recorded $1.3 million in lease impairment expense and other related charges which is comprised of $0.5 million loss on lease exit and impairment charges and $0.8 million in closed location rent expense.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Supplemental cash flow information related to leases for the three months ended March 31, 2022 and 2021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780" w:type="dxa"/>
            <w:vAlign w:val="bottom"/>
            <w:gridSpan w:val="3"/>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Three Months Ended March 31,</w:t>
            </w:r>
          </w:p>
        </w:tc>
        <w:tc>
          <w:tcPr>
            <w:tcW w:w="740" w:type="dxa"/>
            <w:vAlign w:val="bottom"/>
            <w:shd w:val="clear" w:color="auto" w:fill="1D2758"/>
          </w:tcPr>
          <w:p>
            <w:pPr>
              <w:spacing w:after="0"/>
              <w:rPr>
                <w:sz w:val="17"/>
                <w:szCs w:val="17"/>
                <w:color w:val="auto"/>
              </w:rPr>
            </w:pPr>
          </w:p>
        </w:tc>
      </w:tr>
      <w:tr>
        <w:trPr>
          <w:trHeight w:val="20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148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2022</w:t>
            </w:r>
          </w:p>
        </w:tc>
        <w:tc>
          <w:tcPr>
            <w:tcW w:w="76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2021</w:t>
            </w:r>
          </w:p>
        </w:tc>
        <w:tc>
          <w:tcPr>
            <w:tcW w:w="740" w:type="dxa"/>
            <w:vAlign w:val="bottom"/>
            <w:shd w:val="clear" w:color="auto" w:fill="1D2758"/>
          </w:tcPr>
          <w:p>
            <w:pPr>
              <w:spacing w:after="0"/>
              <w:rPr>
                <w:sz w:val="17"/>
                <w:szCs w:val="17"/>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148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r>
      <w:tr>
        <w:trPr>
          <w:trHeight w:val="203"/>
        </w:trPr>
        <w:tc>
          <w:tcPr>
            <w:tcW w:w="67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1480" w:type="dxa"/>
            <w:vAlign w:val="bottom"/>
          </w:tcPr>
          <w:p>
            <w:pPr>
              <w:jc w:val="right"/>
              <w:ind w:right="13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17,334</w:t>
            </w:r>
          </w:p>
        </w:tc>
        <w:tc>
          <w:tcPr>
            <w:tcW w:w="1540" w:type="dxa"/>
            <w:vAlign w:val="bottom"/>
          </w:tcPr>
          <w:p>
            <w:pPr>
              <w:jc w:val="right"/>
              <w:ind w:right="128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16,458</w:t>
            </w:r>
          </w:p>
        </w:tc>
      </w:tr>
      <w:tr>
        <w:trPr>
          <w:trHeight w:val="209"/>
        </w:trPr>
        <w:tc>
          <w:tcPr>
            <w:tcW w:w="67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1480" w:type="dxa"/>
            <w:vAlign w:val="bottom"/>
            <w:shd w:val="clear" w:color="auto" w:fill="DBDBDB"/>
          </w:tcPr>
          <w:p>
            <w:pPr>
              <w:jc w:val="right"/>
              <w:ind w:right="130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636</w:t>
            </w:r>
          </w:p>
        </w:tc>
        <w:tc>
          <w:tcPr>
            <w:tcW w:w="1540" w:type="dxa"/>
            <w:vAlign w:val="bottom"/>
            <w:shd w:val="clear" w:color="auto" w:fill="DBDBDB"/>
          </w:tcPr>
          <w:p>
            <w:pPr>
              <w:jc w:val="right"/>
              <w:ind w:right="1283"/>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549</w:t>
            </w:r>
          </w:p>
        </w:tc>
      </w:tr>
      <w:tr>
        <w:trPr>
          <w:trHeight w:val="203"/>
        </w:trPr>
        <w:tc>
          <w:tcPr>
            <w:tcW w:w="67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1480" w:type="dxa"/>
            <w:vAlign w:val="bottom"/>
          </w:tcPr>
          <w:p>
            <w:pPr>
              <w:jc w:val="right"/>
              <w:ind w:right="13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5,263</w:t>
            </w:r>
          </w:p>
        </w:tc>
        <w:tc>
          <w:tcPr>
            <w:tcW w:w="1540" w:type="dxa"/>
            <w:vAlign w:val="bottom"/>
          </w:tcPr>
          <w:p>
            <w:pPr>
              <w:jc w:val="right"/>
              <w:ind w:right="128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3,771</w:t>
            </w:r>
          </w:p>
        </w:tc>
      </w:tr>
      <w:tr>
        <w:trPr>
          <w:trHeight w:val="248"/>
        </w:trPr>
        <w:tc>
          <w:tcPr>
            <w:tcW w:w="6720" w:type="dxa"/>
            <w:vAlign w:val="bottom"/>
            <w:shd w:val="clear" w:color="auto" w:fill="DBDBDB"/>
          </w:tcPr>
          <w:p>
            <w:pPr>
              <w:spacing w:after="0"/>
              <w:rPr>
                <w:sz w:val="21"/>
                <w:szCs w:val="21"/>
                <w:color w:val="auto"/>
              </w:rPr>
            </w:pPr>
          </w:p>
        </w:tc>
        <w:tc>
          <w:tcPr>
            <w:tcW w:w="148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54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r>
      <w:tr>
        <w:trPr>
          <w:trHeight w:val="203"/>
        </w:trPr>
        <w:tc>
          <w:tcPr>
            <w:tcW w:w="67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1480" w:type="dxa"/>
            <w:vAlign w:val="bottom"/>
          </w:tcPr>
          <w:p>
            <w:pPr>
              <w:jc w:val="right"/>
              <w:ind w:right="13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8,810</w:t>
            </w:r>
          </w:p>
        </w:tc>
        <w:tc>
          <w:tcPr>
            <w:tcW w:w="1540" w:type="dxa"/>
            <w:vAlign w:val="bottom"/>
          </w:tcPr>
          <w:p>
            <w:pPr>
              <w:jc w:val="right"/>
              <w:ind w:right="128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10,878</w:t>
            </w:r>
          </w:p>
        </w:tc>
      </w:tr>
      <w:tr>
        <w:trPr>
          <w:trHeight w:val="209"/>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1480" w:type="dxa"/>
            <w:vAlign w:val="bottom"/>
            <w:shd w:val="clear" w:color="auto" w:fill="DBDBDB"/>
          </w:tcPr>
          <w:p>
            <w:pPr>
              <w:jc w:val="right"/>
              <w:ind w:right="130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7,011</w:t>
            </w:r>
          </w:p>
        </w:tc>
        <w:tc>
          <w:tcPr>
            <w:tcW w:w="1540" w:type="dxa"/>
            <w:vAlign w:val="bottom"/>
            <w:shd w:val="clear" w:color="auto" w:fill="DBDBDB"/>
          </w:tcPr>
          <w:p>
            <w:pPr>
              <w:jc w:val="right"/>
              <w:ind w:right="1283"/>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color w:val="auto"/>
        </w:rPr>
        <w:t>Weighted-average remaining operating lease terms and the weighted average discount rates as of March 31, 2022 and December 31, 2021 were as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20"/>
                <w:szCs w:val="20"/>
                <w:color w:val="auto"/>
              </w:rPr>
            </w:pPr>
            <w:r>
              <w:rPr>
                <w:rFonts w:ascii="Arial" w:cs="Arial" w:eastAsia="Arial" w:hAnsi="Arial"/>
                <w:sz w:val="15"/>
                <w:szCs w:val="15"/>
                <w:color w:val="auto"/>
              </w:rPr>
              <w:t>follows:</w:t>
            </w:r>
          </w:p>
        </w:tc>
        <w:tc>
          <w:tcPr>
            <w:tcW w:w="35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73"/>
        </w:trPr>
        <w:tc>
          <w:tcPr>
            <w:tcW w:w="56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06"/>
        </w:trPr>
        <w:tc>
          <w:tcPr>
            <w:tcW w:w="560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352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March 31, 2022</w:t>
            </w:r>
          </w:p>
        </w:tc>
        <w:tc>
          <w:tcPr>
            <w:tcW w:w="212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operating leases</w:t>
            </w:r>
          </w:p>
        </w:tc>
        <w:tc>
          <w:tcPr>
            <w:tcW w:w="35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6.0 years</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 years</w:t>
            </w: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Weighted-average discount rate - operating leases</w:t>
            </w:r>
          </w:p>
        </w:tc>
        <w:tc>
          <w:tcPr>
            <w:tcW w:w="3520" w:type="dxa"/>
            <w:vAlign w:val="bottom"/>
          </w:tcPr>
          <w:p>
            <w:pPr>
              <w:jc w:val="right"/>
              <w:ind w:right="203"/>
              <w:spacing w:after="0"/>
              <w:rPr>
                <w:sz w:val="20"/>
                <w:szCs w:val="20"/>
                <w:color w:val="auto"/>
              </w:rPr>
            </w:pPr>
            <w:r>
              <w:rPr>
                <w:rFonts w:ascii="Arial" w:cs="Arial" w:eastAsia="Arial" w:hAnsi="Arial"/>
                <w:sz w:val="15"/>
                <w:szCs w:val="15"/>
                <w:color w:val="auto"/>
              </w:rPr>
              <w:t>4.9 %</w:t>
            </w:r>
          </w:p>
        </w:tc>
        <w:tc>
          <w:tcPr>
            <w:tcW w:w="2120" w:type="dxa"/>
            <w:vAlign w:val="bottom"/>
          </w:tcPr>
          <w:p>
            <w:pPr>
              <w:jc w:val="right"/>
              <w:spacing w:after="0"/>
              <w:rPr>
                <w:sz w:val="20"/>
                <w:szCs w:val="20"/>
                <w:color w:val="auto"/>
              </w:rPr>
            </w:pPr>
            <w:r>
              <w:rPr>
                <w:rFonts w:ascii="Arial" w:cs="Arial" w:eastAsia="Arial" w:hAnsi="Arial"/>
                <w:sz w:val="15"/>
                <w:szCs w:val="15"/>
                <w:color w:val="auto"/>
              </w:rPr>
              <w:t>5.0 %</w:t>
            </w:r>
          </w:p>
        </w:tc>
      </w:tr>
      <w:tr>
        <w:trPr>
          <w:trHeight w:val="209"/>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finance leases</w:t>
            </w:r>
          </w:p>
        </w:tc>
        <w:tc>
          <w:tcPr>
            <w:tcW w:w="35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4.5 years</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 years</w:t>
            </w:r>
          </w:p>
        </w:tc>
      </w:tr>
      <w:tr>
        <w:trPr>
          <w:trHeight w:val="201"/>
        </w:trPr>
        <w:tc>
          <w:tcPr>
            <w:tcW w:w="5600" w:type="dxa"/>
            <w:vAlign w:val="bottom"/>
          </w:tcPr>
          <w:p>
            <w:pPr>
              <w:ind w:left="20"/>
              <w:spacing w:after="0"/>
              <w:rPr>
                <w:sz w:val="20"/>
                <w:szCs w:val="20"/>
                <w:color w:val="auto"/>
              </w:rPr>
            </w:pPr>
            <w:r>
              <w:rPr>
                <w:rFonts w:ascii="Arial" w:cs="Arial" w:eastAsia="Arial" w:hAnsi="Arial"/>
                <w:sz w:val="15"/>
                <w:szCs w:val="15"/>
                <w:color w:val="auto"/>
              </w:rPr>
              <w:t>Weighted-average discount rate - finance leases</w:t>
            </w:r>
          </w:p>
        </w:tc>
        <w:tc>
          <w:tcPr>
            <w:tcW w:w="3520" w:type="dxa"/>
            <w:vAlign w:val="bottom"/>
          </w:tcPr>
          <w:p>
            <w:pPr>
              <w:jc w:val="right"/>
              <w:ind w:right="203"/>
              <w:spacing w:after="0"/>
              <w:rPr>
                <w:sz w:val="20"/>
                <w:szCs w:val="20"/>
                <w:color w:val="auto"/>
              </w:rPr>
            </w:pPr>
            <w:r>
              <w:rPr>
                <w:rFonts w:ascii="Arial" w:cs="Arial" w:eastAsia="Arial" w:hAnsi="Arial"/>
                <w:sz w:val="15"/>
                <w:szCs w:val="15"/>
                <w:color w:val="auto"/>
              </w:rPr>
              <w:t>2.9 %</w:t>
            </w:r>
          </w:p>
        </w:tc>
        <w:tc>
          <w:tcPr>
            <w:tcW w:w="2120" w:type="dxa"/>
            <w:vAlign w:val="bottom"/>
          </w:tcPr>
          <w:p>
            <w:pPr>
              <w:jc w:val="right"/>
              <w:spacing w:after="0"/>
              <w:rPr>
                <w:sz w:val="20"/>
                <w:szCs w:val="20"/>
                <w:color w:val="auto"/>
              </w:rPr>
            </w:pPr>
            <w:r>
              <w:rPr>
                <w:rFonts w:ascii="Arial" w:cs="Arial" w:eastAsia="Arial" w:hAnsi="Arial"/>
                <w:sz w:val="15"/>
                <w:szCs w:val="15"/>
                <w:color w:val="auto"/>
              </w:rPr>
              <w:t>2.9 %</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1D2758"/>
        </w:rPr>
        <w:t>NOTE 5 - Inventories</w:t>
      </w:r>
    </w:p>
    <w:p>
      <w:pPr>
        <w:spacing w:after="0" w:line="4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March 31, 2022</w:t>
            </w:r>
          </w:p>
        </w:tc>
        <w:tc>
          <w:tcPr>
            <w:tcW w:w="56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260" w:type="dxa"/>
            <w:vAlign w:val="bottom"/>
            <w:shd w:val="clear" w:color="auto" w:fill="1D2758"/>
          </w:tcPr>
          <w:p>
            <w:pPr>
              <w:spacing w:after="0"/>
              <w:rPr>
                <w:sz w:val="19"/>
                <w:szCs w:val="19"/>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73"/>
        </w:trPr>
        <w:tc>
          <w:tcPr>
            <w:tcW w:w="6720" w:type="dxa"/>
            <w:vAlign w:val="bottom"/>
            <w:shd w:val="clear" w:color="auto" w:fill="1D2758"/>
          </w:tcPr>
          <w:p>
            <w:pPr>
              <w:spacing w:after="0"/>
              <w:rPr>
                <w:sz w:val="6"/>
                <w:szCs w:val="6"/>
                <w:color w:val="auto"/>
              </w:rPr>
            </w:pPr>
          </w:p>
        </w:tc>
        <w:tc>
          <w:tcPr>
            <w:tcW w:w="1660" w:type="dxa"/>
            <w:vAlign w:val="bottom"/>
            <w:vMerge w:val="continue"/>
            <w:shd w:val="clear" w:color="auto" w:fill="1D2758"/>
          </w:tcPr>
          <w:p>
            <w:pPr>
              <w:spacing w:after="0"/>
              <w:rPr>
                <w:sz w:val="6"/>
                <w:szCs w:val="6"/>
                <w:color w:val="auto"/>
              </w:rPr>
            </w:pPr>
          </w:p>
        </w:tc>
        <w:tc>
          <w:tcPr>
            <w:tcW w:w="56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96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1660" w:type="dxa"/>
            <w:vAlign w:val="bottom"/>
            <w:shd w:val="clear" w:color="auto" w:fill="DBDBDB"/>
          </w:tcPr>
          <w:p>
            <w:pPr>
              <w:jc w:val="right"/>
              <w:ind w:right="148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32,600</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26,854</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7,285</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5,885</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1660" w:type="dxa"/>
            <w:vAlign w:val="bottom"/>
            <w:tcBorders>
              <w:bottom w:val="single" w:sz="8" w:color="auto"/>
            </w:tcBorders>
            <w:shd w:val="clear" w:color="auto" w:fill="DBDBDB"/>
          </w:tcPr>
          <w:p>
            <w:pPr>
              <w:jc w:val="right"/>
              <w:ind w:right="14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39,885</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32,739</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1D2758"/>
        </w:rPr>
        <w:t>NOTE 6 - Rental Equipment, net</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9"/>
                <w:szCs w:val="19"/>
                <w:color w:val="auto"/>
              </w:rPr>
            </w:pPr>
          </w:p>
        </w:tc>
        <w:tc>
          <w:tcPr>
            <w:tcW w:w="19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March 31, 2022</w:t>
            </w:r>
          </w:p>
        </w:tc>
        <w:tc>
          <w:tcPr>
            <w:tcW w:w="260" w:type="dxa"/>
            <w:vAlign w:val="bottom"/>
            <w:shd w:val="clear" w:color="auto" w:fill="1D2758"/>
          </w:tcPr>
          <w:p>
            <w:pPr>
              <w:spacing w:after="0"/>
              <w:rPr>
                <w:sz w:val="19"/>
                <w:szCs w:val="19"/>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73"/>
        </w:trPr>
        <w:tc>
          <w:tcPr>
            <w:tcW w:w="6720" w:type="dxa"/>
            <w:vAlign w:val="bottom"/>
            <w:shd w:val="clear" w:color="auto" w:fill="1D2758"/>
          </w:tcPr>
          <w:p>
            <w:pPr>
              <w:spacing w:after="0"/>
              <w:rPr>
                <w:sz w:val="6"/>
                <w:szCs w:val="6"/>
                <w:color w:val="auto"/>
              </w:rPr>
            </w:pPr>
          </w:p>
        </w:tc>
        <w:tc>
          <w:tcPr>
            <w:tcW w:w="340" w:type="dxa"/>
            <w:vAlign w:val="bottom"/>
            <w:shd w:val="clear" w:color="auto" w:fill="1D2758"/>
          </w:tcPr>
          <w:p>
            <w:pPr>
              <w:spacing w:after="0"/>
              <w:rPr>
                <w:sz w:val="6"/>
                <w:szCs w:val="6"/>
                <w:color w:val="auto"/>
              </w:rPr>
            </w:pPr>
          </w:p>
        </w:tc>
        <w:tc>
          <w:tcPr>
            <w:tcW w:w="1960" w:type="dxa"/>
            <w:vAlign w:val="bottom"/>
            <w:gridSpan w:val="2"/>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96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3,115,582</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3,005,195</w:t>
            </w:r>
          </w:p>
        </w:tc>
        <w:tc>
          <w:tcPr>
            <w:tcW w:w="0" w:type="dxa"/>
            <w:vAlign w:val="bottom"/>
          </w:tcPr>
          <w:p>
            <w:pPr>
              <w:spacing w:after="0"/>
              <w:rPr>
                <w:sz w:val="1"/>
                <w:szCs w:val="1"/>
                <w:color w:val="auto"/>
              </w:rPr>
            </w:pPr>
          </w:p>
        </w:tc>
      </w:tr>
      <w:tr>
        <w:trPr>
          <w:trHeight w:val="203"/>
        </w:trPr>
        <w:tc>
          <w:tcPr>
            <w:tcW w:w="672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340" w:type="dxa"/>
            <w:vAlign w:val="bottom"/>
          </w:tcPr>
          <w:p>
            <w:pPr>
              <w:spacing w:after="0"/>
              <w:rPr>
                <w:sz w:val="17"/>
                <w:szCs w:val="17"/>
                <w:color w:val="auto"/>
              </w:rPr>
            </w:pP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765,792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758,619</w:t>
            </w:r>
          </w:p>
        </w:tc>
        <w:tc>
          <w:tcPr>
            <w:tcW w:w="0" w:type="dxa"/>
            <w:vAlign w:val="bottom"/>
          </w:tcPr>
          <w:p>
            <w:pPr>
              <w:spacing w:after="0"/>
              <w:rPr>
                <w:sz w:val="1"/>
                <w:szCs w:val="1"/>
                <w:color w:val="auto"/>
              </w:rPr>
            </w:pPr>
          </w:p>
        </w:tc>
      </w:tr>
      <w:tr>
        <w:trPr>
          <w:trHeight w:val="209"/>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Tank and pump products</w:t>
            </w:r>
          </w:p>
        </w:tc>
        <w:tc>
          <w:tcPr>
            <w:tcW w:w="340" w:type="dxa"/>
            <w:vAlign w:val="bottom"/>
            <w:shd w:val="clear" w:color="auto" w:fill="DBDBDB"/>
          </w:tcPr>
          <w:p>
            <w:pPr>
              <w:spacing w:after="0"/>
              <w:rPr>
                <w:sz w:val="18"/>
                <w:szCs w:val="18"/>
                <w:color w:val="auto"/>
              </w:rPr>
            </w:pP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163,814</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156,112</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Value added products</w:t>
            </w: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178,994</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168,419</w:t>
            </w:r>
          </w:p>
        </w:tc>
        <w:tc>
          <w:tcPr>
            <w:tcW w:w="0" w:type="dxa"/>
            <w:vAlign w:val="bottom"/>
          </w:tcPr>
          <w:p>
            <w:pPr>
              <w:spacing w:after="0"/>
              <w:rPr>
                <w:sz w:val="1"/>
                <w:szCs w:val="1"/>
                <w:color w:val="auto"/>
              </w:rPr>
            </w:pPr>
          </w:p>
        </w:tc>
      </w:tr>
      <w:tr>
        <w:trPr>
          <w:trHeight w:val="202"/>
        </w:trPr>
        <w:tc>
          <w:tcPr>
            <w:tcW w:w="67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rental equipment</w:t>
            </w:r>
          </w:p>
        </w:tc>
        <w:tc>
          <w:tcPr>
            <w:tcW w:w="340" w:type="dxa"/>
            <w:vAlign w:val="bottom"/>
            <w:shd w:val="clear" w:color="auto" w:fill="DBDBDB"/>
          </w:tcPr>
          <w:p>
            <w:pPr>
              <w:spacing w:after="0"/>
              <w:rPr>
                <w:sz w:val="17"/>
                <w:szCs w:val="17"/>
                <w:color w:val="auto"/>
              </w:rPr>
            </w:pP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4,224,182</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4,088,345</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accumulated depreciation</w:t>
            </w: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(1,060,098)</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(1,007,364)</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Rental equipment, net</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3,164,084</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3,080,981</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1D2758"/>
        </w:rPr>
        <w:t>NOTE 7 - Goodwill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0"/>
        </w:trPr>
        <w:tc>
          <w:tcPr>
            <w:tcW w:w="4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4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NA Modular</w:t>
            </w:r>
          </w:p>
        </w:tc>
        <w:tc>
          <w:tcPr>
            <w:tcW w:w="20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NA Storage</w:t>
            </w:r>
          </w:p>
        </w:tc>
        <w:tc>
          <w:tcPr>
            <w:tcW w:w="20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UK Storage</w:t>
            </w:r>
          </w:p>
        </w:tc>
        <w:tc>
          <w:tcPr>
            <w:tcW w:w="1320" w:type="dxa"/>
            <w:vAlign w:val="bottom"/>
            <w:gridSpan w:val="2"/>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Tank and Pump</w:t>
            </w:r>
          </w:p>
        </w:tc>
        <w:tc>
          <w:tcPr>
            <w:tcW w:w="32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235,828</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726,529</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65,600</w:t>
            </w:r>
          </w:p>
        </w:tc>
        <w:tc>
          <w:tcPr>
            <w:tcW w:w="4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143,262</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1,171,219</w:t>
            </w:r>
          </w:p>
        </w:tc>
      </w:tr>
      <w:tr>
        <w:trPr>
          <w:trHeight w:val="203"/>
        </w:trPr>
        <w:tc>
          <w:tcPr>
            <w:tcW w:w="4740" w:type="dxa"/>
            <w:vAlign w:val="bottom"/>
          </w:tcPr>
          <w:p>
            <w:pPr>
              <w:ind w:left="220"/>
              <w:spacing w:after="0"/>
              <w:rPr>
                <w:sz w:val="20"/>
                <w:szCs w:val="20"/>
                <w:color w:val="auto"/>
              </w:rPr>
            </w:pPr>
            <w:r>
              <w:rPr>
                <w:rFonts w:ascii="Arial" w:cs="Arial" w:eastAsia="Arial" w:hAnsi="Arial"/>
                <w:sz w:val="15"/>
                <w:szCs w:val="15"/>
                <w:color w:val="auto"/>
              </w:rPr>
              <w:t>Changes to Mobile Mini purchase accounting</w:t>
            </w:r>
          </w:p>
        </w:tc>
        <w:tc>
          <w:tcPr>
            <w:tcW w:w="14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285,000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(233,666)</w:t>
            </w:r>
          </w:p>
        </w:tc>
        <w:tc>
          <w:tcPr>
            <w:tcW w:w="20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(43,173)</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8,161</w:t>
            </w:r>
          </w:p>
        </w:tc>
      </w:tr>
      <w:tr>
        <w:trPr>
          <w:trHeight w:val="20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221</w:t>
            </w:r>
          </w:p>
        </w:tc>
        <w:tc>
          <w:tcPr>
            <w:tcW w:w="2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(311)</w:t>
            </w:r>
          </w:p>
        </w:tc>
        <w:tc>
          <w:tcPr>
            <w:tcW w:w="2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(502)</w:t>
            </w:r>
          </w:p>
        </w:tc>
        <w:tc>
          <w:tcPr>
            <w:tcW w:w="40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18</w:t>
            </w:r>
          </w:p>
        </w:tc>
        <w:tc>
          <w:tcPr>
            <w:tcW w:w="3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(574)</w:t>
            </w:r>
          </w:p>
        </w:tc>
      </w:tr>
      <w:tr>
        <w:trPr>
          <w:trHeight w:val="196"/>
        </w:trPr>
        <w:tc>
          <w:tcPr>
            <w:tcW w:w="4740" w:type="dxa"/>
            <w:vAlign w:val="bottom"/>
          </w:tcPr>
          <w:p>
            <w:pPr>
              <w:ind w:left="20"/>
              <w:spacing w:after="0"/>
              <w:rPr>
                <w:sz w:val="20"/>
                <w:szCs w:val="20"/>
                <w:color w:val="auto"/>
              </w:rPr>
            </w:pPr>
            <w:r>
              <w:rPr>
                <w:rFonts w:ascii="Arial" w:cs="Arial" w:eastAsia="Arial" w:hAnsi="Arial"/>
                <w:sz w:val="15"/>
                <w:szCs w:val="15"/>
                <w:color w:val="auto"/>
              </w:rPr>
              <w:t>Balance at December 31, 2021</w:t>
            </w:r>
          </w:p>
        </w:tc>
        <w:tc>
          <w:tcPr>
            <w:tcW w:w="14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521,049</w:t>
            </w:r>
          </w:p>
        </w:tc>
        <w:tc>
          <w:tcPr>
            <w:tcW w:w="20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492,552</w:t>
            </w:r>
          </w:p>
        </w:tc>
        <w:tc>
          <w:tcPr>
            <w:tcW w:w="20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65,098</w:t>
            </w:r>
          </w:p>
        </w:tc>
        <w:tc>
          <w:tcPr>
            <w:tcW w:w="4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100,107</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1,178,806</w:t>
            </w:r>
          </w:p>
        </w:tc>
      </w:tr>
      <w:tr>
        <w:trPr>
          <w:trHeight w:val="20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396</w:t>
            </w:r>
          </w:p>
        </w:tc>
        <w:tc>
          <w:tcPr>
            <w:tcW w:w="2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2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(1,858)</w:t>
            </w:r>
          </w:p>
        </w:tc>
        <w:tc>
          <w:tcPr>
            <w:tcW w:w="40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(1,518)</w:t>
            </w:r>
          </w:p>
        </w:tc>
      </w:tr>
      <w:tr>
        <w:trPr>
          <w:trHeight w:val="196"/>
        </w:trPr>
        <w:tc>
          <w:tcPr>
            <w:tcW w:w="474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521,445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492,496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63,240</w:t>
            </w:r>
          </w:p>
        </w:tc>
        <w:tc>
          <w:tcPr>
            <w:tcW w:w="4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100,107</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1,177,288</w:t>
            </w:r>
          </w:p>
        </w:tc>
      </w:tr>
      <w:tr>
        <w:trPr>
          <w:trHeight w:val="21"/>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no goodwill impairment during the three months ended March 31, 2022 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1D2758"/>
        </w:rPr>
        <w:t>NOTE 8 - Intangibles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5"/>
          </w:tcPr>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8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5060" w:type="dxa"/>
            <w:vAlign w:val="bottom"/>
            <w:shd w:val="clear" w:color="auto" w:fill="1D2758"/>
          </w:tcPr>
          <w:p>
            <w:pPr>
              <w:spacing w:after="0"/>
              <w:rPr>
                <w:sz w:val="17"/>
                <w:szCs w:val="17"/>
                <w:color w:val="auto"/>
              </w:rPr>
            </w:pPr>
          </w:p>
        </w:tc>
        <w:tc>
          <w:tcPr>
            <w:tcW w:w="156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March 31, 2022</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06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3"/>
              <w:spacing w:after="0" w:line="157" w:lineRule="exact"/>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6.4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209,000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(45,277)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163,723</w:t>
            </w:r>
          </w:p>
        </w:tc>
        <w:tc>
          <w:tcPr>
            <w:tcW w:w="0" w:type="dxa"/>
            <w:vAlign w:val="bottom"/>
          </w:tcPr>
          <w:p>
            <w:pPr>
              <w:spacing w:after="0"/>
              <w:rPr>
                <w:sz w:val="1"/>
                <w:szCs w:val="1"/>
                <w:color w:val="auto"/>
              </w:rPr>
            </w:pPr>
          </w:p>
        </w:tc>
      </w:tr>
      <w:tr>
        <w:trPr>
          <w:trHeight w:val="20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4.3</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(438)</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1,062</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8"/>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5"/>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499,500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(45,715)</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453,785</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60" w:type="dxa"/>
            <w:vAlign w:val="bottom"/>
            <w:shd w:val="clear" w:color="auto" w:fill="1D2758"/>
          </w:tcPr>
          <w:p>
            <w:pPr>
              <w:spacing w:after="0"/>
              <w:rPr>
                <w:sz w:val="17"/>
                <w:szCs w:val="17"/>
                <w:color w:val="auto"/>
              </w:rPr>
            </w:pPr>
          </w:p>
        </w:tc>
        <w:tc>
          <w:tcPr>
            <w:tcW w:w="156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December 31, 2021</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06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3"/>
              <w:spacing w:after="0" w:line="157" w:lineRule="exact"/>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6.6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209,000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(38,447)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170,553</w:t>
            </w:r>
          </w:p>
        </w:tc>
        <w:tc>
          <w:tcPr>
            <w:tcW w:w="0" w:type="dxa"/>
            <w:vAlign w:val="bottom"/>
          </w:tcPr>
          <w:p>
            <w:pPr>
              <w:spacing w:after="0"/>
              <w:rPr>
                <w:sz w:val="1"/>
                <w:szCs w:val="1"/>
                <w:color w:val="auto"/>
              </w:rPr>
            </w:pPr>
          </w:p>
        </w:tc>
      </w:tr>
      <w:tr>
        <w:trPr>
          <w:trHeight w:val="20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4.5</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8"/>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5"/>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499,500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(38,822)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460,678</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Amortization expense related to intangible assets was $6.6 million and $7.0 million for the three months ended March 31, 2022 and 2021, respectively.</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Based on the carrying value at March 31, 2022, future amortization of intangible assets is expected to be as follows for the years ended December 31: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r>
      <w:tr>
        <w:trPr>
          <w:trHeight w:val="203"/>
        </w:trPr>
        <w:tc>
          <w:tcPr>
            <w:tcW w:w="8760" w:type="dxa"/>
            <w:vAlign w:val="bottom"/>
          </w:tcPr>
          <w:p>
            <w:pPr>
              <w:ind w:left="20"/>
              <w:spacing w:after="0"/>
              <w:rPr>
                <w:sz w:val="20"/>
                <w:szCs w:val="20"/>
                <w:color w:val="auto"/>
              </w:rPr>
            </w:pPr>
            <w:r>
              <w:rPr>
                <w:rFonts w:ascii="Arial" w:cs="Arial" w:eastAsia="Arial" w:hAnsi="Arial"/>
                <w:sz w:val="15"/>
                <w:szCs w:val="15"/>
                <w:color w:val="auto"/>
              </w:rPr>
              <w:t>2022 (remaining)</w:t>
            </w:r>
          </w:p>
        </w:tc>
        <w:tc>
          <w:tcPr>
            <w:tcW w:w="980" w:type="dxa"/>
            <w:vAlign w:val="bottom"/>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19,812</w:t>
            </w:r>
          </w:p>
        </w:tc>
      </w:tr>
      <w:tr>
        <w:trPr>
          <w:trHeight w:val="209"/>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26,416</w:t>
            </w:r>
          </w:p>
        </w:tc>
      </w:tr>
      <w:tr>
        <w:trPr>
          <w:trHeight w:val="203"/>
        </w:trPr>
        <w:tc>
          <w:tcPr>
            <w:tcW w:w="8760" w:type="dxa"/>
            <w:vAlign w:val="bottom"/>
          </w:tcPr>
          <w:p>
            <w:pPr>
              <w:ind w:left="20"/>
              <w:spacing w:after="0"/>
              <w:rPr>
                <w:sz w:val="20"/>
                <w:szCs w:val="20"/>
                <w:color w:val="auto"/>
              </w:rPr>
            </w:pPr>
            <w:r>
              <w:rPr>
                <w:rFonts w:ascii="Arial" w:cs="Arial" w:eastAsia="Arial" w:hAnsi="Arial"/>
                <w:sz w:val="15"/>
                <w:szCs w:val="15"/>
                <w:color w:val="auto"/>
              </w:rPr>
              <w:t>2024</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26,416</w:t>
            </w:r>
          </w:p>
        </w:tc>
      </w:tr>
      <w:tr>
        <w:trPr>
          <w:trHeight w:val="209"/>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26,416</w:t>
            </w:r>
          </w:p>
        </w:tc>
      </w:tr>
      <w:tr>
        <w:trPr>
          <w:trHeight w:val="203"/>
        </w:trPr>
        <w:tc>
          <w:tcPr>
            <w:tcW w:w="8760" w:type="dxa"/>
            <w:vAlign w:val="bottom"/>
          </w:tcPr>
          <w:p>
            <w:pPr>
              <w:ind w:left="20"/>
              <w:spacing w:after="0"/>
              <w:rPr>
                <w:sz w:val="20"/>
                <w:szCs w:val="20"/>
                <w:color w:val="auto"/>
              </w:rPr>
            </w:pPr>
            <w:r>
              <w:rPr>
                <w:rFonts w:ascii="Arial" w:cs="Arial" w:eastAsia="Arial" w:hAnsi="Arial"/>
                <w:sz w:val="15"/>
                <w:szCs w:val="15"/>
                <w:color w:val="auto"/>
              </w:rPr>
              <w:t>2026</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25,432</w:t>
            </w: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Thereafter</w:t>
            </w:r>
          </w:p>
        </w:tc>
        <w:tc>
          <w:tcPr>
            <w:tcW w:w="9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40,293</w:t>
            </w:r>
          </w:p>
        </w:tc>
      </w:tr>
      <w:tr>
        <w:trPr>
          <w:trHeight w:val="202"/>
        </w:trPr>
        <w:tc>
          <w:tcPr>
            <w:tcW w:w="8760" w:type="dxa"/>
            <w:vAlign w:val="bottom"/>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164,785</w:t>
            </w:r>
          </w:p>
        </w:tc>
      </w:tr>
      <w:tr>
        <w:trPr>
          <w:trHeight w:val="20"/>
        </w:trPr>
        <w:tc>
          <w:tcPr>
            <w:tcW w:w="8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1D2758"/>
        </w:rPr>
        <w:t>NOTE 9 - Debt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gridSpan w:val="3"/>
          </w:tcPr>
          <w:p>
            <w:pPr>
              <w:ind w:left="62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22"/>
        </w:trPr>
        <w:tc>
          <w:tcPr>
            <w:tcW w:w="36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06"/>
        </w:trPr>
        <w:tc>
          <w:tcPr>
            <w:tcW w:w="3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2240" w:type="dxa"/>
            <w:vAlign w:val="bottom"/>
            <w:shd w:val="clear" w:color="auto" w:fill="1D2758"/>
          </w:tcPr>
          <w:p>
            <w:pPr>
              <w:jc w:val="center"/>
              <w:ind w:left="563"/>
              <w:spacing w:after="0"/>
              <w:rPr>
                <w:sz w:val="20"/>
                <w:szCs w:val="20"/>
                <w:color w:val="auto"/>
              </w:rPr>
            </w:pPr>
            <w:r>
              <w:rPr>
                <w:rFonts w:ascii="Arial" w:cs="Arial" w:eastAsia="Arial" w:hAnsi="Arial"/>
                <w:sz w:val="15"/>
                <w:szCs w:val="15"/>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200" w:type="dxa"/>
            <w:vAlign w:val="bottom"/>
            <w:shd w:val="clear" w:color="auto" w:fill="1D2758"/>
          </w:tcPr>
          <w:p>
            <w:pPr>
              <w:spacing w:after="0"/>
              <w:rPr>
                <w:sz w:val="17"/>
                <w:szCs w:val="17"/>
                <w:color w:val="auto"/>
              </w:rPr>
            </w:pPr>
          </w:p>
        </w:tc>
        <w:tc>
          <w:tcPr>
            <w:tcW w:w="158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March 31, 2022</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6.125%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518,662</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518,117</w:t>
            </w:r>
          </w:p>
        </w:tc>
      </w:tr>
      <w:tr>
        <w:trPr>
          <w:trHeight w:val="206"/>
        </w:trPr>
        <w:tc>
          <w:tcPr>
            <w:tcW w:w="3620" w:type="dxa"/>
            <w:vAlign w:val="bottom"/>
          </w:tcPr>
          <w:p>
            <w:pPr>
              <w:ind w:left="20"/>
              <w:spacing w:after="0" w:line="207" w:lineRule="exact"/>
              <w:rPr>
                <w:sz w:val="20"/>
                <w:szCs w:val="20"/>
                <w:color w:val="auto"/>
              </w:rPr>
            </w:pPr>
            <w:r>
              <w:rPr>
                <w:rFonts w:ascii="Arial" w:cs="Arial" w:eastAsia="Arial" w:hAnsi="Arial"/>
                <w:sz w:val="15"/>
                <w:szCs w:val="15"/>
                <w:color w:val="auto"/>
              </w:rPr>
              <w:t>ABL Facility</w:t>
            </w:r>
            <w:r>
              <w:rPr>
                <w:rFonts w:ascii="Arial" w:cs="Arial" w:eastAsia="Arial" w:hAnsi="Arial"/>
                <w:sz w:val="20"/>
                <w:szCs w:val="20"/>
                <w:color w:val="auto"/>
                <w:vertAlign w:val="superscript"/>
              </w:rPr>
              <w:t>(a)</w:t>
            </w:r>
          </w:p>
        </w:tc>
        <w:tc>
          <w:tcPr>
            <w:tcW w:w="2240" w:type="dxa"/>
            <w:vAlign w:val="bottom"/>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Pr>
          <w:p>
            <w:pPr>
              <w:jc w:val="center"/>
              <w:spacing w:after="0"/>
              <w:rPr>
                <w:sz w:val="20"/>
                <w:szCs w:val="20"/>
                <w:color w:val="auto"/>
              </w:rPr>
            </w:pPr>
            <w:r>
              <w:rPr>
                <w:rFonts w:ascii="Arial" w:cs="Arial" w:eastAsia="Arial" w:hAnsi="Arial"/>
                <w:sz w:val="15"/>
                <w:szCs w:val="15"/>
                <w:color w:val="auto"/>
              </w:rPr>
              <w:t>2025</w:t>
            </w:r>
          </w:p>
        </w:tc>
        <w:tc>
          <w:tcPr>
            <w:tcW w:w="20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1,708,549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1,612,783</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4.625%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200" w:type="dxa"/>
            <w:vAlign w:val="bottom"/>
            <w:shd w:val="clear" w:color="auto" w:fill="DBDBDB"/>
          </w:tcPr>
          <w:p>
            <w:pPr>
              <w:spacing w:after="0"/>
              <w:rPr>
                <w:sz w:val="17"/>
                <w:szCs w:val="17"/>
                <w:color w:val="auto"/>
              </w:rPr>
            </w:pP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492,730</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492,490</w:t>
            </w:r>
          </w:p>
        </w:tc>
      </w:tr>
      <w:tr>
        <w:trPr>
          <w:trHeight w:val="203"/>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2240" w:type="dxa"/>
            <w:vAlign w:val="bottom"/>
            <w:tcBorders>
              <w:bottom w:val="single" w:sz="8" w:color="DBDBDB"/>
            </w:tcBorders>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rPr>
              <w:t>Varies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90,693</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89,050</w:t>
            </w:r>
          </w:p>
        </w:tc>
      </w:tr>
      <w:tr>
        <w:trPr>
          <w:trHeight w:val="202"/>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224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2,810,634</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2,712,440</w:t>
            </w:r>
          </w:p>
        </w:tc>
      </w:tr>
      <w:tr>
        <w:trPr>
          <w:trHeight w:val="203"/>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2240" w:type="dxa"/>
            <w:vAlign w:val="bottom"/>
            <w:tcBorders>
              <w:bottom w:val="single" w:sz="8" w:color="DBDBDB"/>
            </w:tcBorders>
          </w:tcPr>
          <w:p>
            <w:pPr>
              <w:spacing w:after="0"/>
              <w:rPr>
                <w:sz w:val="17"/>
                <w:szCs w:val="17"/>
                <w:color w:val="auto"/>
              </w:rPr>
            </w:pPr>
          </w:p>
        </w:tc>
        <w:tc>
          <w:tcPr>
            <w:tcW w:w="19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19,792</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18,121</w:t>
            </w:r>
          </w:p>
        </w:tc>
      </w:tr>
      <w:tr>
        <w:trPr>
          <w:trHeight w:val="224"/>
        </w:trPr>
        <w:tc>
          <w:tcPr>
            <w:tcW w:w="36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2240" w:type="dxa"/>
            <w:vAlign w:val="bottom"/>
            <w:tcBorders>
              <w:bottom w:val="single" w:sz="8" w:color="DBDBDB"/>
            </w:tcBorders>
            <w:shd w:val="clear" w:color="auto" w:fill="DBDBDB"/>
          </w:tcPr>
          <w:p>
            <w:pPr>
              <w:spacing w:after="0"/>
              <w:rPr>
                <w:sz w:val="19"/>
                <w:szCs w:val="19"/>
                <w:color w:val="auto"/>
              </w:rPr>
            </w:pPr>
          </w:p>
        </w:tc>
        <w:tc>
          <w:tcPr>
            <w:tcW w:w="19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2,790,842</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2,694,319</w:t>
            </w:r>
          </w:p>
        </w:tc>
      </w:tr>
      <w:tr>
        <w:trPr>
          <w:trHeight w:val="20"/>
        </w:trPr>
        <w:tc>
          <w:tcPr>
            <w:tcW w:w="362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
        <w:spacing w:after="0" w:line="234" w:lineRule="auto"/>
        <w:tabs>
          <w:tab w:leader="none" w:pos="227"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both March 31, 2022 and December 31, 2021, the Company had no outstanding principal borrowings on the Multicurrency Facility (defined below) and $5.7 million and $6.2 million, respectively, of related debt issuance costs. No related debt issuance costs were recorded as a direct offset against the principal borrowings on the Multicurrency Facility, and the $5.7 million and $6.2 million in excess of principal was included in other non-current assets on the condensed consolidated balance sheets as of March 31, 2022 and December 31, 2021,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13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On July 1, 2020, certain subsidiaries of the Company entered into an asset-based credit agreement that provides for revolving credit facilities in the aggregate principal amount of up to $2.4 billion, consisting of: (i) a senior secured asset-based US dollar revolving credit facility in the aggregate principal amount of $2.0 billion (the “US Facility”) and (ii) a $400.0 million senior secured asset-based multicurrency revolving credit facility (the "Multicurrency Facility" together with the US Facility, the “ABL Facility”), available to be drawn in US Dollars, Canadian Dollars, British Pounds Sterling or Euros. The ABL Facility matures July 1, 2025.</w:t>
      </w:r>
    </w:p>
    <w:p>
      <w:pPr>
        <w:spacing w:after="0" w:line="3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Borrowings under the ABL Facility bear interest at a base rate plus an applicable margin determined quarterly by reference to the Company's excess availability for the most recently completed quarter. Effective January 7, 2022, borrowings under the ABL Facility are subject to the highest applicable margin and bear interest at (i) in the case of US Dollars, at the borrower's option, either an adjusted LIBOR rate plus 2.125% or an alternative base rate plus 1.125%, (ii) in the case of Canadian Dollars, at the borrower's option, either a Canadian BA rate plus 2.125% or Canadian prime rate plus 1.125%, (iii) in the case of Euros, the EURIBOR rate plus 2.125%, and (iv) in the case of British Pounds Sterling, the SONIA rate plus 2.125%.</w:t>
      </w:r>
    </w:p>
    <w:p>
      <w:pPr>
        <w:spacing w:after="0" w:line="3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At March 31, 2022, the weighted average interest rate for borrowings under the ABL Facility was 2.54%. The weighted average interest rate on the balance outstanding at March 31, 2022, as adjusted for the effects of the interest rate swap agreements was 3.16%. Refer to Note 15 for a more detailed discussion on interest rate management.</w:t>
      </w:r>
    </w:p>
    <w:p>
      <w:pPr>
        <w:spacing w:after="0" w:line="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Line Cap. At March 31, 2022, the Line Cap was $2.4 billion and the Company had $646.9 million of available borrowing capacity under the ABL Facility, including $246.9 million under the US Facility and $400.0 million under the Multicurrency Facility. At March 31, 2022, borrowing capacity under the ABL Facility allowed for up to $204.9 million of letters of credit and up to $170.0 million of swingline loans. At March 31, 2022, letters of credit and bank guarantees carried fees of 2.25%. The Company had issued $15.1 million of standby letters of credit under the ABL Facility at March 31, 2022.</w:t>
      </w:r>
    </w:p>
    <w:p>
      <w:pPr>
        <w:spacing w:after="0" w:line="38"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had $1.7 billion outstanding principal under the ABL Facility at March 31, 2022. Debt issuance costs of $29.5 million were included in the carrying value of the ABL Facility at March 31, 2022.</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8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maintains finance leases primarily related to transportation equipment. At March 31, 2022 and December 31, 2021, obligations under finance leases for certain real property and transportation related equipment were $90.7 million and $89.1 million, respectively. Refer to Note 4 for further information.</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 in compliance with all debt covenants and restrictions for the aforementioned debt instruments as of March 31, 2022.</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1D2758"/>
        </w:rPr>
        <w:t>NOTE 10 – Equity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85"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In connection with the stock compensation vesting events and stock option exercises described in Note 14, and the warrant exercises described in Note 11, the Company issued 1,298,799 shares of Common Stock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Stock Repurchase Program</w:t>
      </w:r>
    </w:p>
    <w:p>
      <w:pPr>
        <w:spacing w:after="0" w:line="8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A share repurchase program authorizes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and conditions, business, legal, accounting, and other considerations. During the three months ended March 31, 2022, the Company repurchased 2,070,054 shares of Common Stock and stock equivalents for $77.4 million. As of March 31, 2022, $879.3 million of the approved repurchase pool remained available.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three months ended March 31, 2022 and 2021 were as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20" w:type="dxa"/>
            <w:vAlign w:val="bottom"/>
            <w:gridSpan w:val="6"/>
            <w:shd w:val="clear" w:color="auto" w:fill="1D2758"/>
          </w:tcPr>
          <w:p>
            <w:pPr>
              <w:jc w:val="center"/>
              <w:ind w:left="1003"/>
              <w:spacing w:after="0"/>
              <w:rPr>
                <w:sz w:val="20"/>
                <w:szCs w:val="20"/>
                <w:color w:val="auto"/>
              </w:rPr>
            </w:pPr>
            <w:r>
              <w:rPr>
                <w:rFonts w:ascii="Arial" w:cs="Arial" w:eastAsia="Arial" w:hAnsi="Arial"/>
                <w:sz w:val="15"/>
                <w:szCs w:val="15"/>
                <w:b w:val="1"/>
                <w:bCs w:val="1"/>
                <w:color w:val="FFFFFF"/>
              </w:rPr>
              <w:t>Three Months Ended March 31, 2022</w:t>
            </w:r>
          </w:p>
        </w:tc>
        <w:tc>
          <w:tcPr>
            <w:tcW w:w="12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280"/>
              <w:spacing w:after="0" w:line="155" w:lineRule="exact"/>
              <w:rPr>
                <w:sz w:val="20"/>
                <w:szCs w:val="20"/>
                <w:color w:val="auto"/>
              </w:rPr>
            </w:pPr>
            <w:r>
              <w:rPr>
                <w:rFonts w:ascii="Arial" w:cs="Arial" w:eastAsia="Arial" w:hAnsi="Arial"/>
                <w:sz w:val="15"/>
                <w:szCs w:val="15"/>
                <w:b w:val="1"/>
                <w:bCs w:val="1"/>
                <w:color w:val="FFFFFF"/>
              </w:rPr>
              <w:t>Foreign currency</w:t>
            </w:r>
          </w:p>
        </w:tc>
        <w:tc>
          <w:tcPr>
            <w:tcW w:w="120" w:type="dxa"/>
            <w:vAlign w:val="bottom"/>
            <w:shd w:val="clear" w:color="auto" w:fill="1D2758"/>
          </w:tcPr>
          <w:p>
            <w:pPr>
              <w:spacing w:after="0"/>
              <w:rPr>
                <w:sz w:val="13"/>
                <w:szCs w:val="13"/>
                <w:color w:val="auto"/>
              </w:rPr>
            </w:pPr>
          </w:p>
        </w:tc>
        <w:tc>
          <w:tcPr>
            <w:tcW w:w="178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20" w:type="dxa"/>
            <w:vAlign w:val="bottom"/>
            <w:shd w:val="clear" w:color="auto" w:fill="1D2758"/>
          </w:tcPr>
          <w:p>
            <w:pPr>
              <w:spacing w:after="0"/>
              <w:rPr>
                <w:sz w:val="13"/>
                <w:szCs w:val="13"/>
                <w:color w:val="auto"/>
              </w:rPr>
            </w:pPr>
          </w:p>
        </w:tc>
        <w:tc>
          <w:tcPr>
            <w:tcW w:w="126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20" w:type="dxa"/>
            <w:vAlign w:val="bottom"/>
            <w:shd w:val="clear" w:color="auto" w:fill="1D2758"/>
          </w:tcPr>
          <w:p>
            <w:pPr>
              <w:spacing w:after="0"/>
              <w:rPr>
                <w:sz w:val="17"/>
                <w:szCs w:val="17"/>
                <w:color w:val="auto"/>
              </w:rPr>
            </w:pPr>
          </w:p>
        </w:tc>
        <w:tc>
          <w:tcPr>
            <w:tcW w:w="178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hedging activities</w:t>
            </w:r>
          </w:p>
        </w:tc>
        <w:tc>
          <w:tcPr>
            <w:tcW w:w="520" w:type="dxa"/>
            <w:vAlign w:val="bottom"/>
            <w:shd w:val="clear" w:color="auto" w:fill="1D2758"/>
          </w:tcPr>
          <w:p>
            <w:pPr>
              <w:spacing w:after="0"/>
              <w:rPr>
                <w:sz w:val="17"/>
                <w:szCs w:val="17"/>
                <w:color w:val="auto"/>
              </w:rPr>
            </w:pPr>
          </w:p>
        </w:tc>
        <w:tc>
          <w:tcPr>
            <w:tcW w:w="12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(25,574)</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ind w:left="1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(29,648)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(1,176)</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(30,824)</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20" w:type="dxa"/>
            <w:vAlign w:val="bottom"/>
            <w:gridSpan w:val="6"/>
            <w:shd w:val="clear" w:color="auto" w:fill="1D2758"/>
          </w:tcPr>
          <w:p>
            <w:pPr>
              <w:jc w:val="center"/>
              <w:ind w:left="1003"/>
              <w:spacing w:after="0"/>
              <w:rPr>
                <w:sz w:val="20"/>
                <w:szCs w:val="20"/>
                <w:color w:val="auto"/>
              </w:rPr>
            </w:pPr>
            <w:r>
              <w:rPr>
                <w:rFonts w:ascii="Arial" w:cs="Arial" w:eastAsia="Arial" w:hAnsi="Arial"/>
                <w:sz w:val="15"/>
                <w:szCs w:val="15"/>
                <w:b w:val="1"/>
                <w:bCs w:val="1"/>
                <w:color w:val="FFFFFF"/>
              </w:rPr>
              <w:t>Three Months Ended March 31, 2021</w:t>
            </w:r>
          </w:p>
        </w:tc>
        <w:tc>
          <w:tcPr>
            <w:tcW w:w="12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280"/>
              <w:spacing w:after="0" w:line="155" w:lineRule="exact"/>
              <w:rPr>
                <w:sz w:val="20"/>
                <w:szCs w:val="20"/>
                <w:color w:val="auto"/>
              </w:rPr>
            </w:pPr>
            <w:r>
              <w:rPr>
                <w:rFonts w:ascii="Arial" w:cs="Arial" w:eastAsia="Arial" w:hAnsi="Arial"/>
                <w:sz w:val="15"/>
                <w:szCs w:val="15"/>
                <w:b w:val="1"/>
                <w:bCs w:val="1"/>
                <w:color w:val="FFFFFF"/>
              </w:rPr>
              <w:t>Foreign currency</w:t>
            </w:r>
          </w:p>
        </w:tc>
        <w:tc>
          <w:tcPr>
            <w:tcW w:w="120" w:type="dxa"/>
            <w:vAlign w:val="bottom"/>
            <w:shd w:val="clear" w:color="auto" w:fill="1D2758"/>
          </w:tcPr>
          <w:p>
            <w:pPr>
              <w:spacing w:after="0"/>
              <w:rPr>
                <w:sz w:val="13"/>
                <w:szCs w:val="13"/>
                <w:color w:val="auto"/>
              </w:rPr>
            </w:pPr>
          </w:p>
        </w:tc>
        <w:tc>
          <w:tcPr>
            <w:tcW w:w="178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20" w:type="dxa"/>
            <w:vAlign w:val="bottom"/>
            <w:shd w:val="clear" w:color="auto" w:fill="1D2758"/>
          </w:tcPr>
          <w:p>
            <w:pPr>
              <w:spacing w:after="0"/>
              <w:rPr>
                <w:sz w:val="13"/>
                <w:szCs w:val="13"/>
                <w:color w:val="auto"/>
              </w:rPr>
            </w:pPr>
          </w:p>
        </w:tc>
        <w:tc>
          <w:tcPr>
            <w:tcW w:w="126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20" w:type="dxa"/>
            <w:vAlign w:val="bottom"/>
            <w:shd w:val="clear" w:color="auto" w:fill="1D2758"/>
          </w:tcPr>
          <w:p>
            <w:pPr>
              <w:spacing w:after="0"/>
              <w:rPr>
                <w:sz w:val="17"/>
                <w:szCs w:val="17"/>
                <w:color w:val="auto"/>
              </w:rPr>
            </w:pPr>
          </w:p>
        </w:tc>
        <w:tc>
          <w:tcPr>
            <w:tcW w:w="178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hedging activities</w:t>
            </w:r>
          </w:p>
        </w:tc>
        <w:tc>
          <w:tcPr>
            <w:tcW w:w="520" w:type="dxa"/>
            <w:vAlign w:val="bottom"/>
            <w:shd w:val="clear" w:color="auto" w:fill="1D2758"/>
          </w:tcPr>
          <w:p>
            <w:pPr>
              <w:spacing w:after="0"/>
              <w:rPr>
                <w:sz w:val="17"/>
                <w:szCs w:val="17"/>
                <w:color w:val="auto"/>
              </w:rPr>
            </w:pPr>
          </w:p>
        </w:tc>
        <w:tc>
          <w:tcPr>
            <w:tcW w:w="12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(24,694)</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(12,513)</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5,034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(760)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4,274</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8"/>
                <w:szCs w:val="18"/>
                <w:color w:val="auto"/>
              </w:rPr>
            </w:pPr>
          </w:p>
        </w:tc>
        <w:tc>
          <w:tcPr>
            <w:tcW w:w="17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2,937</w:t>
            </w:r>
          </w:p>
        </w:tc>
        <w:tc>
          <w:tcPr>
            <w:tcW w:w="10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2,937</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(19,660)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(10,336)</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(29,996)</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For both the three months ended March 31, 2022 and 2021, $2.9 million, was reclassified from AOCI into interest expense in the condensed consolidated statements of operations related to the interest rate swap discussed in Note 15. Associated with these reclassifications, the Company recorded tax expense of $0.7 million for both the three months ended March 31, 2022 and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1D2758"/>
        </w:rPr>
        <w:t>NOTE 11 – Warrants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2015 Warrants</w:t>
      </w:r>
    </w:p>
    <w:p>
      <w:pPr>
        <w:spacing w:after="0" w:line="12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WillScot was incorporated under the name Double Eagle Acquisition Corporation ("DEAC") on June 26, 2015. As part of its initial public offering, DEAC issued warrants (the “2015 Public Warrants”) each of which entitled the holder to purchase one-half of one share of Common Stock. As of March 31, 2022, no 2015 Public Warrants remain outstanding.</w:t>
      </w:r>
    </w:p>
    <w:p>
      <w:pPr>
        <w:spacing w:after="0" w:line="3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DEAC also issued warrants to purchase its Common Stock in a private placement concurrently with its initial public offering (the “2015 Private Warrants”) each of which entitled the holder to purchase one-half of one share of Common Stock. During the three months ended March 31, 2021, 630,000 of the 2015 Private Warrants were repurchased for $4.8 million and cancelled. As of March 31, 2022, no 2015 Private Warrants remain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2018 Warrants</w:t>
      </w:r>
    </w:p>
    <w:p>
      <w:pPr>
        <w:spacing w:after="0" w:line="7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In connection with the Modular Space Holdings ("ModSpace") acquisition in 2018, WillScot issued warrants to purchase approximately 10.0 million shares of Common Stock (the "2018 Warrants") to former shareholders of ModSpace. Each 2018 Warrant entitles the holder to purchase one share of Common Stock at an exercise price of $15.50 per share, subject to adjustment. The 2018 Warrants expire on November 29, 2022. During the three months ended March 31, 2022, 11,032 of the 2018 Warrants were repurchased for $0.2 million and cancelled. In addition, during the three months ended March 31, 2022, 929,379 of the 2018 Warrants were exercised on a cashless basis, resulting in the issuance of 573,483 shares of common stock. At March 31, 2022, 3,137,762 of the 2018 Warrants were outstanding.</w:t>
      </w:r>
    </w:p>
    <w:p>
      <w:pPr>
        <w:spacing w:after="0" w:line="218"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accounted for its warrants in the following ways: (i) the 2015 Public Warrants as liabilities through their final redemption in February 2020, (ii) the 2015 Private Warrants as liabilities through their final repurchase or exercise in May 2021, and (iii) the 2018 Warrants as liabilities until June 30,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1D2758"/>
        </w:rPr>
        <w:t>NOTE 12 – Income Taxes</w:t>
      </w:r>
    </w:p>
    <w:p>
      <w:pPr>
        <w:spacing w:after="0" w:line="106"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recorded $15.7 million and $10.5 million of income tax expense for the three months ended March 31, 2022 and 2021, respectively. The Company’s effective tax rate for the three months ended March 31, 2022 and 2021 was 23.5% and 70.2%, respectively.</w:t>
      </w:r>
    </w:p>
    <w:p>
      <w:pPr>
        <w:spacing w:after="0" w:line="2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The effective tax rate for the three months ended March 31, 2022 differed from the US federal statutory rate of 21% primarily due to state and provincial taxes offset by a discrete tax benefit related to employee stock vesting. The effective tax rate for the three months ended March 31, 2021 differed from the US statutory rate of 21% due to the permanent add-back related to the mark to market accounting on the Company's warrants.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1D2758"/>
        </w:rPr>
        <w:t>NOTE 13 - Fair Value Measures</w:t>
      </w:r>
    </w:p>
    <w:p>
      <w:pPr>
        <w:spacing w:after="0" w:line="106"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9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21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March 31, 2022 approximate their respective book values.</w:t>
      </w:r>
    </w:p>
    <w:p>
      <w:pPr>
        <w:spacing w:after="0" w:line="32"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following table shows the carrying amounts and fair values of financial liabilities which are disclosed, but not measured, at fair value, including their levels in the fair value hierarchy: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March 31, 2022</w:t>
            </w:r>
          </w:p>
        </w:tc>
        <w:tc>
          <w:tcPr>
            <w:tcW w:w="2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2021</w:t>
            </w:r>
          </w:p>
        </w:tc>
        <w:tc>
          <w:tcPr>
            <w:tcW w:w="24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1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8"/>
                <w:szCs w:val="8"/>
                <w:color w:val="auto"/>
              </w:rPr>
            </w:pPr>
          </w:p>
        </w:tc>
        <w:tc>
          <w:tcPr>
            <w:tcW w:w="96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8"/>
                <w:szCs w:val="8"/>
                <w:color w:val="auto"/>
              </w:rPr>
            </w:pPr>
          </w:p>
        </w:tc>
        <w:tc>
          <w:tcPr>
            <w:tcW w:w="112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96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8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8"/>
                <w:szCs w:val="8"/>
                <w:color w:val="auto"/>
              </w:rPr>
            </w:pPr>
          </w:p>
        </w:tc>
        <w:tc>
          <w:tcPr>
            <w:tcW w:w="96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204"/>
        </w:trPr>
        <w:tc>
          <w:tcPr>
            <w:tcW w:w="192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96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98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192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10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12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100" w:type="dxa"/>
            <w:vAlign w:val="bottom"/>
            <w:shd w:val="clear" w:color="auto" w:fill="1D2758"/>
          </w:tcPr>
          <w:p>
            <w:pPr>
              <w:spacing w:after="0"/>
              <w:rPr>
                <w:sz w:val="8"/>
                <w:szCs w:val="8"/>
                <w:color w:val="auto"/>
              </w:rPr>
            </w:pPr>
          </w:p>
        </w:tc>
        <w:tc>
          <w:tcPr>
            <w:tcW w:w="98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1,708,549</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1,738,000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1,612,783</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1,644,500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5"/>
                <w:szCs w:val="15"/>
                <w:color w:val="auto"/>
              </w:rPr>
              <w:t>2025 Secured Notes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518,662</w:t>
            </w:r>
          </w:p>
        </w:tc>
        <w:tc>
          <w:tcPr>
            <w:tcW w:w="240" w:type="dxa"/>
            <w:vAlign w:val="bottom"/>
          </w:tcPr>
          <w:p>
            <w:pPr>
              <w:spacing w:after="0"/>
              <w:rPr>
                <w:sz w:val="17"/>
                <w:szCs w:val="17"/>
                <w:color w:val="auto"/>
              </w:rPr>
            </w:pPr>
          </w:p>
        </w:tc>
        <w:tc>
          <w:tcPr>
            <w:tcW w:w="110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537,593</w:t>
            </w:r>
          </w:p>
        </w:tc>
        <w:tc>
          <w:tcPr>
            <w:tcW w:w="24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518,117</w:t>
            </w:r>
          </w:p>
        </w:tc>
        <w:tc>
          <w:tcPr>
            <w:tcW w:w="240" w:type="dxa"/>
            <w:vAlign w:val="bottom"/>
          </w:tcPr>
          <w:p>
            <w:pPr>
              <w:spacing w:after="0"/>
              <w:rPr>
                <w:sz w:val="17"/>
                <w:szCs w:val="17"/>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551,835</w:t>
            </w:r>
          </w:p>
        </w:tc>
        <w:tc>
          <w:tcPr>
            <w:tcW w:w="24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492,730</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488,880</w:t>
            </w:r>
          </w:p>
        </w:tc>
        <w:tc>
          <w:tcPr>
            <w:tcW w:w="2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492,490</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515,635</w:t>
            </w:r>
          </w:p>
        </w:tc>
        <w:tc>
          <w:tcPr>
            <w:tcW w:w="24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192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2,719,941</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2,764,473</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2,623,390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2,711,970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As of March 31, 2022, the carrying values of the ABL Facility, the 2025 Secured Notes, and the 2028 Secured Notes included $29.5 million, $7.8 million, and $7.3 million, respectively, of unamortized debt issuance costs, which were presented as a direct reduction of the corresponding liability. As of December 31, 2021, the carrying value of the ABL Facility, the 2025 Secured Notes, and the 2028 Secured Notes included $31.7 million, $8.4 million, and $7.5 million, respectively, of unamortized debt issuance costs, which were presented as a direct reduction of the corresponding liability.</w:t>
      </w:r>
    </w:p>
    <w:p>
      <w:pPr>
        <w:spacing w:after="0" w:line="3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The carrying value of the ABL Facility, excluding debt issuance costs, approximates fair value as the interest rates are variable and reflective of current market rates. The fair value of the 2025 Secured Notes and the 2028 Secured Notes is based on their last trading price at the end of each period obtained from a third party. The classification and the fair value of derivative assets and liabilities designated as hedges in the condensed consolidated balance sheets are disclosed in Note 15.</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Level 3 Disclosures</w:t>
      </w:r>
    </w:p>
    <w:p>
      <w:pPr>
        <w:spacing w:after="0" w:line="78"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When the 2015 Private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were assumptions related to expected share-price volatility, expected life, risk-free interest rate and dividend yield. The volatility assumption was based on a blend of peer group volatility and Company trading history that matched the expected remaining life of the warrants as the Company did not have a sufficient trading history as a stand-alone public company to rely exclusively on its own trading history.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anticipated to remain at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6" w:name="page17"/>
    <w:bookmarkEnd w:id="16"/>
    <w:p>
      <w:pPr>
        <w:ind w:left="620"/>
        <w:spacing w:after="0"/>
        <w:rPr>
          <w:sz w:val="20"/>
          <w:szCs w:val="20"/>
          <w:color w:val="auto"/>
        </w:rPr>
      </w:pPr>
      <w:r>
        <w:rPr>
          <w:rFonts w:ascii="Arial" w:cs="Arial" w:eastAsia="Arial" w:hAnsi="Arial"/>
          <w:sz w:val="15"/>
          <w:szCs w:val="15"/>
          <w:color w:val="auto"/>
        </w:rPr>
        <w:t>The following table presents changes in Level 3 liabilities measured at fair value for the three months ended March 31,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2015 Private Warrants</w:t>
            </w:r>
          </w:p>
        </w:tc>
      </w:tr>
      <w:tr>
        <w:trPr>
          <w:trHeight w:val="206"/>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December 31, 2020</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77,404</w:t>
            </w:r>
          </w:p>
        </w:tc>
      </w:tr>
      <w:tr>
        <w:trPr>
          <w:trHeight w:val="203"/>
        </w:trPr>
        <w:tc>
          <w:tcPr>
            <w:tcW w:w="8800" w:type="dxa"/>
            <w:vAlign w:val="bottom"/>
          </w:tcPr>
          <w:p>
            <w:pPr>
              <w:ind w:left="20"/>
              <w:spacing w:after="0"/>
              <w:rPr>
                <w:sz w:val="20"/>
                <w:szCs w:val="20"/>
                <w:color w:val="auto"/>
              </w:rPr>
            </w:pPr>
            <w:r>
              <w:rPr>
                <w:rFonts w:ascii="Arial" w:cs="Arial" w:eastAsia="Arial" w:hAnsi="Arial"/>
                <w:sz w:val="15"/>
                <w:szCs w:val="15"/>
                <w:color w:val="auto"/>
              </w:rPr>
              <w:t>Measurement adjustment</w:t>
            </w:r>
          </w:p>
        </w:tc>
        <w:tc>
          <w:tcPr>
            <w:tcW w:w="2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5"/>
                <w:szCs w:val="15"/>
                <w:color w:val="auto"/>
              </w:rPr>
              <w:t>27,056</w:t>
            </w:r>
          </w:p>
        </w:tc>
      </w:tr>
      <w:tr>
        <w:trPr>
          <w:trHeight w:val="209"/>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Repurchases</w:t>
            </w:r>
          </w:p>
        </w:tc>
        <w:tc>
          <w:tcPr>
            <w:tcW w:w="260" w:type="dxa"/>
            <w:vAlign w:val="bottom"/>
            <w:tcBorders>
              <w:bottom w:val="single" w:sz="8" w:color="auto"/>
            </w:tcBorders>
            <w:shd w:val="clear" w:color="auto" w:fill="DBDBDB"/>
          </w:tcPr>
          <w:p>
            <w:pPr>
              <w:spacing w:after="0"/>
              <w:rPr>
                <w:sz w:val="18"/>
                <w:szCs w:val="18"/>
                <w:color w:val="auto"/>
              </w:rPr>
            </w:pP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(4,679)</w:t>
            </w:r>
          </w:p>
        </w:tc>
      </w:tr>
      <w:tr>
        <w:trPr>
          <w:trHeight w:val="196"/>
        </w:trPr>
        <w:tc>
          <w:tcPr>
            <w:tcW w:w="8800" w:type="dxa"/>
            <w:vAlign w:val="bottom"/>
          </w:tcPr>
          <w:p>
            <w:pPr>
              <w:ind w:left="20"/>
              <w:spacing w:after="0"/>
              <w:rPr>
                <w:sz w:val="20"/>
                <w:szCs w:val="20"/>
                <w:color w:val="auto"/>
              </w:rPr>
            </w:pPr>
            <w:r>
              <w:rPr>
                <w:rFonts w:ascii="Arial" w:cs="Arial" w:eastAsia="Arial" w:hAnsi="Arial"/>
                <w:sz w:val="15"/>
                <w:szCs w:val="15"/>
                <w:color w:val="auto"/>
              </w:rPr>
              <w:t>Balance - March 31, 2021</w:t>
            </w: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99,781</w:t>
            </w:r>
          </w:p>
        </w:tc>
      </w:tr>
      <w:tr>
        <w:trPr>
          <w:trHeight w:val="21"/>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1D2758"/>
        </w:rPr>
        <w:t>NOTE 14 - Stock-Based Compensation</w:t>
      </w:r>
    </w:p>
    <w:p>
      <w:pPr>
        <w:spacing w:after="0" w:line="10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 grants of restricted stock awards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64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640" w:type="dxa"/>
            <w:vAlign w:val="bottom"/>
            <w:shd w:val="clear" w:color="auto" w:fill="1D2758"/>
          </w:tcPr>
          <w:p>
            <w:pPr>
              <w:jc w:val="right"/>
              <w:ind w:right="183"/>
              <w:spacing w:after="0" w:line="155" w:lineRule="exact"/>
              <w:rPr>
                <w:sz w:val="20"/>
                <w:szCs w:val="20"/>
                <w:color w:val="auto"/>
              </w:rPr>
            </w:pPr>
            <w:r>
              <w:rPr>
                <w:rFonts w:ascii="Arial" w:cs="Arial" w:eastAsia="Arial" w:hAnsi="Arial"/>
                <w:sz w:val="15"/>
                <w:szCs w:val="15"/>
                <w:b w:val="1"/>
                <w:bCs w:val="1"/>
                <w:color w:val="FFFFFF"/>
              </w:rPr>
              <w:t>Weighted-Average</w:t>
            </w:r>
          </w:p>
        </w:tc>
        <w:tc>
          <w:tcPr>
            <w:tcW w:w="166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Number of Shares</w:t>
            </w:r>
          </w:p>
        </w:tc>
        <w:tc>
          <w:tcPr>
            <w:tcW w:w="260" w:type="dxa"/>
            <w:vAlign w:val="bottom"/>
            <w:shd w:val="clear" w:color="auto" w:fill="1D2758"/>
          </w:tcPr>
          <w:p>
            <w:pPr>
              <w:spacing w:after="0"/>
              <w:rPr>
                <w:sz w:val="13"/>
                <w:szCs w:val="13"/>
                <w:color w:val="auto"/>
              </w:rPr>
            </w:pPr>
          </w:p>
        </w:tc>
        <w:tc>
          <w:tcPr>
            <w:tcW w:w="1540" w:type="dxa"/>
            <w:vAlign w:val="bottom"/>
            <w:shd w:val="clear" w:color="auto" w:fill="1D2758"/>
          </w:tcPr>
          <w:p>
            <w:pPr>
              <w:jc w:val="right"/>
              <w:ind w:right="103"/>
              <w:spacing w:after="0" w:line="155"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40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880" w:type="dxa"/>
            <w:vAlign w:val="bottom"/>
            <w:gridSpan w:val="2"/>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Grant Date Fair Value</w:t>
            </w:r>
          </w:p>
        </w:tc>
        <w:tc>
          <w:tcPr>
            <w:tcW w:w="1660" w:type="dxa"/>
            <w:vAlign w:val="bottom"/>
            <w:vMerge w:val="continue"/>
            <w:shd w:val="clear" w:color="auto" w:fill="1D2758"/>
          </w:tcPr>
          <w:p>
            <w:pPr>
              <w:spacing w:after="0"/>
              <w:rPr>
                <w:sz w:val="17"/>
                <w:szCs w:val="17"/>
                <w:color w:val="auto"/>
              </w:rPr>
            </w:pPr>
          </w:p>
        </w:tc>
        <w:tc>
          <w:tcPr>
            <w:tcW w:w="18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36,176</w:t>
            </w: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29.30</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57,448</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5"/>
                <w:szCs w:val="15"/>
                <w:color w:val="auto"/>
              </w:rPr>
              <w:t>Balance March 31,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36,176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29.30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57,448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Compensation expense for RSAs recognized in SG&amp;A expense on the condensed consolidated statements of operations was $0.3 million and $0.2 million for the three months ended March 31, 2022 and 2021, respectively. At March 31, 2022, there was $0.2 million of unrecognized compensation cost related to RSAs that is expected to be recognized over the remaining weighted average vesting period of 0.2 years.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620" w:type="dxa"/>
            <w:vAlign w:val="bottom"/>
            <w:shd w:val="clear" w:color="auto" w:fill="1D2758"/>
          </w:tcPr>
          <w:p>
            <w:pPr>
              <w:spacing w:after="0"/>
              <w:rPr>
                <w:sz w:val="17"/>
                <w:szCs w:val="17"/>
                <w:color w:val="auto"/>
              </w:rPr>
            </w:pPr>
          </w:p>
        </w:tc>
        <w:tc>
          <w:tcPr>
            <w:tcW w:w="19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620" w:type="dxa"/>
            <w:vAlign w:val="bottom"/>
            <w:shd w:val="clear" w:color="auto" w:fill="1D2758"/>
          </w:tcPr>
          <w:p>
            <w:pPr>
              <w:jc w:val="right"/>
              <w:ind w:right="183"/>
              <w:spacing w:after="0" w:line="155" w:lineRule="exact"/>
              <w:rPr>
                <w:sz w:val="20"/>
                <w:szCs w:val="20"/>
                <w:color w:val="auto"/>
              </w:rPr>
            </w:pPr>
            <w:r>
              <w:rPr>
                <w:rFonts w:ascii="Arial" w:cs="Arial" w:eastAsia="Arial" w:hAnsi="Arial"/>
                <w:sz w:val="15"/>
                <w:szCs w:val="15"/>
                <w:b w:val="1"/>
                <w:bCs w:val="1"/>
                <w:color w:val="FFFFFF"/>
              </w:rPr>
              <w:t>Weighted-Average</w:t>
            </w: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540" w:type="dxa"/>
            <w:vAlign w:val="bottom"/>
            <w:shd w:val="clear" w:color="auto" w:fill="1D2758"/>
          </w:tcPr>
          <w:p>
            <w:pPr>
              <w:jc w:val="right"/>
              <w:ind w:right="103"/>
              <w:spacing w:after="0" w:line="155"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860" w:type="dxa"/>
            <w:vAlign w:val="bottom"/>
            <w:gridSpan w:val="2"/>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Grant Date Fair Value</w:t>
            </w: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997,451</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18.54</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1,325,862</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357,639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83"/>
              <w:spacing w:after="0"/>
              <w:rPr>
                <w:sz w:val="20"/>
                <w:szCs w:val="20"/>
                <w:color w:val="auto"/>
              </w:rPr>
            </w:pPr>
            <w:r>
              <w:rPr>
                <w:rFonts w:ascii="Arial" w:cs="Arial" w:eastAsia="Arial" w:hAnsi="Arial"/>
                <w:sz w:val="15"/>
                <w:szCs w:val="15"/>
                <w:color w:val="auto"/>
              </w:rPr>
              <w:t>35.53</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405,505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27.20</w:t>
            </w:r>
          </w:p>
        </w:tc>
        <w:tc>
          <w:tcPr>
            <w:tcW w:w="0" w:type="dxa"/>
            <w:vAlign w:val="bottom"/>
          </w:tcPr>
          <w:p>
            <w:pPr>
              <w:spacing w:after="0"/>
              <w:rPr>
                <w:sz w:val="1"/>
                <w:szCs w:val="1"/>
                <w:color w:val="auto"/>
              </w:rPr>
            </w:pPr>
          </w:p>
        </w:tc>
      </w:tr>
      <w:tr>
        <w:trPr>
          <w:trHeight w:val="20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(9,299)</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27.20</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(33,238)</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13.62</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(420,184)</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tcPr>
          <w:p>
            <w:pPr>
              <w:jc w:val="right"/>
              <w:ind w:right="83"/>
              <w:spacing w:after="0"/>
              <w:rPr>
                <w:sz w:val="20"/>
                <w:szCs w:val="20"/>
                <w:color w:val="auto"/>
              </w:rPr>
            </w:pPr>
            <w:r>
              <w:rPr>
                <w:rFonts w:ascii="Arial" w:cs="Arial" w:eastAsia="Arial" w:hAnsi="Arial"/>
                <w:sz w:val="15"/>
                <w:szCs w:val="15"/>
                <w:color w:val="auto"/>
              </w:rPr>
              <w:t>16.21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(344,300)</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13.31</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March 31,</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925,607</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26.08</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1,353,829</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17.61</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62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Compensation expense for Time-Based RSUs recognized in SG&amp;A expense on the condensed consolidated statements of operations was $2.2 million and $2.1 million for the three months ended March 31, 2022 and 2021, respectively. At March 31, 2022, unrecognized compensation cost related to Time-Based RSUs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totaled $22.1 million and is expected to be recognized over the remaining weighted average vesting period of 2.9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Performance-Based RSUs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gridSpan w:val="4"/>
          </w:tcPr>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w:t>
            </w:r>
          </w:p>
        </w:tc>
        <w:tc>
          <w:tcPr>
            <w:tcW w:w="1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3"/>
        </w:trPr>
        <w:tc>
          <w:tcPr>
            <w:tcW w:w="3440" w:type="dxa"/>
            <w:vAlign w:val="bottom"/>
            <w:shd w:val="clear" w:color="auto" w:fill="1D2758"/>
          </w:tcPr>
          <w:p>
            <w:pPr>
              <w:spacing w:after="0"/>
              <w:rPr>
                <w:sz w:val="18"/>
                <w:szCs w:val="18"/>
                <w:color w:val="auto"/>
              </w:rPr>
            </w:pPr>
          </w:p>
        </w:tc>
        <w:tc>
          <w:tcPr>
            <w:tcW w:w="1600" w:type="dxa"/>
            <w:vAlign w:val="bottom"/>
            <w:shd w:val="clear" w:color="auto" w:fill="1D2758"/>
          </w:tcPr>
          <w:p>
            <w:pPr>
              <w:spacing w:after="0"/>
              <w:rPr>
                <w:sz w:val="18"/>
                <w:szCs w:val="18"/>
                <w:color w:val="auto"/>
              </w:rPr>
            </w:pPr>
          </w:p>
        </w:tc>
        <w:tc>
          <w:tcPr>
            <w:tcW w:w="82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shd w:val="clear" w:color="auto" w:fill="1D2758"/>
          </w:tcPr>
          <w:p>
            <w:pPr>
              <w:spacing w:after="0"/>
              <w:rPr>
                <w:sz w:val="18"/>
                <w:szCs w:val="18"/>
                <w:color w:val="auto"/>
              </w:rPr>
            </w:pPr>
          </w:p>
        </w:tc>
        <w:tc>
          <w:tcPr>
            <w:tcW w:w="15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2021</w:t>
            </w:r>
          </w:p>
        </w:tc>
        <w:tc>
          <w:tcPr>
            <w:tcW w:w="940" w:type="dxa"/>
            <w:vAlign w:val="bottom"/>
            <w:shd w:val="clear" w:color="auto" w:fill="1D2758"/>
          </w:tcPr>
          <w:p>
            <w:pPr>
              <w:spacing w:after="0"/>
              <w:rPr>
                <w:sz w:val="18"/>
                <w:szCs w:val="18"/>
                <w:color w:val="auto"/>
              </w:rPr>
            </w:pPr>
          </w:p>
        </w:tc>
      </w:tr>
      <w:tr>
        <w:trPr>
          <w:trHeight w:val="157"/>
        </w:trPr>
        <w:tc>
          <w:tcPr>
            <w:tcW w:w="3440" w:type="dxa"/>
            <w:vAlign w:val="bottom"/>
            <w:shd w:val="clear" w:color="auto" w:fill="1D2758"/>
          </w:tcPr>
          <w:p>
            <w:pPr>
              <w:spacing w:after="0"/>
              <w:rPr>
                <w:sz w:val="13"/>
                <w:szCs w:val="13"/>
                <w:color w:val="auto"/>
              </w:rPr>
            </w:pPr>
          </w:p>
        </w:tc>
        <w:tc>
          <w:tcPr>
            <w:tcW w:w="1600" w:type="dxa"/>
            <w:vAlign w:val="bottom"/>
            <w:shd w:val="clear" w:color="auto" w:fill="1D2758"/>
          </w:tcPr>
          <w:p>
            <w:pPr>
              <w:jc w:val="right"/>
              <w:ind w:right="23"/>
              <w:spacing w:after="0" w:line="157" w:lineRule="exact"/>
              <w:rPr>
                <w:sz w:val="20"/>
                <w:szCs w:val="20"/>
                <w:color w:val="auto"/>
              </w:rPr>
            </w:pPr>
            <w:r>
              <w:rPr>
                <w:rFonts w:ascii="Arial" w:cs="Arial" w:eastAsia="Arial" w:hAnsi="Arial"/>
                <w:sz w:val="15"/>
                <w:szCs w:val="15"/>
                <w:b w:val="1"/>
                <w:bCs w:val="1"/>
                <w:color w:val="FFFFFF"/>
              </w:rPr>
              <w:t>Number of</w:t>
            </w:r>
          </w:p>
        </w:tc>
        <w:tc>
          <w:tcPr>
            <w:tcW w:w="820" w:type="dxa"/>
            <w:vAlign w:val="bottom"/>
            <w:shd w:val="clear" w:color="auto" w:fill="1D2758"/>
          </w:tcPr>
          <w:p>
            <w:pPr>
              <w:spacing w:after="0"/>
              <w:rPr>
                <w:sz w:val="13"/>
                <w:szCs w:val="13"/>
                <w:color w:val="auto"/>
              </w:rPr>
            </w:pPr>
          </w:p>
        </w:tc>
        <w:tc>
          <w:tcPr>
            <w:tcW w:w="1540" w:type="dxa"/>
            <w:vAlign w:val="bottom"/>
            <w:shd w:val="clear" w:color="auto" w:fill="1D2758"/>
          </w:tcPr>
          <w:p>
            <w:pPr>
              <w:jc w:val="right"/>
              <w:ind w:right="123"/>
              <w:spacing w:after="0" w:line="157" w:lineRule="exact"/>
              <w:rPr>
                <w:sz w:val="20"/>
                <w:szCs w:val="20"/>
                <w:color w:val="auto"/>
              </w:rPr>
            </w:pPr>
            <w:r>
              <w:rPr>
                <w:rFonts w:ascii="Arial" w:cs="Arial" w:eastAsia="Arial" w:hAnsi="Arial"/>
                <w:sz w:val="15"/>
                <w:szCs w:val="15"/>
                <w:b w:val="1"/>
                <w:bCs w:val="1"/>
                <w:color w:val="FFFFFF"/>
              </w:rPr>
              <w:t>Weighted-Average</w:t>
            </w:r>
          </w:p>
        </w:tc>
        <w:tc>
          <w:tcPr>
            <w:tcW w:w="1580" w:type="dxa"/>
            <w:vAlign w:val="bottom"/>
            <w:shd w:val="clear" w:color="auto" w:fill="1D2758"/>
          </w:tcPr>
          <w:p>
            <w:pPr>
              <w:jc w:val="right"/>
              <w:ind w:right="23"/>
              <w:spacing w:after="0" w:line="157" w:lineRule="exact"/>
              <w:rPr>
                <w:sz w:val="20"/>
                <w:szCs w:val="20"/>
                <w:color w:val="auto"/>
              </w:rPr>
            </w:pPr>
            <w:r>
              <w:rPr>
                <w:rFonts w:ascii="Arial" w:cs="Arial" w:eastAsia="Arial" w:hAnsi="Arial"/>
                <w:sz w:val="15"/>
                <w:szCs w:val="15"/>
                <w:b w:val="1"/>
                <w:bCs w:val="1"/>
                <w:color w:val="FFFFFF"/>
              </w:rPr>
              <w:t>Number of</w:t>
            </w:r>
          </w:p>
        </w:tc>
        <w:tc>
          <w:tcPr>
            <w:tcW w:w="2260" w:type="dxa"/>
            <w:vAlign w:val="bottom"/>
            <w:gridSpan w:val="2"/>
            <w:shd w:val="clear" w:color="auto" w:fill="1D2758"/>
          </w:tcPr>
          <w:p>
            <w:pPr>
              <w:jc w:val="right"/>
              <w:ind w:right="23"/>
              <w:spacing w:after="0" w:line="157" w:lineRule="exact"/>
              <w:rPr>
                <w:sz w:val="20"/>
                <w:szCs w:val="20"/>
                <w:color w:val="auto"/>
              </w:rPr>
            </w:pPr>
            <w:r>
              <w:rPr>
                <w:rFonts w:ascii="Arial" w:cs="Arial" w:eastAsia="Arial" w:hAnsi="Arial"/>
                <w:sz w:val="15"/>
                <w:szCs w:val="15"/>
                <w:b w:val="1"/>
                <w:bCs w:val="1"/>
                <w:color w:val="FFFFFF"/>
              </w:rPr>
              <w:t>Weighted-Average</w:t>
            </w:r>
          </w:p>
        </w:tc>
      </w:tr>
      <w:tr>
        <w:trPr>
          <w:trHeight w:val="206"/>
        </w:trPr>
        <w:tc>
          <w:tcPr>
            <w:tcW w:w="3440" w:type="dxa"/>
            <w:vAlign w:val="bottom"/>
            <w:shd w:val="clear" w:color="auto" w:fill="1D2758"/>
          </w:tcPr>
          <w:p>
            <w:pPr>
              <w:spacing w:after="0"/>
              <w:rPr>
                <w:sz w:val="17"/>
                <w:szCs w:val="17"/>
                <w:color w:val="auto"/>
              </w:rPr>
            </w:pPr>
          </w:p>
        </w:tc>
        <w:tc>
          <w:tcPr>
            <w:tcW w:w="160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Shares</w:t>
            </w:r>
          </w:p>
        </w:tc>
        <w:tc>
          <w:tcPr>
            <w:tcW w:w="2360" w:type="dxa"/>
            <w:vAlign w:val="bottom"/>
            <w:gridSpan w:val="2"/>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Grant Date Fair Value</w:t>
            </w:r>
          </w:p>
        </w:tc>
        <w:tc>
          <w:tcPr>
            <w:tcW w:w="158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Shares</w:t>
            </w:r>
          </w:p>
        </w:tc>
        <w:tc>
          <w:tcPr>
            <w:tcW w:w="2260" w:type="dxa"/>
            <w:vAlign w:val="bottom"/>
            <w:gridSpan w:val="2"/>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Grant Date Fair Value</w:t>
            </w:r>
          </w:p>
        </w:tc>
      </w:tr>
      <w:tr>
        <w:trPr>
          <w:trHeight w:val="206"/>
        </w:trPr>
        <w:tc>
          <w:tcPr>
            <w:tcW w:w="3440" w:type="dxa"/>
            <w:vAlign w:val="bottom"/>
            <w:shd w:val="clear" w:color="auto" w:fill="DDDDDD"/>
          </w:tcPr>
          <w:p>
            <w:pPr>
              <w:ind w:left="640"/>
              <w:spacing w:after="0"/>
              <w:rPr>
                <w:sz w:val="20"/>
                <w:szCs w:val="20"/>
                <w:color w:val="auto"/>
              </w:rPr>
            </w:pPr>
            <w:r>
              <w:rPr>
                <w:rFonts w:ascii="Arial" w:cs="Arial" w:eastAsia="Arial" w:hAnsi="Arial"/>
                <w:sz w:val="15"/>
                <w:szCs w:val="15"/>
                <w:color w:val="auto"/>
              </w:rPr>
              <w:t>Balance December 31,</w:t>
            </w:r>
          </w:p>
        </w:tc>
        <w:tc>
          <w:tcPr>
            <w:tcW w:w="16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1,536,394</w:t>
            </w:r>
          </w:p>
        </w:tc>
        <w:tc>
          <w:tcPr>
            <w:tcW w:w="8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26.34</w:t>
            </w:r>
          </w:p>
        </w:tc>
        <w:tc>
          <w:tcPr>
            <w:tcW w:w="15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593,388</w:t>
            </w:r>
          </w:p>
        </w:tc>
        <w:tc>
          <w:tcPr>
            <w:tcW w:w="1320" w:type="dxa"/>
            <w:vAlign w:val="bottom"/>
            <w:shd w:val="clear" w:color="auto" w:fill="DDDDDD"/>
          </w:tcPr>
          <w:p>
            <w:pPr>
              <w:jc w:val="right"/>
              <w:ind w:right="443"/>
              <w:spacing w:after="0"/>
              <w:rPr>
                <w:sz w:val="20"/>
                <w:szCs w:val="20"/>
                <w:color w:val="auto"/>
              </w:rPr>
            </w:pPr>
            <w:r>
              <w:rPr>
                <w:rFonts w:ascii="Arial" w:cs="Arial" w:eastAsia="Arial" w:hAnsi="Arial"/>
                <w:sz w:val="15"/>
                <w:szCs w:val="15"/>
                <w:color w:val="auto"/>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14.88</w:t>
            </w:r>
          </w:p>
        </w:tc>
      </w:tr>
      <w:tr>
        <w:trPr>
          <w:trHeight w:val="203"/>
        </w:trPr>
        <w:tc>
          <w:tcPr>
            <w:tcW w:w="3440" w:type="dxa"/>
            <w:vAlign w:val="bottom"/>
          </w:tcPr>
          <w:p>
            <w:pPr>
              <w:ind w:left="840"/>
              <w:spacing w:after="0"/>
              <w:rPr>
                <w:sz w:val="20"/>
                <w:szCs w:val="20"/>
                <w:color w:val="auto"/>
              </w:rPr>
            </w:pPr>
            <w:r>
              <w:rPr>
                <w:rFonts w:ascii="Arial" w:cs="Arial" w:eastAsia="Arial" w:hAnsi="Arial"/>
                <w:sz w:val="15"/>
                <w:szCs w:val="15"/>
                <w:color w:val="auto"/>
              </w:rPr>
              <w:t>Granted</w:t>
            </w:r>
          </w:p>
        </w:tc>
        <w:tc>
          <w:tcPr>
            <w:tcW w:w="1600" w:type="dxa"/>
            <w:vAlign w:val="bottom"/>
          </w:tcPr>
          <w:p>
            <w:pPr>
              <w:jc w:val="right"/>
              <w:spacing w:after="0"/>
              <w:rPr>
                <w:sz w:val="20"/>
                <w:szCs w:val="20"/>
                <w:color w:val="auto"/>
              </w:rPr>
            </w:pPr>
            <w:r>
              <w:rPr>
                <w:rFonts w:ascii="Arial" w:cs="Arial" w:eastAsia="Arial" w:hAnsi="Arial"/>
                <w:sz w:val="15"/>
                <w:szCs w:val="15"/>
                <w:color w:val="auto"/>
              </w:rPr>
              <w:t>745,079</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42.34</w:t>
            </w:r>
          </w:p>
        </w:tc>
        <w:tc>
          <w:tcPr>
            <w:tcW w:w="1580" w:type="dxa"/>
            <w:vAlign w:val="bottom"/>
          </w:tcPr>
          <w:p>
            <w:pPr>
              <w:jc w:val="right"/>
              <w:ind w:right="3"/>
              <w:spacing w:after="0"/>
              <w:rPr>
                <w:sz w:val="20"/>
                <w:szCs w:val="20"/>
                <w:color w:val="auto"/>
              </w:rPr>
            </w:pPr>
            <w:r>
              <w:rPr>
                <w:rFonts w:ascii="Arial" w:cs="Arial" w:eastAsia="Arial" w:hAnsi="Arial"/>
                <w:sz w:val="15"/>
                <w:szCs w:val="15"/>
                <w:color w:val="auto"/>
              </w:rPr>
              <w:t>397,981</w:t>
            </w:r>
          </w:p>
        </w:tc>
        <w:tc>
          <w:tcPr>
            <w:tcW w:w="132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39.10</w:t>
            </w:r>
          </w:p>
        </w:tc>
      </w:tr>
      <w:tr>
        <w:trPr>
          <w:trHeight w:val="209"/>
        </w:trPr>
        <w:tc>
          <w:tcPr>
            <w:tcW w:w="3440" w:type="dxa"/>
            <w:vAlign w:val="bottom"/>
            <w:shd w:val="clear" w:color="auto" w:fill="DDDDDD"/>
          </w:tcPr>
          <w:p>
            <w:pPr>
              <w:ind w:left="840"/>
              <w:spacing w:after="0"/>
              <w:rPr>
                <w:sz w:val="20"/>
                <w:szCs w:val="20"/>
                <w:color w:val="auto"/>
              </w:rPr>
            </w:pPr>
            <w:r>
              <w:rPr>
                <w:rFonts w:ascii="Arial" w:cs="Arial" w:eastAsia="Arial" w:hAnsi="Arial"/>
                <w:sz w:val="15"/>
                <w:szCs w:val="15"/>
                <w:color w:val="auto"/>
              </w:rPr>
              <w:t>Forfeited</w:t>
            </w:r>
          </w:p>
        </w:tc>
        <w:tc>
          <w:tcPr>
            <w:tcW w:w="16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(5,046)</w:t>
            </w:r>
          </w:p>
        </w:tc>
        <w:tc>
          <w:tcPr>
            <w:tcW w:w="8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39.10</w:t>
            </w:r>
          </w:p>
        </w:tc>
        <w:tc>
          <w:tcPr>
            <w:tcW w:w="15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(10,886)</w:t>
            </w:r>
          </w:p>
        </w:tc>
        <w:tc>
          <w:tcPr>
            <w:tcW w:w="1320" w:type="dxa"/>
            <w:vAlign w:val="bottom"/>
            <w:shd w:val="clear" w:color="auto" w:fill="DDDDDD"/>
          </w:tcPr>
          <w:p>
            <w:pPr>
              <w:jc w:val="right"/>
              <w:ind w:right="443"/>
              <w:spacing w:after="0"/>
              <w:rPr>
                <w:sz w:val="20"/>
                <w:szCs w:val="20"/>
                <w:color w:val="auto"/>
              </w:rPr>
            </w:pPr>
            <w:r>
              <w:rPr>
                <w:rFonts w:ascii="Arial" w:cs="Arial" w:eastAsia="Arial" w:hAnsi="Arial"/>
                <w:sz w:val="15"/>
                <w:szCs w:val="15"/>
                <w:color w:val="auto"/>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14.70</w:t>
            </w:r>
          </w:p>
        </w:tc>
      </w:tr>
      <w:tr>
        <w:trPr>
          <w:trHeight w:val="203"/>
        </w:trPr>
        <w:tc>
          <w:tcPr>
            <w:tcW w:w="3440" w:type="dxa"/>
            <w:vAlign w:val="bottom"/>
            <w:tcBorders>
              <w:bottom w:val="single" w:sz="8" w:color="DDDDDD"/>
            </w:tcBorders>
          </w:tcPr>
          <w:p>
            <w:pPr>
              <w:ind w:left="840"/>
              <w:spacing w:after="0"/>
              <w:rPr>
                <w:sz w:val="20"/>
                <w:szCs w:val="20"/>
                <w:color w:val="auto"/>
              </w:rPr>
            </w:pPr>
            <w:r>
              <w:rPr>
                <w:rFonts w:ascii="Arial" w:cs="Arial" w:eastAsia="Arial" w:hAnsi="Arial"/>
                <w:sz w:val="15"/>
                <w:szCs w:val="15"/>
                <w:color w:val="auto"/>
              </w:rPr>
              <w:t>Vested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(267,964)</w:t>
            </w:r>
          </w:p>
        </w:tc>
        <w:tc>
          <w:tcPr>
            <w:tcW w:w="8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tcPr>
          <w:p>
            <w:pPr>
              <w:jc w:val="right"/>
              <w:ind w:right="83"/>
              <w:spacing w:after="0"/>
              <w:rPr>
                <w:sz w:val="20"/>
                <w:szCs w:val="20"/>
                <w:color w:val="auto"/>
              </w:rPr>
            </w:pPr>
            <w:r>
              <w:rPr>
                <w:rFonts w:ascii="Arial" w:cs="Arial" w:eastAsia="Arial" w:hAnsi="Arial"/>
                <w:sz w:val="15"/>
                <w:szCs w:val="15"/>
                <w:color w:val="auto"/>
              </w:rPr>
              <w:t>13.22</w:t>
            </w:r>
          </w:p>
        </w:tc>
        <w:tc>
          <w:tcPr>
            <w:tcW w:w="1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DDDDDD"/>
            </w:tcBorders>
          </w:tcPr>
          <w:p>
            <w:pPr>
              <w:jc w:val="right"/>
              <w:ind w:right="44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3440" w:type="dxa"/>
            <w:vAlign w:val="bottom"/>
            <w:tcBorders>
              <w:bottom w:val="single" w:sz="8" w:color="DDDDDD"/>
            </w:tcBorders>
            <w:shd w:val="clear" w:color="auto" w:fill="DDDDDD"/>
          </w:tcPr>
          <w:p>
            <w:pPr>
              <w:ind w:left="640"/>
              <w:spacing w:after="0"/>
              <w:rPr>
                <w:sz w:val="20"/>
                <w:szCs w:val="20"/>
                <w:color w:val="auto"/>
              </w:rPr>
            </w:pPr>
            <w:r>
              <w:rPr>
                <w:rFonts w:ascii="Arial" w:cs="Arial" w:eastAsia="Arial" w:hAnsi="Arial"/>
                <w:sz w:val="15"/>
                <w:szCs w:val="15"/>
                <w:color w:val="auto"/>
              </w:rPr>
              <w:t>Balance March 31,</w:t>
            </w: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2,008,463</w:t>
            </w:r>
          </w:p>
        </w:tc>
        <w:tc>
          <w:tcPr>
            <w:tcW w:w="8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33.99</w:t>
            </w:r>
          </w:p>
        </w:tc>
        <w:tc>
          <w:tcPr>
            <w:tcW w:w="15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980,483</w:t>
            </w:r>
          </w:p>
        </w:tc>
        <w:tc>
          <w:tcPr>
            <w:tcW w:w="1320" w:type="dxa"/>
            <w:vAlign w:val="bottom"/>
            <w:tcBorders>
              <w:bottom w:val="single" w:sz="8" w:color="DDDDDD"/>
            </w:tcBorders>
            <w:shd w:val="clear" w:color="auto" w:fill="DDDDDD"/>
          </w:tcPr>
          <w:p>
            <w:pPr>
              <w:jc w:val="right"/>
              <w:ind w:right="44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24.70</w:t>
            </w:r>
          </w:p>
        </w:tc>
      </w:tr>
      <w:tr>
        <w:trPr>
          <w:trHeight w:val="20"/>
        </w:trPr>
        <w:tc>
          <w:tcPr>
            <w:tcW w:w="344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DDDDDD"/>
              <w:bottom w:val="single" w:sz="8" w:color="auto"/>
            </w:tcBorders>
          </w:tcPr>
          <w:p>
            <w:pPr>
              <w:spacing w:after="0" w:line="20" w:lineRule="exact"/>
              <w:rPr>
                <w:sz w:val="1"/>
                <w:szCs w:val="1"/>
                <w:color w:val="auto"/>
              </w:rPr>
            </w:pPr>
          </w:p>
        </w:tc>
        <w:tc>
          <w:tcPr>
            <w:tcW w:w="82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tcBorders>
          </w:tcPr>
          <w:p>
            <w:pPr>
              <w:spacing w:after="0" w:line="20" w:lineRule="exact"/>
              <w:rPr>
                <w:sz w:val="1"/>
                <w:szCs w:val="1"/>
                <w:color w:val="auto"/>
              </w:rPr>
            </w:pPr>
          </w:p>
        </w:tc>
        <w:tc>
          <w:tcPr>
            <w:tcW w:w="158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tcBorders>
          </w:tcPr>
          <w:p>
            <w:pPr>
              <w:spacing w:after="0" w:line="20" w:lineRule="exact"/>
              <w:rPr>
                <w:sz w:val="1"/>
                <w:szCs w:val="1"/>
                <w:color w:val="auto"/>
              </w:rPr>
            </w:pPr>
          </w:p>
        </w:tc>
        <w:tc>
          <w:tcPr>
            <w:tcW w:w="940" w:type="dxa"/>
            <w:vAlign w:val="bottom"/>
            <w:tcBorders>
              <w:top w:val="single" w:sz="8" w:color="DDDDDD"/>
            </w:tcBorders>
          </w:tcPr>
          <w:p>
            <w:pPr>
              <w:spacing w:after="0" w:line="20" w:lineRule="exact"/>
              <w:rPr>
                <w:sz w:val="1"/>
                <w:szCs w:val="1"/>
                <w:color w:val="auto"/>
              </w:rPr>
            </w:pPr>
          </w:p>
        </w:tc>
      </w:tr>
    </w:tbl>
    <w:p>
      <w:pPr>
        <w:spacing w:after="0" w:line="19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Compensation expense for Performance-Based RSUs recognized in SG&amp;A expense on the condensed consolidated statements of operations was $3.8 million and $1.0 million for the three months ended March 31, 2022 and 2021, respectively. At March 31, 2022, unrecognized compensation cost related to Performance-Based RSUs totaled $55.1 million and is expected to be recognized over the remaining vesting period of 2.8 years.</w:t>
      </w:r>
    </w:p>
    <w:p>
      <w:pPr>
        <w:spacing w:after="0" w:line="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an index at the grant date over the performance period of three years. For 2022 grants, the TSR of the Company's Common Stock is compared to the TSR of the constituents in the S&amp;P MidCap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summarize the Company's stock option activity: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80" w:type="dxa"/>
            <w:vAlign w:val="bottom"/>
            <w:shd w:val="clear" w:color="auto" w:fill="1D2758"/>
          </w:tcPr>
          <w:p>
            <w:pPr>
              <w:spacing w:after="0"/>
              <w:rPr>
                <w:sz w:val="14"/>
                <w:szCs w:val="14"/>
                <w:color w:val="auto"/>
              </w:rPr>
            </w:pPr>
          </w:p>
        </w:tc>
        <w:tc>
          <w:tcPr>
            <w:tcW w:w="17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Converted</w:t>
            </w: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80" w:type="dxa"/>
            <w:vAlign w:val="bottom"/>
            <w:shd w:val="clear" w:color="auto" w:fill="1D2758"/>
          </w:tcPr>
          <w:p>
            <w:pPr>
              <w:spacing w:after="0"/>
              <w:rPr>
                <w:sz w:val="13"/>
                <w:szCs w:val="13"/>
                <w:color w:val="auto"/>
              </w:rPr>
            </w:pPr>
          </w:p>
        </w:tc>
        <w:tc>
          <w:tcPr>
            <w:tcW w:w="1700" w:type="dxa"/>
            <w:vAlign w:val="bottom"/>
            <w:vMerge w:val="continue"/>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80" w:type="dxa"/>
            <w:vAlign w:val="bottom"/>
            <w:shd w:val="clear" w:color="auto" w:fill="1D2758"/>
          </w:tcPr>
          <w:p>
            <w:pPr>
              <w:spacing w:after="0"/>
              <w:rPr>
                <w:sz w:val="17"/>
                <w:szCs w:val="17"/>
                <w:color w:val="auto"/>
              </w:rPr>
            </w:pPr>
          </w:p>
        </w:tc>
        <w:tc>
          <w:tcPr>
            <w:tcW w:w="17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Mobile Mini Options</w:t>
            </w: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 2021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1,527,643</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DDDDDD"/>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(227,258)</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14.58</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March 31,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9"/>
                <w:szCs w:val="19"/>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1,300,385</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14.67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1560" w:type="dxa"/>
            <w:vAlign w:val="bottom"/>
            <w:tcBorders>
              <w:bottom w:val="single" w:sz="8" w:color="DDDDDD"/>
            </w:tcBorders>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15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March 31,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9"/>
                <w:szCs w:val="19"/>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1,300,385</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14.67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Weighted-Average</w:t>
            </w:r>
          </w:p>
        </w:tc>
        <w:tc>
          <w:tcPr>
            <w:tcW w:w="80" w:type="dxa"/>
            <w:vAlign w:val="bottom"/>
            <w:shd w:val="clear" w:color="auto" w:fill="1D2758"/>
          </w:tcPr>
          <w:p>
            <w:pPr>
              <w:spacing w:after="0"/>
              <w:rPr>
                <w:sz w:val="13"/>
                <w:szCs w:val="13"/>
                <w:color w:val="auto"/>
              </w:rPr>
            </w:pPr>
          </w:p>
        </w:tc>
        <w:tc>
          <w:tcPr>
            <w:tcW w:w="17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Converted Mobile Mini</w:t>
            </w:r>
          </w:p>
        </w:tc>
        <w:tc>
          <w:tcPr>
            <w:tcW w:w="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80" w:type="dxa"/>
            <w:vAlign w:val="bottom"/>
            <w:shd w:val="clear" w:color="auto" w:fill="1D2758"/>
          </w:tcPr>
          <w:p>
            <w:pPr>
              <w:spacing w:after="0"/>
              <w:rPr>
                <w:sz w:val="13"/>
                <w:szCs w:val="13"/>
                <w:color w:val="auto"/>
              </w:rPr>
            </w:pPr>
          </w:p>
        </w:tc>
        <w:tc>
          <w:tcPr>
            <w:tcW w:w="1700" w:type="dxa"/>
            <w:vAlign w:val="bottom"/>
            <w:vMerge w:val="continue"/>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80" w:type="dxa"/>
            <w:vAlign w:val="bottom"/>
            <w:shd w:val="clear" w:color="auto" w:fill="1D2758"/>
          </w:tcPr>
          <w:p>
            <w:pPr>
              <w:spacing w:after="0"/>
              <w:rPr>
                <w:sz w:val="17"/>
                <w:szCs w:val="17"/>
                <w:color w:val="auto"/>
              </w:rPr>
            </w:pPr>
          </w:p>
        </w:tc>
        <w:tc>
          <w:tcPr>
            <w:tcW w:w="17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Options</w:t>
            </w: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2020</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1780" w:type="dxa"/>
            <w:vAlign w:val="bottom"/>
            <w:gridSpan w:val="2"/>
            <w:shd w:val="clear" w:color="auto" w:fill="DDDDDD"/>
          </w:tcPr>
          <w:p>
            <w:pPr>
              <w:jc w:val="right"/>
              <w:ind w:right="3"/>
              <w:spacing w:after="0"/>
              <w:rPr>
                <w:sz w:val="20"/>
                <w:szCs w:val="20"/>
                <w:color w:val="auto"/>
              </w:rPr>
            </w:pPr>
            <w:r>
              <w:rPr>
                <w:rFonts w:ascii="Arial" w:cs="Arial" w:eastAsia="Arial" w:hAnsi="Arial"/>
                <w:sz w:val="15"/>
                <w:szCs w:val="15"/>
                <w:color w:val="auto"/>
              </w:rPr>
              <w:t>2,031,455</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780" w:type="dxa"/>
            <w:vAlign w:val="bottom"/>
            <w:gridSpan w:val="2"/>
          </w:tcPr>
          <w:p>
            <w:pPr>
              <w:jc w:val="right"/>
              <w:spacing w:after="0"/>
              <w:rPr>
                <w:sz w:val="20"/>
                <w:szCs w:val="20"/>
                <w:color w:val="auto"/>
              </w:rPr>
            </w:pPr>
            <w:r>
              <w:rPr>
                <w:rFonts w:ascii="Arial" w:cs="Arial" w:eastAsia="Arial" w:hAnsi="Arial"/>
                <w:sz w:val="15"/>
                <w:szCs w:val="15"/>
                <w:color w:val="auto"/>
              </w:rPr>
              <w:t>(6,240)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20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(346,247)</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Balance March 31, 2021</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13.60</w:t>
            </w:r>
          </w:p>
        </w:tc>
        <w:tc>
          <w:tcPr>
            <w:tcW w:w="1780" w:type="dxa"/>
            <w:vAlign w:val="bottom"/>
            <w:gridSpan w:val="2"/>
          </w:tcPr>
          <w:p>
            <w:pPr>
              <w:jc w:val="right"/>
              <w:ind w:right="3"/>
              <w:spacing w:after="0"/>
              <w:rPr>
                <w:sz w:val="20"/>
                <w:szCs w:val="20"/>
                <w:color w:val="auto"/>
              </w:rPr>
            </w:pPr>
            <w:r>
              <w:rPr>
                <w:rFonts w:ascii="Arial" w:cs="Arial" w:eastAsia="Arial" w:hAnsi="Arial"/>
                <w:sz w:val="15"/>
                <w:szCs w:val="15"/>
                <w:color w:val="auto"/>
              </w:rPr>
              <w:t>1,678,968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14.57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DDDDDD"/>
            </w:tcBorders>
          </w:tcPr>
          <w:p>
            <w:pPr>
              <w:spacing w:after="0" w:line="20" w:lineRule="exact"/>
              <w:rPr>
                <w:sz w:val="1"/>
                <w:szCs w:val="1"/>
                <w:color w:val="auto"/>
              </w:rPr>
            </w:pPr>
          </w:p>
        </w:tc>
        <w:tc>
          <w:tcPr>
            <w:tcW w:w="1560" w:type="dxa"/>
            <w:vAlign w:val="bottom"/>
            <w:tcBorders>
              <w:bottom w:val="single" w:sz="8" w:color="DDDDDD"/>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DDDDDD"/>
            </w:tcBorders>
          </w:tcPr>
          <w:p>
            <w:pPr>
              <w:spacing w:after="0" w:line="20" w:lineRule="exact"/>
              <w:rPr>
                <w:sz w:val="1"/>
                <w:szCs w:val="1"/>
                <w:color w:val="auto"/>
              </w:rPr>
            </w:pPr>
          </w:p>
        </w:tc>
        <w:tc>
          <w:tcPr>
            <w:tcW w:w="1560" w:type="dxa"/>
            <w:vAlign w:val="bottom"/>
            <w:tcBorders>
              <w:bottom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DDDDDD"/>
          </w:tcPr>
          <w:p>
            <w:pPr>
              <w:spacing w:after="0"/>
              <w:rPr>
                <w:sz w:val="18"/>
                <w:szCs w:val="18"/>
                <w:color w:val="auto"/>
              </w:rPr>
            </w:pPr>
          </w:p>
        </w:tc>
        <w:tc>
          <w:tcPr>
            <w:tcW w:w="168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5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5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Fully vested and exercisable options, March 31, 2021</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400,641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13.60</w:t>
            </w:r>
          </w:p>
        </w:tc>
        <w:tc>
          <w:tcPr>
            <w:tcW w:w="1780" w:type="dxa"/>
            <w:vAlign w:val="bottom"/>
            <w:gridSpan w:val="2"/>
          </w:tcPr>
          <w:p>
            <w:pPr>
              <w:jc w:val="right"/>
              <w:ind w:right="3"/>
              <w:spacing w:after="0"/>
              <w:rPr>
                <w:sz w:val="20"/>
                <w:szCs w:val="20"/>
                <w:color w:val="auto"/>
              </w:rPr>
            </w:pPr>
            <w:r>
              <w:rPr>
                <w:rFonts w:ascii="Arial" w:cs="Arial" w:eastAsia="Arial" w:hAnsi="Arial"/>
                <w:sz w:val="15"/>
                <w:szCs w:val="15"/>
                <w:color w:val="auto"/>
              </w:rPr>
              <w:t>1,678,968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WillScot Options</w:t>
      </w:r>
    </w:p>
    <w:p>
      <w:pPr>
        <w:spacing w:after="0" w:line="129"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Compensation expense for stock option awards, recognized in SG&amp;A expense on the condensed consolidated statements of operations, was $0.2 million for each of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1D2758"/>
        </w:rPr>
        <w:t>NOTE 15 - Derivatives</w:t>
      </w:r>
    </w:p>
    <w:p>
      <w:pPr>
        <w:spacing w:after="0" w:line="10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On November 6, 2018, the Company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Under the terms of the Swap Agreement, the Company receives a floating rate equal to one-month LIBOR and makes payments based on a fixed rate of 3.06% on the notional amount. The receive rate under the terms of the Swap Agreement was 0.39% and 0.11% at March 31, 2022 and December 31, 2021, respectively. The Swap Agreement was designated and qualified as a hedge of the Company’s exposure to changes in interest payment cash flows created by fluctuations in variable interest rates on the ABL facility.</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at the respective balance sheet dates,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20" w:type="dxa"/>
            <w:vAlign w:val="bottom"/>
            <w:shd w:val="clear" w:color="auto" w:fill="1D2758"/>
          </w:tcPr>
          <w:p>
            <w:pPr>
              <w:ind w:left="1540"/>
              <w:spacing w:after="0"/>
              <w:rPr>
                <w:sz w:val="20"/>
                <w:szCs w:val="20"/>
                <w:color w:val="auto"/>
              </w:rPr>
            </w:pPr>
            <w:r>
              <w:rPr>
                <w:rFonts w:ascii="Arial" w:cs="Arial" w:eastAsia="Arial" w:hAnsi="Arial"/>
                <w:sz w:val="15"/>
                <w:szCs w:val="15"/>
                <w:b w:val="1"/>
                <w:bCs w:val="1"/>
                <w:color w:val="FFFFFF"/>
              </w:rPr>
              <w:t>Balance Sheet Account</w:t>
            </w:r>
          </w:p>
        </w:tc>
        <w:tc>
          <w:tcPr>
            <w:tcW w:w="740" w:type="dxa"/>
            <w:vAlign w:val="bottom"/>
            <w:shd w:val="clear" w:color="auto" w:fill="1D2758"/>
          </w:tcPr>
          <w:p>
            <w:pPr>
              <w:spacing w:after="0"/>
              <w:rPr>
                <w:sz w:val="19"/>
                <w:szCs w:val="19"/>
                <w:color w:val="auto"/>
              </w:rPr>
            </w:pPr>
          </w:p>
        </w:tc>
        <w:tc>
          <w:tcPr>
            <w:tcW w:w="206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March 31, 2022</w:t>
            </w:r>
          </w:p>
        </w:tc>
        <w:tc>
          <w:tcPr>
            <w:tcW w:w="360" w:type="dxa"/>
            <w:vAlign w:val="bottom"/>
            <w:shd w:val="clear" w:color="auto" w:fill="1D2758"/>
          </w:tcPr>
          <w:p>
            <w:pPr>
              <w:spacing w:after="0"/>
              <w:rPr>
                <w:sz w:val="19"/>
                <w:szCs w:val="19"/>
                <w:color w:val="auto"/>
              </w:rPr>
            </w:pPr>
          </w:p>
        </w:tc>
        <w:tc>
          <w:tcPr>
            <w:tcW w:w="21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2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362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20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2140" w:type="dxa"/>
            <w:vAlign w:val="bottom"/>
            <w:shd w:val="clear" w:color="auto" w:fill="DBDBDB"/>
          </w:tcPr>
          <w:p>
            <w:pPr>
              <w:spacing w:after="0"/>
              <w:rPr>
                <w:sz w:val="17"/>
                <w:szCs w:val="17"/>
                <w:color w:val="auto"/>
              </w:rPr>
            </w:pPr>
          </w:p>
        </w:tc>
      </w:tr>
      <w:tr>
        <w:trPr>
          <w:trHeight w:val="201"/>
        </w:trPr>
        <w:tc>
          <w:tcPr>
            <w:tcW w:w="232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3620" w:type="dxa"/>
            <w:vAlign w:val="bottom"/>
          </w:tcPr>
          <w:p>
            <w:pPr>
              <w:ind w:left="840"/>
              <w:spacing w:after="0"/>
              <w:rPr>
                <w:sz w:val="20"/>
                <w:szCs w:val="20"/>
                <w:color w:val="auto"/>
              </w:rPr>
            </w:pPr>
            <w:r>
              <w:rPr>
                <w:rFonts w:ascii="Arial" w:cs="Arial" w:eastAsia="Arial" w:hAnsi="Arial"/>
                <w:sz w:val="15"/>
                <w:szCs w:val="15"/>
                <w:color w:val="auto"/>
              </w:rPr>
              <w:t>Accrued expenses</w:t>
            </w:r>
          </w:p>
        </w:tc>
        <w:tc>
          <w:tcPr>
            <w:tcW w:w="7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2,105</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5,259</w:t>
            </w:r>
          </w:p>
        </w:tc>
      </w:tr>
    </w:tbl>
    <w:p>
      <w:pPr>
        <w:spacing w:after="0" w:line="14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The fair value of the interest rate swap was based on dealer quotes of market forward rates, a Level 2 input on the fair value hierarchy, and reflected the amount that the Company would receive or pay as of March 31, 2022 and December 31, 2021, respectively, for contracts involving the same attributes and maturity dates.</w:t>
      </w:r>
    </w:p>
    <w:p>
      <w:pPr>
        <w:spacing w:after="0" w:line="32"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following table discloses the impact of the interest rate swap, excluding the impact of income taxes, on other comprehensive income (“OCI”), AOCI and the Company’s combined consolidated statements of operations for the three months ended March 31,: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8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5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16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recognized in OCI</w:t>
            </w:r>
          </w:p>
        </w:tc>
        <w:tc>
          <w:tcPr>
            <w:tcW w:w="3080" w:type="dxa"/>
            <w:vAlign w:val="bottom"/>
            <w:shd w:val="clear" w:color="auto" w:fill="DBDBDB"/>
          </w:tcPr>
          <w:p>
            <w:pPr>
              <w:jc w:val="right"/>
              <w:ind w:right="1823"/>
              <w:spacing w:after="0"/>
              <w:rPr>
                <w:sz w:val="20"/>
                <w:szCs w:val="20"/>
                <w:color w:val="auto"/>
              </w:rPr>
            </w:pPr>
            <w:r>
              <w:rPr>
                <w:rFonts w:ascii="Arial" w:cs="Arial" w:eastAsia="Arial" w:hAnsi="Arial"/>
                <w:sz w:val="15"/>
                <w:szCs w:val="15"/>
                <w:color w:val="auto"/>
              </w:rPr>
              <w:t>$</w:t>
            </w:r>
          </w:p>
        </w:tc>
        <w:tc>
          <w:tcPr>
            <w:tcW w:w="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3,098</w:t>
            </w:r>
          </w:p>
        </w:tc>
        <w:tc>
          <w:tcPr>
            <w:tcW w:w="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2,844</w:t>
            </w:r>
          </w:p>
        </w:tc>
      </w:tr>
      <w:tr>
        <w:trPr>
          <w:trHeight w:val="203"/>
        </w:trPr>
        <w:tc>
          <w:tcPr>
            <w:tcW w:w="512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3080" w:type="dxa"/>
            <w:vAlign w:val="bottom"/>
          </w:tcPr>
          <w:p>
            <w:pPr>
              <w:jc w:val="right"/>
              <w:spacing w:after="0"/>
              <w:rPr>
                <w:sz w:val="20"/>
                <w:szCs w:val="20"/>
                <w:color w:val="auto"/>
              </w:rPr>
            </w:pPr>
            <w:r>
              <w:rPr>
                <w:rFonts w:ascii="Arial" w:cs="Arial" w:eastAsia="Arial" w:hAnsi="Arial"/>
                <w:sz w:val="15"/>
                <w:szCs w:val="15"/>
                <w:color w:val="auto"/>
              </w:rPr>
              <w:t>Interest expense, net</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jc w:val="right"/>
              <w:ind w:right="443"/>
              <w:spacing w:after="0"/>
              <w:rPr>
                <w:sz w:val="20"/>
                <w:szCs w:val="20"/>
                <w:color w:val="auto"/>
              </w:rPr>
            </w:pPr>
            <w:r>
              <w:rPr>
                <w:rFonts w:ascii="Arial" w:cs="Arial" w:eastAsia="Arial" w:hAnsi="Arial"/>
                <w:sz w:val="15"/>
                <w:szCs w:val="15"/>
                <w:color w:val="auto"/>
              </w:rPr>
              <w:t>Interest expense, net</w:t>
            </w:r>
          </w:p>
        </w:tc>
      </w:tr>
      <w:tr>
        <w:trPr>
          <w:trHeight w:val="209"/>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reclassified from AOCI into income (effective portion)</w:t>
            </w:r>
          </w:p>
        </w:tc>
        <w:tc>
          <w:tcPr>
            <w:tcW w:w="3080" w:type="dxa"/>
            <w:vAlign w:val="bottom"/>
            <w:shd w:val="clear" w:color="auto" w:fill="DBDBDB"/>
          </w:tcPr>
          <w:p>
            <w:pPr>
              <w:jc w:val="right"/>
              <w:ind w:right="1823"/>
              <w:spacing w:after="0"/>
              <w:rPr>
                <w:sz w:val="20"/>
                <w:szCs w:val="20"/>
                <w:color w:val="auto"/>
              </w:rPr>
            </w:pPr>
            <w:r>
              <w:rPr>
                <w:rFonts w:ascii="Arial" w:cs="Arial" w:eastAsia="Arial" w:hAnsi="Arial"/>
                <w:sz w:val="15"/>
                <w:szCs w:val="15"/>
                <w:color w:val="auto"/>
              </w:rPr>
              <w:t>$</w:t>
            </w:r>
          </w:p>
        </w:tc>
        <w:tc>
          <w:tcPr>
            <w:tcW w:w="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2,890</w:t>
            </w:r>
          </w:p>
        </w:tc>
        <w:tc>
          <w:tcPr>
            <w:tcW w:w="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2,937</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1D2758"/>
        </w:rPr>
        <w:t>NOTE 16 - Commitments and Contingencies</w:t>
      </w:r>
    </w:p>
    <w:p>
      <w:pPr>
        <w:spacing w:after="0" w:line="10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2022,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1D2758"/>
        </w:rPr>
        <w:t>NOTE 17 - Segment Reporting</w:t>
      </w:r>
    </w:p>
    <w:p>
      <w:pPr>
        <w:spacing w:after="0" w:line="10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The Company operates in four reportable segments as follows: North America Modular Solutions ("NA Modular"), North America Storage Solutions ("NA Storage"), United Kingdom Storage Solutions ("UK Storage") and Tank and Pump Solutions ("Tank and Pump"). Total assets for each reportable segment are not available because the Company utilizes a centralized approach to working capital management. Transactions between reportable segments are not significant.</w:t>
      </w:r>
    </w:p>
    <w:p>
      <w:pPr>
        <w:spacing w:after="0" w:line="3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and ongoing business operations. In addition, the Chief Operating Decision Maker ("CODM") evaluates business segment performance utilizing Adjusted EBITDA as shown in the reconciliation of the Company’s consolidated net income to Adjusted EBITDA below. Management believes that evaluating segment performance excluding such items is meaningful because it provides insight with respect to the intrinsic and ongoing operating results of the Company. 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Reportable Segments</w:t>
      </w:r>
    </w:p>
    <w:p>
      <w:pPr>
        <w:spacing w:after="0" w:line="137" w:lineRule="exact"/>
        <w:rPr>
          <w:sz w:val="20"/>
          <w:szCs w:val="20"/>
          <w:color w:val="auto"/>
        </w:rPr>
      </w:pPr>
    </w:p>
    <w:p>
      <w:pPr>
        <w:ind w:firstLine="619"/>
        <w:spacing w:after="0" w:line="269"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three months ended March 31, 2022 and 2021, respectively.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2700" w:type="dxa"/>
            <w:vAlign w:val="bottom"/>
            <w:gridSpan w:val="7"/>
            <w:shd w:val="clear" w:color="auto" w:fill="1D2758"/>
          </w:tcPr>
          <w:p>
            <w:pPr>
              <w:jc w:val="center"/>
              <w:spacing w:after="0"/>
              <w:rPr>
                <w:sz w:val="20"/>
                <w:szCs w:val="20"/>
                <w:color w:val="auto"/>
              </w:rPr>
            </w:pPr>
            <w:r>
              <w:rPr>
                <w:rFonts w:ascii="Arial" w:cs="Arial" w:eastAsia="Arial" w:hAnsi="Arial"/>
                <w:sz w:val="15"/>
                <w:szCs w:val="15"/>
                <w:b w:val="1"/>
                <w:bCs w:val="1"/>
                <w:color w:val="FFFFFF"/>
              </w:rPr>
              <w:t>Three Months Ended March 31, 2022</w:t>
            </w:r>
          </w:p>
        </w:tc>
        <w:tc>
          <w:tcPr>
            <w:tcW w:w="12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20" w:type="dxa"/>
            <w:vAlign w:val="bottom"/>
            <w:shd w:val="clear" w:color="auto" w:fill="1D2758"/>
          </w:tcPr>
          <w:p>
            <w:pPr>
              <w:spacing w:after="0"/>
              <w:rPr>
                <w:sz w:val="13"/>
                <w:szCs w:val="13"/>
                <w:color w:val="auto"/>
              </w:rPr>
            </w:pPr>
          </w:p>
        </w:tc>
        <w:tc>
          <w:tcPr>
            <w:tcW w:w="1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NA Storage</w:t>
            </w:r>
          </w:p>
        </w:tc>
        <w:tc>
          <w:tcPr>
            <w:tcW w:w="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3"/>
                <w:szCs w:val="13"/>
                <w:color w:val="auto"/>
              </w:rPr>
            </w:pPr>
          </w:p>
        </w:tc>
        <w:tc>
          <w:tcPr>
            <w:tcW w:w="960" w:type="dxa"/>
            <w:vAlign w:val="bottom"/>
            <w:shd w:val="clear" w:color="auto" w:fill="1D2758"/>
          </w:tcPr>
          <w:p>
            <w:pPr>
              <w:jc w:val="right"/>
              <w:ind w:right="143"/>
              <w:spacing w:after="0" w:line="155" w:lineRule="exact"/>
              <w:rPr>
                <w:sz w:val="20"/>
                <w:szCs w:val="20"/>
                <w:color w:val="auto"/>
              </w:rPr>
            </w:pPr>
            <w:r>
              <w:rPr>
                <w:rFonts w:ascii="Arial" w:cs="Arial" w:eastAsia="Arial" w:hAnsi="Arial"/>
                <w:sz w:val="15"/>
                <w:szCs w:val="15"/>
                <w:b w:val="1"/>
                <w:bCs w:val="1"/>
                <w:color w:val="FFFFFF"/>
              </w:rPr>
              <w:t>Tank and</w:t>
            </w:r>
          </w:p>
        </w:tc>
        <w:tc>
          <w:tcPr>
            <w:tcW w:w="280" w:type="dxa"/>
            <w:vAlign w:val="bottom"/>
            <w:shd w:val="clear" w:color="auto" w:fill="1D2758"/>
          </w:tcPr>
          <w:p>
            <w:pPr>
              <w:spacing w:after="0"/>
              <w:rPr>
                <w:sz w:val="13"/>
                <w:szCs w:val="13"/>
                <w:color w:val="auto"/>
              </w:rPr>
            </w:pPr>
          </w:p>
        </w:tc>
        <w:tc>
          <w:tcPr>
            <w:tcW w:w="120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3"/>
                <w:szCs w:val="13"/>
                <w:color w:val="auto"/>
              </w:rPr>
            </w:pPr>
          </w:p>
        </w:tc>
        <w:tc>
          <w:tcPr>
            <w:tcW w:w="88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388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Pump</w:t>
            </w:r>
          </w:p>
        </w:tc>
        <w:tc>
          <w:tcPr>
            <w:tcW w:w="28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232,978</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118,581</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20,571</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21,062</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393,192</w:t>
            </w: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55,634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29,904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8,326</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100,331</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4,845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942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682</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6,597</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6,229</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2,057</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214</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8,774</w:t>
            </w:r>
          </w:p>
        </w:tc>
        <w:tc>
          <w:tcPr>
            <w:tcW w:w="0" w:type="dxa"/>
            <w:vAlign w:val="bottom"/>
          </w:tcPr>
          <w:p>
            <w:pPr>
              <w:spacing w:after="0"/>
              <w:rPr>
                <w:sz w:val="1"/>
                <w:szCs w:val="1"/>
                <w:color w:val="auto"/>
              </w:rPr>
            </w:pPr>
          </w:p>
        </w:tc>
      </w:tr>
      <w:tr>
        <w:trPr>
          <w:trHeight w:val="196"/>
        </w:trPr>
        <w:tc>
          <w:tcPr>
            <w:tcW w:w="388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299,686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151,484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27,440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30,284</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508,894</w:t>
            </w:r>
          </w:p>
        </w:tc>
        <w:tc>
          <w:tcPr>
            <w:tcW w:w="0" w:type="dxa"/>
            <w:vAlign w:val="bottom"/>
          </w:tcPr>
          <w:p>
            <w:pPr>
              <w:spacing w:after="0"/>
              <w:rPr>
                <w:sz w:val="1"/>
                <w:szCs w:val="1"/>
                <w:color w:val="auto"/>
              </w:rPr>
            </w:pPr>
          </w:p>
        </w:tc>
      </w:tr>
      <w:tr>
        <w:trPr>
          <w:trHeight w:val="248"/>
        </w:trPr>
        <w:tc>
          <w:tcPr>
            <w:tcW w:w="38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63,989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16,346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4,306</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88,878</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49,054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21,526</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3,923</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81,515</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3,257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498</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507</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4,326</w:t>
            </w: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1,353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5,144</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50,917</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6,631</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1,138</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3,530</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62,216</w:t>
            </w:r>
          </w:p>
        </w:tc>
        <w:tc>
          <w:tcPr>
            <w:tcW w:w="0" w:type="dxa"/>
            <w:vAlign w:val="bottom"/>
          </w:tcPr>
          <w:p>
            <w:pPr>
              <w:spacing w:after="0"/>
              <w:rPr>
                <w:sz w:val="1"/>
                <w:szCs w:val="1"/>
                <w:color w:val="auto"/>
              </w:rPr>
            </w:pPr>
          </w:p>
        </w:tc>
      </w:tr>
      <w:tr>
        <w:trPr>
          <w:trHeight w:val="196"/>
        </w:trPr>
        <w:tc>
          <w:tcPr>
            <w:tcW w:w="38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128,931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105,130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17,921</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14,833</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266,815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80" w:type="dxa"/>
            <w:vAlign w:val="bottom"/>
            <w:shd w:val="clear" w:color="auto" w:fill="DBDBDB"/>
          </w:tcPr>
          <w:p>
            <w:pPr>
              <w:ind w:left="20"/>
              <w:spacing w:after="0" w:line="169" w:lineRule="exact"/>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103,948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63,825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12,544</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11,506</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191,823</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77,520</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47,938</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6,514</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6,857</w:t>
            </w: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11,381</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150,210</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57,577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20,171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9,615</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7,873</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95,236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6"/>
        </w:trPr>
        <w:tc>
          <w:tcPr>
            <w:tcW w:w="38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2700" w:type="dxa"/>
            <w:vAlign w:val="bottom"/>
            <w:gridSpan w:val="7"/>
            <w:shd w:val="clear" w:color="auto" w:fill="1D2758"/>
          </w:tcPr>
          <w:p>
            <w:pPr>
              <w:jc w:val="center"/>
              <w:spacing w:after="0"/>
              <w:rPr>
                <w:sz w:val="20"/>
                <w:szCs w:val="20"/>
                <w:color w:val="auto"/>
              </w:rPr>
            </w:pPr>
            <w:r>
              <w:rPr>
                <w:rFonts w:ascii="Arial" w:cs="Arial" w:eastAsia="Arial" w:hAnsi="Arial"/>
                <w:sz w:val="15"/>
                <w:szCs w:val="15"/>
                <w:b w:val="1"/>
                <w:bCs w:val="1"/>
                <w:color w:val="FFFFFF"/>
              </w:rPr>
              <w:t>Three Months Ended March 31, 2021</w:t>
            </w:r>
          </w:p>
        </w:tc>
        <w:tc>
          <w:tcPr>
            <w:tcW w:w="12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20" w:type="dxa"/>
            <w:vAlign w:val="bottom"/>
            <w:shd w:val="clear" w:color="auto" w:fill="1D2758"/>
          </w:tcPr>
          <w:p>
            <w:pPr>
              <w:spacing w:after="0"/>
              <w:rPr>
                <w:sz w:val="13"/>
                <w:szCs w:val="13"/>
                <w:color w:val="auto"/>
              </w:rPr>
            </w:pPr>
          </w:p>
        </w:tc>
        <w:tc>
          <w:tcPr>
            <w:tcW w:w="1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NA Storage</w:t>
            </w:r>
          </w:p>
        </w:tc>
        <w:tc>
          <w:tcPr>
            <w:tcW w:w="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3"/>
                <w:szCs w:val="13"/>
                <w:color w:val="auto"/>
              </w:rPr>
            </w:pPr>
          </w:p>
        </w:tc>
        <w:tc>
          <w:tcPr>
            <w:tcW w:w="960" w:type="dxa"/>
            <w:vAlign w:val="bottom"/>
            <w:shd w:val="clear" w:color="auto" w:fill="1D2758"/>
          </w:tcPr>
          <w:p>
            <w:pPr>
              <w:jc w:val="right"/>
              <w:ind w:right="143"/>
              <w:spacing w:after="0" w:line="155" w:lineRule="exact"/>
              <w:rPr>
                <w:sz w:val="20"/>
                <w:szCs w:val="20"/>
                <w:color w:val="auto"/>
              </w:rPr>
            </w:pPr>
            <w:r>
              <w:rPr>
                <w:rFonts w:ascii="Arial" w:cs="Arial" w:eastAsia="Arial" w:hAnsi="Arial"/>
                <w:sz w:val="15"/>
                <w:szCs w:val="15"/>
                <w:b w:val="1"/>
                <w:bCs w:val="1"/>
                <w:color w:val="FFFFFF"/>
              </w:rPr>
              <w:t>Tank and</w:t>
            </w:r>
          </w:p>
        </w:tc>
        <w:tc>
          <w:tcPr>
            <w:tcW w:w="280" w:type="dxa"/>
            <w:vAlign w:val="bottom"/>
            <w:shd w:val="clear" w:color="auto" w:fill="1D2758"/>
          </w:tcPr>
          <w:p>
            <w:pPr>
              <w:spacing w:after="0"/>
              <w:rPr>
                <w:sz w:val="13"/>
                <w:szCs w:val="13"/>
                <w:color w:val="auto"/>
              </w:rPr>
            </w:pPr>
          </w:p>
        </w:tc>
        <w:tc>
          <w:tcPr>
            <w:tcW w:w="120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3"/>
                <w:szCs w:val="13"/>
                <w:color w:val="auto"/>
              </w:rPr>
            </w:pPr>
          </w:p>
        </w:tc>
        <w:tc>
          <w:tcPr>
            <w:tcW w:w="88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388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Pump</w:t>
            </w:r>
          </w:p>
        </w:tc>
        <w:tc>
          <w:tcPr>
            <w:tcW w:w="28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199,608</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80,351</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18,721</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16,982</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315,662</w:t>
            </w: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48,680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21,365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6,709</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83,504</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440</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10,955</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10,476</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3,848</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665</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213</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15,202</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266,224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107,748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27,007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24,344</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425,323</w:t>
            </w:r>
          </w:p>
        </w:tc>
        <w:tc>
          <w:tcPr>
            <w:tcW w:w="0" w:type="dxa"/>
            <w:vAlign w:val="bottom"/>
          </w:tcPr>
          <w:p>
            <w:pPr>
              <w:spacing w:after="0"/>
              <w:rPr>
                <w:sz w:val="1"/>
                <w:szCs w:val="1"/>
                <w:color w:val="auto"/>
              </w:rPr>
            </w:pPr>
          </w:p>
        </w:tc>
      </w:tr>
      <w:tr>
        <w:trPr>
          <w:trHeight w:val="248"/>
        </w:trPr>
        <w:tc>
          <w:tcPr>
            <w:tcW w:w="38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51,075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10,733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3,791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69,895</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44,705</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15,740</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5,600</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70,136</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4,874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1,341</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589</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305</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7,109</w:t>
            </w: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2,522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9,105</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46,720</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4,793</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914</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3,271</w:t>
            </w: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55,698</w:t>
            </w:r>
          </w:p>
        </w:tc>
        <w:tc>
          <w:tcPr>
            <w:tcW w:w="0" w:type="dxa"/>
            <w:vAlign w:val="bottom"/>
          </w:tcPr>
          <w:p>
            <w:pPr>
              <w:spacing w:after="0"/>
              <w:rPr>
                <w:sz w:val="1"/>
                <w:szCs w:val="1"/>
                <w:color w:val="auto"/>
              </w:rPr>
            </w:pPr>
          </w:p>
        </w:tc>
      </w:tr>
      <w:tr>
        <w:trPr>
          <w:trHeight w:val="196"/>
        </w:trPr>
        <w:tc>
          <w:tcPr>
            <w:tcW w:w="38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113,002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72,619</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16,493</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11,266</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213,380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80" w:type="dxa"/>
            <w:vAlign w:val="bottom"/>
            <w:shd w:val="clear" w:color="auto" w:fill="DBDBDB"/>
          </w:tcPr>
          <w:p>
            <w:pPr>
              <w:ind w:left="20"/>
              <w:spacing w:after="0" w:line="169" w:lineRule="exact"/>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97,371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46,322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11,064</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8,828</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163,585</w:t>
            </w:r>
          </w:p>
        </w:tc>
        <w:tc>
          <w:tcPr>
            <w:tcW w:w="0" w:type="dxa"/>
            <w:vAlign w:val="bottom"/>
          </w:tcPr>
          <w:p>
            <w:pPr>
              <w:spacing w:after="0"/>
              <w:rPr>
                <w:sz w:val="1"/>
                <w:szCs w:val="1"/>
                <w:color w:val="auto"/>
              </w:rPr>
            </w:pPr>
          </w:p>
        </w:tc>
      </w:tr>
      <w:tr>
        <w:trPr>
          <w:trHeight w:val="209"/>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62,350</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31,089</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6,343</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5,710</w:t>
            </w: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11,837</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117,329</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39,135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3,472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6,770</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3,158</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52,535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1" w:name="page22"/>
    <w:bookmarkEnd w:id="21"/>
    <w:p>
      <w:pPr>
        <w:jc w:val="both"/>
        <w:ind w:firstLine="619"/>
        <w:spacing w:after="0" w:line="269" w:lineRule="auto"/>
        <w:rPr>
          <w:sz w:val="20"/>
          <w:szCs w:val="20"/>
          <w:color w:val="auto"/>
        </w:rPr>
      </w:pPr>
      <w:r>
        <w:rPr>
          <w:rFonts w:ascii="Arial" w:cs="Arial" w:eastAsia="Arial" w:hAnsi="Arial"/>
          <w:sz w:val="15"/>
          <w:szCs w:val="15"/>
          <w:color w:val="auto"/>
        </w:rPr>
        <w:t>The following table presents a reconciliation of the Company’s Net income to Adjusted EBITDA for the three months ended March 31, 2022 and 2021, respectively: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3300" w:type="dxa"/>
            <w:vAlign w:val="bottom"/>
            <w:gridSpan w:val="4"/>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Three Months Ended March 31,</w:t>
            </w:r>
          </w:p>
        </w:tc>
      </w:tr>
      <w:tr>
        <w:trPr>
          <w:trHeight w:val="20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51,171</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4,447</w:t>
            </w: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15,748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10,481</w:t>
            </w: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40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3,185</w:t>
            </w: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4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27,207</w:t>
            </w: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30,990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29,964</w:t>
            </w: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81,820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74,022</w:t>
            </w: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4,395</w:t>
            </w: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844</w:t>
            </w: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4,087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7,342</w:t>
            </w: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6,395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3,514</w:t>
            </w:r>
          </w:p>
        </w:tc>
      </w:tr>
      <w:tr>
        <w:trPr>
          <w:trHeight w:val="203"/>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1,191</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(1,852)</w:t>
            </w:r>
          </w:p>
        </w:tc>
      </w:tr>
      <w:tr>
        <w:trPr>
          <w:trHeight w:val="227"/>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191,823</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163,585</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Included in restructuring costs for the three months ended March 31, 2021 was expense of approximately $1.4 million recognized as a result of the modification of certain equity awards associated with the Transition, Separation and Release Agreement entered into on February 25, 2021 with the Company's former President and Chief Operating Officer.</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1D2758"/>
        </w:rPr>
        <w:t>NOTE 18 - Earnings Per Share</w:t>
      </w:r>
    </w:p>
    <w:p>
      <w:pPr>
        <w:spacing w:after="0" w:line="106"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following table reconciles the weighted average shares outstanding for the basic calculation to the weighted average shares outstanding for the diluted calculation: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shd w:val="clear" w:color="auto" w:fill="1D2758"/>
          </w:tcPr>
          <w:p>
            <w:pPr>
              <w:spacing w:after="0"/>
              <w:rPr>
                <w:sz w:val="17"/>
                <w:szCs w:val="17"/>
                <w:color w:val="auto"/>
              </w:rPr>
            </w:pPr>
          </w:p>
        </w:tc>
        <w:tc>
          <w:tcPr>
            <w:tcW w:w="2600" w:type="dxa"/>
            <w:vAlign w:val="bottom"/>
            <w:gridSpan w:val="3"/>
            <w:shd w:val="clear" w:color="auto" w:fill="1D2758"/>
          </w:tcPr>
          <w:p>
            <w:pPr>
              <w:jc w:val="center"/>
              <w:ind w:left="983"/>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7"/>
                <w:szCs w:val="17"/>
                <w:color w:val="auto"/>
              </w:rPr>
            </w:pPr>
          </w:p>
        </w:tc>
      </w:tr>
      <w:tr>
        <w:trPr>
          <w:trHeight w:val="203"/>
        </w:trPr>
        <w:tc>
          <w:tcPr>
            <w:tcW w:w="7540" w:type="dxa"/>
            <w:vAlign w:val="bottom"/>
            <w:shd w:val="clear" w:color="auto" w:fill="1D2758"/>
          </w:tcPr>
          <w:p>
            <w:pPr>
              <w:spacing w:after="0"/>
              <w:rPr>
                <w:sz w:val="17"/>
                <w:szCs w:val="17"/>
                <w:color w:val="auto"/>
              </w:rPr>
            </w:pPr>
          </w:p>
        </w:tc>
        <w:tc>
          <w:tcPr>
            <w:tcW w:w="2600" w:type="dxa"/>
            <w:vAlign w:val="bottom"/>
            <w:gridSpan w:val="3"/>
            <w:shd w:val="clear" w:color="auto" w:fill="1D2758"/>
          </w:tcPr>
          <w:p>
            <w:pPr>
              <w:jc w:val="center"/>
              <w:ind w:left="983"/>
              <w:spacing w:after="0"/>
              <w:rPr>
                <w:sz w:val="20"/>
                <w:szCs w:val="20"/>
                <w:color w:val="auto"/>
              </w:rPr>
            </w:pPr>
            <w:r>
              <w:rPr>
                <w:rFonts w:ascii="Arial" w:cs="Arial" w:eastAsia="Arial" w:hAnsi="Arial"/>
                <w:sz w:val="15"/>
                <w:szCs w:val="15"/>
                <w:b w:val="1"/>
                <w:bCs w:val="1"/>
                <w:color w:val="FFFFFF"/>
              </w:rPr>
              <w:t>March 31</w:t>
            </w:r>
          </w:p>
        </w:tc>
        <w:tc>
          <w:tcPr>
            <w:tcW w:w="1060" w:type="dxa"/>
            <w:vAlign w:val="bottom"/>
            <w:shd w:val="clear" w:color="auto" w:fill="1D2758"/>
          </w:tcPr>
          <w:p>
            <w:pPr>
              <w:spacing w:after="0"/>
              <w:rPr>
                <w:sz w:val="17"/>
                <w:szCs w:val="17"/>
                <w:color w:val="auto"/>
              </w:rPr>
            </w:pPr>
          </w:p>
        </w:tc>
      </w:tr>
      <w:tr>
        <w:trPr>
          <w:trHeight w:val="210"/>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7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2021</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223,491</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228,293</w:t>
            </w: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75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1,889</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3,927</w:t>
            </w:r>
          </w:p>
        </w:tc>
      </w:tr>
      <w:tr>
        <w:trPr>
          <w:trHeight w:val="203"/>
        </w:trPr>
        <w:tc>
          <w:tcPr>
            <w:tcW w:w="7540" w:type="dxa"/>
            <w:vAlign w:val="bottom"/>
          </w:tcPr>
          <w:p>
            <w:pPr>
              <w:ind w:left="320"/>
              <w:spacing w:after="0"/>
              <w:rPr>
                <w:sz w:val="20"/>
                <w:szCs w:val="20"/>
                <w:color w:val="auto"/>
              </w:rPr>
            </w:pPr>
            <w:r>
              <w:rPr>
                <w:rFonts w:ascii="Arial" w:cs="Arial" w:eastAsia="Arial" w:hAnsi="Arial"/>
                <w:sz w:val="15"/>
                <w:szCs w:val="15"/>
                <w:color w:val="auto"/>
              </w:rPr>
              <w:t>RSAs</w:t>
            </w:r>
          </w:p>
        </w:tc>
        <w:tc>
          <w:tcPr>
            <w:tcW w:w="178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09"/>
        </w:trPr>
        <w:tc>
          <w:tcPr>
            <w:tcW w:w="75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483</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645</w:t>
            </w:r>
          </w:p>
        </w:tc>
      </w:tr>
      <w:tr>
        <w:trPr>
          <w:trHeight w:val="203"/>
        </w:trPr>
        <w:tc>
          <w:tcPr>
            <w:tcW w:w="7540" w:type="dxa"/>
            <w:vAlign w:val="bottom"/>
          </w:tcPr>
          <w:p>
            <w:pPr>
              <w:ind w:left="320"/>
              <w:spacing w:after="0"/>
              <w:rPr>
                <w:sz w:val="20"/>
                <w:szCs w:val="20"/>
                <w:color w:val="auto"/>
              </w:rPr>
            </w:pPr>
            <w:r>
              <w:rPr>
                <w:rFonts w:ascii="Arial" w:cs="Arial" w:eastAsia="Arial" w:hAnsi="Arial"/>
                <w:sz w:val="15"/>
                <w:szCs w:val="15"/>
                <w:color w:val="auto"/>
              </w:rPr>
              <w:t>Performance-based RSUs</w:t>
            </w:r>
          </w:p>
        </w:tc>
        <w:tc>
          <w:tcPr>
            <w:tcW w:w="1780" w:type="dxa"/>
            <w:vAlign w:val="bottom"/>
          </w:tcPr>
          <w:p>
            <w:pPr>
              <w:jc w:val="right"/>
              <w:spacing w:after="0"/>
              <w:rPr>
                <w:sz w:val="20"/>
                <w:szCs w:val="20"/>
                <w:color w:val="auto"/>
              </w:rPr>
            </w:pPr>
            <w:r>
              <w:rPr>
                <w:rFonts w:ascii="Arial" w:cs="Arial" w:eastAsia="Arial" w:hAnsi="Arial"/>
                <w:sz w:val="15"/>
                <w:szCs w:val="15"/>
                <w:color w:val="auto"/>
              </w:rPr>
              <w:t>1,819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737</w:t>
            </w:r>
          </w:p>
        </w:tc>
      </w:tr>
      <w:tr>
        <w:trPr>
          <w:trHeight w:val="206"/>
        </w:trPr>
        <w:tc>
          <w:tcPr>
            <w:tcW w:w="75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1,246</w:t>
            </w:r>
          </w:p>
        </w:tc>
        <w:tc>
          <w:tcPr>
            <w:tcW w:w="100" w:type="dxa"/>
            <w:vAlign w:val="bottom"/>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1,067</w:t>
            </w:r>
          </w:p>
        </w:tc>
      </w:tr>
      <w:tr>
        <w:trPr>
          <w:trHeight w:val="202"/>
        </w:trPr>
        <w:tc>
          <w:tcPr>
            <w:tcW w:w="754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228,956</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234,720</w:t>
            </w:r>
          </w:p>
        </w:tc>
      </w:tr>
      <w:tr>
        <w:trPr>
          <w:trHeight w:val="20"/>
        </w:trPr>
        <w:tc>
          <w:tcPr>
            <w:tcW w:w="7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For the three months ended March 31, 2022, 555,790 shares of Performance-Based RSUs were excluded from the computation of diluted EPS because their effect would have been anti-dilutive. For the three months ended March 31, 2021, warrants representing 3,513,763 shares of Common Stock were excluded from the computation of diluted EPS because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1D2758"/>
        </w:rPr>
        <w:t>NOTE 19 - Related Parties</w:t>
      </w:r>
    </w:p>
    <w:p>
      <w:pPr>
        <w:spacing w:after="0" w:line="106" w:lineRule="exact"/>
        <w:rPr>
          <w:sz w:val="20"/>
          <w:szCs w:val="20"/>
          <w:color w:val="auto"/>
        </w:rPr>
      </w:pPr>
    </w:p>
    <w:p>
      <w:pPr>
        <w:ind w:firstLine="619"/>
        <w:spacing w:after="0" w:line="269" w:lineRule="auto"/>
        <w:rPr>
          <w:sz w:val="20"/>
          <w:szCs w:val="20"/>
          <w:color w:val="auto"/>
        </w:rPr>
      </w:pPr>
      <w:r>
        <w:rPr>
          <w:rFonts w:ascii="Arial" w:cs="Arial" w:eastAsia="Arial" w:hAnsi="Arial"/>
          <w:sz w:val="15"/>
          <w:szCs w:val="15"/>
          <w:color w:val="auto"/>
        </w:rPr>
        <w:t>Related party balances included in the Company’s condensed consolidated balance sheets at March 31, 2022 and December 31, 2021,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760" w:type="dxa"/>
            <w:vAlign w:val="bottom"/>
            <w:gridSpan w:val="2"/>
            <w:shd w:val="clear" w:color="auto" w:fill="1D2758"/>
          </w:tcPr>
          <w:p>
            <w:pPr>
              <w:ind w:left="1580"/>
              <w:spacing w:after="0"/>
              <w:rPr>
                <w:sz w:val="20"/>
                <w:szCs w:val="20"/>
                <w:color w:val="auto"/>
              </w:rPr>
            </w:pPr>
            <w:r>
              <w:rPr>
                <w:rFonts w:ascii="Arial" w:cs="Arial" w:eastAsia="Arial" w:hAnsi="Arial"/>
                <w:sz w:val="15"/>
                <w:szCs w:val="15"/>
                <w:b w:val="1"/>
                <w:bCs w:val="1"/>
                <w:color w:val="FFFFFF"/>
              </w:rPr>
              <w:t>Financial Statement Line Item</w:t>
            </w:r>
          </w:p>
        </w:tc>
        <w:tc>
          <w:tcPr>
            <w:tcW w:w="166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March 31, 2022</w:t>
            </w:r>
          </w:p>
        </w:tc>
        <w:tc>
          <w:tcPr>
            <w:tcW w:w="160" w:type="dxa"/>
            <w:vAlign w:val="bottom"/>
            <w:shd w:val="clear" w:color="auto" w:fill="1D2758"/>
          </w:tcPr>
          <w:p>
            <w:pPr>
              <w:spacing w:after="0"/>
              <w:rPr>
                <w:sz w:val="17"/>
                <w:szCs w:val="17"/>
                <w:color w:val="auto"/>
              </w:rPr>
            </w:pPr>
          </w:p>
        </w:tc>
        <w:tc>
          <w:tcPr>
            <w:tcW w:w="1640" w:type="dxa"/>
            <w:vAlign w:val="bottom"/>
            <w:shd w:val="clear" w:color="auto" w:fill="1D2758"/>
          </w:tcPr>
          <w:p>
            <w:pPr>
              <w:ind w:left="40"/>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3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Receivables due from affiliates</w:t>
            </w:r>
          </w:p>
        </w:tc>
        <w:tc>
          <w:tcPr>
            <w:tcW w:w="4760" w:type="dxa"/>
            <w:vAlign w:val="bottom"/>
            <w:gridSpan w:val="2"/>
            <w:shd w:val="clear" w:color="auto" w:fill="DBDBDB"/>
          </w:tcPr>
          <w:p>
            <w:pPr>
              <w:ind w:left="820"/>
              <w:spacing w:after="0"/>
              <w:rPr>
                <w:sz w:val="20"/>
                <w:szCs w:val="20"/>
                <w:color w:val="auto"/>
              </w:rPr>
            </w:pPr>
            <w:r>
              <w:rPr>
                <w:rFonts w:ascii="Arial" w:cs="Arial" w:eastAsia="Arial" w:hAnsi="Arial"/>
                <w:sz w:val="15"/>
                <w:szCs w:val="15"/>
                <w:color w:val="auto"/>
              </w:rPr>
              <w:t>Trade receivables, net of allowances for credit losses $</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BDBDB"/>
          </w:tcPr>
          <w:p>
            <w:pPr>
              <w:jc w:val="center"/>
              <w:ind w:left="1263"/>
              <w:spacing w:after="0"/>
              <w:rPr>
                <w:sz w:val="20"/>
                <w:szCs w:val="20"/>
                <w:color w:val="auto"/>
              </w:rPr>
            </w:pPr>
            <w:r>
              <w:rPr>
                <w:rFonts w:ascii="Arial" w:cs="Arial" w:eastAsia="Arial" w:hAnsi="Arial"/>
                <w:sz w:val="15"/>
                <w:szCs w:val="15"/>
                <w:color w:val="auto"/>
              </w:rPr>
              <w:t>10</w:t>
            </w:r>
          </w:p>
        </w:tc>
      </w:tr>
      <w:tr>
        <w:trPr>
          <w:trHeight w:val="203"/>
        </w:trPr>
        <w:tc>
          <w:tcPr>
            <w:tcW w:w="30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Amounts due to affiliates</w:t>
            </w:r>
          </w:p>
        </w:tc>
        <w:tc>
          <w:tcPr>
            <w:tcW w:w="4520" w:type="dxa"/>
            <w:vAlign w:val="bottom"/>
            <w:tcBorders>
              <w:bottom w:val="single" w:sz="8" w:color="DBDBDB"/>
            </w:tcBorders>
          </w:tcPr>
          <w:p>
            <w:pPr>
              <w:ind w:left="820"/>
              <w:spacing w:after="0"/>
              <w:rPr>
                <w:sz w:val="20"/>
                <w:szCs w:val="20"/>
                <w:color w:val="auto"/>
              </w:rPr>
            </w:pPr>
            <w:r>
              <w:rPr>
                <w:rFonts w:ascii="Arial" w:cs="Arial" w:eastAsia="Arial" w:hAnsi="Arial"/>
                <w:sz w:val="15"/>
                <w:szCs w:val="15"/>
                <w:color w:val="auto"/>
              </w:rPr>
              <w:t>Accrued expenses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left="1243"/>
              <w:spacing w:after="0"/>
              <w:rPr>
                <w:sz w:val="20"/>
                <w:szCs w:val="20"/>
                <w:color w:val="auto"/>
              </w:rPr>
            </w:pPr>
            <w:r>
              <w:rPr>
                <w:rFonts w:ascii="Arial" w:cs="Arial" w:eastAsia="Arial" w:hAnsi="Arial"/>
                <w:sz w:val="15"/>
                <w:szCs w:val="15"/>
                <w:color w:val="auto"/>
              </w:rPr>
              <w:t>(49)</w:t>
            </w:r>
          </w:p>
        </w:tc>
      </w:tr>
      <w:tr>
        <w:trPr>
          <w:trHeight w:val="222"/>
        </w:trPr>
        <w:tc>
          <w:tcPr>
            <w:tcW w:w="3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related party liabilities, net</w:t>
            </w:r>
          </w:p>
        </w:tc>
        <w:tc>
          <w:tcPr>
            <w:tcW w:w="476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BDBDB"/>
          </w:tcPr>
          <w:p>
            <w:pPr>
              <w:jc w:val="center"/>
              <w:ind w:left="1243"/>
              <w:spacing w:after="0"/>
              <w:rPr>
                <w:sz w:val="20"/>
                <w:szCs w:val="20"/>
                <w:color w:val="auto"/>
              </w:rPr>
            </w:pPr>
            <w:r>
              <w:rPr>
                <w:rFonts w:ascii="Arial" w:cs="Arial" w:eastAsia="Arial" w:hAnsi="Arial"/>
                <w:sz w:val="15"/>
                <w:szCs w:val="15"/>
                <w:color w:val="auto"/>
              </w:rPr>
              <w:t>(39)</w:t>
            </w:r>
          </w:p>
        </w:tc>
      </w:tr>
      <w:tr>
        <w:trPr>
          <w:trHeight w:val="20"/>
        </w:trPr>
        <w:tc>
          <w:tcPr>
            <w:tcW w:w="3020" w:type="dxa"/>
            <w:vAlign w:val="bottom"/>
            <w:tcBorders>
              <w:top w:val="single" w:sz="8" w:color="DBDBDB"/>
            </w:tcBorders>
          </w:tcPr>
          <w:p>
            <w:pPr>
              <w:spacing w:after="0" w:line="20" w:lineRule="exact"/>
              <w:rPr>
                <w:sz w:val="1"/>
                <w:szCs w:val="1"/>
                <w:color w:val="auto"/>
              </w:rPr>
            </w:pPr>
          </w:p>
        </w:tc>
        <w:tc>
          <w:tcPr>
            <w:tcW w:w="45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Related party transactions included in the Company’s condensed consolidated statements of operations for the three months ended March 31, 2022 and 2021, respectively,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shd w:val="clear" w:color="auto" w:fill="1D2758"/>
          </w:tcPr>
          <w:p>
            <w:pPr>
              <w:spacing w:after="0"/>
              <w:rPr>
                <w:sz w:val="14"/>
                <w:szCs w:val="14"/>
                <w:color w:val="auto"/>
              </w:rPr>
            </w:pPr>
          </w:p>
        </w:tc>
        <w:tc>
          <w:tcPr>
            <w:tcW w:w="37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4"/>
        </w:trPr>
        <w:tc>
          <w:tcPr>
            <w:tcW w:w="3840" w:type="dxa"/>
            <w:vAlign w:val="bottom"/>
            <w:shd w:val="clear" w:color="auto" w:fill="1D2758"/>
          </w:tcPr>
          <w:p>
            <w:pPr>
              <w:spacing w:after="0"/>
              <w:rPr>
                <w:sz w:val="17"/>
                <w:szCs w:val="17"/>
                <w:color w:val="auto"/>
              </w:rPr>
            </w:pPr>
          </w:p>
        </w:tc>
        <w:tc>
          <w:tcPr>
            <w:tcW w:w="37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9"/>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700" w:type="dxa"/>
            <w:vAlign w:val="bottom"/>
            <w:shd w:val="clear" w:color="auto" w:fill="1D2758"/>
          </w:tcPr>
          <w:p>
            <w:pPr>
              <w:ind w:left="760"/>
              <w:spacing w:after="0"/>
              <w:rPr>
                <w:sz w:val="20"/>
                <w:szCs w:val="20"/>
                <w:color w:val="auto"/>
              </w:rPr>
            </w:pPr>
            <w:r>
              <w:rPr>
                <w:rFonts w:ascii="Arial" w:cs="Arial" w:eastAsia="Arial" w:hAnsi="Arial"/>
                <w:sz w:val="15"/>
                <w:szCs w:val="15"/>
                <w:b w:val="1"/>
                <w:bCs w:val="1"/>
                <w:color w:val="FFFFFF"/>
              </w:rPr>
              <w:t>Financial Statement Line Item</w:t>
            </w: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Leasing revenue from related parties</w:t>
            </w:r>
          </w:p>
        </w:tc>
        <w:tc>
          <w:tcPr>
            <w:tcW w:w="3700" w:type="dxa"/>
            <w:vAlign w:val="bottom"/>
            <w:shd w:val="clear" w:color="auto" w:fill="DBDBDB"/>
          </w:tcPr>
          <w:p>
            <w:pPr>
              <w:spacing w:after="0"/>
              <w:rPr>
                <w:sz w:val="20"/>
                <w:szCs w:val="20"/>
                <w:color w:val="auto"/>
              </w:rPr>
            </w:pPr>
            <w:r>
              <w:rPr>
                <w:rFonts w:ascii="Arial" w:cs="Arial" w:eastAsia="Arial" w:hAnsi="Arial"/>
                <w:sz w:val="15"/>
                <w:szCs w:val="15"/>
                <w:color w:val="auto"/>
              </w:rPr>
              <w:t>Leasing revenue</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212</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w:t>
            </w:r>
          </w:p>
        </w:tc>
      </w:tr>
      <w:tr>
        <w:trPr>
          <w:trHeight w:val="203"/>
        </w:trPr>
        <w:tc>
          <w:tcPr>
            <w:tcW w:w="38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Consulting expense to related party (a)</w:t>
            </w:r>
          </w:p>
        </w:tc>
        <w:tc>
          <w:tcPr>
            <w:tcW w:w="3700" w:type="dxa"/>
            <w:vAlign w:val="bottom"/>
            <w:tcBorders>
              <w:bottom w:val="single" w:sz="8" w:color="DBDBDB"/>
            </w:tcBorders>
          </w:tcPr>
          <w:p>
            <w:pPr>
              <w:spacing w:after="0"/>
              <w:rPr>
                <w:sz w:val="20"/>
                <w:szCs w:val="20"/>
                <w:color w:val="auto"/>
              </w:rPr>
            </w:pPr>
            <w:r>
              <w:rPr>
                <w:rFonts w:ascii="Arial" w:cs="Arial" w:eastAsia="Arial" w:hAnsi="Arial"/>
                <w:sz w:val="15"/>
                <w:szCs w:val="15"/>
                <w:color w:val="auto"/>
              </w:rPr>
              <w:t>SG&amp;A expense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(1,901)</w:t>
            </w:r>
          </w:p>
        </w:tc>
      </w:tr>
      <w:tr>
        <w:trPr>
          <w:trHeight w:val="227"/>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related party expense, net</w:t>
            </w:r>
          </w:p>
        </w:tc>
        <w:tc>
          <w:tcPr>
            <w:tcW w:w="37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74</w:t>
            </w:r>
          </w:p>
        </w:tc>
        <w:tc>
          <w:tcPr>
            <w:tcW w:w="1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(1,795)</w:t>
            </w:r>
          </w:p>
        </w:tc>
      </w:tr>
      <w:tr>
        <w:trPr>
          <w:trHeight w:val="20"/>
        </w:trPr>
        <w:tc>
          <w:tcPr>
            <w:tcW w:w="3840" w:type="dxa"/>
            <w:vAlign w:val="bottom"/>
            <w:tcBorders>
              <w:top w:val="single" w:sz="8" w:color="DBDBDB"/>
            </w:tcBorders>
          </w:tcPr>
          <w:p>
            <w:pPr>
              <w:spacing w:after="0" w:line="20" w:lineRule="exact"/>
              <w:rPr>
                <w:sz w:val="1"/>
                <w:szCs w:val="1"/>
                <w:color w:val="auto"/>
              </w:rPr>
            </w:pPr>
          </w:p>
        </w:tc>
        <w:tc>
          <w:tcPr>
            <w:tcW w:w="37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 Two of the Company's directors also serve on the Board of Directors of a consulting firm from which the Company incurs professional fees.</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purchased rental equipment from former related party affiliates for $1.8 million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3" w:name="page24"/>
    <w:bookmarkEnd w:id="23"/>
    <w:p>
      <w:pPr>
        <w:ind w:left="1740" w:right="120" w:hanging="1855"/>
        <w:spacing w:after="0" w:line="284" w:lineRule="auto"/>
        <w:tabs>
          <w:tab w:leader="none" w:pos="1720" w:val="left"/>
        </w:tabs>
        <w:rPr>
          <w:sz w:val="20"/>
          <w:szCs w:val="20"/>
          <w:color w:val="auto"/>
        </w:rPr>
      </w:pPr>
      <w:r>
        <w:rPr>
          <w:rFonts w:ascii="Arial" w:cs="Arial" w:eastAsia="Arial" w:hAnsi="Arial"/>
          <w:sz w:val="38"/>
          <w:szCs w:val="38"/>
          <w:b w:val="1"/>
          <w:bCs w:val="1"/>
          <w:color w:val="auto"/>
        </w:rPr>
        <w:t>ITEM 2.</w:t>
        <w:tab/>
        <w:t>Management’s Discussion and Analysis of Financial Condition and Results of Operations</w:t>
      </w:r>
    </w:p>
    <w:p>
      <w:pPr>
        <w:spacing w:after="0" w:line="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months ended March 31, 2022 or prior periods.</w:t>
      </w:r>
    </w:p>
    <w:p>
      <w:pPr>
        <w:spacing w:after="0" w:line="3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in order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 and Outlook</w:t>
      </w:r>
    </w:p>
    <w:p>
      <w:pPr>
        <w:spacing w:after="0" w:line="106"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approximately 13,200 tank and pump units in our fleet. As of March 31, 2022, our branch network included approximately 280 branch locations and additional drop lots to service over 85,000 customers. We offer our customers an extensive selection of “Ready to Work” modular space and portable storage solutions with over 162,000 modular space units and over 214,000 portable storage units in our fleet.</w:t>
      </w:r>
    </w:p>
    <w:p>
      <w:pPr>
        <w:spacing w:after="0" w:line="38"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modular space and portable storage lease portfolio, excluding seasonal portable storage units, is nearly 31 months. We complement our core leasing business by selling both new and used units, allowing us to leverage scale, achieve purchasing benefits and redeploy capital employed in our lease fleet.</w:t>
      </w:r>
    </w:p>
    <w:p>
      <w:pPr>
        <w:spacing w:after="0" w:line="3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as we did in 2020 and 2021 to service emerging demand in the healthcare and government sectors related to COVID-19, as well as expanded space requirements related to social distancing. We track several market leading indicators in order to predict demand, including those related to our two largest end markets, the commercial and industrial segment and the construction segment, which collectively accounted for approximately 46% and 41% of our revenues, respectively, for the three months ended March 31, 2022.</w:t>
      </w:r>
    </w:p>
    <w:p>
      <w:pPr>
        <w:spacing w:after="0" w:line="3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Asset Acquisitions</w:t>
      </w:r>
    </w:p>
    <w:p>
      <w:pPr>
        <w:spacing w:after="0" w:line="12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During the first quarter of 2022, we acquired certain assets and liabilities, which consisted primarily of approximately 400 blast resistant modular units. When combined with other recent acquisitions over the past three quarters, we have acquired assets and liabilities from eight regional and local storage and modular companies, consisting primarily of 15,700 storage units and 6,200 modular units.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Share and Warrant Repurchases</w:t>
      </w:r>
    </w:p>
    <w:p>
      <w:pPr>
        <w:spacing w:after="0" w:line="12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During the three months ended March 31, 2022, we repurchased and cancelled 11,032 of the 2018 Warrants for $0.2 million. In addition, during the three months ended March 31, 2022, 929,379 of the 2018 Warrants were exercised on a cashless basis, resulting in the issuance of 573,483 shares of common stock. At March 31, 2022, 3,137,762 of the 2018 Warrants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24" w:name="page25"/>
    <w:bookmarkEnd w:id="24"/>
    <w:p>
      <w:pPr>
        <w:jc w:val="both"/>
        <w:ind w:firstLine="619"/>
        <w:spacing w:after="0" w:line="242" w:lineRule="auto"/>
        <w:rPr>
          <w:sz w:val="20"/>
          <w:szCs w:val="20"/>
          <w:color w:val="auto"/>
        </w:rPr>
      </w:pPr>
      <w:r>
        <w:rPr>
          <w:rFonts w:ascii="Arial" w:cs="Arial" w:eastAsia="Arial" w:hAnsi="Arial"/>
          <w:sz w:val="15"/>
          <w:szCs w:val="15"/>
          <w:color w:val="auto"/>
        </w:rPr>
        <w:t>During the three months ended March 31, 2022, we repurchased a total of 2,070,054 shares of Common Stock and stock equivalents for $77.4 million, including the repurchased warrants. As of March 31, 2022, we had $879.3 million remaining of a $1 billion share repurchase authorization under our stock repurchase program. Given the predictability of our free cash flow, we believe that repurchases will be a reoccurring capital allocation priority.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Highlights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For the three months ended March 31, 2022, as compared to the three months ended March 31, 2021 unless otherwise noted, key drivers of our financial performance included:</w:t>
      </w:r>
    </w:p>
    <w:p>
      <w:pPr>
        <w:spacing w:after="0" w:line="77" w:lineRule="exact"/>
        <w:rPr>
          <w:sz w:val="20"/>
          <w:szCs w:val="20"/>
          <w:color w:val="auto"/>
        </w:rPr>
      </w:pPr>
    </w:p>
    <w:p>
      <w:pPr>
        <w:jc w:val="both"/>
        <w:ind w:left="620" w:hanging="307"/>
        <w:spacing w:after="0" w:line="257" w:lineRule="auto"/>
        <w:tabs>
          <w:tab w:leader="none" w:pos="609"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color w:val="auto"/>
        </w:rPr>
        <w:t>Total revenues increased by $83.6 million, or 19.7%, attributable to organic revenue growth levers in the business and due to the impact of acquisitions. Leasing revenue increased $77.5 million, or 24.5%, and delivery and installation revenue increased $16.8 million, or 20.1%. These increases were offset by decreased sales; rental unit sales decreased $6.4 million, or 42.1%, and new unit sales revenue decreased $4.4 million, or 40.0%. We estimate that recent acquisitions contributed approximately $12.0 million to total revenues for three months ended March 31, 2022.</w:t>
      </w:r>
    </w:p>
    <w:p>
      <w:pPr>
        <w:spacing w:after="0" w:line="86" w:lineRule="exact"/>
        <w:rPr>
          <w:rFonts w:ascii="Arial" w:cs="Arial" w:eastAsia="Arial" w:hAnsi="Arial"/>
          <w:sz w:val="15"/>
          <w:szCs w:val="15"/>
          <w:b w:val="1"/>
          <w:bCs w:val="1"/>
          <w:i w:val="1"/>
          <w:iCs w:val="1"/>
          <w:color w:val="auto"/>
        </w:rPr>
      </w:pPr>
    </w:p>
    <w:p>
      <w:pPr>
        <w:ind w:left="6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Key leasing revenue drivers include:</w:t>
      </w:r>
    </w:p>
    <w:p>
      <w:pPr>
        <w:spacing w:after="0" w:line="111" w:lineRule="exact"/>
        <w:rPr>
          <w:rFonts w:ascii="Arial" w:cs="Arial" w:eastAsia="Arial" w:hAnsi="Arial"/>
          <w:sz w:val="15"/>
          <w:szCs w:val="15"/>
          <w:b w:val="1"/>
          <w:bCs w:val="1"/>
          <w:i w:val="1"/>
          <w:iCs w:val="1"/>
          <w:color w:val="auto"/>
        </w:rPr>
      </w:pPr>
    </w:p>
    <w:p>
      <w:pPr>
        <w:ind w:left="1240" w:hanging="309"/>
        <w:spacing w:after="0" w:line="257"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portable storage units on rent increased 34,877 units, or 24.0%, and average modular space units on rent increased 1,670 units, or 1.5%. Approximately 50% of the increase in total average units on rent was driven by increases in organic delivery activity and lower return activity during 2021 and into the first quarter of 2022 as economic activity rebounded versus 2020 and the other 50% was driven by units on rent acquired as a result of recent acquisitions.</w:t>
      </w:r>
    </w:p>
    <w:p>
      <w:pPr>
        <w:spacing w:after="0" w:line="86" w:lineRule="exact"/>
        <w:rPr>
          <w:rFonts w:ascii="Arial" w:cs="Arial" w:eastAsia="Arial" w:hAnsi="Arial"/>
          <w:sz w:val="15"/>
          <w:szCs w:val="15"/>
          <w:b w:val="1"/>
          <w:bCs w:val="1"/>
          <w:i w:val="1"/>
          <w:iCs w:val="1"/>
          <w:color w:val="auto"/>
        </w:rPr>
      </w:pPr>
    </w:p>
    <w:p>
      <w:pPr>
        <w:ind w:left="1240" w:hanging="309"/>
        <w:spacing w:after="0" w:line="260"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modular space monthly rental rate increased $123, or 18.1%, to $802 driven by strong pricing performance across all relevant segments. Average modular space monthly rental rates increased by $147, or 19.9%, in the NA Modular segment, by $59, or 11.0%, in the NA Storage segment, and by $24, or 5.9% in the UK Storage segment.</w:t>
      </w:r>
    </w:p>
    <w:p>
      <w:pPr>
        <w:spacing w:after="0" w:line="84" w:lineRule="exact"/>
        <w:rPr>
          <w:rFonts w:ascii="Arial" w:cs="Arial" w:eastAsia="Arial" w:hAnsi="Arial"/>
          <w:sz w:val="15"/>
          <w:szCs w:val="15"/>
          <w:b w:val="1"/>
          <w:bCs w:val="1"/>
          <w:i w:val="1"/>
          <w:iCs w:val="1"/>
          <w:color w:val="auto"/>
        </w:rPr>
      </w:pPr>
    </w:p>
    <w:p>
      <w:pPr>
        <w:ind w:left="1240" w:hanging="309"/>
        <w:spacing w:after="0" w:line="269"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portable storage monthly rental rate increased $20, or 14.8%, to $155 driven by increased pricing as a result of our price management tools and processes, further supported by tight supply on portable storage containers in the markets in which we operate.</w:t>
      </w:r>
    </w:p>
    <w:p>
      <w:pPr>
        <w:spacing w:after="0" w:line="77" w:lineRule="exact"/>
        <w:rPr>
          <w:rFonts w:ascii="Arial" w:cs="Arial" w:eastAsia="Arial" w:hAnsi="Arial"/>
          <w:sz w:val="15"/>
          <w:szCs w:val="15"/>
          <w:b w:val="1"/>
          <w:bCs w:val="1"/>
          <w:i w:val="1"/>
          <w:iCs w:val="1"/>
          <w:color w:val="auto"/>
        </w:rPr>
      </w:pPr>
    </w:p>
    <w:p>
      <w:pPr>
        <w:ind w:left="1240" w:hanging="309"/>
        <w:spacing w:after="0" w:line="269"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utilization for portable storage units increased to 84.0% from 74.4% for the same period in 2021 driven by increased demand in 2022 as compared to the same period in 2021. Average utilization for modular space units decreased 140 basis points ("bps") to 68.9%.</w:t>
      </w:r>
    </w:p>
    <w:p>
      <w:pPr>
        <w:spacing w:after="0" w:line="77" w:lineRule="exact"/>
        <w:rPr>
          <w:rFonts w:ascii="Arial" w:cs="Arial" w:eastAsia="Arial" w:hAnsi="Arial"/>
          <w:sz w:val="15"/>
          <w:szCs w:val="15"/>
          <w:b w:val="1"/>
          <w:bCs w:val="1"/>
          <w:i w:val="1"/>
          <w:iCs w:val="1"/>
          <w:color w:val="auto"/>
        </w:rPr>
      </w:pPr>
    </w:p>
    <w:p>
      <w:pPr>
        <w:jc w:val="both"/>
        <w:ind w:left="620" w:hanging="307"/>
        <w:spacing w:after="0" w:line="254" w:lineRule="auto"/>
        <w:tabs>
          <w:tab w:leader="none" w:pos="609" w:val="left"/>
        </w:tabs>
        <w:numPr>
          <w:ilvl w:val="0"/>
          <w:numId w:val="7"/>
        </w:numPr>
        <w:rPr>
          <w:rFonts w:ascii="Arial" w:cs="Arial" w:eastAsia="Arial" w:hAnsi="Arial"/>
          <w:sz w:val="15"/>
          <w:szCs w:val="15"/>
          <w:b w:val="1"/>
          <w:bCs w:val="1"/>
          <w:i w:val="1"/>
          <w:iCs w:val="1"/>
          <w:color w:val="1D2758"/>
        </w:rPr>
      </w:pPr>
      <w:r>
        <w:rPr>
          <w:rFonts w:ascii="Arial" w:cs="Arial" w:eastAsia="Arial" w:hAnsi="Arial"/>
          <w:sz w:val="15"/>
          <w:szCs w:val="15"/>
          <w:color w:val="auto"/>
        </w:rPr>
        <w:t>NA Modular segment revenue, which represents 58.9% of consolidated revenue for the three months ended March 31, 2022, increased $33.5 million, or 12.6%, to $299.7 million. The increase was driven by our core leasing revenue, which grew $33.4 million, or 16.7%, due to continued growth of pricing and value added products. Delivery and installation revenues increased $6.9 million, or 14.2%, driven by increased pricing on new deliveries and returns as compared to 2021. The increases to leasing revenue and delivery and installation revenues were partially offset by declines in revenues for portable storage units as the result of transitioning the majority of the portable storage product business within the NA Modular segment to the NA Storage segment. Rental unit sales decreased $4.2 million, or 40.4%, and new unit sales decreased $2.7 million, or 36.0%. NA Modular revenue drivers for the three months ended March 31, 2022 included:</w:t>
      </w:r>
    </w:p>
    <w:p>
      <w:pPr>
        <w:spacing w:after="0" w:line="271" w:lineRule="exact"/>
        <w:rPr>
          <w:rFonts w:ascii="Arial" w:cs="Arial" w:eastAsia="Arial" w:hAnsi="Arial"/>
          <w:sz w:val="15"/>
          <w:szCs w:val="15"/>
          <w:b w:val="1"/>
          <w:bCs w:val="1"/>
          <w:i w:val="1"/>
          <w:iCs w:val="1"/>
          <w:color w:val="1D2758"/>
        </w:rPr>
      </w:pPr>
    </w:p>
    <w:p>
      <w:pPr>
        <w:ind w:left="1240" w:hanging="309"/>
        <w:spacing w:after="0" w:line="269" w:lineRule="auto"/>
        <w:rPr>
          <w:rFonts w:ascii="Arial" w:cs="Arial" w:eastAsia="Arial" w:hAnsi="Arial"/>
          <w:sz w:val="15"/>
          <w:szCs w:val="15"/>
          <w:b w:val="1"/>
          <w:bCs w:val="1"/>
          <w:i w:val="1"/>
          <w:iCs w:val="1"/>
          <w:color w:val="1D2758"/>
        </w:rPr>
      </w:pPr>
      <w:r>
        <w:rPr>
          <w:rFonts w:ascii="Arial" w:cs="Arial" w:eastAsia="Arial" w:hAnsi="Arial"/>
          <w:sz w:val="15"/>
          <w:szCs w:val="15"/>
          <w:color w:val="auto"/>
        </w:rPr>
        <w:t>– Modular space average monthly rental rate of $884, increased 19.9% year over year representing a continuation of the long-term price optimization and VAPS penetration opportunities across our portfolio.</w:t>
      </w:r>
    </w:p>
    <w:p>
      <w:pPr>
        <w:spacing w:after="0" w:line="67" w:lineRule="exact"/>
        <w:rPr>
          <w:rFonts w:ascii="Arial" w:cs="Arial" w:eastAsia="Arial" w:hAnsi="Arial"/>
          <w:sz w:val="15"/>
          <w:szCs w:val="15"/>
          <w:b w:val="1"/>
          <w:bCs w:val="1"/>
          <w:i w:val="1"/>
          <w:iCs w:val="1"/>
          <w:color w:val="1D2758"/>
        </w:rPr>
      </w:pPr>
    </w:p>
    <w:p>
      <w:pPr>
        <w:ind w:left="1240" w:hanging="309"/>
        <w:spacing w:after="0" w:line="257" w:lineRule="auto"/>
        <w:rPr>
          <w:rFonts w:ascii="Arial" w:cs="Arial" w:eastAsia="Arial" w:hAnsi="Arial"/>
          <w:sz w:val="15"/>
          <w:szCs w:val="15"/>
          <w:b w:val="1"/>
          <w:bCs w:val="1"/>
          <w:i w:val="1"/>
          <w:iCs w:val="1"/>
          <w:color w:val="1D2758"/>
        </w:rPr>
      </w:pPr>
      <w:r>
        <w:rPr>
          <w:rFonts w:ascii="Arial" w:cs="Arial" w:eastAsia="Arial" w:hAnsi="Arial"/>
          <w:sz w:val="15"/>
          <w:szCs w:val="15"/>
          <w:b w:val="1"/>
          <w:bCs w:val="1"/>
          <w:i w:val="1"/>
          <w:iCs w:val="1"/>
          <w:color w:val="1D2758"/>
        </w:rPr>
        <w:t>–</w:t>
      </w:r>
      <w:r>
        <w:rPr>
          <w:rFonts w:ascii="Arial" w:cs="Arial" w:eastAsia="Arial" w:hAnsi="Arial"/>
          <w:sz w:val="15"/>
          <w:szCs w:val="15"/>
          <w:color w:val="auto"/>
        </w:rPr>
        <w:t>Average modular space units on rent increased 212, or 0.3%, year over year driven primarily by units on rent acquired as a result of recent acquisitions. Sequentially from December 31, 2021, modular space units on rent increased by approximately 1,800 units, or 2.1%. Excluding units acquired from acquisitions during the quarter, sequential modular space units on rent from December 31, 2021 increased by approximately 1,400 units, or 1.7%.</w:t>
      </w:r>
    </w:p>
    <w:p>
      <w:pPr>
        <w:spacing w:after="0" w:line="96" w:lineRule="exact"/>
        <w:rPr>
          <w:rFonts w:ascii="Arial" w:cs="Arial" w:eastAsia="Arial" w:hAnsi="Arial"/>
          <w:sz w:val="15"/>
          <w:szCs w:val="15"/>
          <w:b w:val="1"/>
          <w:bCs w:val="1"/>
          <w:i w:val="1"/>
          <w:iCs w:val="1"/>
          <w:color w:val="1D2758"/>
        </w:rPr>
      </w:pPr>
    </w:p>
    <w:p>
      <w:pPr>
        <w:ind w:left="1240" w:hanging="309"/>
        <w:spacing w:after="0" w:line="260" w:lineRule="auto"/>
        <w:rPr>
          <w:rFonts w:ascii="Arial" w:cs="Arial" w:eastAsia="Arial" w:hAnsi="Arial"/>
          <w:sz w:val="15"/>
          <w:szCs w:val="15"/>
          <w:b w:val="1"/>
          <w:bCs w:val="1"/>
          <w:i w:val="1"/>
          <w:iCs w:val="1"/>
          <w:color w:val="1D2758"/>
        </w:rPr>
      </w:pPr>
      <w:r>
        <w:rPr>
          <w:rFonts w:ascii="Arial" w:cs="Arial" w:eastAsia="Arial" w:hAnsi="Arial"/>
          <w:sz w:val="15"/>
          <w:szCs w:val="15"/>
          <w:color w:val="auto"/>
        </w:rPr>
        <w:t>– Average modular space monthly utilization decreased 60 bps to 67.0% for the three months ended March 31, 2022, as compared to the three months ended March 31, 2021. Sequentially from the fourth quarter 2021, average modular utilization decreased 50 bps, however end of period utilization increased over 100 bps from December 31, 2021 to March 31, 2022.</w:t>
      </w:r>
    </w:p>
    <w:p>
      <w:pPr>
        <w:spacing w:after="0" w:line="84" w:lineRule="exact"/>
        <w:rPr>
          <w:rFonts w:ascii="Arial" w:cs="Arial" w:eastAsia="Arial" w:hAnsi="Arial"/>
          <w:sz w:val="15"/>
          <w:szCs w:val="15"/>
          <w:b w:val="1"/>
          <w:bCs w:val="1"/>
          <w:i w:val="1"/>
          <w:iCs w:val="1"/>
          <w:color w:val="1D2758"/>
        </w:rPr>
      </w:pPr>
    </w:p>
    <w:p>
      <w:pPr>
        <w:jc w:val="both"/>
        <w:ind w:left="620" w:hanging="307"/>
        <w:spacing w:after="0" w:line="254" w:lineRule="auto"/>
        <w:tabs>
          <w:tab w:leader="none" w:pos="609" w:val="left"/>
        </w:tabs>
        <w:numPr>
          <w:ilvl w:val="0"/>
          <w:numId w:val="7"/>
        </w:numPr>
        <w:rPr>
          <w:rFonts w:ascii="Arial" w:cs="Arial" w:eastAsia="Arial" w:hAnsi="Arial"/>
          <w:sz w:val="15"/>
          <w:szCs w:val="15"/>
          <w:b w:val="1"/>
          <w:bCs w:val="1"/>
          <w:i w:val="1"/>
          <w:iCs w:val="1"/>
          <w:color w:val="1D2758"/>
        </w:rPr>
      </w:pPr>
      <w:r>
        <w:rPr>
          <w:rFonts w:ascii="Arial" w:cs="Arial" w:eastAsia="Arial" w:hAnsi="Arial"/>
          <w:sz w:val="15"/>
          <w:szCs w:val="15"/>
          <w:color w:val="auto"/>
        </w:rPr>
        <w:t>NA Storage segment revenue, which represents 29.8% of consolidated revenue for the three months ended March 31, 2022, increased $43.7 million, or 40.5%, to $151.5 million. The increase was driven by our core leasing revenue, which grew $38.2 million, or 47.5%, due to increased units on rent driven by significant increases in delivery activity during 2021 and into the first quarter of 2022 as economic activity rebounded versus 2020, recent acquisition activity, and increased pricing. Delivery and installation revenues increased $8.5 million, or 39.7%, driven by increased demand for new project deliveries, and by increased pricing on new deliveries and returns as compared to 2021. The increases to leasing revenue and delivery and installation revenues in the NA Storage segment were also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ind w:left="307"/>
        <w:spacing w:after="0" w:line="269" w:lineRule="auto"/>
        <w:rPr>
          <w:sz w:val="20"/>
          <w:szCs w:val="20"/>
          <w:color w:val="auto"/>
        </w:rPr>
      </w:pPr>
      <w:r>
        <w:rPr>
          <w:rFonts w:ascii="Arial" w:cs="Arial" w:eastAsia="Arial" w:hAnsi="Arial"/>
          <w:sz w:val="15"/>
          <w:szCs w:val="15"/>
          <w:color w:val="auto"/>
        </w:rPr>
        <w:t>as the result of transitioning the majority of the portable storage product business within the NA Modular segment to the NA Storage segment. Rental unit sales decreased $1.7 million, or 44.7%, and new unit sales decreased $1.3 million, or 59.1%.</w:t>
      </w:r>
    </w:p>
    <w:p>
      <w:pPr>
        <w:spacing w:after="0" w:line="77" w:lineRule="exact"/>
        <w:rPr>
          <w:sz w:val="20"/>
          <w:szCs w:val="20"/>
          <w:color w:val="auto"/>
        </w:rPr>
      </w:pPr>
    </w:p>
    <w:p>
      <w:pPr>
        <w:ind w:left="307"/>
        <w:spacing w:after="0"/>
        <w:rPr>
          <w:sz w:val="20"/>
          <w:szCs w:val="20"/>
          <w:color w:val="auto"/>
        </w:rPr>
      </w:pPr>
      <w:r>
        <w:rPr>
          <w:rFonts w:ascii="Arial" w:cs="Arial" w:eastAsia="Arial" w:hAnsi="Arial"/>
          <w:sz w:val="15"/>
          <w:szCs w:val="15"/>
          <w:color w:val="auto"/>
        </w:rPr>
        <w:t>NA Storage revenue drivers for the three months ended March 31, 2022 included:</w:t>
      </w:r>
    </w:p>
    <w:p>
      <w:pPr>
        <w:spacing w:after="0" w:line="111" w:lineRule="exact"/>
        <w:rPr>
          <w:sz w:val="20"/>
          <w:szCs w:val="20"/>
          <w:color w:val="auto"/>
        </w:rPr>
      </w:pPr>
    </w:p>
    <w:p>
      <w:pPr>
        <w:jc w:val="both"/>
        <w:ind w:left="927" w:hanging="309"/>
        <w:spacing w:after="0" w:line="260" w:lineRule="auto"/>
        <w:tabs>
          <w:tab w:leader="none" w:pos="917" w:val="left"/>
        </w:tabs>
        <w:numPr>
          <w:ilvl w:val="1"/>
          <w:numId w:val="8"/>
        </w:numPr>
        <w:rPr>
          <w:rFonts w:ascii="Arial" w:cs="Arial" w:eastAsia="Arial" w:hAnsi="Arial"/>
          <w:sz w:val="15"/>
          <w:szCs w:val="15"/>
          <w:color w:val="auto"/>
        </w:rPr>
      </w:pPr>
      <w:r>
        <w:rPr>
          <w:rFonts w:ascii="Arial" w:cs="Arial" w:eastAsia="Arial" w:hAnsi="Arial"/>
          <w:sz w:val="15"/>
          <w:szCs w:val="15"/>
          <w:color w:val="auto"/>
        </w:rPr>
        <w:t>Portable storage average monthly rental rate of $166, increased 12.2% year over year as a result of our price management tools and processes, further supported by tight supply on portable storage containers in the markets in which we operate. Modular space average monthly rental rate of $594, increased 11.0% year over year as a result of price optimization and early benefits from increased VAPS penetration opportunities.</w:t>
      </w:r>
    </w:p>
    <w:p>
      <w:pPr>
        <w:spacing w:after="0" w:line="84" w:lineRule="exact"/>
        <w:rPr>
          <w:rFonts w:ascii="Arial" w:cs="Arial" w:eastAsia="Arial" w:hAnsi="Arial"/>
          <w:sz w:val="15"/>
          <w:szCs w:val="15"/>
          <w:color w:val="auto"/>
        </w:rPr>
      </w:pPr>
    </w:p>
    <w:p>
      <w:pPr>
        <w:jc w:val="both"/>
        <w:ind w:left="927" w:hanging="309"/>
        <w:spacing w:after="0" w:line="254" w:lineRule="auto"/>
        <w:tabs>
          <w:tab w:leader="none" w:pos="917" w:val="left"/>
        </w:tabs>
        <w:numPr>
          <w:ilvl w:val="1"/>
          <w:numId w:val="8"/>
        </w:numPr>
        <w:rPr>
          <w:rFonts w:ascii="Arial" w:cs="Arial" w:eastAsia="Arial" w:hAnsi="Arial"/>
          <w:sz w:val="15"/>
          <w:szCs w:val="15"/>
          <w:b w:val="1"/>
          <w:bCs w:val="1"/>
          <w:i w:val="1"/>
          <w:iCs w:val="1"/>
          <w:color w:val="1D2758"/>
        </w:rPr>
      </w:pPr>
      <w:r>
        <w:rPr>
          <w:rFonts w:ascii="Arial" w:cs="Arial" w:eastAsia="Arial" w:hAnsi="Arial"/>
          <w:sz w:val="15"/>
          <w:szCs w:val="15"/>
          <w:color w:val="auto"/>
        </w:rPr>
        <w:t>Average portable storage units on rent increased 46,516, or 44.0%, year over year. Increases in organic activity in 2021 and the first quarter of 2022 drove an increase to average portable storage units on rent of approximately 18% or 19,000 units on rent. Of the remaining increase, approximately 15,500 units on rent was driven by units acquired from recent acquisitions, and approximately 12,000 units on rent was driven by transitioning the portable storage product business within the NA Modular segment to the NA Storage segment, which occurred in the third quarter of 2021. Combined, average portable storage units on rent for the NA Storage and NA Modular segments increased approximately 32,076 units, or 26.6%. Average modular space units on rent increased 2,120, or 12.9% year over year driven by increases in organic delivery activity as well as due to units on rent acquired.</w:t>
      </w:r>
    </w:p>
    <w:p>
      <w:pPr>
        <w:spacing w:after="0" w:line="88" w:lineRule="exact"/>
        <w:rPr>
          <w:rFonts w:ascii="Arial" w:cs="Arial" w:eastAsia="Arial" w:hAnsi="Arial"/>
          <w:sz w:val="15"/>
          <w:szCs w:val="15"/>
          <w:b w:val="1"/>
          <w:bCs w:val="1"/>
          <w:i w:val="1"/>
          <w:iCs w:val="1"/>
          <w:color w:val="1D2758"/>
        </w:rPr>
      </w:pPr>
    </w:p>
    <w:p>
      <w:pPr>
        <w:jc w:val="both"/>
        <w:ind w:left="927" w:hanging="309"/>
        <w:spacing w:after="0" w:line="260" w:lineRule="auto"/>
        <w:tabs>
          <w:tab w:leader="none" w:pos="917" w:val="left"/>
        </w:tabs>
        <w:numPr>
          <w:ilvl w:val="1"/>
          <w:numId w:val="8"/>
        </w:numPr>
        <w:rPr>
          <w:rFonts w:ascii="Arial" w:cs="Arial" w:eastAsia="Arial" w:hAnsi="Arial"/>
          <w:sz w:val="15"/>
          <w:szCs w:val="15"/>
          <w:color w:val="auto"/>
        </w:rPr>
      </w:pPr>
      <w:r>
        <w:rPr>
          <w:rFonts w:ascii="Arial" w:cs="Arial" w:eastAsia="Arial" w:hAnsi="Arial"/>
          <w:sz w:val="15"/>
          <w:szCs w:val="15"/>
          <w:color w:val="auto"/>
        </w:rPr>
        <w:t>Average portable storage monthly utilization increased 930 bps to 83.2% for the three months ended March 31, 2022, as compared to the three months ended March 31, 2021. Average modular space monthly utilization decreased 310 bps to 76.3% for three months ended March 31, 2022, as compared to the three months ended March 31, 2021.</w:t>
      </w:r>
    </w:p>
    <w:p>
      <w:pPr>
        <w:spacing w:after="0" w:line="84" w:lineRule="exact"/>
        <w:rPr>
          <w:rFonts w:ascii="Arial" w:cs="Arial" w:eastAsia="Arial" w:hAnsi="Arial"/>
          <w:sz w:val="15"/>
          <w:szCs w:val="15"/>
          <w:color w:val="auto"/>
        </w:rPr>
      </w:pPr>
    </w:p>
    <w:p>
      <w:pPr>
        <w:jc w:val="both"/>
        <w:ind w:left="307" w:hanging="307"/>
        <w:spacing w:after="0" w:line="255" w:lineRule="auto"/>
        <w:tabs>
          <w:tab w:leader="none" w:pos="297" w:val="left"/>
        </w:tabs>
        <w:numPr>
          <w:ilvl w:val="0"/>
          <w:numId w:val="8"/>
        </w:numPr>
        <w:rPr>
          <w:rFonts w:ascii="Arial" w:cs="Arial" w:eastAsia="Arial" w:hAnsi="Arial"/>
          <w:sz w:val="15"/>
          <w:szCs w:val="15"/>
          <w:color w:val="auto"/>
        </w:rPr>
      </w:pPr>
      <w:r>
        <w:rPr>
          <w:rFonts w:ascii="Arial" w:cs="Arial" w:eastAsia="Arial" w:hAnsi="Arial"/>
          <w:sz w:val="15"/>
          <w:szCs w:val="15"/>
          <w:color w:val="auto"/>
        </w:rPr>
        <w:t>Generated consolidated net income of $51.2 million for the three months ended March 31, 2022 representing an increase of $46.7 million versus the three months ended March 31, 2021, and included $4.4 million of discrete costs expensed in the period related to integration activities. Discrete costs in the period included $4.1 million of integration costs and $0.3 million of restructuring costs, lease impairment expense and other related charges. Net Income Excluding Gain/Loss from Warrants of $51.2 million three months ended March 31, 2022 represented an increase of $19.5 million, or 61.5% as compared to the three months ended March 31, 2021.</w:t>
      </w:r>
    </w:p>
    <w:p>
      <w:pPr>
        <w:spacing w:after="0" w:line="89" w:lineRule="exact"/>
        <w:rPr>
          <w:rFonts w:ascii="Arial" w:cs="Arial" w:eastAsia="Arial" w:hAnsi="Arial"/>
          <w:sz w:val="15"/>
          <w:szCs w:val="15"/>
          <w:color w:val="auto"/>
        </w:rPr>
      </w:pPr>
    </w:p>
    <w:p>
      <w:pPr>
        <w:ind w:left="307" w:hanging="307"/>
        <w:spacing w:after="0" w:line="269" w:lineRule="auto"/>
        <w:tabs>
          <w:tab w:leader="none" w:pos="297"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color w:val="auto"/>
        </w:rPr>
        <w:t>Generated Adjusted EBITDA of $191.8 million for the three months ended March 31, 2022, representing an increase of $28.2 million, or 17.2%, as compared to the same period in 2021. This increase was driven primarily by increased leasing gross profit.</w:t>
      </w:r>
    </w:p>
    <w:p>
      <w:pPr>
        <w:spacing w:after="0" w:line="77" w:lineRule="exact"/>
        <w:rPr>
          <w:sz w:val="20"/>
          <w:szCs w:val="20"/>
          <w:color w:val="auto"/>
        </w:rPr>
      </w:pPr>
    </w:p>
    <w:p>
      <w:pPr>
        <w:ind w:left="927" w:hanging="309"/>
        <w:spacing w:after="0" w:line="269" w:lineRule="auto"/>
        <w:tabs>
          <w:tab w:leader="none" w:pos="943" w:val="left"/>
        </w:tabs>
        <w:numPr>
          <w:ilvl w:val="1"/>
          <w:numId w:val="9"/>
        </w:numPr>
        <w:rPr>
          <w:rFonts w:ascii="Arial" w:cs="Arial" w:eastAsia="Arial" w:hAnsi="Arial"/>
          <w:sz w:val="15"/>
          <w:szCs w:val="15"/>
          <w:color w:val="auto"/>
        </w:rPr>
      </w:pPr>
      <w:r>
        <w:rPr>
          <w:rFonts w:ascii="Arial" w:cs="Arial" w:eastAsia="Arial" w:hAnsi="Arial"/>
          <w:sz w:val="15"/>
          <w:szCs w:val="15"/>
          <w:color w:val="auto"/>
        </w:rPr>
        <w:t>Consolidated Adjusted EBITDA Margin was 37.7% in the first quarter of 2022 and decreased 80 bps versus prior year driven by increased variable costs as a result of higher activity levels in the current quarter and inflationary pressures across many of our cost categories.</w:t>
      </w:r>
    </w:p>
    <w:p>
      <w:pPr>
        <w:spacing w:after="0" w:line="77" w:lineRule="exact"/>
        <w:rPr>
          <w:rFonts w:ascii="Arial" w:cs="Arial" w:eastAsia="Arial" w:hAnsi="Arial"/>
          <w:sz w:val="15"/>
          <w:szCs w:val="15"/>
          <w:color w:val="auto"/>
        </w:rPr>
      </w:pPr>
    </w:p>
    <w:p>
      <w:pPr>
        <w:jc w:val="both"/>
        <w:ind w:left="307" w:hanging="307"/>
        <w:spacing w:after="0" w:line="257" w:lineRule="auto"/>
        <w:tabs>
          <w:tab w:leader="none" w:pos="297"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Generated Free Cash Flow of $54.6 million for the three months ended March 31, 2022 representing a decrease of $36.6 million as compared to the same period in 2021. Net cash provided by operating activities increased $23.4 million to $145.5 million. Net cash used in investing activities increased by $117.5 million to $148.4 million to support increases in delivery activity during 2022 as economic activity rebounded versus 2021, to support unit on rent growth and to support a 2022 acquisition.</w:t>
      </w:r>
    </w:p>
    <w:p>
      <w:pPr>
        <w:spacing w:after="0" w:line="86" w:lineRule="exact"/>
        <w:rPr>
          <w:rFonts w:ascii="Arial" w:cs="Arial" w:eastAsia="Arial" w:hAnsi="Arial"/>
          <w:sz w:val="15"/>
          <w:szCs w:val="15"/>
          <w:b w:val="1"/>
          <w:bCs w:val="1"/>
          <w:color w:val="auto"/>
        </w:rPr>
      </w:pPr>
    </w:p>
    <w:p>
      <w:pPr>
        <w:jc w:val="both"/>
        <w:ind w:left="307" w:hanging="307"/>
        <w:spacing w:after="0" w:line="257" w:lineRule="auto"/>
        <w:tabs>
          <w:tab w:leader="none" w:pos="297" w:val="left"/>
        </w:tabs>
        <w:numPr>
          <w:ilvl w:val="0"/>
          <w:numId w:val="9"/>
        </w:numPr>
        <w:rPr>
          <w:rFonts w:ascii="Arial" w:cs="Arial" w:eastAsia="Arial" w:hAnsi="Arial"/>
          <w:sz w:val="15"/>
          <w:szCs w:val="15"/>
          <w:b w:val="1"/>
          <w:bCs w:val="1"/>
          <w:i w:val="1"/>
          <w:iCs w:val="1"/>
          <w:color w:val="1D2758"/>
        </w:rPr>
      </w:pPr>
      <w:r>
        <w:rPr>
          <w:rFonts w:ascii="Arial" w:cs="Arial" w:eastAsia="Arial" w:hAnsi="Arial"/>
          <w:sz w:val="15"/>
          <w:szCs w:val="15"/>
          <w:color w:val="auto"/>
        </w:rPr>
        <w:t>Returned $77.4 million to shareholders through stock and warrant repurchases and closed one acquisition totaling approximately 400 modular units for $57.5 million in cash during the three months ended March 31, 2022. The predictability of our free cash flow allows us to pursue multiple capital allocation priorities opportunistically, including investing in organic opportunities we see in the market, continuing our deleveraging trajectory, opportunistically executing accretive acquisitions, and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45720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70"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1D2758"/>
        </w:rPr>
        <w:t>Consolidated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2022 Compared to the Three Months Ended March 31, 2021</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three months ended March 31, 2022 and 2021 are presented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shd w:val="clear" w:color="auto" w:fill="1D2758"/>
          </w:tcPr>
          <w:p>
            <w:pPr>
              <w:spacing w:after="0"/>
              <w:rPr>
                <w:sz w:val="20"/>
                <w:szCs w:val="20"/>
                <w:color w:val="auto"/>
              </w:rPr>
            </w:pPr>
          </w:p>
        </w:tc>
        <w:tc>
          <w:tcPr>
            <w:tcW w:w="3380" w:type="dxa"/>
            <w:vAlign w:val="bottom"/>
            <w:gridSpan w:val="4"/>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Three Months Ended March 31,</w:t>
            </w:r>
          </w:p>
        </w:tc>
        <w:tc>
          <w:tcPr>
            <w:tcW w:w="72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14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72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80" w:type="dxa"/>
            <w:vAlign w:val="bottom"/>
            <w:vMerge w:val="restart"/>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2022</w:t>
            </w:r>
          </w:p>
        </w:tc>
        <w:tc>
          <w:tcPr>
            <w:tcW w:w="7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80" w:type="dxa"/>
            <w:vAlign w:val="bottom"/>
            <w:vMerge w:val="restart"/>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2021</w:t>
            </w:r>
          </w:p>
        </w:tc>
        <w:tc>
          <w:tcPr>
            <w:tcW w:w="7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1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 vs. 2021</w:t>
            </w:r>
          </w:p>
        </w:tc>
        <w:tc>
          <w:tcPr>
            <w:tcW w:w="1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w:t>
            </w:r>
          </w:p>
        </w:tc>
        <w:tc>
          <w:tcPr>
            <w:tcW w:w="72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Change</w:t>
            </w:r>
          </w:p>
        </w:tc>
        <w:tc>
          <w:tcPr>
            <w:tcW w:w="0" w:type="dxa"/>
            <w:vAlign w:val="bottom"/>
          </w:tcPr>
          <w:p>
            <w:pPr>
              <w:spacing w:after="0"/>
              <w:rPr>
                <w:sz w:val="1"/>
                <w:szCs w:val="1"/>
                <w:color w:val="auto"/>
              </w:rPr>
            </w:pPr>
          </w:p>
        </w:tc>
      </w:tr>
      <w:tr>
        <w:trPr>
          <w:trHeight w:val="96"/>
        </w:trPr>
        <w:tc>
          <w:tcPr>
            <w:tcW w:w="5040" w:type="dxa"/>
            <w:vAlign w:val="bottom"/>
            <w:shd w:val="clear" w:color="auto" w:fill="1D2758"/>
          </w:tcPr>
          <w:p>
            <w:pPr>
              <w:spacing w:after="0"/>
              <w:rPr>
                <w:sz w:val="8"/>
                <w:szCs w:val="8"/>
                <w:color w:val="auto"/>
              </w:rPr>
            </w:pPr>
          </w:p>
        </w:tc>
        <w:tc>
          <w:tcPr>
            <w:tcW w:w="1280" w:type="dxa"/>
            <w:vAlign w:val="bottom"/>
            <w:vMerge w:val="continue"/>
            <w:shd w:val="clear" w:color="auto" w:fill="1D2758"/>
          </w:tcPr>
          <w:p>
            <w:pPr>
              <w:spacing w:after="0"/>
              <w:rPr>
                <w:sz w:val="8"/>
                <w:szCs w:val="8"/>
                <w:color w:val="auto"/>
              </w:rPr>
            </w:pPr>
          </w:p>
        </w:tc>
        <w:tc>
          <w:tcPr>
            <w:tcW w:w="72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280" w:type="dxa"/>
            <w:vAlign w:val="bottom"/>
            <w:vMerge w:val="continue"/>
            <w:shd w:val="clear" w:color="auto" w:fill="1D2758"/>
          </w:tcPr>
          <w:p>
            <w:pPr>
              <w:spacing w:after="0"/>
              <w:rPr>
                <w:sz w:val="8"/>
                <w:szCs w:val="8"/>
                <w:color w:val="auto"/>
              </w:rPr>
            </w:pPr>
          </w:p>
        </w:tc>
        <w:tc>
          <w:tcPr>
            <w:tcW w:w="72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14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7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393,192</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315,662</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77,530</w:t>
            </w:r>
          </w:p>
        </w:tc>
        <w:tc>
          <w:tcPr>
            <w:tcW w:w="0" w:type="dxa"/>
            <w:vAlign w:val="bottom"/>
          </w:tcPr>
          <w:p>
            <w:pPr>
              <w:spacing w:after="0"/>
              <w:rPr>
                <w:sz w:val="1"/>
                <w:szCs w:val="1"/>
                <w:color w:val="auto"/>
              </w:rPr>
            </w:pPr>
          </w:p>
        </w:tc>
      </w:tr>
      <w:tr>
        <w:trPr>
          <w:trHeight w:val="203"/>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100,331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83,504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16,827</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6,597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10,955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(4,358)</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8,774</w:t>
            </w:r>
          </w:p>
        </w:tc>
        <w:tc>
          <w:tcPr>
            <w:tcW w:w="100" w:type="dxa"/>
            <w:vAlign w:val="bottom"/>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15,202</w:t>
            </w:r>
          </w:p>
        </w:tc>
        <w:tc>
          <w:tcPr>
            <w:tcW w:w="100" w:type="dxa"/>
            <w:vAlign w:val="bottom"/>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(6,428)</w:t>
            </w:r>
          </w:p>
        </w:tc>
        <w:tc>
          <w:tcPr>
            <w:tcW w:w="0" w:type="dxa"/>
            <w:vAlign w:val="bottom"/>
          </w:tcPr>
          <w:p>
            <w:pPr>
              <w:spacing w:after="0"/>
              <w:rPr>
                <w:sz w:val="1"/>
                <w:szCs w:val="1"/>
                <w:color w:val="auto"/>
              </w:rPr>
            </w:pPr>
          </w:p>
        </w:tc>
      </w:tr>
      <w:tr>
        <w:trPr>
          <w:trHeight w:val="196"/>
        </w:trPr>
        <w:tc>
          <w:tcPr>
            <w:tcW w:w="50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508,894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425,323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83,571</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88,878</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69,895</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18,983</w:t>
            </w:r>
          </w:p>
        </w:tc>
        <w:tc>
          <w:tcPr>
            <w:tcW w:w="0" w:type="dxa"/>
            <w:vAlign w:val="bottom"/>
          </w:tcPr>
          <w:p>
            <w:pPr>
              <w:spacing w:after="0"/>
              <w:rPr>
                <w:sz w:val="1"/>
                <w:szCs w:val="1"/>
                <w:color w:val="auto"/>
              </w:rPr>
            </w:pPr>
          </w:p>
        </w:tc>
      </w:tr>
      <w:tr>
        <w:trPr>
          <w:trHeight w:val="203"/>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81,515</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70,136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11,379</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4,326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7,109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(2,783)</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5,144</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9,105</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(3,961)</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62,216</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55,698</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6,518</w:t>
            </w:r>
          </w:p>
        </w:tc>
        <w:tc>
          <w:tcPr>
            <w:tcW w:w="0" w:type="dxa"/>
            <w:vAlign w:val="bottom"/>
          </w:tcPr>
          <w:p>
            <w:pPr>
              <w:spacing w:after="0"/>
              <w:rPr>
                <w:sz w:val="1"/>
                <w:szCs w:val="1"/>
                <w:color w:val="auto"/>
              </w:rPr>
            </w:pPr>
          </w:p>
        </w:tc>
      </w:tr>
      <w:tr>
        <w:trPr>
          <w:trHeight w:val="202"/>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266,815</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213,380</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53,435</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5"/>
                <w:szCs w:val="15"/>
                <w:color w:val="auto"/>
              </w:rPr>
              <w:t>Expenses:</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150,210</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117,329</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32,881</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19,604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18,324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1,280</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1,253</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2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(3,142)</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(1,988)</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679</w:t>
            </w:r>
          </w:p>
        </w:tc>
        <w:tc>
          <w:tcPr>
            <w:tcW w:w="0" w:type="dxa"/>
            <w:vAlign w:val="bottom"/>
          </w:tcPr>
          <w:p>
            <w:pPr>
              <w:spacing w:after="0"/>
              <w:rPr>
                <w:sz w:val="1"/>
                <w:szCs w:val="1"/>
                <w:color w:val="auto"/>
              </w:rPr>
            </w:pPr>
          </w:p>
        </w:tc>
      </w:tr>
      <w:tr>
        <w:trPr>
          <w:trHeight w:val="202"/>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97,909</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75,284</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22,625</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30,990</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29,964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20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12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27,207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(27,207)</w:t>
            </w:r>
          </w:p>
        </w:tc>
        <w:tc>
          <w:tcPr>
            <w:tcW w:w="0" w:type="dxa"/>
            <w:vAlign w:val="bottom"/>
          </w:tcPr>
          <w:p>
            <w:pPr>
              <w:spacing w:after="0"/>
              <w:rPr>
                <w:sz w:val="1"/>
                <w:szCs w:val="1"/>
                <w:color w:val="auto"/>
              </w:rPr>
            </w:pPr>
          </w:p>
        </w:tc>
      </w:tr>
      <w:tr>
        <w:trPr>
          <w:trHeight w:val="203"/>
        </w:trPr>
        <w:tc>
          <w:tcPr>
            <w:tcW w:w="5040" w:type="dxa"/>
            <w:vAlign w:val="bottom"/>
          </w:tcPr>
          <w:p>
            <w:pPr>
              <w:ind w:left="240"/>
              <w:spacing w:after="0"/>
              <w:rPr>
                <w:sz w:val="20"/>
                <w:szCs w:val="20"/>
                <w:color w:val="auto"/>
              </w:rPr>
            </w:pPr>
            <w:r>
              <w:rPr>
                <w:rFonts w:ascii="Arial" w:cs="Arial" w:eastAsia="Arial" w:hAnsi="Arial"/>
                <w:sz w:val="15"/>
                <w:szCs w:val="15"/>
                <w:color w:val="auto"/>
              </w:rPr>
              <w:t>Loss on extinguishment of debt</w:t>
            </w:r>
          </w:p>
        </w:tc>
        <w:tc>
          <w:tcPr>
            <w:tcW w:w="12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3,185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(3,185)</w:t>
            </w:r>
          </w:p>
        </w:tc>
        <w:tc>
          <w:tcPr>
            <w:tcW w:w="0" w:type="dxa"/>
            <w:vAlign w:val="bottom"/>
          </w:tcPr>
          <w:p>
            <w:pPr>
              <w:spacing w:after="0"/>
              <w:rPr>
                <w:sz w:val="1"/>
                <w:szCs w:val="1"/>
                <w:color w:val="auto"/>
              </w:rPr>
            </w:pPr>
          </w:p>
        </w:tc>
      </w:tr>
      <w:tr>
        <w:trPr>
          <w:trHeight w:val="202"/>
        </w:trPr>
        <w:tc>
          <w:tcPr>
            <w:tcW w:w="5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128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66,919</w:t>
            </w:r>
          </w:p>
        </w:tc>
        <w:tc>
          <w:tcPr>
            <w:tcW w:w="100" w:type="dxa"/>
            <w:vAlign w:val="bottom"/>
            <w:tcBorders>
              <w:top w:val="single" w:sz="8" w:color="DBDBDB"/>
            </w:tcBorders>
            <w:shd w:val="clear" w:color="auto" w:fill="DBDBDB"/>
          </w:tcPr>
          <w:p>
            <w:pPr>
              <w:spacing w:after="0"/>
              <w:rPr>
                <w:sz w:val="17"/>
                <w:szCs w:val="17"/>
                <w:color w:val="auto"/>
              </w:rPr>
            </w:pPr>
          </w:p>
        </w:tc>
        <w:tc>
          <w:tcPr>
            <w:tcW w:w="128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14,928</w:t>
            </w:r>
          </w:p>
        </w:tc>
        <w:tc>
          <w:tcPr>
            <w:tcW w:w="100" w:type="dxa"/>
            <w:vAlign w:val="bottom"/>
            <w:tcBorders>
              <w:top w:val="single" w:sz="8" w:color="DBDBDB"/>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51,991</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15,748</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10,481</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5,267</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280" w:type="dxa"/>
            <w:vAlign w:val="bottom"/>
            <w:tcBorders>
              <w:bottom w:val="single" w:sz="8" w:color="auto"/>
            </w:tcBorders>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51,171</w:t>
            </w: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4,447</w:t>
            </w:r>
          </w:p>
        </w:tc>
        <w:tc>
          <w:tcPr>
            <w:tcW w:w="10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46,724</w:t>
            </w:r>
          </w:p>
        </w:tc>
        <w:tc>
          <w:tcPr>
            <w:tcW w:w="0" w:type="dxa"/>
            <w:vAlign w:val="bottom"/>
          </w:tcPr>
          <w:p>
            <w:pPr>
              <w:spacing w:after="0"/>
              <w:rPr>
                <w:sz w:val="1"/>
                <w:szCs w:val="1"/>
                <w:color w:val="auto"/>
              </w:rPr>
            </w:pP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March 31, 2022 and 2021</w:t>
      </w:r>
    </w:p>
    <w:p>
      <w:pPr>
        <w:spacing w:after="0" w:line="11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$83.6 million, or 19.7%, to $508.9 million for the three months ended March 31, 2022 from $425.3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2021. Leasing revenue increased $77.5 million, or 24.5%, as compared to the same period in 2021 driven by improved pricing and value added products, and an increase of 34,877 average portable storage units on rent driven by significant increases in delivery activity during 2021 and into the first quarter of 2022 as economic activity rebounded versus 2020 and recent acquisition activity. Delivery and installation revenues increased $16.8 million, or 20.1%, due to increased overall activity across all of our segments. Rental unit sales decreased $6.4 million, or 42.1%, and new unit sales decreased $4.4 million, or 40.0%. We estimate that recent acquisitions contributed approximately $12.0 million to total revenues for three months ended March 31, 2022.</w:t>
      </w:r>
    </w:p>
    <w:p>
      <w:pPr>
        <w:spacing w:after="0" w:line="3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Total average units on rent for the three months ended March 31, 2022 and 2021 were 292,256 and 255,709, respectively, representing an increase of 36,547, or 14.3%. Portable storage average units on rent increased by 34,877 units, or 24.0%, for the three months ended March 31, 2022 driven by strong demand. The average portable storage unit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5"/>
          <w:szCs w:val="15"/>
          <w:color w:val="auto"/>
        </w:rPr>
        <w:t>rate during the three months ended March 31, 2022 was 84.0%, as compared to 74.4% during the same period in 2021. Modular space average units on rent increased 1,670 units, or 1.5%, for the three months ended March 31, 2022 as compared to the three months ended March 31, 2021 driven primarily by acquisitions. The average modular space unit utilization rate during the three months ended March 31, 2022 was 68.9%, as compared to 70.3% during the same period in 2021. In total, approximately 50% of the increase in total average units on rent was driven by increases in organic delivery activity and lower return activity during 2021 and into the first quarter of 2022 and the other 50% of the growth was driven by units on rent acquired as a result of recent acquisitions.</w:t>
      </w:r>
    </w:p>
    <w:p>
      <w:pPr>
        <w:spacing w:after="0" w:line="3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Modular space average monthly rental rates increased 18.1% to $802 for the three months ended March 31, 2022. Improved pricing was achieved across all relevant segments. Average modular space monthly rental rates increased by $147, or 19.9%, to $884 in the NA Modular segment, by $59, or 11.0%, in the NA Storage segment, and by $24, or 5.9% in the UK Storage segment. Increases were driven by a continuation of the long-term price optimization and VAPS penetration opportunities across our NA Modular segment as well as by some early application of these same price management tools and processes across the NA Storage and UK Storage segments. NA Storage also is beginning to see early benefits from increased VAPS penetration opportunities.</w:t>
      </w:r>
    </w:p>
    <w:p>
      <w:pPr>
        <w:spacing w:after="0" w:line="38"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Average portable storage monthly rental rates increased 14.8% to $155 for the three months ended March 31, 2022 driven by our price management tools and processes, further supported by tight supply on portable storage containers in the markets in which we operate.</w:t>
      </w:r>
    </w:p>
    <w:p>
      <w:pPr>
        <w:spacing w:after="0" w:line="5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52.4% and 50.2% for the three months ended March 31, 2022 and 2021, respectively. Our gross profit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percentage, excluding the effects of depreciation, was 64.7% and 63.3% for the three months ended March 31, 2022 and 2021, respectively.</w:t>
      </w:r>
    </w:p>
    <w:p>
      <w:pPr>
        <w:spacing w:after="0" w:line="8"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Gross profit increased $53.5 million, or 25.1%, to $266.8 million for the three months ended March 31, 2022 from $213.4 million for the three months ended March 31, 2021. The increase in gross profit is a result of a $58.5 million increase in leasing gross profit and increased delivery and installation gross profit of $5.4 million, partially offset by decreased new and rental unit sale margins of $4.0 million. Increases were primarily a result of increased revenues due to favorable average monthly rental rates across both portable storage and modular space units, as well as due to increased units on rent, partially offset by increased variable costs during the period as a result of higher activity levels in the current year quarter and inflationary pressures across many of our cost categories. Depreciation increased $6.5 million as a result of capital investments made over the past twelve months in our existing rental equipment, including the impact of recent acquisitions.</w:t>
      </w:r>
    </w:p>
    <w:p>
      <w:pPr>
        <w:spacing w:after="0" w:line="25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("SG&amp;A") expense increased $32.9 million, or 28.0%, to $150.2 million for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compared to $117.3 million for the three months ended March 31, 2021. Employee costs excluding stock compensation increased $19.6 million, or 33.9%, driven by recent investments in new roles to fund both organic and inorganic growth, and increased variable compensation as a result of the growth achieved. Integration costs decreased $3.2 million to $4.1 million for the three months ended March 31, 2022, compared to $7.3 million for the three months ended March 31, 2021, and stock compensation expense increased $2.9 million to $6.4 million for the three months ended March 31, 2022, compared to $3.5 million for the three months ended March 31, 2021. The remaining increases were driven primarily by occupancy and office costs, legal and professional fees, travel expenses, and marketing cost increases.</w:t>
      </w:r>
    </w:p>
    <w:p>
      <w:pPr>
        <w:spacing w:after="0" w:line="25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$1.3 million to $19.6 million for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compared to $18.3 million for the three months ended March 31, 2021. The increase was driven by increased depreciation as a result of our 2021 investments in our enterprise resource planning system and other infrastructure investments across our branch network.</w:t>
      </w:r>
    </w:p>
    <w:p>
      <w:pPr>
        <w:spacing w:after="0" w:line="5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was $0.3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2022 as compared to $1.3 million for the three months ended March 31, 2021. The decrease resulted from fewer closed locations during the three months ended March 31, 2022 as compared to the three months ended March 31, 2021.</w:t>
      </w:r>
    </w:p>
    <w:p>
      <w:pPr>
        <w:spacing w:after="0" w:line="56"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were $3.1 million for the three months ended March 31, 2021 primarily driven by employee termination costs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resulting from the elimination of positions due to the Merger.</w:t>
      </w: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changed by $0.1 million to a $0.1 million loss for the three months ended March 31, 2022 from $0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March 31, 2021. This change was primarily attributable to the impact of foreign currency exchanges rate changes on intercompany receivables and payables denominated in a currency other than the subsidiary's functional currency.</w:t>
      </w:r>
    </w:p>
    <w:p>
      <w:pPr>
        <w:spacing w:after="0" w:line="5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$1.3 million for the three months ended March 31, 2022 compared to $2.0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31, 2021. Other income, net of $1.3 million for the three months ended March 31, 2022 is primarily related to gains incurred related to Hurricane Ida in the Gulf Coast area of the United States, and other income, net of $2.0 million for the three months ended March 31, 2021 was primarily the result of gains recorded on the sale of real estate during the period.</w:t>
      </w:r>
    </w:p>
    <w:p>
      <w:pPr>
        <w:spacing w:after="0" w:line="6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$1.0 million, or 3.3%, to $31.0 million for the three months ended March 31, 2022 from $30.0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March 31, 2021. See Note 9 to the condensed consolidated financial statements for further discussion of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8" w:name="page29"/>
    <w:bookmarkEnd w:id="28"/>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Fair Value Loss on Common Stock Warrant Liabilities: </w:t>
      </w:r>
      <w:r>
        <w:rPr>
          <w:rFonts w:ascii="Arial" w:cs="Arial" w:eastAsia="Arial" w:hAnsi="Arial"/>
          <w:sz w:val="15"/>
          <w:szCs w:val="15"/>
          <w:color w:val="auto"/>
        </w:rPr>
        <w:t>The fair value loss on common stock warrant liabilities was $27.2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2021, primarily due to the change in estimated fair value of common stock warrant liabilities. At March 31, 2022, no 2015 Public or Private Warrants were outstanding, and as a result, there was no fair value loss on common stock warrant liabilities recorded for the three months ended March 31, 2022.</w:t>
      </w:r>
    </w:p>
    <w:p>
      <w:pPr>
        <w:spacing w:after="0" w:line="5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During the three months ended March 31, 2021, using cash on hand and borrowings on the ABL Facility,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redeemed 10% of the outstanding principal, $65.0 million, of its 2025 Secured Notes and recorded a loss on extinguishment of debt of $3.2 million comprised of a redemption premium of $1.9 million and write off of unamortized deferred financing fees of $1.3 million.</w:t>
      </w:r>
    </w:p>
    <w:p>
      <w:pPr>
        <w:spacing w:after="0" w:line="5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$5.2 million to $15.7 million for the three months ended March 31, 2022 compared to $10.5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March 31, 2021. The increase in expense was driven by the pre-tax income increase for the three months ended March 31, 2022.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1D2758"/>
        </w:rPr>
        <w:t>Business Segment Results</w:t>
      </w:r>
    </w:p>
    <w:p>
      <w:pPr>
        <w:spacing w:after="0" w:line="10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The Company operates in four reportable segments as follows: NA Modular, NA Storage, UK Storage and Tank and Pump. NA Modular represents the activities of the North American modular business. NA Storage represents the activities of the North American portable storage business. UK Storage represents the results of all modular and portable storage operations in the UK. Tank and Pump represents the results of all operations for Tank and Pump services.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representing a shift of approximately $5.0 million of revenue and gross margin per quarter from the NA Modular segment to the NA Storage segment. This adjustment was not made to the historical segment results of prior periods, given its relative immateriality.</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following tables and discussion summarize our reportable segment financial information for the three months ended March 31, 2022 and 2021.</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March 31, 2022 and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60" w:type="dxa"/>
            <w:vAlign w:val="bottom"/>
            <w:gridSpan w:val="5"/>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Three Months Ended March 31, 2022</w:t>
            </w:r>
          </w:p>
        </w:tc>
        <w:tc>
          <w:tcPr>
            <w:tcW w:w="38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80" w:type="dxa"/>
            <w:vAlign w:val="bottom"/>
            <w:shd w:val="clear" w:color="auto" w:fill="1D2758"/>
          </w:tcPr>
          <w:p>
            <w:pPr>
              <w:spacing w:after="0"/>
              <w:rPr>
                <w:sz w:val="17"/>
                <w:szCs w:val="17"/>
                <w:color w:val="auto"/>
              </w:rPr>
            </w:pPr>
          </w:p>
        </w:tc>
        <w:tc>
          <w:tcPr>
            <w:tcW w:w="128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2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7"/>
                <w:szCs w:val="17"/>
                <w:color w:val="auto"/>
              </w:rPr>
            </w:pPr>
          </w:p>
        </w:tc>
        <w:tc>
          <w:tcPr>
            <w:tcW w:w="12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7"/>
                <w:szCs w:val="17"/>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Tank and Pump</w:t>
            </w:r>
          </w:p>
        </w:tc>
        <w:tc>
          <w:tcPr>
            <w:tcW w:w="380" w:type="dxa"/>
            <w:vAlign w:val="bottom"/>
            <w:shd w:val="clear" w:color="auto" w:fill="1D2758"/>
          </w:tcPr>
          <w:p>
            <w:pPr>
              <w:spacing w:after="0"/>
              <w:rPr>
                <w:sz w:val="17"/>
                <w:szCs w:val="17"/>
                <w:color w:val="auto"/>
              </w:rPr>
            </w:pPr>
          </w:p>
        </w:tc>
        <w:tc>
          <w:tcPr>
            <w:tcW w:w="1100" w:type="dxa"/>
            <w:vAlign w:val="bottom"/>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93"/>
        </w:trPr>
        <w:tc>
          <w:tcPr>
            <w:tcW w:w="380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28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380" w:type="dxa"/>
            <w:vAlign w:val="bottom"/>
            <w:shd w:val="clear" w:color="auto" w:fill="1D2758"/>
          </w:tcPr>
          <w:p>
            <w:pPr>
              <w:spacing w:after="0"/>
              <w:rPr>
                <w:sz w:val="8"/>
                <w:szCs w:val="8"/>
                <w:color w:val="auto"/>
              </w:rPr>
            </w:pPr>
          </w:p>
        </w:tc>
        <w:tc>
          <w:tcPr>
            <w:tcW w:w="110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299,686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151,484</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27,440</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30,284</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508,894</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128,931</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105,130</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17,921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14,833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266,815</w:t>
            </w:r>
          </w:p>
        </w:tc>
        <w:tc>
          <w:tcPr>
            <w:tcW w:w="0" w:type="dxa"/>
            <w:vAlign w:val="bottom"/>
          </w:tcPr>
          <w:p>
            <w:pPr>
              <w:spacing w:after="0"/>
              <w:rPr>
                <w:sz w:val="1"/>
                <w:szCs w:val="1"/>
                <w:color w:val="auto"/>
              </w:rPr>
            </w:pP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103,948</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63,825</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12,544</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11,506</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191,823</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57,577</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20,171</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9,615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7,873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95,236</w:t>
            </w:r>
          </w:p>
        </w:tc>
        <w:tc>
          <w:tcPr>
            <w:tcW w:w="0" w:type="dxa"/>
            <w:vAlign w:val="bottom"/>
          </w:tcPr>
          <w:p>
            <w:pPr>
              <w:spacing w:after="0"/>
              <w:rPr>
                <w:sz w:val="1"/>
                <w:szCs w:val="1"/>
                <w:color w:val="auto"/>
              </w:rPr>
            </w:pP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85,007</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18,559</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8,453</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112,019</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67.0 %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76.3 %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73.7 %</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68.9 %</w:t>
            </w:r>
          </w:p>
        </w:tc>
        <w:tc>
          <w:tcPr>
            <w:tcW w:w="0" w:type="dxa"/>
            <w:vAlign w:val="bottom"/>
          </w:tcPr>
          <w:p>
            <w:pPr>
              <w:spacing w:after="0"/>
              <w:rPr>
                <w:sz w:val="1"/>
                <w:szCs w:val="1"/>
                <w:color w:val="auto"/>
              </w:rPr>
            </w:pP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884</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594</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428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802</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80" w:type="dxa"/>
            <w:vAlign w:val="bottom"/>
          </w:tcPr>
          <w:p>
            <w:pPr>
              <w:spacing w:after="0"/>
              <w:rPr>
                <w:sz w:val="17"/>
                <w:szCs w:val="17"/>
                <w:color w:val="auto"/>
              </w:rPr>
            </w:pP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463</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152,326</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27,448</w:t>
            </w:r>
          </w:p>
        </w:tc>
        <w:tc>
          <w:tcPr>
            <w:tcW w:w="16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180,237</w:t>
            </w:r>
          </w:p>
        </w:tc>
        <w:tc>
          <w:tcPr>
            <w:tcW w:w="0" w:type="dxa"/>
            <w:vAlign w:val="bottom"/>
          </w:tcPr>
          <w:p>
            <w:pPr>
              <w:spacing w:after="0"/>
              <w:rPr>
                <w:sz w:val="1"/>
                <w:szCs w:val="1"/>
                <w:color w:val="auto"/>
              </w:rPr>
            </w:pP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89.8 %</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84.0 %</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160</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166</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94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72"/>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tank and pump solutions rental fleet utilization</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18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60" w:type="dxa"/>
            <w:vAlign w:val="bottom"/>
            <w:shd w:val="clear" w:color="auto" w:fill="DBDBDB"/>
          </w:tcPr>
          <w:p>
            <w:pPr>
              <w:spacing w:after="0"/>
              <w:rPr>
                <w:sz w:val="16"/>
                <w:szCs w:val="16"/>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75.8 %</w:t>
            </w:r>
          </w:p>
        </w:tc>
        <w:tc>
          <w:tcPr>
            <w:tcW w:w="38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6"/>
        </w:trPr>
        <w:tc>
          <w:tcPr>
            <w:tcW w:w="380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60" w:type="dxa"/>
            <w:vAlign w:val="bottom"/>
            <w:gridSpan w:val="5"/>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Three Months Ended March 31, 2021</w:t>
            </w:r>
          </w:p>
        </w:tc>
        <w:tc>
          <w:tcPr>
            <w:tcW w:w="38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Tank and Pump</w:t>
            </w:r>
          </w:p>
        </w:tc>
        <w:tc>
          <w:tcPr>
            <w:tcW w:w="3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266,224</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107,748</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27,007</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24,344</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425,323</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113,002</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72,619</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16,493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11,266</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213,380</w:t>
            </w: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97,371</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46,322</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11,064</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8,828</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163,585</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39,135</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3,472</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6,770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3,158</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52,535</w:t>
            </w: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84,795</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16,439</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9,115</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110,349</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67.6 %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79.4 %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83.8 %</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70.3 %</w:t>
            </w: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737</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535</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404</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679</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0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14,903</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105,810</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24,647</w:t>
            </w:r>
          </w:p>
        </w:tc>
        <w:tc>
          <w:tcPr>
            <w:tcW w:w="16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145,360</w:t>
            </w:r>
          </w:p>
        </w:tc>
      </w:tr>
      <w:tr>
        <w:trPr>
          <w:trHeight w:val="209"/>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60.3 %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73.9 %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89.2 %</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74.4 %</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124</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148</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82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135</w:t>
            </w:r>
          </w:p>
        </w:tc>
      </w:tr>
      <w:tr>
        <w:trPr>
          <w:trHeight w:val="172"/>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tank and pump solutions rental fleet utilization</w:t>
            </w:r>
          </w:p>
        </w:tc>
        <w:tc>
          <w:tcPr>
            <w:tcW w:w="20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192"/>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20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60" w:type="dxa"/>
            <w:vAlign w:val="bottom"/>
            <w:shd w:val="clear" w:color="auto" w:fill="DBDBDB"/>
          </w:tcPr>
          <w:p>
            <w:pPr>
              <w:spacing w:after="0"/>
              <w:rPr>
                <w:sz w:val="16"/>
                <w:szCs w:val="16"/>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67.4 %</w:t>
            </w:r>
          </w:p>
        </w:tc>
        <w:tc>
          <w:tcPr>
            <w:tcW w:w="38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67.4 %</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Modular</w:t>
      </w:r>
    </w:p>
    <w:p>
      <w:pPr>
        <w:spacing w:after="0" w:line="1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$33.5 million, or 12.6%, to $299.7 million for the three months ended March 31, 2022 from $266.2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2021. The increase was primarily the result of a $33.4 million, or 16.7%, increase in leasing revenue, and a $6.9 million, or 14.2% increase in modular delivery and installation revenue. The increases to leasing revenue and delivery and installation revenues were partially offset by a decrease of $4.2 million, or 40.4%, in rental unit sales revenue and a $2.7 million, or 36.0%, decrease in new unit sales. Average modular space monthly rental rates increased 19.9% for the three months ended March 31, 2022 to $884 driven by the continuation of the long-term price optimization and VAPS penetration opportunities across our portfolio. Average modular space units on rent increased by 212 units, or 0.3%, year over year.</w:t>
      </w:r>
    </w:p>
    <w:p>
      <w:pPr>
        <w:spacing w:after="0" w:line="6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$15.9 million, or 14.1%, to $128.9 million for the three months ended March 31, 2022 from $113.0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2021. The increase in gross profit was driven by higher leasing gross profit, which increased $20.5 million, or 13.8%, driven from improved pricing including VAPS. The increase in gross profit from leasing for the three months ended March 31, 2022 was further complemented by a $2.5 million increase in delivery and installation gross profit. These increases were partially offset by a $2.0 million decrease in rental unit sales gross profit, a $1.1 million decrease in new unit sales gross profit, and a $4.2 million increase in depreciation of rental equipment related to capital investments made in our existing rental equipment and additional depreciation from recent acquisitions.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$6.5 million, or 6.7%, to $103.9 million for the three months ended March 31, 2022 from $97.4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2021. The increase was driven by higher leasing gross profit discussed above. SG&amp;A, excluding discrete items, increased $15.1 million, or 24.2%, for the three months ended March 31, 2022, as compared to the three months ended March 31, 2021 driven primarily by increased costs for personnel, including commissions and other variable compensation, the return of more normal travel expenses, and increased subscription and professional fees.</w:t>
      </w:r>
    </w:p>
    <w:p>
      <w:pPr>
        <w:spacing w:after="0" w:line="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$18.5 million, or 47.3%, to $57.6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2022 from $39.1 million for the three months ended March 31, 2021. Net CAPEX increased $29.3 million, or 160.1%, to $47.6 million. These increases were driven by increased refurbishments and VAPS purchases as well as by an $11.8 million reduction in proceeds from the sale of property, plant and equipment primarily related to real estate sales that occurred during the three months ended March 31, 2021.</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Storage</w:t>
      </w:r>
    </w:p>
    <w:p>
      <w:pPr>
        <w:spacing w:after="0" w:line="11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$43.7 million, or 40.5%, to $151.5 million for the three months ended March 31, 2022 from $107.8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March 31, 2021. Leasing revenues increased $38.2 million in the current quarter compared to the prior-year quarter. Modular space average units on rent increased 12.9% and average modular space monthly rental rates increased 11.0% year-over-year driven primarily by increased pricing on new deliveries. Portable storage units on rent increased 46,516, or 44.0%, driven by increased organic economic activity (approximately 19,000 units on rent increase), acquisitions (approximately 15,500 units on rent increase), and due to the transfer of approximately 12,000 portable storage units on rent from the NA Modular segment, which occurred in the third quarter of 2021. Combined, average portable storage units on rent for the NA Storage and NA Modular segments increased approximately 32,076 units, or 26.6%. Average portable storage monthly rental rates increased 12.2% year-over-year also as a result of increased pricing on new deliveries. Delivery and installation revenues increased $8.5 million year-over-year driven by the increase in overall volumes. Sales revenues decreased $3.0 million compared to the prior-year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ind w:firstLine="619"/>
        <w:spacing w:after="0" w:line="273"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$32.5 million, or 44.8%, to $105.1 million for the three months ended March 31, 2022 compared to $72.6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March 31, 2021. Gross profit on leasing activity increased by $32.7 million year-over-year driven both by increased volume and pricing as described above. For delivery and installation, gross profit increased $2.8 million. Sales gross profit decreased by $1.1 million to $1.1 million.</w:t>
      </w:r>
    </w:p>
    <w:p>
      <w:pPr>
        <w:spacing w:after="0" w:line="5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$17.5 million, or 37.8%, to $63.8 million for the three months ended March 31, 2022 from $46.3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March 31, 2021 and the margin contracted to 42.1% from 43.0%. The increase in Adjusted EBITDA was driven primarily by increased leasing gross profit as described above, partially offset by increased SG&amp;A. Excluding acquisition costs and stock-based compensation, SG&amp;A increased $16.8 million in this segment. The increase was comprised of increased costs for personnel, including commissions and other variable compensation to support increased commercial activity, the return of more normal travel expenses, and increased subscription and professional fees.</w:t>
      </w:r>
    </w:p>
    <w:p>
      <w:pPr>
        <w:spacing w:after="0" w:line="6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increased $16.7 million, or 477.1%, to $20.2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March 31, 2022 from $3.5 million for the three months ended March 31, 2021. Net CAPEX increased $19.3 million, or 393.9%, to $24.2 million. These increases were driven primarily by increased purchases of portable storage containers during the period to support organic growth, as well as by reduced proceeds from sales of rental fleet given high utilization.</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UK Storage</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$0.4 million, or 1.5%, to $27.4 million for the three months ended March 31, 2022 from $27.0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March 31, 2021. In local currency total revenues increased 4.5%. Leasing revenues increased $1.9 million in the current quarter compared to the prior-year quarter. Modular space average units on rent decreased 7.3%, while portable storage units on rent increased 11.4%. Average monthly rental rates for modular space units and portable storage units increased 5.9% and 14.6% year-over-year, respectively, including the impacts of currency fluctuations. Delivery and installation revenues decreased $0.3 million year-over-year. Sales revenues decreased $1.2 million compared to the prior-year quarter.</w:t>
      </w:r>
    </w:p>
    <w:p>
      <w:pPr>
        <w:spacing w:after="0" w:line="6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$1.4 million, or 8.5%, for the three months ended March 31, 2022 to $17.9 million from $16.5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March 31, 2021. In local currency, gross profit increased 11.7%. This increase was driven by rental rate growth and strategic cost management.</w:t>
      </w:r>
    </w:p>
    <w:p>
      <w:pPr>
        <w:spacing w:after="0" w:line="4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$1.4 million, or 12.6%, to $12.5 million for three months ended March 31, 2022 from $11.1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March 31, 2021 and the margin expanded to 45.7% from 41.0%. The increase results primarily from the favorable gross profit discussed above, partially offset by increased SG&amp;A of $0.2 million driven by increased costs for personnel, including commissions and other variable compensation.</w:t>
      </w:r>
    </w:p>
    <w:p>
      <w:pPr>
        <w:spacing w:after="0" w:line="5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increased $2.8 million, or 41.2%, to $9.6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March 31, 2022 from $6.8 million for the three months ended March 31, 2021. Net CAPEX increased $6.8 million, or 147.8%, to $11.4 million. These increases were driven primarily by increased purchases of portable storage containers during the period to support organic growth, as well as by reduced proceeds from sales of rental fleet given high utilization.</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Tank &amp; Pump</w:t>
      </w:r>
    </w:p>
    <w:p>
      <w:pPr>
        <w:spacing w:after="0" w:line="11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$6.0 million, or 24.7%, to $30.3 million for the three months ended March 31, 2022 from $24.3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March 31, 2021. These increases were driven by increased average original rental cost ("OEC") rental fleet utilization, which increased 840 bps to 75.8% for the three months ended March 31, 2022 from 67.4% for the three months ended March 31, 2021.</w:t>
      </w:r>
    </w:p>
    <w:p>
      <w:pPr>
        <w:spacing w:after="0" w:line="5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$3.5 million, or 31.0%, for the three months ended March 31, 2022 to $14.8 million from $11.3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March 31, 2021. This increase was driven by increased gross profit for leasing activity, which increased $3.6 million driven by the increased revenue as discussed above.</w:t>
      </w:r>
    </w:p>
    <w:p>
      <w:pPr>
        <w:spacing w:after="0" w:line="5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$2.7 million, or 30.7%, to $11.5 million for the three months ended March 31, 2022 from $8.8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March 31, 2021 and the margin expanded to 38.0% from 36.3%. The increase in Adjusted EBITDA was driven by the increased gross profit discussed above, partially offset by a $1.2 million increase in SG&amp;A expense driven primarily by increased personnel costs, including commissions and other variable compensation.</w:t>
      </w:r>
    </w:p>
    <w:p>
      <w:pPr>
        <w:spacing w:after="0" w:line="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increased $4.7 million, or 146.9%, to $7.9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March 31, 2022 from $3.2 million for the three months ended March 31, 2021. Net CAPEX increased $4.6 million, or 143.8%, to $7.8 million. These increases were driven primarily by increased purchases of rental fleet during the period to support organic growth given high utilization, as well as by reduced proceeds from sales of rental fleet given high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1D2758"/>
        </w:rPr>
        <w:t>Reconciliation of Non-GAAP Financial Measures</w:t>
      </w:r>
    </w:p>
    <w:p>
      <w:pPr>
        <w:spacing w:after="0" w:line="10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13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84" w:lineRule="exact"/>
        <w:rPr>
          <w:sz w:val="20"/>
          <w:szCs w:val="20"/>
          <w:color w:val="auto"/>
        </w:rPr>
      </w:pPr>
    </w:p>
    <w:p>
      <w:pPr>
        <w:ind w:left="940" w:hanging="318"/>
        <w:spacing w:after="0" w:line="269" w:lineRule="auto"/>
        <w:tabs>
          <w:tab w:leader="none" w:pos="9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77" w:lineRule="exact"/>
        <w:rPr>
          <w:rFonts w:ascii="Arial" w:cs="Arial" w:eastAsia="Arial" w:hAnsi="Arial"/>
          <w:sz w:val="15"/>
          <w:szCs w:val="15"/>
          <w:color w:val="auto"/>
        </w:rPr>
      </w:pPr>
    </w:p>
    <w:p>
      <w:pPr>
        <w:ind w:left="940" w:hanging="318"/>
        <w:spacing w:after="0" w:line="269" w:lineRule="auto"/>
        <w:tabs>
          <w:tab w:leader="none" w:pos="9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77" w:lineRule="exact"/>
        <w:rPr>
          <w:rFonts w:ascii="Arial" w:cs="Arial" w:eastAsia="Arial" w:hAnsi="Arial"/>
          <w:sz w:val="15"/>
          <w:szCs w:val="15"/>
          <w:color w:val="auto"/>
        </w:rPr>
      </w:pPr>
    </w:p>
    <w:p>
      <w:pPr>
        <w:ind w:left="940" w:hanging="318"/>
        <w:spacing w:after="0" w:line="269" w:lineRule="auto"/>
        <w:tabs>
          <w:tab w:leader="none" w:pos="9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77" w:lineRule="exact"/>
        <w:rPr>
          <w:rFonts w:ascii="Arial" w:cs="Arial" w:eastAsia="Arial" w:hAnsi="Arial"/>
          <w:sz w:val="15"/>
          <w:szCs w:val="15"/>
          <w:color w:val="auto"/>
        </w:rPr>
      </w:pPr>
    </w:p>
    <w:p>
      <w:pPr>
        <w:ind w:left="920" w:hanging="29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111" w:lineRule="exact"/>
        <w:rPr>
          <w:rFonts w:ascii="Arial" w:cs="Arial" w:eastAsia="Arial" w:hAnsi="Arial"/>
          <w:sz w:val="15"/>
          <w:szCs w:val="15"/>
          <w:color w:val="auto"/>
        </w:rPr>
      </w:pPr>
    </w:p>
    <w:p>
      <w:pPr>
        <w:ind w:left="940" w:hanging="318"/>
        <w:spacing w:after="0" w:line="269" w:lineRule="auto"/>
        <w:tabs>
          <w:tab w:leader="none" w:pos="9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77" w:lineRule="exact"/>
        <w:rPr>
          <w:rFonts w:ascii="Arial" w:cs="Arial" w:eastAsia="Arial" w:hAnsi="Arial"/>
          <w:sz w:val="15"/>
          <w:szCs w:val="15"/>
          <w:color w:val="auto"/>
        </w:rPr>
      </w:pPr>
    </w:p>
    <w:p>
      <w:pPr>
        <w:ind w:left="920" w:hanging="29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111" w:lineRule="exact"/>
        <w:rPr>
          <w:rFonts w:ascii="Arial" w:cs="Arial" w:eastAsia="Arial" w:hAnsi="Arial"/>
          <w:sz w:val="15"/>
          <w:szCs w:val="15"/>
          <w:color w:val="auto"/>
        </w:rPr>
      </w:pPr>
    </w:p>
    <w:p>
      <w:pPr>
        <w:ind w:left="920" w:hanging="29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Gains and losses resulting from changes in fair value and extinguishment of common stock warrant liabilities.</w:t>
      </w:r>
    </w:p>
    <w:p>
      <w:pPr>
        <w:spacing w:after="0" w:line="111" w:lineRule="exact"/>
        <w:rPr>
          <w:rFonts w:ascii="Arial" w:cs="Arial" w:eastAsia="Arial" w:hAnsi="Arial"/>
          <w:sz w:val="15"/>
          <w:szCs w:val="15"/>
          <w:color w:val="auto"/>
        </w:rPr>
      </w:pPr>
    </w:p>
    <w:p>
      <w:pPr>
        <w:ind w:left="940" w:hanging="318"/>
        <w:spacing w:after="0" w:line="269" w:lineRule="auto"/>
        <w:tabs>
          <w:tab w:leader="none" w:pos="9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w:t>
      </w:r>
    </w:p>
    <w:p>
      <w:pPr>
        <w:spacing w:after="0" w:line="7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Our Chief Operating Decision Maker ("CODM") evaluates business segment performance utilizing Adjusted EBITDA as shown in the reconciliation of the Company’s consolidated net income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35"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77" w:lineRule="exact"/>
        <w:rPr>
          <w:sz w:val="20"/>
          <w:szCs w:val="20"/>
          <w:color w:val="auto"/>
        </w:rPr>
      </w:pPr>
    </w:p>
    <w:p>
      <w:pPr>
        <w:ind w:left="920" w:hanging="29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111" w:lineRule="exact"/>
        <w:rPr>
          <w:rFonts w:ascii="Arial" w:cs="Arial" w:eastAsia="Arial" w:hAnsi="Arial"/>
          <w:sz w:val="15"/>
          <w:szCs w:val="15"/>
          <w:color w:val="auto"/>
        </w:rPr>
      </w:pPr>
    </w:p>
    <w:p>
      <w:pPr>
        <w:ind w:left="940" w:hanging="318"/>
        <w:spacing w:after="0" w:line="254"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281" w:lineRule="exact"/>
        <w:rPr>
          <w:rFonts w:ascii="Arial" w:cs="Arial" w:eastAsia="Arial" w:hAnsi="Arial"/>
          <w:sz w:val="15"/>
          <w:szCs w:val="15"/>
          <w:color w:val="auto"/>
        </w:rPr>
      </w:pPr>
    </w:p>
    <w:p>
      <w:pPr>
        <w:ind w:left="920" w:hanging="29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111" w:lineRule="exact"/>
        <w:rPr>
          <w:rFonts w:ascii="Arial" w:cs="Arial" w:eastAsia="Arial" w:hAnsi="Arial"/>
          <w:sz w:val="15"/>
          <w:szCs w:val="15"/>
          <w:color w:val="auto"/>
        </w:rPr>
      </w:pPr>
    </w:p>
    <w:p>
      <w:pPr>
        <w:ind w:left="920" w:hanging="29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111" w:lineRule="exact"/>
        <w:rPr>
          <w:rFonts w:ascii="Arial" w:cs="Arial" w:eastAsia="Arial" w:hAnsi="Arial"/>
          <w:sz w:val="15"/>
          <w:szCs w:val="15"/>
          <w:color w:val="auto"/>
        </w:rPr>
      </w:pPr>
    </w:p>
    <w:p>
      <w:pPr>
        <w:ind w:left="940" w:hanging="318"/>
        <w:spacing w:after="0" w:line="254"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281" w:lineRule="exact"/>
        <w:rPr>
          <w:rFonts w:ascii="Arial" w:cs="Arial" w:eastAsia="Arial" w:hAnsi="Arial"/>
          <w:sz w:val="15"/>
          <w:szCs w:val="15"/>
          <w:color w:val="auto"/>
        </w:rPr>
      </w:pPr>
    </w:p>
    <w:p>
      <w:pPr>
        <w:ind w:left="940" w:hanging="318"/>
        <w:spacing w:after="0" w:line="269"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77" w:lineRule="exact"/>
        <w:rPr>
          <w:rFonts w:ascii="Arial" w:cs="Arial" w:eastAsia="Arial" w:hAnsi="Arial"/>
          <w:sz w:val="15"/>
          <w:szCs w:val="15"/>
          <w:color w:val="auto"/>
        </w:rPr>
      </w:pPr>
    </w:p>
    <w:p>
      <w:pPr>
        <w:ind w:left="920" w:hanging="29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111" w:lineRule="exact"/>
        <w:rPr>
          <w:sz w:val="20"/>
          <w:szCs w:val="20"/>
          <w:color w:val="auto"/>
        </w:rPr>
      </w:pPr>
    </w:p>
    <w:p>
      <w:pPr>
        <w:ind w:firstLine="619"/>
        <w:spacing w:after="0" w:line="269"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measures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7500" w:type="dxa"/>
            <w:vAlign w:val="bottom"/>
          </w:tcPr>
          <w:p>
            <w:pPr>
              <w:ind w:left="620"/>
              <w:spacing w:after="0"/>
              <w:rPr>
                <w:sz w:val="20"/>
                <w:szCs w:val="20"/>
                <w:color w:val="auto"/>
              </w:rPr>
            </w:pPr>
            <w:r>
              <w:rPr>
                <w:rFonts w:ascii="Arial" w:cs="Arial" w:eastAsia="Arial" w:hAnsi="Arial"/>
                <w:sz w:val="15"/>
                <w:szCs w:val="15"/>
                <w:color w:val="auto"/>
              </w:rPr>
              <w:t>The following table provides unaudited reconciliations of Net income to Adjusted EBITDA:</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22"/>
        </w:trPr>
        <w:tc>
          <w:tcPr>
            <w:tcW w:w="7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1080" w:type="dxa"/>
            <w:vAlign w:val="bottom"/>
          </w:tcPr>
          <w:p>
            <w:pPr>
              <w:spacing w:after="0"/>
              <w:rPr>
                <w:sz w:val="10"/>
                <w:szCs w:val="10"/>
                <w:color w:val="auto"/>
              </w:rPr>
            </w:pPr>
          </w:p>
        </w:tc>
      </w:tr>
      <w:tr>
        <w:trPr>
          <w:trHeight w:val="204"/>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7"/>
                <w:szCs w:val="17"/>
                <w:color w:val="auto"/>
              </w:rPr>
            </w:pPr>
          </w:p>
        </w:tc>
      </w:tr>
      <w:tr>
        <w:trPr>
          <w:trHeight w:val="204"/>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11"/>
        </w:trPr>
        <w:tc>
          <w:tcPr>
            <w:tcW w:w="7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51,171</w:t>
            </w:r>
          </w:p>
        </w:tc>
        <w:tc>
          <w:tcPr>
            <w:tcW w:w="8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4,447</w:t>
            </w:r>
          </w:p>
        </w:tc>
      </w:tr>
      <w:tr>
        <w:trPr>
          <w:trHeight w:val="203"/>
        </w:trPr>
        <w:tc>
          <w:tcPr>
            <w:tcW w:w="750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15,748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10,481</w:t>
            </w:r>
          </w:p>
        </w:tc>
      </w:tr>
      <w:tr>
        <w:trPr>
          <w:trHeight w:val="209"/>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42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3,185</w:t>
            </w:r>
          </w:p>
        </w:tc>
      </w:tr>
      <w:tr>
        <w:trPr>
          <w:trHeight w:val="203"/>
        </w:trPr>
        <w:tc>
          <w:tcPr>
            <w:tcW w:w="7500" w:type="dxa"/>
            <w:vAlign w:val="bottom"/>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4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27,207</w:t>
            </w:r>
          </w:p>
        </w:tc>
      </w:tr>
      <w:tr>
        <w:trPr>
          <w:trHeight w:val="209"/>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30,990</w:t>
            </w:r>
          </w:p>
        </w:tc>
        <w:tc>
          <w:tcPr>
            <w:tcW w:w="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29,964</w:t>
            </w:r>
          </w:p>
        </w:tc>
      </w:tr>
      <w:tr>
        <w:trPr>
          <w:trHeight w:val="203"/>
        </w:trPr>
        <w:tc>
          <w:tcPr>
            <w:tcW w:w="75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81,820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74,022</w:t>
            </w:r>
          </w:p>
        </w:tc>
      </w:tr>
      <w:tr>
        <w:trPr>
          <w:trHeight w:val="209"/>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138</w:t>
            </w:r>
          </w:p>
        </w:tc>
        <w:tc>
          <w:tcPr>
            <w:tcW w:w="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750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263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4,395</w:t>
            </w:r>
          </w:p>
        </w:tc>
      </w:tr>
      <w:tr>
        <w:trPr>
          <w:trHeight w:val="209"/>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w:t>
            </w:r>
          </w:p>
        </w:tc>
        <w:tc>
          <w:tcPr>
            <w:tcW w:w="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844</w:t>
            </w:r>
          </w:p>
        </w:tc>
      </w:tr>
      <w:tr>
        <w:trPr>
          <w:trHeight w:val="203"/>
        </w:trPr>
        <w:tc>
          <w:tcPr>
            <w:tcW w:w="750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4,087</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7,342</w:t>
            </w:r>
          </w:p>
        </w:tc>
      </w:tr>
      <w:tr>
        <w:trPr>
          <w:trHeight w:val="209"/>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6,395</w:t>
            </w:r>
          </w:p>
        </w:tc>
        <w:tc>
          <w:tcPr>
            <w:tcW w:w="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3,514</w:t>
            </w:r>
          </w:p>
        </w:tc>
      </w:tr>
      <w:tr>
        <w:trPr>
          <w:trHeight w:val="203"/>
        </w:trPr>
        <w:tc>
          <w:tcPr>
            <w:tcW w:w="75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1,191</w:t>
            </w:r>
          </w:p>
        </w:tc>
        <w:tc>
          <w:tcPr>
            <w:tcW w:w="8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(1,852)</w:t>
            </w:r>
          </w:p>
        </w:tc>
      </w:tr>
      <w:tr>
        <w:trPr>
          <w:trHeight w:val="227"/>
        </w:trPr>
        <w:tc>
          <w:tcPr>
            <w:tcW w:w="7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191,823</w:t>
            </w:r>
          </w:p>
        </w:tc>
        <w:tc>
          <w:tcPr>
            <w:tcW w:w="8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163,585</w:t>
            </w:r>
          </w:p>
        </w:tc>
      </w:tr>
      <w:tr>
        <w:trPr>
          <w:trHeight w:val="20"/>
        </w:trPr>
        <w:tc>
          <w:tcPr>
            <w:tcW w:w="75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Excluding Gain/Loss from Warrants</w:t>
      </w:r>
    </w:p>
    <w:p>
      <w:pPr>
        <w:spacing w:after="0" w:line="111"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5"/>
          <w:szCs w:val="15"/>
          <w:color w:val="auto"/>
        </w:rPr>
        <w:t>We define Net Income Excluding Gain/Loss from Warrants as net income plus or minus the impact of the change in the fair value of the common stock warrant liability. Management believes that the presentation of our financial statements excluding the impact of the mark-to-market adjustment provides useful information regarding our results of operations and assists in the review of our actual operating performance. The following table provides unaudited reconciliations of Net income to Net Income Excluding Gain/Loss from Warrants: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3280" w:type="dxa"/>
            <w:vAlign w:val="bottom"/>
            <w:gridSpan w:val="3"/>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Three Months Ended March 31,</w:t>
            </w:r>
          </w:p>
        </w:tc>
      </w:tr>
      <w:tr>
        <w:trPr>
          <w:trHeight w:val="206"/>
        </w:trPr>
        <w:tc>
          <w:tcPr>
            <w:tcW w:w="7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2022</w:t>
            </w:r>
          </w:p>
        </w:tc>
        <w:tc>
          <w:tcPr>
            <w:tcW w:w="48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51,171</w:t>
            </w:r>
          </w:p>
        </w:tc>
        <w:tc>
          <w:tcPr>
            <w:tcW w:w="48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4,447</w:t>
            </w:r>
          </w:p>
        </w:tc>
      </w:tr>
      <w:tr>
        <w:trPr>
          <w:trHeight w:val="203"/>
        </w:trPr>
        <w:tc>
          <w:tcPr>
            <w:tcW w:w="75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27,207</w:t>
            </w:r>
          </w:p>
        </w:tc>
      </w:tr>
      <w:tr>
        <w:trPr>
          <w:trHeight w:val="227"/>
        </w:trPr>
        <w:tc>
          <w:tcPr>
            <w:tcW w:w="7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 Excluding Gain/Loss from Warrants</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51,171</w:t>
            </w:r>
          </w:p>
        </w:tc>
        <w:tc>
          <w:tcPr>
            <w:tcW w:w="48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31,654</w:t>
            </w:r>
          </w:p>
        </w:tc>
      </w:tr>
      <w:tr>
        <w:trPr>
          <w:trHeight w:val="20"/>
        </w:trPr>
        <w:tc>
          <w:tcPr>
            <w:tcW w:w="75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Gross Profit and Adjusted Gross Profit Percentage</w:t>
      </w:r>
    </w:p>
    <w:p>
      <w:pPr>
        <w:spacing w:after="0" w:line="7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5"/>
          <w:szCs w:val="15"/>
          <w:color w:val="auto"/>
        </w:rPr>
        <w:t>The following table provides unaudited reconciliations of gross profit to Adjusted Gross Profit and Adjusted Gross Profit Percentage: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23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140" w:type="dxa"/>
            <w:vAlign w:val="bottom"/>
            <w:shd w:val="clear" w:color="auto" w:fill="1D2758"/>
          </w:tcPr>
          <w:p>
            <w:pPr>
              <w:spacing w:after="0"/>
              <w:rPr>
                <w:sz w:val="17"/>
                <w:szCs w:val="17"/>
                <w:color w:val="auto"/>
              </w:rPr>
            </w:pPr>
          </w:p>
        </w:tc>
      </w:tr>
      <w:tr>
        <w:trPr>
          <w:trHeight w:val="203"/>
        </w:trPr>
        <w:tc>
          <w:tcPr>
            <w:tcW w:w="732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2300" w:type="dxa"/>
            <w:vAlign w:val="bottom"/>
            <w:gridSpan w:val="3"/>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March 31,</w:t>
            </w:r>
          </w:p>
        </w:tc>
        <w:tc>
          <w:tcPr>
            <w:tcW w:w="1140" w:type="dxa"/>
            <w:vAlign w:val="bottom"/>
            <w:shd w:val="clear" w:color="auto" w:fill="1D2758"/>
          </w:tcPr>
          <w:p>
            <w:pPr>
              <w:spacing w:after="0"/>
              <w:rPr>
                <w:sz w:val="17"/>
                <w:szCs w:val="17"/>
                <w:color w:val="auto"/>
              </w:rPr>
            </w:pPr>
          </w:p>
        </w:tc>
      </w:tr>
      <w:tr>
        <w:trPr>
          <w:trHeight w:val="210"/>
        </w:trPr>
        <w:tc>
          <w:tcPr>
            <w:tcW w:w="7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4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760" w:type="dxa"/>
            <w:vAlign w:val="bottom"/>
            <w:shd w:val="clear" w:color="auto" w:fill="1D2758"/>
          </w:tcPr>
          <w:p>
            <w:pPr>
              <w:spacing w:after="0"/>
              <w:rPr>
                <w:sz w:val="18"/>
                <w:szCs w:val="18"/>
                <w:color w:val="auto"/>
              </w:rPr>
            </w:pPr>
          </w:p>
        </w:tc>
        <w:tc>
          <w:tcPr>
            <w:tcW w:w="1140" w:type="dxa"/>
            <w:vAlign w:val="bottom"/>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508,894</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425,323</w:t>
            </w:r>
          </w:p>
        </w:tc>
      </w:tr>
      <w:tr>
        <w:trPr>
          <w:trHeight w:val="245"/>
        </w:trPr>
        <w:tc>
          <w:tcPr>
            <w:tcW w:w="7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6"/>
        </w:trPr>
        <w:tc>
          <w:tcPr>
            <w:tcW w:w="7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(B)</w:t>
            </w: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266,815</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213,380</w:t>
            </w:r>
          </w:p>
        </w:tc>
      </w:tr>
      <w:tr>
        <w:trPr>
          <w:trHeight w:val="203"/>
        </w:trPr>
        <w:tc>
          <w:tcPr>
            <w:tcW w:w="73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62,216</w:t>
            </w:r>
          </w:p>
        </w:tc>
        <w:tc>
          <w:tcPr>
            <w:tcW w:w="10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55,698</w:t>
            </w:r>
          </w:p>
        </w:tc>
      </w:tr>
      <w:tr>
        <w:trPr>
          <w:trHeight w:val="224"/>
        </w:trPr>
        <w:tc>
          <w:tcPr>
            <w:tcW w:w="73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Gross Profit (C)</w:t>
            </w:r>
          </w:p>
        </w:tc>
        <w:tc>
          <w:tcPr>
            <w:tcW w:w="440" w:type="dxa"/>
            <w:vAlign w:val="bottom"/>
            <w:tcBorders>
              <w:bottom w:val="single" w:sz="8" w:color="auto"/>
            </w:tcBorders>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rPr>
              <w:t>329,031</w:t>
            </w:r>
          </w:p>
        </w:tc>
        <w:tc>
          <w:tcPr>
            <w:tcW w:w="10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269,078</w:t>
            </w:r>
          </w:p>
        </w:tc>
      </w:tr>
      <w:tr>
        <w:trPr>
          <w:trHeight w:val="20"/>
        </w:trPr>
        <w:tc>
          <w:tcPr>
            <w:tcW w:w="73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r>
        <w:trPr>
          <w:trHeight w:val="194"/>
        </w:trPr>
        <w:tc>
          <w:tcPr>
            <w:tcW w:w="7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7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52.4 %</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50.2 %</w:t>
            </w:r>
          </w:p>
        </w:tc>
      </w:tr>
      <w:tr>
        <w:trPr>
          <w:trHeight w:val="201"/>
        </w:trPr>
        <w:tc>
          <w:tcPr>
            <w:tcW w:w="732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64.7 %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63.3 %</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13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plant, property and equipment each year to assist in analyzing the performance of our business. The following table provides unaudited reconciliations of Net CAPEX:</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7"/>
                <w:szCs w:val="17"/>
                <w:color w:val="auto"/>
              </w:rPr>
            </w:pPr>
          </w:p>
        </w:tc>
      </w:tr>
      <w:tr>
        <w:trPr>
          <w:trHeight w:val="203"/>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10"/>
        </w:trPr>
        <w:tc>
          <w:tcPr>
            <w:tcW w:w="7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purchases of rental equipment and refurbishments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(95,236)</w:t>
            </w:r>
          </w:p>
        </w:tc>
        <w:tc>
          <w:tcPr>
            <w:tcW w:w="8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(52,535)</w:t>
            </w:r>
          </w:p>
        </w:tc>
      </w:tr>
      <w:tr>
        <w:trPr>
          <w:trHeight w:val="203"/>
        </w:trPr>
        <w:tc>
          <w:tcPr>
            <w:tcW w:w="75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 from sale of rental equipment</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14,554</w:t>
            </w:r>
          </w:p>
        </w:tc>
        <w:tc>
          <w:tcPr>
            <w:tcW w:w="8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15,202</w:t>
            </w:r>
          </w:p>
        </w:tc>
      </w:tr>
      <w:tr>
        <w:trPr>
          <w:trHeight w:val="202"/>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(80,682)</w:t>
            </w:r>
          </w:p>
        </w:tc>
        <w:tc>
          <w:tcPr>
            <w:tcW w:w="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(37,333)</w:t>
            </w:r>
          </w:p>
        </w:tc>
      </w:tr>
      <w:tr>
        <w:trPr>
          <w:trHeight w:val="203"/>
        </w:trPr>
        <w:tc>
          <w:tcPr>
            <w:tcW w:w="75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(10,481)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(7,307)</w:t>
            </w:r>
          </w:p>
        </w:tc>
      </w:tr>
      <w:tr>
        <w:trPr>
          <w:trHeight w:val="209"/>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260</w:t>
            </w:r>
          </w:p>
        </w:tc>
        <w:tc>
          <w:tcPr>
            <w:tcW w:w="80" w:type="dxa"/>
            <w:vAlign w:val="bottom"/>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13,729</w:t>
            </w:r>
          </w:p>
        </w:tc>
      </w:tr>
      <w:tr>
        <w:trPr>
          <w:trHeight w:val="196"/>
        </w:trPr>
        <w:tc>
          <w:tcPr>
            <w:tcW w:w="750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(90,903)</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(30,911)</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3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the ABL Facility, and sales of equity and debt securities. We believe that our liquidity sources and operating cash flows are sufficient to address our operating, debt service and capital requirements over the next twelve months.</w:t>
      </w:r>
    </w:p>
    <w:p>
      <w:pPr>
        <w:spacing w:after="0" w:line="3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w:t>
      </w:r>
    </w:p>
    <w:p>
      <w:pPr>
        <w:spacing w:after="0" w:line="32"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jc w:val="both"/>
        <w:ind w:firstLine="619"/>
        <w:spacing w:after="0" w:line="254" w:lineRule="auto"/>
        <w:rPr>
          <w:sz w:val="20"/>
          <w:szCs w:val="20"/>
          <w:color w:val="auto"/>
        </w:rPr>
      </w:pPr>
      <w:r>
        <w:rPr>
          <w:rFonts w:ascii="Arial" w:cs="Arial" w:eastAsia="Arial" w:hAnsi="Arial"/>
          <w:sz w:val="15"/>
          <w:szCs w:val="15"/>
          <w:color w:val="auto"/>
        </w:rPr>
        <w:t>Our revolving credit facility provides an aggregate principal amount of up to $2.4 billion, consisting of: (i) a senior secured asset-based US dollar revolving credit facility in the aggregate principal amount of $2.0 billion (the “US Facility”), and (ii) a $400.0 million senior secured asset-based multicurrency revolving credit facility (the "Multicurrency Facility") together with the US Facility (collectively, the “ABL Facility”), available to be drawn in US Dollars, Canadian Dollars, British Pounds Sterling or Euros. Borrowing availability under the ABL Facility is equal to the lesser of $2.4 billion and the applicable borrowing bases. The borrowing bases are a function of, among other things, the value of the assets in the relevant collateral pool. At March 31, 2022, we had $646.9 million of available borrowing capacity under the ABL Facility.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Comparison of the Three Months Ended March 31, 2022 and 2021</w:t>
      </w:r>
    </w:p>
    <w:p>
      <w:pPr>
        <w:spacing w:after="0" w:line="13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 The following summarizes our change in cash and cash equivalents for the periods presented: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288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Three Months Ended</w:t>
            </w:r>
          </w:p>
        </w:tc>
        <w:tc>
          <w:tcPr>
            <w:tcW w:w="15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200" w:type="dxa"/>
            <w:vAlign w:val="bottom"/>
            <w:shd w:val="clear" w:color="auto" w:fill="1D2758"/>
          </w:tcPr>
          <w:p>
            <w:pPr>
              <w:spacing w:after="0"/>
              <w:rPr>
                <w:sz w:val="17"/>
                <w:szCs w:val="17"/>
                <w:color w:val="auto"/>
              </w:rPr>
            </w:pPr>
          </w:p>
        </w:tc>
        <w:tc>
          <w:tcPr>
            <w:tcW w:w="580" w:type="dxa"/>
            <w:vAlign w:val="bottom"/>
            <w:shd w:val="clear" w:color="auto" w:fill="1D2758"/>
          </w:tcPr>
          <w:p>
            <w:pPr>
              <w:spacing w:after="0"/>
              <w:rPr>
                <w:sz w:val="17"/>
                <w:szCs w:val="17"/>
                <w:color w:val="auto"/>
              </w:rPr>
            </w:pPr>
          </w:p>
        </w:tc>
        <w:tc>
          <w:tcPr>
            <w:tcW w:w="2880" w:type="dxa"/>
            <w:vAlign w:val="bottom"/>
            <w:gridSpan w:val="3"/>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March 31,</w:t>
            </w:r>
          </w:p>
        </w:tc>
        <w:tc>
          <w:tcPr>
            <w:tcW w:w="15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17"/>
                <w:szCs w:val="17"/>
                <w:color w:val="auto"/>
              </w:rPr>
            </w:pPr>
          </w:p>
        </w:tc>
        <w:tc>
          <w:tcPr>
            <w:tcW w:w="1900" w:type="dxa"/>
            <w:vAlign w:val="bottom"/>
            <w:vMerge w:val="restart"/>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900" w:type="dxa"/>
            <w:vAlign w:val="bottom"/>
            <w:shd w:val="clear" w:color="auto" w:fill="1D2758"/>
          </w:tcPr>
          <w:p>
            <w:pPr>
              <w:spacing w:after="0"/>
              <w:rPr>
                <w:sz w:val="17"/>
                <w:szCs w:val="17"/>
                <w:color w:val="auto"/>
              </w:rPr>
            </w:pPr>
          </w:p>
        </w:tc>
        <w:tc>
          <w:tcPr>
            <w:tcW w:w="1580" w:type="dxa"/>
            <w:vAlign w:val="bottom"/>
            <w:vMerge w:val="restart"/>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95"/>
        </w:trPr>
        <w:tc>
          <w:tcPr>
            <w:tcW w:w="6200" w:type="dxa"/>
            <w:vAlign w:val="bottom"/>
            <w:shd w:val="clear" w:color="auto" w:fill="1D2758"/>
          </w:tcPr>
          <w:p>
            <w:pPr>
              <w:spacing w:after="0"/>
              <w:rPr>
                <w:sz w:val="8"/>
                <w:szCs w:val="8"/>
                <w:color w:val="auto"/>
              </w:rPr>
            </w:pPr>
          </w:p>
        </w:tc>
        <w:tc>
          <w:tcPr>
            <w:tcW w:w="580" w:type="dxa"/>
            <w:vAlign w:val="bottom"/>
            <w:shd w:val="clear" w:color="auto" w:fill="1D2758"/>
          </w:tcPr>
          <w:p>
            <w:pPr>
              <w:spacing w:after="0"/>
              <w:rPr>
                <w:sz w:val="8"/>
                <w:szCs w:val="8"/>
                <w:color w:val="auto"/>
              </w:rPr>
            </w:pPr>
          </w:p>
        </w:tc>
        <w:tc>
          <w:tcPr>
            <w:tcW w:w="1900" w:type="dxa"/>
            <w:vAlign w:val="bottom"/>
            <w:vMerge w:val="continue"/>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900" w:type="dxa"/>
            <w:vAlign w:val="bottom"/>
            <w:shd w:val="clear" w:color="auto" w:fill="1D2758"/>
          </w:tcPr>
          <w:p>
            <w:pPr>
              <w:spacing w:after="0"/>
              <w:rPr>
                <w:sz w:val="8"/>
                <w:szCs w:val="8"/>
                <w:color w:val="auto"/>
              </w:rPr>
            </w:pPr>
          </w:p>
        </w:tc>
        <w:tc>
          <w:tcPr>
            <w:tcW w:w="158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operating activities</w:t>
            </w:r>
          </w:p>
        </w:tc>
        <w:tc>
          <w:tcPr>
            <w:tcW w:w="580" w:type="dxa"/>
            <w:vAlign w:val="bottom"/>
            <w:vMerge w:val="restart"/>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9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145,527</w:t>
            </w:r>
          </w:p>
        </w:tc>
        <w:tc>
          <w:tcPr>
            <w:tcW w:w="80" w:type="dxa"/>
            <w:vAlign w:val="bottom"/>
            <w:shd w:val="clear" w:color="auto" w:fill="DBDBDB"/>
          </w:tcPr>
          <w:p>
            <w:pPr>
              <w:spacing w:after="0"/>
              <w:rPr>
                <w:sz w:val="17"/>
                <w:szCs w:val="17"/>
                <w:color w:val="auto"/>
              </w:rPr>
            </w:pPr>
          </w:p>
        </w:tc>
        <w:tc>
          <w:tcPr>
            <w:tcW w:w="900" w:type="dxa"/>
            <w:vAlign w:val="bottom"/>
            <w:vMerge w:val="restart"/>
            <w:shd w:val="clear" w:color="auto" w:fill="DBDBDB"/>
          </w:tcPr>
          <w:p>
            <w:pPr>
              <w:jc w:val="right"/>
              <w:ind w:right="703"/>
              <w:spacing w:after="0"/>
              <w:rPr>
                <w:sz w:val="20"/>
                <w:szCs w:val="20"/>
                <w:color w:val="auto"/>
              </w:rPr>
            </w:pPr>
            <w:r>
              <w:rPr>
                <w:rFonts w:ascii="Arial" w:cs="Arial" w:eastAsia="Arial" w:hAnsi="Arial"/>
                <w:sz w:val="15"/>
                <w:szCs w:val="15"/>
                <w:color w:val="auto"/>
              </w:rPr>
              <w:t>$</w:t>
            </w:r>
          </w:p>
        </w:tc>
        <w:tc>
          <w:tcPr>
            <w:tcW w:w="15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122,071</w:t>
            </w:r>
          </w:p>
        </w:tc>
        <w:tc>
          <w:tcPr>
            <w:tcW w:w="0" w:type="dxa"/>
            <w:vAlign w:val="bottom"/>
          </w:tcPr>
          <w:p>
            <w:pPr>
              <w:spacing w:after="0"/>
              <w:rPr>
                <w:sz w:val="1"/>
                <w:szCs w:val="1"/>
                <w:color w:val="auto"/>
              </w:rPr>
            </w:pPr>
          </w:p>
        </w:tc>
      </w:tr>
      <w:tr>
        <w:trPr>
          <w:trHeight w:val="96"/>
        </w:trPr>
        <w:tc>
          <w:tcPr>
            <w:tcW w:w="6200" w:type="dxa"/>
            <w:vAlign w:val="bottom"/>
            <w:shd w:val="clear" w:color="auto" w:fill="DBDBDB"/>
          </w:tcPr>
          <w:p>
            <w:pPr>
              <w:spacing w:after="0"/>
              <w:rPr>
                <w:sz w:val="8"/>
                <w:szCs w:val="8"/>
                <w:color w:val="auto"/>
              </w:rPr>
            </w:pPr>
          </w:p>
        </w:tc>
        <w:tc>
          <w:tcPr>
            <w:tcW w:w="580" w:type="dxa"/>
            <w:vAlign w:val="bottom"/>
            <w:vMerge w:val="continue"/>
            <w:shd w:val="clear" w:color="auto" w:fill="DBDBDB"/>
          </w:tcPr>
          <w:p>
            <w:pPr>
              <w:spacing w:after="0"/>
              <w:rPr>
                <w:sz w:val="8"/>
                <w:szCs w:val="8"/>
                <w:color w:val="auto"/>
              </w:rPr>
            </w:pPr>
          </w:p>
        </w:tc>
        <w:tc>
          <w:tcPr>
            <w:tcW w:w="1900" w:type="dxa"/>
            <w:vAlign w:val="bottom"/>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900" w:type="dxa"/>
            <w:vAlign w:val="bottom"/>
            <w:vMerge w:val="continue"/>
            <w:shd w:val="clear" w:color="auto" w:fill="DBDBDB"/>
          </w:tcPr>
          <w:p>
            <w:pPr>
              <w:spacing w:after="0"/>
              <w:rPr>
                <w:sz w:val="8"/>
                <w:szCs w:val="8"/>
                <w:color w:val="auto"/>
              </w:rPr>
            </w:pPr>
          </w:p>
        </w:tc>
        <w:tc>
          <w:tcPr>
            <w:tcW w:w="158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6200" w:type="dxa"/>
            <w:vAlign w:val="bottom"/>
          </w:tcPr>
          <w:p>
            <w:pPr>
              <w:ind w:left="20"/>
              <w:spacing w:after="0"/>
              <w:rPr>
                <w:sz w:val="20"/>
                <w:szCs w:val="20"/>
                <w:color w:val="auto"/>
              </w:rPr>
            </w:pPr>
            <w:r>
              <w:rPr>
                <w:rFonts w:ascii="Arial" w:cs="Arial" w:eastAsia="Arial" w:hAnsi="Arial"/>
                <w:sz w:val="15"/>
                <w:szCs w:val="15"/>
                <w:color w:val="auto"/>
              </w:rPr>
              <w:t>Net cash from investing activities</w:t>
            </w:r>
          </w:p>
        </w:tc>
        <w:tc>
          <w:tcPr>
            <w:tcW w:w="58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Arial" w:cs="Arial" w:eastAsia="Arial" w:hAnsi="Arial"/>
                <w:sz w:val="15"/>
                <w:szCs w:val="15"/>
                <w:color w:val="auto"/>
              </w:rPr>
              <w:t>(148,360)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(30,911)</w:t>
            </w:r>
          </w:p>
        </w:tc>
        <w:tc>
          <w:tcPr>
            <w:tcW w:w="0" w:type="dxa"/>
            <w:vAlign w:val="bottom"/>
          </w:tcPr>
          <w:p>
            <w:pPr>
              <w:spacing w:after="0"/>
              <w:rPr>
                <w:sz w:val="1"/>
                <w:szCs w:val="1"/>
                <w:color w:val="auto"/>
              </w:rPr>
            </w:pPr>
          </w:p>
        </w:tc>
      </w:tr>
      <w:tr>
        <w:trPr>
          <w:trHeight w:val="93"/>
        </w:trPr>
        <w:tc>
          <w:tcPr>
            <w:tcW w:w="6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financing activities</w:t>
            </w:r>
          </w:p>
        </w:tc>
        <w:tc>
          <w:tcPr>
            <w:tcW w:w="580" w:type="dxa"/>
            <w:vAlign w:val="bottom"/>
            <w:shd w:val="clear" w:color="auto" w:fill="DBDBDB"/>
          </w:tcPr>
          <w:p>
            <w:pPr>
              <w:spacing w:after="0"/>
              <w:rPr>
                <w:sz w:val="17"/>
                <w:szCs w:val="17"/>
                <w:color w:val="auto"/>
              </w:rPr>
            </w:pPr>
          </w:p>
        </w:tc>
        <w:tc>
          <w:tcPr>
            <w:tcW w:w="19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1,586</w:t>
            </w:r>
          </w:p>
        </w:tc>
        <w:tc>
          <w:tcPr>
            <w:tcW w:w="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5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(89,220)</w:t>
            </w:r>
          </w:p>
        </w:tc>
        <w:tc>
          <w:tcPr>
            <w:tcW w:w="0" w:type="dxa"/>
            <w:vAlign w:val="bottom"/>
          </w:tcPr>
          <w:p>
            <w:pPr>
              <w:spacing w:after="0"/>
              <w:rPr>
                <w:sz w:val="1"/>
                <w:szCs w:val="1"/>
                <w:color w:val="auto"/>
              </w:rPr>
            </w:pPr>
          </w:p>
        </w:tc>
      </w:tr>
      <w:tr>
        <w:trPr>
          <w:trHeight w:val="96"/>
        </w:trPr>
        <w:tc>
          <w:tcPr>
            <w:tcW w:w="6200" w:type="dxa"/>
            <w:vAlign w:val="bottom"/>
            <w:shd w:val="clear" w:color="auto" w:fill="DBDBDB"/>
          </w:tcPr>
          <w:p>
            <w:pPr>
              <w:spacing w:after="0"/>
              <w:rPr>
                <w:sz w:val="8"/>
                <w:szCs w:val="8"/>
                <w:color w:val="auto"/>
              </w:rPr>
            </w:pPr>
          </w:p>
        </w:tc>
        <w:tc>
          <w:tcPr>
            <w:tcW w:w="580" w:type="dxa"/>
            <w:vAlign w:val="bottom"/>
            <w:shd w:val="clear" w:color="auto" w:fill="DBDBDB"/>
          </w:tcPr>
          <w:p>
            <w:pPr>
              <w:spacing w:after="0"/>
              <w:rPr>
                <w:sz w:val="8"/>
                <w:szCs w:val="8"/>
                <w:color w:val="auto"/>
              </w:rPr>
            </w:pPr>
          </w:p>
        </w:tc>
        <w:tc>
          <w:tcPr>
            <w:tcW w:w="1900" w:type="dxa"/>
            <w:vAlign w:val="bottom"/>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900" w:type="dxa"/>
            <w:vAlign w:val="bottom"/>
            <w:shd w:val="clear" w:color="auto" w:fill="DBDBDB"/>
          </w:tcPr>
          <w:p>
            <w:pPr>
              <w:spacing w:after="0"/>
              <w:rPr>
                <w:sz w:val="8"/>
                <w:szCs w:val="8"/>
                <w:color w:val="auto"/>
              </w:rPr>
            </w:pPr>
          </w:p>
        </w:tc>
        <w:tc>
          <w:tcPr>
            <w:tcW w:w="158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620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58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93"/>
        </w:trPr>
        <w:tc>
          <w:tcPr>
            <w:tcW w:w="6200" w:type="dxa"/>
            <w:vAlign w:val="bottom"/>
            <w:tcBorders>
              <w:bottom w:val="single" w:sz="8" w:color="DBDBDB"/>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DBDBDB"/>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580" w:type="dxa"/>
            <w:vAlign w:val="bottom"/>
            <w:vMerge w:val="restart"/>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9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(1,378)</w:t>
            </w:r>
          </w:p>
        </w:tc>
        <w:tc>
          <w:tcPr>
            <w:tcW w:w="80" w:type="dxa"/>
            <w:vAlign w:val="bottom"/>
            <w:shd w:val="clear" w:color="auto" w:fill="DBDBDB"/>
          </w:tcPr>
          <w:p>
            <w:pPr>
              <w:spacing w:after="0"/>
              <w:rPr>
                <w:sz w:val="15"/>
                <w:szCs w:val="15"/>
                <w:color w:val="auto"/>
              </w:rPr>
            </w:pPr>
          </w:p>
        </w:tc>
        <w:tc>
          <w:tcPr>
            <w:tcW w:w="900" w:type="dxa"/>
            <w:vAlign w:val="bottom"/>
            <w:vMerge w:val="restart"/>
            <w:shd w:val="clear" w:color="auto" w:fill="DBDBDB"/>
          </w:tcPr>
          <w:p>
            <w:pPr>
              <w:jc w:val="right"/>
              <w:ind w:right="703"/>
              <w:spacing w:after="0"/>
              <w:rPr>
                <w:sz w:val="20"/>
                <w:szCs w:val="20"/>
                <w:color w:val="auto"/>
              </w:rPr>
            </w:pPr>
            <w:r>
              <w:rPr>
                <w:rFonts w:ascii="Arial" w:cs="Arial" w:eastAsia="Arial" w:hAnsi="Arial"/>
                <w:sz w:val="15"/>
                <w:szCs w:val="15"/>
                <w:color w:val="auto"/>
              </w:rPr>
              <w:t>$</w:t>
            </w:r>
          </w:p>
        </w:tc>
        <w:tc>
          <w:tcPr>
            <w:tcW w:w="15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1,997</w:t>
            </w:r>
          </w:p>
        </w:tc>
        <w:tc>
          <w:tcPr>
            <w:tcW w:w="0" w:type="dxa"/>
            <w:vAlign w:val="bottom"/>
          </w:tcPr>
          <w:p>
            <w:pPr>
              <w:spacing w:after="0"/>
              <w:rPr>
                <w:sz w:val="1"/>
                <w:szCs w:val="1"/>
                <w:color w:val="auto"/>
              </w:rPr>
            </w:pPr>
          </w:p>
        </w:tc>
      </w:tr>
      <w:tr>
        <w:trPr>
          <w:trHeight w:val="87"/>
        </w:trPr>
        <w:tc>
          <w:tcPr>
            <w:tcW w:w="6200" w:type="dxa"/>
            <w:vAlign w:val="bottom"/>
            <w:tcBorders>
              <w:bottom w:val="single" w:sz="8" w:color="DBDBDB"/>
            </w:tcBorders>
            <w:shd w:val="clear" w:color="auto" w:fill="DBDBDB"/>
          </w:tcPr>
          <w:p>
            <w:pPr>
              <w:spacing w:after="0"/>
              <w:rPr>
                <w:sz w:val="7"/>
                <w:szCs w:val="7"/>
                <w:color w:val="auto"/>
              </w:rPr>
            </w:pPr>
          </w:p>
        </w:tc>
        <w:tc>
          <w:tcPr>
            <w:tcW w:w="580" w:type="dxa"/>
            <w:vAlign w:val="bottom"/>
            <w:tcBorders>
              <w:bottom w:val="single" w:sz="8" w:color="auto"/>
            </w:tcBorders>
            <w:vMerge w:val="continue"/>
            <w:shd w:val="clear" w:color="auto" w:fill="DBDBDB"/>
          </w:tcPr>
          <w:p>
            <w:pPr>
              <w:spacing w:after="0"/>
              <w:rPr>
                <w:sz w:val="7"/>
                <w:szCs w:val="7"/>
                <w:color w:val="auto"/>
              </w:rPr>
            </w:pPr>
          </w:p>
        </w:tc>
        <w:tc>
          <w:tcPr>
            <w:tcW w:w="1900" w:type="dxa"/>
            <w:vAlign w:val="bottom"/>
            <w:tcBorders>
              <w:bottom w:val="single" w:sz="8" w:color="auto"/>
            </w:tcBorders>
            <w:vMerge w:val="continue"/>
            <w:shd w:val="clear" w:color="auto" w:fill="DBDBDB"/>
          </w:tcPr>
          <w:p>
            <w:pPr>
              <w:spacing w:after="0"/>
              <w:rPr>
                <w:sz w:val="7"/>
                <w:szCs w:val="7"/>
                <w:color w:val="auto"/>
              </w:rPr>
            </w:pPr>
          </w:p>
        </w:tc>
        <w:tc>
          <w:tcPr>
            <w:tcW w:w="80" w:type="dxa"/>
            <w:vAlign w:val="bottom"/>
            <w:tcBorders>
              <w:bottom w:val="single" w:sz="8" w:color="DBDBDB"/>
            </w:tcBorders>
            <w:shd w:val="clear" w:color="auto" w:fill="DBDBDB"/>
          </w:tcPr>
          <w:p>
            <w:pPr>
              <w:spacing w:after="0"/>
              <w:rPr>
                <w:sz w:val="7"/>
                <w:szCs w:val="7"/>
                <w:color w:val="auto"/>
              </w:rPr>
            </w:pPr>
          </w:p>
        </w:tc>
        <w:tc>
          <w:tcPr>
            <w:tcW w:w="900" w:type="dxa"/>
            <w:vAlign w:val="bottom"/>
            <w:tcBorders>
              <w:bottom w:val="single" w:sz="8" w:color="auto"/>
            </w:tcBorders>
            <w:vMerge w:val="continue"/>
            <w:shd w:val="clear" w:color="auto" w:fill="DBDBDB"/>
          </w:tcPr>
          <w:p>
            <w:pPr>
              <w:spacing w:after="0"/>
              <w:rPr>
                <w:sz w:val="7"/>
                <w:szCs w:val="7"/>
                <w:color w:val="auto"/>
              </w:rPr>
            </w:pPr>
          </w:p>
        </w:tc>
        <w:tc>
          <w:tcPr>
            <w:tcW w:w="158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12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Cash provided by operating activities for the three months ended March 31, 2022 was $145.5 million as compared to $122.1 million for the three months ended March 31, 2021, an increase of $23.4 million. The increase was due to an increase of $34.2 million of net income, adjusted for non-cash items, partially offset by a decrease of $11.7 million in the net movements of the operating assets and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12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Cash used in investing activities for the three months ended March 31, 2022 was $148.4 million as compared to $30.9 million for the three months ended March 31, 2021, an increase of $117.5 million. The increase in cash used in investing activities was driven by a $57.5 million increase in cash used in an acquisition, a $42.7 million increase in cash used for the purchase of rental equipment and refurbishments, and a $3.2 million increase in cash used for the purchase of property, plant and equipment, a $0.6 million decrease in proceeds from the sale of rental equipment and a $13.5 million decrease in proceeds from sale of property, plant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12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Cash provided by financing activities for the three months ended March 31, 2022 was $1.6 million as compared to $89.2 million cash used in financing activities for the three months ended March 31, 2021, an increase of $90.8 million. The increase is primarily due to a decrease of $107.1 million in repayment of borrowings, partially offset by a $9.5 million decrease in receipts from borrowing.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Cash Flow</w:t>
      </w:r>
    </w:p>
    <w:p>
      <w:pPr>
        <w:spacing w:after="0" w:line="13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5" w:name="page36"/>
    <w:bookmarkEnd w:id="35"/>
    <w:p>
      <w:pPr>
        <w:ind w:left="620"/>
        <w:spacing w:after="0"/>
        <w:rPr>
          <w:sz w:val="20"/>
          <w:szCs w:val="20"/>
          <w:color w:val="auto"/>
        </w:rPr>
      </w:pPr>
      <w:r>
        <w:rPr>
          <w:rFonts w:ascii="Arial" w:cs="Arial" w:eastAsia="Arial" w:hAnsi="Arial"/>
          <w:sz w:val="15"/>
          <w:szCs w:val="15"/>
          <w:color w:val="auto"/>
        </w:rPr>
        <w:t>The following table provides a reconciliation of net cash provided by operating activities to Free Cash Flow.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4"/>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9"/>
        </w:trPr>
        <w:tc>
          <w:tcPr>
            <w:tcW w:w="7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145,527</w:t>
            </w:r>
          </w:p>
        </w:tc>
        <w:tc>
          <w:tcPr>
            <w:tcW w:w="8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122,071</w:t>
            </w:r>
          </w:p>
        </w:tc>
      </w:tr>
      <w:tr>
        <w:trPr>
          <w:trHeight w:val="203"/>
        </w:trPr>
        <w:tc>
          <w:tcPr>
            <w:tcW w:w="750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(95,236)</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(52,535)</w:t>
            </w:r>
          </w:p>
        </w:tc>
      </w:tr>
      <w:tr>
        <w:trPr>
          <w:trHeight w:val="209"/>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14,554</w:t>
            </w:r>
          </w:p>
        </w:tc>
        <w:tc>
          <w:tcPr>
            <w:tcW w:w="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15,202</w:t>
            </w:r>
          </w:p>
        </w:tc>
      </w:tr>
      <w:tr>
        <w:trPr>
          <w:trHeight w:val="203"/>
        </w:trPr>
        <w:tc>
          <w:tcPr>
            <w:tcW w:w="75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(10,481)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(7,307)</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260</w:t>
            </w:r>
          </w:p>
        </w:tc>
        <w:tc>
          <w:tcPr>
            <w:tcW w:w="80" w:type="dxa"/>
            <w:vAlign w:val="bottom"/>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13,729</w:t>
            </w:r>
          </w:p>
        </w:tc>
      </w:tr>
      <w:tr>
        <w:trPr>
          <w:trHeight w:val="202"/>
        </w:trPr>
        <w:tc>
          <w:tcPr>
            <w:tcW w:w="750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54,624</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91,160</w:t>
            </w: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Free Cash Flow for the three months ended March 31, 2022 was an inflow of $54.6 million as compared to an inflow of $91.2 million for the three months ended March 31, 2021, a decrease in Free Cash Flow of $36.6 million. Free Cash Flow decreased year over year principally as a result of a $42.7 million increase in cash used in the purchase of rental equipment and refurbishments, a $13.4 million decrease in the proceeds from the sale of property, plant and equipment and a $0.6 million decrease in the proceeds from the sale of rental equipment. These were partially offset by a $23.4 million increase in cash provided by operating activities driven by increased profitability in the business. The $145.5 million in cash provided by operating activities for the three months ended March 31, 2022 was returned to shareholders through stock and warrant repurchases and cancellations and reinvested into the business to support the purchase of rental equipment, including VAPS, and refurbishments, as well as inorganic growth through mergers and acquisitions.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cash requirements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w:t>
      </w:r>
    </w:p>
    <w:p>
      <w:pPr>
        <w:spacing w:after="0" w:line="78"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and finance leases, totaling $2.9 billion as of March 31, 2022, $19.8 million of which is obligated to be repaid within the next twelve months. Refer to Note 9 for further information regarding outstanding debt.</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78"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equipment and office space. As of March 31, 2022, the Company had lease obligations of $282.2 million, with $62.0 million payable within the next twelve months.</w:t>
      </w:r>
    </w:p>
    <w:p>
      <w:pPr>
        <w:spacing w:after="0" w:line="2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In addition to the aforementioned cash requirements, the Company has a Share Repurchase Program authorized by the Board of Directors which allows the Company to repurchase up to $1.0 billion of outstanding shares of Common Stock and equivalents. This program does not obligate the Company to repurchase any specific amount of shares.</w:t>
      </w:r>
    </w:p>
    <w:p>
      <w:pPr>
        <w:spacing w:after="0" w:line="32"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believes its cash, cash flows generated from ongoing operations, continued access to its revolving credit facility, as well as access to debt markets, are sufficient to satisfy its currently anticipated cash requirements for the foreseeable future.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Policies and Estimates</w:t>
      </w:r>
    </w:p>
    <w:p>
      <w:pPr>
        <w:spacing w:after="0" w:line="106"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3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year ended December 31, 2021 (the "2021 Annual Report on Form 10-K").</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significant changes to our critical accounting policies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1D2758"/>
        </w:rPr>
        <w:t>Recently Issued Accounting Standards</w:t>
      </w:r>
    </w:p>
    <w:p>
      <w:pPr>
        <w:spacing w:after="0" w:line="54"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Refer to Part I, Item 1, Note 1 of the notes to our financial statements included in this Quarterly Report on Form 10-Q for our assessment of recently issued accounting standards.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5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spacing w:after="0" w:line="37"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59" w:lineRule="exact"/>
        <w:rPr>
          <w:rFonts w:ascii="Arial" w:cs="Arial" w:eastAsia="Arial" w:hAnsi="Arial"/>
          <w:sz w:val="15"/>
          <w:szCs w:val="15"/>
          <w:color w:val="auto"/>
        </w:rPr>
      </w:pPr>
    </w:p>
    <w:p>
      <w:pPr>
        <w:ind w:left="620" w:hanging="307"/>
        <w:spacing w:after="0" w:line="269"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spacing w:after="0" w:line="25"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59" w:lineRule="exact"/>
        <w:rPr>
          <w:rFonts w:ascii="Arial" w:cs="Arial" w:eastAsia="Arial" w:hAnsi="Arial"/>
          <w:sz w:val="15"/>
          <w:szCs w:val="15"/>
          <w:color w:val="auto"/>
        </w:rPr>
      </w:pPr>
    </w:p>
    <w:p>
      <w:pPr>
        <w:ind w:left="620" w:hanging="307"/>
        <w:spacing w:after="0" w:line="269"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impact of public health crises, such as the global pandemic related to COVID-19, including the financial condition of the Company’s customers and suppliers and employee health and safety;</w:t>
      </w:r>
    </w:p>
    <w:p>
      <w:pPr>
        <w:spacing w:after="0" w:line="25" w:lineRule="exact"/>
        <w:rPr>
          <w:rFonts w:ascii="Arial" w:cs="Arial" w:eastAsia="Arial" w:hAnsi="Arial"/>
          <w:sz w:val="15"/>
          <w:szCs w:val="15"/>
          <w:color w:val="auto"/>
        </w:rPr>
      </w:pPr>
    </w:p>
    <w:p>
      <w:pPr>
        <w:ind w:left="620" w:hanging="307"/>
        <w:spacing w:after="0" w:line="269"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25"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portable storage and tank and pump industries;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fluctuations in fuel costs or oil prices, a reduction in fuel supplies, or a sustained decline in oil prices;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various laws and regulations, including those governing government contracts, corruption and the environment;</w:t>
      </w:r>
    </w:p>
    <w:p>
      <w:pPr>
        <w:spacing w:after="0" w:line="59" w:lineRule="exact"/>
        <w:rPr>
          <w:rFonts w:ascii="Arial" w:cs="Arial" w:eastAsia="Arial" w:hAnsi="Arial"/>
          <w:sz w:val="15"/>
          <w:szCs w:val="15"/>
          <w:color w:val="auto"/>
        </w:rPr>
      </w:pPr>
    </w:p>
    <w:p>
      <w:pPr>
        <w:ind w:left="620" w:hanging="307"/>
        <w:spacing w:after="0" w:line="269"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25"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7" w:name="page38"/>
    <w:bookmarkEnd w:id="37"/>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service our debt and operate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uncertainty regarding the phase-out of LIBOR;</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stock price volatility; and</w:t>
      </w:r>
    </w:p>
    <w:p>
      <w:pPr>
        <w:spacing w:after="0" w:line="59" w:lineRule="exact"/>
        <w:rPr>
          <w:rFonts w:ascii="Arial" w:cs="Arial" w:eastAsia="Arial" w:hAnsi="Arial"/>
          <w:sz w:val="15"/>
          <w:szCs w:val="15"/>
          <w:color w:val="auto"/>
        </w:rPr>
      </w:pPr>
    </w:p>
    <w:p>
      <w:pPr>
        <w:ind w:left="620" w:hanging="307"/>
        <w:spacing w:after="0" w:line="269" w:lineRule="auto"/>
        <w:tabs>
          <w:tab w:leader="none" w:pos="6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2021 Annual Report on Form 10-K), which are available through the SEC’s EDGAR system at www.sec.gov and on our website.</w:t>
      </w:r>
    </w:p>
    <w:p>
      <w:pPr>
        <w:spacing w:after="0" w:line="26"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Any forward-looking statement speaks only at the date which it is made, and we undertake no obligation, and disclaims any obligation, to update or revise any forward-looking statements, whether as a result of new information, future events or otherwise, except as required by law.</w:t>
      </w:r>
    </w:p>
    <w:p>
      <w:pPr>
        <w:spacing w:after="0" w:line="175" w:lineRule="exact"/>
        <w:rPr>
          <w:sz w:val="20"/>
          <w:szCs w:val="20"/>
          <w:color w:val="auto"/>
        </w:rPr>
      </w:pPr>
    </w:p>
    <w:p>
      <w:pPr>
        <w:ind w:left="1740" w:right="1100" w:hanging="1855"/>
        <w:spacing w:after="0" w:line="284" w:lineRule="auto"/>
        <w:tabs>
          <w:tab w:leader="none" w:pos="1720" w:val="left"/>
        </w:tabs>
        <w:rPr>
          <w:sz w:val="20"/>
          <w:szCs w:val="20"/>
          <w:color w:val="auto"/>
        </w:rPr>
      </w:pPr>
      <w:r>
        <w:rPr>
          <w:rFonts w:ascii="Arial" w:cs="Arial" w:eastAsia="Arial" w:hAnsi="Arial"/>
          <w:sz w:val="38"/>
          <w:szCs w:val="38"/>
          <w:b w:val="1"/>
          <w:bCs w:val="1"/>
          <w:color w:val="auto"/>
        </w:rPr>
        <w:t>ITEM 3.</w:t>
        <w:tab/>
        <w:t>Quantitative and Qualitative Disclosures about Market Risk</w:t>
      </w:r>
    </w:p>
    <w:p>
      <w:pPr>
        <w:spacing w:after="0" w:line="2"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37"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$1.7 billion in outstanding principal under the ABL Facility at March 31, 2022.</w:t>
      </w:r>
    </w:p>
    <w:p>
      <w:pPr>
        <w:spacing w:after="0" w:line="2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In order to manage this risk, we maintain an interest rate swap agreement that effectively converts $400.0 million in aggregate notional amount of variable-rate debt under our ABL Facility into fixed-rate debt. The swap agreement provides for us to pay a fixed rate of 3.06% per annum on the outstanding debt in exchange for receiving a variable interest rate based on 1-month LIBOR. The effect is a synthetically fixed rate of 5.19% on the $400.0 million notional amount, when including the current applicable margin.</w:t>
      </w:r>
    </w:p>
    <w:p>
      <w:pPr>
        <w:spacing w:after="0" w:line="35"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An increase in interest rates by 100 basis points on our ABL Facility, inclusive of the impact of our interest rate swaps, would increase our quarter to date interest expense by approximately $2.7 million based on current outstanding borrowings.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3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We currently generate the majority of our consolidated net revenues in the US, and the reporting currency for our consolidated financial statements is the US dollar. However, we are exposed to currency risk principally through our operations in Canada, Mexico, and the United Kingdom.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3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 To date, we have not entered into any hedging arrangements with respect to foreign currency risk.</w:t>
      </w:r>
    </w:p>
    <w:p>
      <w:pPr>
        <w:spacing w:after="0" w:line="28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3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March 31, 2022. Based upon that evaluation, our Chief Executive Officer and Chief Financial Officer concluded that our disclosure controls and procedures were effective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Changes in Internal Controls</w:t>
      </w:r>
    </w:p>
    <w:p>
      <w:pPr>
        <w:spacing w:after="0" w:line="137" w:lineRule="exact"/>
        <w:rPr>
          <w:sz w:val="20"/>
          <w:szCs w:val="20"/>
          <w:color w:val="auto"/>
        </w:rPr>
      </w:pPr>
    </w:p>
    <w:p>
      <w:pPr>
        <w:ind w:firstLine="619"/>
        <w:spacing w:after="0" w:line="269" w:lineRule="auto"/>
        <w:rPr>
          <w:sz w:val="20"/>
          <w:szCs w:val="20"/>
          <w:color w:val="auto"/>
        </w:rPr>
      </w:pPr>
      <w:r>
        <w:rPr>
          <w:rFonts w:ascii="Arial" w:cs="Arial" w:eastAsia="Arial" w:hAnsi="Arial"/>
          <w:sz w:val="15"/>
          <w:szCs w:val="15"/>
          <w:color w:val="auto"/>
        </w:rPr>
        <w:t>There were no changes in our internal control over financial reporting that occurred during our quarter ended March 31,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9" w:name="page40"/>
    <w:bookmarkEnd w:id="39"/>
    <w:p>
      <w:pPr>
        <w:ind w:left="4960"/>
        <w:spacing w:after="0"/>
        <w:rPr>
          <w:sz w:val="20"/>
          <w:szCs w:val="20"/>
          <w:color w:val="auto"/>
        </w:rPr>
      </w:pPr>
      <w:r>
        <w:rPr>
          <w:rFonts w:ascii="Arial" w:cs="Arial" w:eastAsia="Arial" w:hAnsi="Arial"/>
          <w:sz w:val="38"/>
          <w:szCs w:val="38"/>
          <w:b w:val="1"/>
          <w:bCs w:val="1"/>
          <w:color w:val="1D2758"/>
        </w:rPr>
        <w:t>PART II</w:t>
      </w:r>
    </w:p>
    <w:p>
      <w:pPr>
        <w:spacing w:after="0" w:line="200" w:lineRule="exact"/>
        <w:rPr>
          <w:sz w:val="20"/>
          <w:szCs w:val="20"/>
          <w:color w:val="auto"/>
        </w:rPr>
      </w:pP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2022,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184"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9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2021 Annual Report on Form 10-K, which have not materially changed.</w:t>
      </w:r>
    </w:p>
    <w:p>
      <w:pPr>
        <w:spacing w:after="0" w:line="285"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7"/>
          <w:szCs w:val="37"/>
          <w:b w:val="1"/>
          <w:bCs w:val="1"/>
          <w:color w:val="auto"/>
        </w:rPr>
        <w:t>Unregistered Sales of Equity Securities</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our purchase of Common Stock and equivalents during the first quarter of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shd w:val="clear" w:color="auto" w:fill="1D2758"/>
          </w:tcPr>
          <w:p>
            <w:pPr>
              <w:spacing w:after="0"/>
              <w:rPr>
                <w:sz w:val="14"/>
                <w:szCs w:val="14"/>
                <w:color w:val="auto"/>
              </w:rPr>
            </w:pPr>
          </w:p>
        </w:tc>
        <w:tc>
          <w:tcPr>
            <w:tcW w:w="240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020" w:type="dxa"/>
            <w:vAlign w:val="bottom"/>
            <w:shd w:val="clear" w:color="auto" w:fill="1D2758"/>
          </w:tcPr>
          <w:p>
            <w:pPr>
              <w:spacing w:after="0"/>
              <w:rPr>
                <w:sz w:val="14"/>
                <w:szCs w:val="14"/>
                <w:color w:val="auto"/>
              </w:rPr>
            </w:pPr>
          </w:p>
        </w:tc>
        <w:tc>
          <w:tcPr>
            <w:tcW w:w="2160" w:type="dxa"/>
            <w:vAlign w:val="bottom"/>
            <w:shd w:val="clear" w:color="auto" w:fill="1D2758"/>
          </w:tcPr>
          <w:p>
            <w:pPr>
              <w:spacing w:after="0"/>
              <w:rPr>
                <w:sz w:val="14"/>
                <w:szCs w:val="14"/>
                <w:color w:val="auto"/>
              </w:rPr>
            </w:pPr>
          </w:p>
        </w:tc>
        <w:tc>
          <w:tcPr>
            <w:tcW w:w="182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Maximum Dollar Value</w:t>
            </w:r>
          </w:p>
        </w:tc>
        <w:tc>
          <w:tcPr>
            <w:tcW w:w="0" w:type="dxa"/>
            <w:vAlign w:val="bottom"/>
          </w:tcPr>
          <w:p>
            <w:pPr>
              <w:spacing w:after="0"/>
              <w:rPr>
                <w:sz w:val="1"/>
                <w:szCs w:val="1"/>
                <w:color w:val="auto"/>
              </w:rPr>
            </w:pPr>
          </w:p>
        </w:tc>
      </w:tr>
      <w:tr>
        <w:trPr>
          <w:trHeight w:val="155"/>
        </w:trPr>
        <w:tc>
          <w:tcPr>
            <w:tcW w:w="3660" w:type="dxa"/>
            <w:vAlign w:val="bottom"/>
            <w:shd w:val="clear" w:color="auto" w:fill="1D2758"/>
          </w:tcPr>
          <w:p>
            <w:pPr>
              <w:spacing w:after="0"/>
              <w:rPr>
                <w:sz w:val="13"/>
                <w:szCs w:val="13"/>
                <w:color w:val="auto"/>
              </w:rPr>
            </w:pPr>
          </w:p>
        </w:tc>
        <w:tc>
          <w:tcPr>
            <w:tcW w:w="2400" w:type="dxa"/>
            <w:vAlign w:val="bottom"/>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216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of Shares and</w:t>
            </w:r>
          </w:p>
        </w:tc>
        <w:tc>
          <w:tcPr>
            <w:tcW w:w="0" w:type="dxa"/>
            <w:vAlign w:val="bottom"/>
          </w:tcPr>
          <w:p>
            <w:pPr>
              <w:spacing w:after="0"/>
              <w:rPr>
                <w:sz w:val="1"/>
                <w:szCs w:val="1"/>
                <w:color w:val="auto"/>
              </w:rPr>
            </w:pPr>
          </w:p>
        </w:tc>
      </w:tr>
      <w:tr>
        <w:trPr>
          <w:trHeight w:val="155"/>
        </w:trPr>
        <w:tc>
          <w:tcPr>
            <w:tcW w:w="3660" w:type="dxa"/>
            <w:vAlign w:val="bottom"/>
            <w:shd w:val="clear" w:color="auto" w:fill="1D2758"/>
          </w:tcPr>
          <w:p>
            <w:pPr>
              <w:spacing w:after="0"/>
              <w:rPr>
                <w:sz w:val="13"/>
                <w:szCs w:val="13"/>
                <w:color w:val="auto"/>
              </w:rPr>
            </w:pPr>
          </w:p>
        </w:tc>
        <w:tc>
          <w:tcPr>
            <w:tcW w:w="24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1200" w:type="dxa"/>
            <w:vAlign w:val="bottom"/>
            <w:gridSpan w:val="2"/>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Average Price</w:t>
            </w:r>
          </w:p>
        </w:tc>
        <w:tc>
          <w:tcPr>
            <w:tcW w:w="2160" w:type="dxa"/>
            <w:vAlign w:val="bottom"/>
            <w:vMerge w:val="continue"/>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Equivalents that May</w:t>
            </w:r>
          </w:p>
        </w:tc>
        <w:tc>
          <w:tcPr>
            <w:tcW w:w="0" w:type="dxa"/>
            <w:vAlign w:val="bottom"/>
          </w:tcPr>
          <w:p>
            <w:pPr>
              <w:spacing w:after="0"/>
              <w:rPr>
                <w:sz w:val="1"/>
                <w:szCs w:val="1"/>
                <w:color w:val="auto"/>
              </w:rPr>
            </w:pPr>
          </w:p>
        </w:tc>
      </w:tr>
      <w:tr>
        <w:trPr>
          <w:trHeight w:val="155"/>
        </w:trPr>
        <w:tc>
          <w:tcPr>
            <w:tcW w:w="3660" w:type="dxa"/>
            <w:vAlign w:val="bottom"/>
            <w:shd w:val="clear" w:color="auto" w:fill="1D2758"/>
          </w:tcPr>
          <w:p>
            <w:pPr>
              <w:spacing w:after="0"/>
              <w:rPr>
                <w:sz w:val="13"/>
                <w:szCs w:val="13"/>
                <w:color w:val="auto"/>
              </w:rPr>
            </w:pPr>
          </w:p>
        </w:tc>
        <w:tc>
          <w:tcPr>
            <w:tcW w:w="2400" w:type="dxa"/>
            <w:vAlign w:val="bottom"/>
            <w:vMerge w:val="continue"/>
            <w:shd w:val="clear" w:color="auto" w:fill="1D2758"/>
          </w:tcPr>
          <w:p>
            <w:pPr>
              <w:spacing w:after="0"/>
              <w:rPr>
                <w:sz w:val="13"/>
                <w:szCs w:val="13"/>
                <w:color w:val="auto"/>
              </w:rPr>
            </w:pPr>
          </w:p>
        </w:tc>
        <w:tc>
          <w:tcPr>
            <w:tcW w:w="1200" w:type="dxa"/>
            <w:vAlign w:val="bottom"/>
            <w:gridSpan w:val="2"/>
            <w:vMerge w:val="continue"/>
            <w:shd w:val="clear" w:color="auto" w:fill="1D2758"/>
          </w:tcPr>
          <w:p>
            <w:pPr>
              <w:spacing w:after="0"/>
              <w:rPr>
                <w:sz w:val="13"/>
                <w:szCs w:val="13"/>
                <w:color w:val="auto"/>
              </w:rPr>
            </w:pPr>
          </w:p>
        </w:tc>
        <w:tc>
          <w:tcPr>
            <w:tcW w:w="216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as</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Yet Be Purchased</w:t>
            </w:r>
          </w:p>
        </w:tc>
        <w:tc>
          <w:tcPr>
            <w:tcW w:w="0" w:type="dxa"/>
            <w:vAlign w:val="bottom"/>
          </w:tcPr>
          <w:p>
            <w:pPr>
              <w:spacing w:after="0"/>
              <w:rPr>
                <w:sz w:val="1"/>
                <w:szCs w:val="1"/>
                <w:color w:val="auto"/>
              </w:rPr>
            </w:pPr>
          </w:p>
        </w:tc>
      </w:tr>
      <w:tr>
        <w:trPr>
          <w:trHeight w:val="155"/>
        </w:trPr>
        <w:tc>
          <w:tcPr>
            <w:tcW w:w="3660" w:type="dxa"/>
            <w:vAlign w:val="bottom"/>
            <w:vMerge w:val="restart"/>
            <w:shd w:val="clear" w:color="auto" w:fill="1D2758"/>
          </w:tcPr>
          <w:p>
            <w:pPr>
              <w:ind w:left="1580"/>
              <w:spacing w:after="0"/>
              <w:rPr>
                <w:sz w:val="20"/>
                <w:szCs w:val="20"/>
                <w:color w:val="auto"/>
              </w:rPr>
            </w:pPr>
            <w:r>
              <w:rPr>
                <w:rFonts w:ascii="Arial" w:cs="Arial" w:eastAsia="Arial" w:hAnsi="Arial"/>
                <w:sz w:val="15"/>
                <w:szCs w:val="15"/>
                <w:b w:val="1"/>
                <w:bCs w:val="1"/>
                <w:color w:val="FFFFFF"/>
              </w:rPr>
              <w:t>Period</w:t>
            </w:r>
          </w:p>
        </w:tc>
        <w:tc>
          <w:tcPr>
            <w:tcW w:w="24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(in</w:t>
            </w:r>
          </w:p>
        </w:tc>
        <w:tc>
          <w:tcPr>
            <w:tcW w:w="180" w:type="dxa"/>
            <w:vAlign w:val="bottom"/>
            <w:shd w:val="clear" w:color="auto" w:fill="1D2758"/>
          </w:tcPr>
          <w:p>
            <w:pPr>
              <w:spacing w:after="0"/>
              <w:rPr>
                <w:sz w:val="13"/>
                <w:szCs w:val="13"/>
                <w:color w:val="auto"/>
              </w:rPr>
            </w:pPr>
          </w:p>
        </w:tc>
        <w:tc>
          <w:tcPr>
            <w:tcW w:w="102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Paid</w:t>
            </w:r>
          </w:p>
        </w:tc>
        <w:tc>
          <w:tcPr>
            <w:tcW w:w="216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part of Publicly Announced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Under the Plans (in</w:t>
            </w:r>
          </w:p>
        </w:tc>
        <w:tc>
          <w:tcPr>
            <w:tcW w:w="0" w:type="dxa"/>
            <w:vAlign w:val="bottom"/>
          </w:tcPr>
          <w:p>
            <w:pPr>
              <w:spacing w:after="0"/>
              <w:rPr>
                <w:sz w:val="1"/>
                <w:szCs w:val="1"/>
                <w:color w:val="auto"/>
              </w:rPr>
            </w:pPr>
          </w:p>
        </w:tc>
      </w:tr>
      <w:tr>
        <w:trPr>
          <w:trHeight w:val="110"/>
        </w:trPr>
        <w:tc>
          <w:tcPr>
            <w:tcW w:w="3660" w:type="dxa"/>
            <w:vAlign w:val="bottom"/>
            <w:vMerge w:val="continue"/>
            <w:shd w:val="clear" w:color="auto" w:fill="1D2758"/>
          </w:tcPr>
          <w:p>
            <w:pPr>
              <w:spacing w:after="0"/>
              <w:rPr>
                <w:sz w:val="9"/>
                <w:szCs w:val="9"/>
                <w:color w:val="auto"/>
              </w:rPr>
            </w:pPr>
          </w:p>
        </w:tc>
        <w:tc>
          <w:tcPr>
            <w:tcW w:w="24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180" w:type="dxa"/>
            <w:vAlign w:val="bottom"/>
            <w:shd w:val="clear" w:color="auto" w:fill="1D2758"/>
          </w:tcPr>
          <w:p>
            <w:pPr>
              <w:spacing w:after="0"/>
              <w:rPr>
                <w:sz w:val="9"/>
                <w:szCs w:val="9"/>
                <w:color w:val="auto"/>
              </w:rPr>
            </w:pPr>
          </w:p>
        </w:tc>
        <w:tc>
          <w:tcPr>
            <w:tcW w:w="1020" w:type="dxa"/>
            <w:vAlign w:val="bottom"/>
            <w:vMerge w:val="restart"/>
            <w:shd w:val="clear" w:color="auto" w:fill="1D2758"/>
          </w:tcPr>
          <w:p>
            <w:pPr>
              <w:jc w:val="center"/>
              <w:ind w:right="103"/>
              <w:spacing w:after="0"/>
              <w:rPr>
                <w:sz w:val="20"/>
                <w:szCs w:val="20"/>
                <w:color w:val="auto"/>
              </w:rPr>
            </w:pPr>
            <w:r>
              <w:rPr>
                <w:rFonts w:ascii="Arial" w:cs="Arial" w:eastAsia="Arial" w:hAnsi="Arial"/>
                <w:sz w:val="15"/>
                <w:szCs w:val="15"/>
                <w:b w:val="1"/>
                <w:bCs w:val="1"/>
                <w:color w:val="FFFFFF"/>
              </w:rPr>
              <w:t>per Share</w:t>
            </w:r>
          </w:p>
        </w:tc>
        <w:tc>
          <w:tcPr>
            <w:tcW w:w="216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120" w:type="dxa"/>
            <w:vAlign w:val="bottom"/>
            <w:shd w:val="clear" w:color="auto" w:fill="1D2758"/>
          </w:tcPr>
          <w:p>
            <w:pPr>
              <w:spacing w:after="0"/>
              <w:rPr>
                <w:sz w:val="9"/>
                <w:szCs w:val="9"/>
                <w:color w:val="auto"/>
              </w:rPr>
            </w:pPr>
          </w:p>
        </w:tc>
        <w:tc>
          <w:tcPr>
            <w:tcW w:w="1700" w:type="dxa"/>
            <w:vAlign w:val="bottom"/>
            <w:vMerge w:val="restart"/>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millions)</w:t>
            </w:r>
          </w:p>
        </w:tc>
        <w:tc>
          <w:tcPr>
            <w:tcW w:w="0" w:type="dxa"/>
            <w:vAlign w:val="bottom"/>
          </w:tcPr>
          <w:p>
            <w:pPr>
              <w:spacing w:after="0"/>
              <w:rPr>
                <w:sz w:val="1"/>
                <w:szCs w:val="1"/>
                <w:color w:val="auto"/>
              </w:rPr>
            </w:pPr>
          </w:p>
        </w:tc>
      </w:tr>
      <w:tr>
        <w:trPr>
          <w:trHeight w:val="96"/>
        </w:trPr>
        <w:tc>
          <w:tcPr>
            <w:tcW w:w="3660" w:type="dxa"/>
            <w:vAlign w:val="bottom"/>
            <w:shd w:val="clear" w:color="auto" w:fill="1D2758"/>
          </w:tcPr>
          <w:p>
            <w:pPr>
              <w:spacing w:after="0"/>
              <w:rPr>
                <w:sz w:val="8"/>
                <w:szCs w:val="8"/>
                <w:color w:val="auto"/>
              </w:rPr>
            </w:pPr>
          </w:p>
        </w:tc>
        <w:tc>
          <w:tcPr>
            <w:tcW w:w="2400" w:type="dxa"/>
            <w:vAlign w:val="bottom"/>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020" w:type="dxa"/>
            <w:vAlign w:val="bottom"/>
            <w:vMerge w:val="continue"/>
            <w:shd w:val="clear" w:color="auto" w:fill="1D2758"/>
          </w:tcPr>
          <w:p>
            <w:pPr>
              <w:spacing w:after="0"/>
              <w:rPr>
                <w:sz w:val="8"/>
                <w:szCs w:val="8"/>
                <w:color w:val="auto"/>
              </w:rPr>
            </w:pPr>
          </w:p>
        </w:tc>
        <w:tc>
          <w:tcPr>
            <w:tcW w:w="2160" w:type="dxa"/>
            <w:vAlign w:val="bottom"/>
            <w:vMerge w:val="continue"/>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170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660" w:type="dxa"/>
            <w:vAlign w:val="bottom"/>
            <w:vMerge w:val="restart"/>
            <w:shd w:val="clear" w:color="auto" w:fill="DBDBDB"/>
          </w:tcPr>
          <w:p>
            <w:pPr>
              <w:ind w:left="20"/>
              <w:spacing w:after="0"/>
              <w:rPr>
                <w:sz w:val="20"/>
                <w:szCs w:val="20"/>
                <w:color w:val="auto"/>
              </w:rPr>
            </w:pPr>
            <w:r>
              <w:rPr>
                <w:rFonts w:ascii="Arial" w:cs="Arial" w:eastAsia="Arial" w:hAnsi="Arial"/>
                <w:sz w:val="15"/>
                <w:szCs w:val="15"/>
                <w:color w:val="auto"/>
              </w:rPr>
              <w:t>January 1, 2022 to January 31, 2022</w:t>
            </w:r>
          </w:p>
        </w:tc>
        <w:tc>
          <w:tcPr>
            <w:tcW w:w="2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Common Stock - 992.8</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37.41</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992.8</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919.5</w:t>
            </w:r>
          </w:p>
        </w:tc>
        <w:tc>
          <w:tcPr>
            <w:tcW w:w="0" w:type="dxa"/>
            <w:vAlign w:val="bottom"/>
          </w:tcPr>
          <w:p>
            <w:pPr>
              <w:spacing w:after="0"/>
              <w:rPr>
                <w:sz w:val="1"/>
                <w:szCs w:val="1"/>
                <w:color w:val="auto"/>
              </w:rPr>
            </w:pPr>
          </w:p>
        </w:tc>
      </w:tr>
      <w:tr>
        <w:trPr>
          <w:trHeight w:val="103"/>
        </w:trPr>
        <w:tc>
          <w:tcPr>
            <w:tcW w:w="3660" w:type="dxa"/>
            <w:vAlign w:val="bottom"/>
            <w:vMerge w:val="continue"/>
            <w:shd w:val="clear" w:color="auto" w:fill="DBDBDB"/>
          </w:tcPr>
          <w:p>
            <w:pPr>
              <w:spacing w:after="0"/>
              <w:rPr>
                <w:sz w:val="8"/>
                <w:szCs w:val="8"/>
                <w:color w:val="auto"/>
              </w:rPr>
            </w:pPr>
          </w:p>
        </w:tc>
        <w:tc>
          <w:tcPr>
            <w:tcW w:w="24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2018 Warrants - 0</w:t>
            </w:r>
          </w:p>
        </w:tc>
        <w:tc>
          <w:tcPr>
            <w:tcW w:w="180" w:type="dxa"/>
            <w:vAlign w:val="bottom"/>
            <w:shd w:val="clear" w:color="auto" w:fill="DBDBDB"/>
          </w:tcPr>
          <w:p>
            <w:pPr>
              <w:spacing w:after="0"/>
              <w:rPr>
                <w:sz w:val="8"/>
                <w:szCs w:val="8"/>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20" w:type="dxa"/>
            <w:vAlign w:val="bottom"/>
            <w:vMerge w:val="continue"/>
            <w:shd w:val="clear" w:color="auto" w:fill="DBDBDB"/>
          </w:tcPr>
          <w:p>
            <w:pPr>
              <w:spacing w:after="0"/>
              <w:rPr>
                <w:sz w:val="8"/>
                <w:szCs w:val="8"/>
                <w:color w:val="auto"/>
              </w:rPr>
            </w:pPr>
          </w:p>
        </w:tc>
        <w:tc>
          <w:tcPr>
            <w:tcW w:w="17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DBDBDB"/>
          </w:tcPr>
          <w:p>
            <w:pPr>
              <w:spacing w:after="0"/>
              <w:rPr>
                <w:sz w:val="12"/>
                <w:szCs w:val="12"/>
                <w:color w:val="auto"/>
              </w:rPr>
            </w:pPr>
          </w:p>
        </w:tc>
        <w:tc>
          <w:tcPr>
            <w:tcW w:w="2400" w:type="dxa"/>
            <w:vAlign w:val="bottom"/>
            <w:vMerge w:val="continue"/>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2160" w:type="dxa"/>
            <w:vAlign w:val="bottom"/>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660" w:type="dxa"/>
            <w:vAlign w:val="bottom"/>
          </w:tcPr>
          <w:p>
            <w:pPr>
              <w:ind w:left="20"/>
              <w:spacing w:after="0"/>
              <w:rPr>
                <w:sz w:val="20"/>
                <w:szCs w:val="20"/>
                <w:color w:val="auto"/>
              </w:rPr>
            </w:pPr>
            <w:r>
              <w:rPr>
                <w:rFonts w:ascii="Arial" w:cs="Arial" w:eastAsia="Arial" w:hAnsi="Arial"/>
                <w:sz w:val="15"/>
                <w:szCs w:val="15"/>
                <w:color w:val="auto"/>
              </w:rPr>
              <w:t>February 1, 2022 to February 28, 2022</w:t>
            </w:r>
          </w:p>
        </w:tc>
        <w:tc>
          <w:tcPr>
            <w:tcW w:w="2400" w:type="dxa"/>
            <w:vAlign w:val="bottom"/>
          </w:tcPr>
          <w:p>
            <w:pPr>
              <w:jc w:val="right"/>
              <w:spacing w:after="0"/>
              <w:rPr>
                <w:sz w:val="20"/>
                <w:szCs w:val="20"/>
                <w:color w:val="auto"/>
              </w:rPr>
            </w:pPr>
            <w:r>
              <w:rPr>
                <w:rFonts w:ascii="Arial" w:cs="Arial" w:eastAsia="Arial" w:hAnsi="Arial"/>
                <w:sz w:val="15"/>
                <w:szCs w:val="15"/>
                <w:color w:val="auto"/>
              </w:rPr>
              <w:t>Common Stock - 242.4</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37.31</w:t>
            </w:r>
          </w:p>
        </w:tc>
        <w:tc>
          <w:tcPr>
            <w:tcW w:w="2160" w:type="dxa"/>
            <w:vAlign w:val="bottom"/>
          </w:tcPr>
          <w:p>
            <w:pPr>
              <w:jc w:val="right"/>
              <w:spacing w:after="0"/>
              <w:rPr>
                <w:sz w:val="20"/>
                <w:szCs w:val="20"/>
                <w:color w:val="auto"/>
              </w:rPr>
            </w:pPr>
            <w:r>
              <w:rPr>
                <w:rFonts w:ascii="Arial" w:cs="Arial" w:eastAsia="Arial" w:hAnsi="Arial"/>
                <w:sz w:val="15"/>
                <w:szCs w:val="15"/>
                <w:color w:val="auto"/>
              </w:rPr>
              <w:t>242.4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910.5</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2018 Warrants - 0</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N/A</w:t>
            </w:r>
          </w:p>
        </w:tc>
        <w:tc>
          <w:tcPr>
            <w:tcW w:w="2160" w:type="dxa"/>
            <w:vAlign w:val="bottom"/>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660" w:type="dxa"/>
            <w:vAlign w:val="bottom"/>
            <w:vMerge w:val="restart"/>
            <w:shd w:val="clear" w:color="auto" w:fill="DBDBDB"/>
          </w:tcPr>
          <w:p>
            <w:pPr>
              <w:ind w:left="20"/>
              <w:spacing w:after="0"/>
              <w:rPr>
                <w:sz w:val="20"/>
                <w:szCs w:val="20"/>
                <w:color w:val="auto"/>
              </w:rPr>
            </w:pPr>
            <w:r>
              <w:rPr>
                <w:rFonts w:ascii="Arial" w:cs="Arial" w:eastAsia="Arial" w:hAnsi="Arial"/>
                <w:sz w:val="15"/>
                <w:szCs w:val="15"/>
                <w:color w:val="auto"/>
              </w:rPr>
              <w:t>March 1, 2022 to March 31, 2022</w:t>
            </w:r>
          </w:p>
        </w:tc>
        <w:tc>
          <w:tcPr>
            <w:tcW w:w="2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Common Stock - 828.7</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37.94</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828.7</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879.3</w:t>
            </w:r>
          </w:p>
        </w:tc>
        <w:tc>
          <w:tcPr>
            <w:tcW w:w="0" w:type="dxa"/>
            <w:vAlign w:val="bottom"/>
          </w:tcPr>
          <w:p>
            <w:pPr>
              <w:spacing w:after="0"/>
              <w:rPr>
                <w:sz w:val="1"/>
                <w:szCs w:val="1"/>
                <w:color w:val="auto"/>
              </w:rPr>
            </w:pPr>
          </w:p>
        </w:tc>
      </w:tr>
      <w:tr>
        <w:trPr>
          <w:trHeight w:val="103"/>
        </w:trPr>
        <w:tc>
          <w:tcPr>
            <w:tcW w:w="3660" w:type="dxa"/>
            <w:vAlign w:val="bottom"/>
            <w:vMerge w:val="continue"/>
            <w:shd w:val="clear" w:color="auto" w:fill="DBDBDB"/>
          </w:tcPr>
          <w:p>
            <w:pPr>
              <w:spacing w:after="0"/>
              <w:rPr>
                <w:sz w:val="8"/>
                <w:szCs w:val="8"/>
                <w:color w:val="auto"/>
              </w:rPr>
            </w:pPr>
          </w:p>
        </w:tc>
        <w:tc>
          <w:tcPr>
            <w:tcW w:w="24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2018 Warrants - 6.1</w:t>
            </w:r>
          </w:p>
        </w:tc>
        <w:tc>
          <w:tcPr>
            <w:tcW w:w="1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34.79</w:t>
            </w:r>
          </w:p>
        </w:tc>
        <w:tc>
          <w:tcPr>
            <w:tcW w:w="2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6.1</w:t>
            </w:r>
          </w:p>
        </w:tc>
        <w:tc>
          <w:tcPr>
            <w:tcW w:w="120" w:type="dxa"/>
            <w:vAlign w:val="bottom"/>
            <w:vMerge w:val="continue"/>
            <w:shd w:val="clear" w:color="auto" w:fill="DBDBDB"/>
          </w:tcPr>
          <w:p>
            <w:pPr>
              <w:spacing w:after="0"/>
              <w:rPr>
                <w:sz w:val="8"/>
                <w:szCs w:val="8"/>
                <w:color w:val="auto"/>
              </w:rPr>
            </w:pPr>
          </w:p>
        </w:tc>
        <w:tc>
          <w:tcPr>
            <w:tcW w:w="17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660" w:type="dxa"/>
            <w:vAlign w:val="bottom"/>
            <w:shd w:val="clear" w:color="auto" w:fill="DBDBDB"/>
          </w:tcPr>
          <w:p>
            <w:pPr>
              <w:spacing w:after="0"/>
              <w:rPr>
                <w:sz w:val="12"/>
                <w:szCs w:val="12"/>
                <w:color w:val="auto"/>
              </w:rPr>
            </w:pPr>
          </w:p>
        </w:tc>
        <w:tc>
          <w:tcPr>
            <w:tcW w:w="2400" w:type="dxa"/>
            <w:vAlign w:val="bottom"/>
            <w:tcBorders>
              <w:bottom w:val="single" w:sz="8" w:color="auto"/>
            </w:tcBorders>
            <w:vMerge w:val="continue"/>
            <w:shd w:val="clear" w:color="auto" w:fill="DBDBDB"/>
          </w:tcPr>
          <w:p>
            <w:pPr>
              <w:spacing w:after="0"/>
              <w:rPr>
                <w:sz w:val="12"/>
                <w:szCs w:val="12"/>
                <w:color w:val="auto"/>
              </w:rPr>
            </w:pPr>
          </w:p>
        </w:tc>
        <w:tc>
          <w:tcPr>
            <w:tcW w:w="180" w:type="dxa"/>
            <w:vAlign w:val="bottom"/>
            <w:vMerge w:val="continue"/>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2160" w:type="dxa"/>
            <w:vAlign w:val="bottom"/>
            <w:tcBorders>
              <w:bottom w:val="single" w:sz="8" w:color="auto"/>
            </w:tcBorders>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220"/>
              <w:spacing w:after="0"/>
              <w:rPr>
                <w:sz w:val="20"/>
                <w:szCs w:val="20"/>
                <w:color w:val="auto"/>
              </w:rPr>
            </w:pPr>
            <w:r>
              <w:rPr>
                <w:rFonts w:ascii="Arial" w:cs="Arial" w:eastAsia="Arial" w:hAnsi="Arial"/>
                <w:sz w:val="15"/>
                <w:szCs w:val="15"/>
                <w:color w:val="auto"/>
              </w:rPr>
              <w:t>Total</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2,070.0</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37.37</w:t>
            </w:r>
          </w:p>
        </w:tc>
        <w:tc>
          <w:tcPr>
            <w:tcW w:w="2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2,070.0</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A share repurchase program authorizes the Company to repurchase up to $1.0 billion of its outstanding shares of Common Stock and equivalents. As of March 31, 2022, $879.3 million of the $1.0 billion share repurchase authorization remained available for use.</w:t>
      </w:r>
    </w:p>
    <w:p>
      <w:pPr>
        <w:spacing w:after="0" w:line="175"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09"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504"/>
        </w:trPr>
        <w:tc>
          <w:tcPr>
            <w:tcW w:w="1540" w:type="dxa"/>
            <w:vAlign w:val="bottom"/>
            <w:gridSpan w:val="3"/>
          </w:tcPr>
          <w:p>
            <w:pPr>
              <w:spacing w:after="0"/>
              <w:rPr>
                <w:sz w:val="20"/>
                <w:szCs w:val="20"/>
                <w:color w:val="auto"/>
              </w:rPr>
            </w:pPr>
            <w:r>
              <w:rPr>
                <w:rFonts w:ascii="Arial" w:cs="Arial" w:eastAsia="Arial" w:hAnsi="Arial"/>
                <w:sz w:val="38"/>
                <w:szCs w:val="38"/>
                <w:b w:val="1"/>
                <w:bCs w:val="1"/>
                <w:color w:val="auto"/>
              </w:rPr>
              <w:t>ITEM 5.</w:t>
            </w:r>
          </w:p>
        </w:tc>
        <w:tc>
          <w:tcPr>
            <w:tcW w:w="9660" w:type="dxa"/>
            <w:vAlign w:val="bottom"/>
          </w:tcPr>
          <w:p>
            <w:pPr>
              <w:ind w:left="200"/>
              <w:spacing w:after="0"/>
              <w:rPr>
                <w:sz w:val="20"/>
                <w:szCs w:val="20"/>
                <w:color w:val="auto"/>
              </w:rPr>
            </w:pPr>
            <w:r>
              <w:rPr>
                <w:rFonts w:ascii="Arial" w:cs="Arial" w:eastAsia="Arial" w:hAnsi="Arial"/>
                <w:sz w:val="38"/>
                <w:szCs w:val="38"/>
                <w:b w:val="1"/>
                <w:bCs w:val="1"/>
                <w:color w:val="auto"/>
              </w:rPr>
              <w:t>Other Information</w:t>
            </w:r>
          </w:p>
        </w:tc>
      </w:tr>
      <w:tr>
        <w:trPr>
          <w:trHeight w:val="216"/>
        </w:trPr>
        <w:tc>
          <w:tcPr>
            <w:tcW w:w="1200" w:type="dxa"/>
            <w:vAlign w:val="bottom"/>
            <w:gridSpan w:val="2"/>
          </w:tcPr>
          <w:p>
            <w:pPr>
              <w:ind w:left="620"/>
              <w:spacing w:after="0"/>
              <w:rPr>
                <w:sz w:val="20"/>
                <w:szCs w:val="20"/>
                <w:color w:val="auto"/>
              </w:rPr>
            </w:pPr>
            <w:r>
              <w:rPr>
                <w:rFonts w:ascii="Arial" w:cs="Arial" w:eastAsia="Arial" w:hAnsi="Arial"/>
                <w:sz w:val="15"/>
                <w:szCs w:val="15"/>
                <w:color w:val="auto"/>
              </w:rPr>
              <w:t>None.</w:t>
            </w:r>
          </w:p>
        </w:tc>
        <w:tc>
          <w:tcPr>
            <w:tcW w:w="34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766"/>
        </w:trPr>
        <w:tc>
          <w:tcPr>
            <w:tcW w:w="1540" w:type="dxa"/>
            <w:vAlign w:val="bottom"/>
            <w:gridSpan w:val="3"/>
          </w:tcPr>
          <w:p>
            <w:pPr>
              <w:spacing w:after="0"/>
              <w:rPr>
                <w:sz w:val="20"/>
                <w:szCs w:val="20"/>
                <w:color w:val="auto"/>
              </w:rPr>
            </w:pPr>
            <w:r>
              <w:rPr>
                <w:rFonts w:ascii="Arial" w:cs="Arial" w:eastAsia="Arial" w:hAnsi="Arial"/>
                <w:sz w:val="38"/>
                <w:szCs w:val="38"/>
                <w:b w:val="1"/>
                <w:bCs w:val="1"/>
                <w:color w:val="auto"/>
              </w:rPr>
              <w:t>ITEM 6.</w:t>
            </w:r>
          </w:p>
        </w:tc>
        <w:tc>
          <w:tcPr>
            <w:tcW w:w="9660" w:type="dxa"/>
            <w:vAlign w:val="bottom"/>
          </w:tcPr>
          <w:p>
            <w:pPr>
              <w:ind w:left="200"/>
              <w:spacing w:after="0"/>
              <w:rPr>
                <w:sz w:val="20"/>
                <w:szCs w:val="20"/>
                <w:color w:val="auto"/>
              </w:rPr>
            </w:pPr>
            <w:r>
              <w:rPr>
                <w:rFonts w:ascii="Arial" w:cs="Arial" w:eastAsia="Arial" w:hAnsi="Arial"/>
                <w:sz w:val="38"/>
                <w:szCs w:val="38"/>
                <w:b w:val="1"/>
                <w:bCs w:val="1"/>
                <w:color w:val="auto"/>
              </w:rPr>
              <w:t>Exhibits</w:t>
            </w:r>
          </w:p>
        </w:tc>
      </w:tr>
      <w:tr>
        <w:trPr>
          <w:trHeight w:val="206"/>
        </w:trPr>
        <w:tc>
          <w:tcPr>
            <w:tcW w:w="920" w:type="dxa"/>
            <w:vAlign w:val="bottom"/>
            <w:shd w:val="clear" w:color="auto" w:fill="1D2758"/>
          </w:tcPr>
          <w:p>
            <w:pPr>
              <w:ind w:left="80"/>
              <w:spacing w:after="0"/>
              <w:rPr>
                <w:sz w:val="20"/>
                <w:szCs w:val="20"/>
                <w:color w:val="auto"/>
              </w:rPr>
            </w:pPr>
            <w:r>
              <w:rPr>
                <w:rFonts w:ascii="Arial" w:cs="Arial" w:eastAsia="Arial" w:hAnsi="Arial"/>
                <w:sz w:val="15"/>
                <w:szCs w:val="15"/>
                <w:b w:val="1"/>
                <w:bCs w:val="1"/>
                <w:color w:val="FFFFFF"/>
              </w:rPr>
              <w:t>Exhibit No.</w:t>
            </w:r>
          </w:p>
        </w:tc>
        <w:tc>
          <w:tcPr>
            <w:tcW w:w="2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9660" w:type="dxa"/>
            <w:vAlign w:val="bottom"/>
            <w:shd w:val="clear" w:color="auto" w:fill="1D2758"/>
          </w:tcPr>
          <w:p>
            <w:pPr>
              <w:ind w:left="4000"/>
              <w:spacing w:after="0"/>
              <w:rPr>
                <w:sz w:val="20"/>
                <w:szCs w:val="20"/>
                <w:color w:val="auto"/>
              </w:rPr>
            </w:pPr>
            <w:r>
              <w:rPr>
                <w:rFonts w:ascii="Arial" w:cs="Arial" w:eastAsia="Arial" w:hAnsi="Arial"/>
                <w:sz w:val="15"/>
                <w:szCs w:val="15"/>
                <w:b w:val="1"/>
                <w:bCs w:val="1"/>
                <w:color w:val="FFFFFF"/>
              </w:rPr>
              <w:t>Exhibit Description</w:t>
            </w:r>
          </w:p>
        </w:tc>
      </w:tr>
      <w:tr>
        <w:trPr>
          <w:trHeight w:val="201"/>
        </w:trPr>
        <w:tc>
          <w:tcPr>
            <w:tcW w:w="920" w:type="dxa"/>
            <w:vAlign w:val="bottom"/>
          </w:tcPr>
          <w:p>
            <w:pPr>
              <w:ind w:left="20"/>
              <w:spacing w:after="0"/>
              <w:rPr>
                <w:rFonts w:ascii="Arial" w:cs="Arial" w:eastAsia="Arial" w:hAnsi="Arial"/>
                <w:sz w:val="15"/>
                <w:szCs w:val="15"/>
                <w:color w:val="auto"/>
              </w:rPr>
            </w:pPr>
            <w:hyperlink w:anchor="page43">
              <w:r>
                <w:rPr>
                  <w:rFonts w:ascii="Arial" w:cs="Arial" w:eastAsia="Arial" w:hAnsi="Arial"/>
                  <w:sz w:val="15"/>
                  <w:szCs w:val="15"/>
                  <w:color w:val="auto"/>
                </w:rPr>
                <w:t>31.1</w:t>
              </w:r>
            </w:hyperlink>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10000" w:type="dxa"/>
            <w:vAlign w:val="bottom"/>
            <w:gridSpan w:val="2"/>
          </w:tcPr>
          <w:p>
            <w:pPr>
              <w:ind w:left="100"/>
              <w:spacing w:after="0"/>
              <w:rPr>
                <w:rFonts w:ascii="Arial" w:cs="Arial" w:eastAsia="Arial" w:hAnsi="Arial"/>
                <w:sz w:val="15"/>
                <w:szCs w:val="15"/>
                <w:color w:val="auto"/>
              </w:rPr>
            </w:pPr>
            <w:hyperlink w:anchor="page43">
              <w:r>
                <w:rPr>
                  <w:rFonts w:ascii="Arial" w:cs="Arial" w:eastAsia="Arial" w:hAnsi="Arial"/>
                  <w:sz w:val="15"/>
                  <w:szCs w:val="15"/>
                  <w:color w:val="auto"/>
                </w:rPr>
                <w:t>Certification of Chief Executive Officer pursuant to Section 302 of the Sarbanes-Oxley Act of 2002</w:t>
              </w:r>
            </w:hyperlink>
          </w:p>
        </w:tc>
      </w:tr>
      <w:tr>
        <w:trPr>
          <w:trHeight w:val="206"/>
        </w:trPr>
        <w:tc>
          <w:tcPr>
            <w:tcW w:w="920" w:type="dxa"/>
            <w:vAlign w:val="bottom"/>
          </w:tcPr>
          <w:p>
            <w:pPr>
              <w:ind w:left="20"/>
              <w:spacing w:after="0"/>
              <w:rPr>
                <w:rFonts w:ascii="Arial" w:cs="Arial" w:eastAsia="Arial" w:hAnsi="Arial"/>
                <w:sz w:val="15"/>
                <w:szCs w:val="15"/>
                <w:color w:val="auto"/>
              </w:rPr>
            </w:pPr>
            <w:hyperlink w:anchor="page44">
              <w:r>
                <w:rPr>
                  <w:rFonts w:ascii="Arial" w:cs="Arial" w:eastAsia="Arial" w:hAnsi="Arial"/>
                  <w:sz w:val="15"/>
                  <w:szCs w:val="15"/>
                  <w:color w:val="auto"/>
                </w:rPr>
                <w:t>31.2</w:t>
              </w:r>
            </w:hyperlink>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10000" w:type="dxa"/>
            <w:vAlign w:val="bottom"/>
            <w:gridSpan w:val="2"/>
          </w:tcPr>
          <w:p>
            <w:pPr>
              <w:ind w:left="100"/>
              <w:spacing w:after="0"/>
              <w:rPr>
                <w:rFonts w:ascii="Arial" w:cs="Arial" w:eastAsia="Arial" w:hAnsi="Arial"/>
                <w:sz w:val="15"/>
                <w:szCs w:val="15"/>
                <w:color w:val="auto"/>
              </w:rPr>
            </w:pPr>
            <w:hyperlink w:anchor="page44">
              <w:r>
                <w:rPr>
                  <w:rFonts w:ascii="Arial" w:cs="Arial" w:eastAsia="Arial" w:hAnsi="Arial"/>
                  <w:sz w:val="15"/>
                  <w:szCs w:val="15"/>
                  <w:color w:val="auto"/>
                </w:rPr>
                <w:t>Certification of Chief Financial Officer pursuant to Section 302 of the Sarbanes-Oxley Act of 2002</w:t>
              </w:r>
            </w:hyperlink>
          </w:p>
        </w:tc>
      </w:tr>
      <w:tr>
        <w:trPr>
          <w:trHeight w:val="206"/>
        </w:trPr>
        <w:tc>
          <w:tcPr>
            <w:tcW w:w="920" w:type="dxa"/>
            <w:vAlign w:val="bottom"/>
          </w:tcPr>
          <w:p>
            <w:pPr>
              <w:ind w:left="20"/>
              <w:spacing w:after="0"/>
              <w:rPr>
                <w:rFonts w:ascii="Arial" w:cs="Arial" w:eastAsia="Arial" w:hAnsi="Arial"/>
                <w:sz w:val="15"/>
                <w:szCs w:val="15"/>
                <w:color w:val="auto"/>
              </w:rPr>
            </w:pPr>
            <w:hyperlink w:anchor="page45">
              <w:r>
                <w:rPr>
                  <w:rFonts w:ascii="Arial" w:cs="Arial" w:eastAsia="Arial" w:hAnsi="Arial"/>
                  <w:sz w:val="15"/>
                  <w:szCs w:val="15"/>
                  <w:color w:val="auto"/>
                </w:rPr>
                <w:t>32.1</w:t>
              </w:r>
            </w:hyperlink>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10000" w:type="dxa"/>
            <w:vAlign w:val="bottom"/>
            <w:gridSpan w:val="2"/>
          </w:tcPr>
          <w:p>
            <w:pPr>
              <w:ind w:left="100"/>
              <w:spacing w:after="0"/>
              <w:rPr>
                <w:rFonts w:ascii="Arial" w:cs="Arial" w:eastAsia="Arial" w:hAnsi="Arial"/>
                <w:sz w:val="15"/>
                <w:szCs w:val="15"/>
                <w:color w:val="auto"/>
              </w:rPr>
            </w:pPr>
            <w:hyperlink w:anchor="page45">
              <w:r>
                <w:rPr>
                  <w:rFonts w:ascii="Arial" w:cs="Arial" w:eastAsia="Arial" w:hAnsi="Arial"/>
                  <w:sz w:val="15"/>
                  <w:szCs w:val="15"/>
                  <w:color w:val="auto"/>
                </w:rPr>
                <w:t>Certification of Chief Executive Officer pursuant to Section 906 of the Sarbanes-Oxley Act of 2002</w:t>
              </w:r>
            </w:hyperlink>
          </w:p>
        </w:tc>
      </w:tr>
      <w:tr>
        <w:trPr>
          <w:trHeight w:val="206"/>
        </w:trPr>
        <w:tc>
          <w:tcPr>
            <w:tcW w:w="920" w:type="dxa"/>
            <w:vAlign w:val="bottom"/>
          </w:tcPr>
          <w:p>
            <w:pPr>
              <w:ind w:left="20"/>
              <w:spacing w:after="0"/>
              <w:rPr>
                <w:rFonts w:ascii="Arial" w:cs="Arial" w:eastAsia="Arial" w:hAnsi="Arial"/>
                <w:sz w:val="15"/>
                <w:szCs w:val="15"/>
                <w:color w:val="auto"/>
              </w:rPr>
            </w:pPr>
            <w:hyperlink w:anchor="page46">
              <w:r>
                <w:rPr>
                  <w:rFonts w:ascii="Arial" w:cs="Arial" w:eastAsia="Arial" w:hAnsi="Arial"/>
                  <w:sz w:val="15"/>
                  <w:szCs w:val="15"/>
                  <w:color w:val="auto"/>
                </w:rPr>
                <w:t>32.2</w:t>
              </w:r>
            </w:hyperlink>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10000" w:type="dxa"/>
            <w:vAlign w:val="bottom"/>
            <w:gridSpan w:val="2"/>
          </w:tcPr>
          <w:p>
            <w:pPr>
              <w:ind w:left="100"/>
              <w:spacing w:after="0"/>
              <w:rPr>
                <w:rFonts w:ascii="Arial" w:cs="Arial" w:eastAsia="Arial" w:hAnsi="Arial"/>
                <w:sz w:val="15"/>
                <w:szCs w:val="15"/>
                <w:color w:val="auto"/>
              </w:rPr>
            </w:pPr>
            <w:hyperlink w:anchor="page46">
              <w:r>
                <w:rPr>
                  <w:rFonts w:ascii="Arial" w:cs="Arial" w:eastAsia="Arial" w:hAnsi="Arial"/>
                  <w:sz w:val="15"/>
                  <w:szCs w:val="15"/>
                  <w:color w:val="auto"/>
                </w:rPr>
                <w:t>Certification of Chief Financial Officer pursuant to Section 906 of the Sarbanes-Oxley Act of 2002</w:t>
              </w:r>
            </w:hyperlink>
          </w:p>
        </w:tc>
      </w:tr>
      <w:tr>
        <w:trPr>
          <w:trHeight w:val="175"/>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r>
      <w:tr>
        <w:trPr>
          <w:trHeight w:val="186"/>
        </w:trPr>
        <w:tc>
          <w:tcPr>
            <w:tcW w:w="920" w:type="dxa"/>
            <w:vAlign w:val="bottom"/>
          </w:tcPr>
          <w:p>
            <w:pPr>
              <w:ind w:left="20"/>
              <w:spacing w:after="0"/>
              <w:rPr>
                <w:sz w:val="20"/>
                <w:szCs w:val="20"/>
                <w:color w:val="auto"/>
              </w:rPr>
            </w:pPr>
            <w:r>
              <w:rPr>
                <w:rFonts w:ascii="Arial" w:cs="Arial" w:eastAsia="Arial" w:hAnsi="Arial"/>
                <w:sz w:val="15"/>
                <w:szCs w:val="15"/>
                <w:color w:val="auto"/>
              </w:rPr>
              <w:t>101.INS</w:t>
            </w:r>
          </w:p>
        </w:tc>
        <w:tc>
          <w:tcPr>
            <w:tcW w:w="280" w:type="dxa"/>
            <w:vAlign w:val="bottom"/>
          </w:tcPr>
          <w:p>
            <w:pPr>
              <w:spacing w:after="0"/>
              <w:rPr>
                <w:sz w:val="16"/>
                <w:szCs w:val="16"/>
                <w:color w:val="auto"/>
              </w:rPr>
            </w:pP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Inline XBRL document</w:t>
            </w:r>
          </w:p>
        </w:tc>
      </w:tr>
      <w:tr>
        <w:trPr>
          <w:trHeight w:val="206"/>
        </w:trPr>
        <w:tc>
          <w:tcPr>
            <w:tcW w:w="920" w:type="dxa"/>
            <w:vAlign w:val="bottom"/>
          </w:tcPr>
          <w:p>
            <w:pPr>
              <w:ind w:left="20"/>
              <w:spacing w:after="0"/>
              <w:rPr>
                <w:sz w:val="20"/>
                <w:szCs w:val="20"/>
                <w:color w:val="auto"/>
              </w:rPr>
            </w:pPr>
            <w:r>
              <w:rPr>
                <w:rFonts w:ascii="Arial" w:cs="Arial" w:eastAsia="Arial" w:hAnsi="Arial"/>
                <w:sz w:val="15"/>
                <w:szCs w:val="15"/>
                <w:color w:val="auto"/>
              </w:rPr>
              <w:t>101.SCH</w:t>
            </w:r>
          </w:p>
        </w:tc>
        <w:tc>
          <w:tcPr>
            <w:tcW w:w="280" w:type="dxa"/>
            <w:vAlign w:val="bottom"/>
          </w:tcPr>
          <w:p>
            <w:pPr>
              <w:spacing w:after="0"/>
              <w:rPr>
                <w:sz w:val="17"/>
                <w:szCs w:val="17"/>
                <w:color w:val="auto"/>
              </w:rPr>
            </w:pP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Schema Document</w:t>
            </w:r>
          </w:p>
        </w:tc>
      </w:tr>
      <w:tr>
        <w:trPr>
          <w:trHeight w:val="206"/>
        </w:trPr>
        <w:tc>
          <w:tcPr>
            <w:tcW w:w="920" w:type="dxa"/>
            <w:vAlign w:val="bottom"/>
          </w:tcPr>
          <w:p>
            <w:pPr>
              <w:ind w:left="20"/>
              <w:spacing w:after="0"/>
              <w:rPr>
                <w:sz w:val="20"/>
                <w:szCs w:val="20"/>
                <w:color w:val="auto"/>
              </w:rPr>
            </w:pPr>
            <w:r>
              <w:rPr>
                <w:rFonts w:ascii="Arial" w:cs="Arial" w:eastAsia="Arial" w:hAnsi="Arial"/>
                <w:sz w:val="15"/>
                <w:szCs w:val="15"/>
                <w:color w:val="auto"/>
              </w:rPr>
              <w:t>101.CAL</w:t>
            </w:r>
          </w:p>
        </w:tc>
        <w:tc>
          <w:tcPr>
            <w:tcW w:w="280" w:type="dxa"/>
            <w:vAlign w:val="bottom"/>
          </w:tcPr>
          <w:p>
            <w:pPr>
              <w:spacing w:after="0"/>
              <w:rPr>
                <w:sz w:val="17"/>
                <w:szCs w:val="17"/>
                <w:color w:val="auto"/>
              </w:rPr>
            </w:pP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Calculation Linkbase Document</w:t>
            </w:r>
          </w:p>
        </w:tc>
      </w:tr>
      <w:tr>
        <w:trPr>
          <w:trHeight w:val="206"/>
        </w:trPr>
        <w:tc>
          <w:tcPr>
            <w:tcW w:w="920" w:type="dxa"/>
            <w:vAlign w:val="bottom"/>
          </w:tcPr>
          <w:p>
            <w:pPr>
              <w:ind w:left="20"/>
              <w:spacing w:after="0"/>
              <w:rPr>
                <w:sz w:val="20"/>
                <w:szCs w:val="20"/>
                <w:color w:val="auto"/>
              </w:rPr>
            </w:pPr>
            <w:r>
              <w:rPr>
                <w:rFonts w:ascii="Arial" w:cs="Arial" w:eastAsia="Arial" w:hAnsi="Arial"/>
                <w:sz w:val="15"/>
                <w:szCs w:val="15"/>
                <w:color w:val="auto"/>
              </w:rPr>
              <w:t>101.DEF</w:t>
            </w:r>
          </w:p>
        </w:tc>
        <w:tc>
          <w:tcPr>
            <w:tcW w:w="280" w:type="dxa"/>
            <w:vAlign w:val="bottom"/>
          </w:tcPr>
          <w:p>
            <w:pPr>
              <w:spacing w:after="0"/>
              <w:rPr>
                <w:sz w:val="17"/>
                <w:szCs w:val="17"/>
                <w:color w:val="auto"/>
              </w:rPr>
            </w:pP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Definition Linkbase Document</w:t>
            </w:r>
          </w:p>
        </w:tc>
      </w:tr>
      <w:tr>
        <w:trPr>
          <w:trHeight w:val="206"/>
        </w:trPr>
        <w:tc>
          <w:tcPr>
            <w:tcW w:w="920" w:type="dxa"/>
            <w:vAlign w:val="bottom"/>
          </w:tcPr>
          <w:p>
            <w:pPr>
              <w:ind w:left="20"/>
              <w:spacing w:after="0"/>
              <w:rPr>
                <w:sz w:val="20"/>
                <w:szCs w:val="20"/>
                <w:color w:val="auto"/>
              </w:rPr>
            </w:pPr>
            <w:r>
              <w:rPr>
                <w:rFonts w:ascii="Arial" w:cs="Arial" w:eastAsia="Arial" w:hAnsi="Arial"/>
                <w:sz w:val="15"/>
                <w:szCs w:val="15"/>
                <w:color w:val="auto"/>
              </w:rPr>
              <w:t>101.LAB</w:t>
            </w:r>
          </w:p>
        </w:tc>
        <w:tc>
          <w:tcPr>
            <w:tcW w:w="280" w:type="dxa"/>
            <w:vAlign w:val="bottom"/>
          </w:tcPr>
          <w:p>
            <w:pPr>
              <w:spacing w:after="0"/>
              <w:rPr>
                <w:sz w:val="17"/>
                <w:szCs w:val="17"/>
                <w:color w:val="auto"/>
              </w:rPr>
            </w:pP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Label Linkbase Document</w:t>
            </w:r>
          </w:p>
        </w:tc>
      </w:tr>
      <w:tr>
        <w:trPr>
          <w:trHeight w:val="206"/>
        </w:trPr>
        <w:tc>
          <w:tcPr>
            <w:tcW w:w="920" w:type="dxa"/>
            <w:vAlign w:val="bottom"/>
          </w:tcPr>
          <w:p>
            <w:pPr>
              <w:ind w:left="20"/>
              <w:spacing w:after="0"/>
              <w:rPr>
                <w:sz w:val="20"/>
                <w:szCs w:val="20"/>
                <w:color w:val="auto"/>
              </w:rPr>
            </w:pPr>
            <w:r>
              <w:rPr>
                <w:rFonts w:ascii="Arial" w:cs="Arial" w:eastAsia="Arial" w:hAnsi="Arial"/>
                <w:sz w:val="15"/>
                <w:szCs w:val="15"/>
                <w:color w:val="auto"/>
              </w:rPr>
              <w:t>101.PRE</w:t>
            </w:r>
          </w:p>
        </w:tc>
        <w:tc>
          <w:tcPr>
            <w:tcW w:w="280" w:type="dxa"/>
            <w:vAlign w:val="bottom"/>
          </w:tcPr>
          <w:p>
            <w:pPr>
              <w:spacing w:after="0"/>
              <w:rPr>
                <w:sz w:val="17"/>
                <w:szCs w:val="17"/>
                <w:color w:val="auto"/>
              </w:rPr>
            </w:pP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Presentation Linkbase Document</w:t>
            </w:r>
          </w:p>
        </w:tc>
      </w:tr>
      <w:tr>
        <w:trPr>
          <w:trHeight w:val="206"/>
        </w:trPr>
        <w:tc>
          <w:tcPr>
            <w:tcW w:w="920" w:type="dxa"/>
            <w:vAlign w:val="bottom"/>
          </w:tcPr>
          <w:p>
            <w:pPr>
              <w:ind w:left="20"/>
              <w:spacing w:after="0"/>
              <w:rPr>
                <w:sz w:val="20"/>
                <w:szCs w:val="20"/>
                <w:color w:val="auto"/>
              </w:rPr>
            </w:pPr>
            <w:r>
              <w:rPr>
                <w:rFonts w:ascii="Arial" w:cs="Arial" w:eastAsia="Arial" w:hAnsi="Arial"/>
                <w:sz w:val="15"/>
                <w:szCs w:val="15"/>
                <w:color w:val="auto"/>
              </w:rPr>
              <w:t>104</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10000" w:type="dxa"/>
            <w:vAlign w:val="bottom"/>
            <w:gridSpan w:val="2"/>
          </w:tcPr>
          <w:p>
            <w:pPr>
              <w:ind w:left="10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r>
    </w:tbl>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*Filed herewith</w:t>
      </w:r>
    </w:p>
    <w:p>
      <w:pPr>
        <w:ind w:left="32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1" w:name="page42"/>
    <w:bookmarkEnd w:id="41"/>
    <w:p>
      <w:pPr>
        <w:jc w:val="center"/>
        <w:ind w:right="100"/>
        <w:spacing w:after="0"/>
        <w:rPr>
          <w:sz w:val="20"/>
          <w:szCs w:val="20"/>
          <w:color w:val="auto"/>
        </w:rPr>
      </w:pPr>
      <w:r>
        <w:rPr>
          <w:rFonts w:ascii="Arial" w:cs="Arial" w:eastAsia="Arial" w:hAnsi="Arial"/>
          <w:sz w:val="22"/>
          <w:szCs w:val="22"/>
          <w:color w:val="1D2758"/>
        </w:rPr>
        <w:t>Signature</w:t>
      </w:r>
    </w:p>
    <w:p>
      <w:pPr>
        <w:spacing w:after="0" w:line="93" w:lineRule="exact"/>
        <w:rPr>
          <w:sz w:val="20"/>
          <w:szCs w:val="20"/>
          <w:color w:val="auto"/>
        </w:rPr>
      </w:pPr>
    </w:p>
    <w:p>
      <w:pPr>
        <w:ind w:right="100" w:firstLine="619"/>
        <w:spacing w:after="0" w:line="26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126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9300" w:type="dxa"/>
            <w:vAlign w:val="bottom"/>
            <w:gridSpan w:val="2"/>
          </w:tcPr>
          <w:p>
            <w:pPr>
              <w:ind w:left="390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415"/>
        </w:trPr>
        <w:tc>
          <w:tcPr>
            <w:tcW w:w="780" w:type="dxa"/>
            <w:vAlign w:val="bottom"/>
          </w:tcPr>
          <w:p>
            <w:pPr>
              <w:spacing w:after="0"/>
              <w:rPr>
                <w:sz w:val="24"/>
                <w:szCs w:val="24"/>
                <w:color w:val="auto"/>
              </w:rPr>
            </w:pPr>
          </w:p>
        </w:tc>
        <w:tc>
          <w:tcPr>
            <w:tcW w:w="4140" w:type="dxa"/>
            <w:vAlign w:val="bottom"/>
          </w:tcPr>
          <w:p>
            <w:pPr>
              <w:ind w:left="3900"/>
              <w:spacing w:after="0"/>
              <w:rPr>
                <w:sz w:val="20"/>
                <w:szCs w:val="20"/>
                <w:color w:val="auto"/>
              </w:rPr>
            </w:pPr>
            <w:r>
              <w:rPr>
                <w:rFonts w:ascii="Arial" w:cs="Arial" w:eastAsia="Arial" w:hAnsi="Arial"/>
                <w:sz w:val="15"/>
                <w:szCs w:val="15"/>
                <w:color w:val="auto"/>
              </w:rPr>
              <w:t>By:</w:t>
            </w:r>
          </w:p>
        </w:tc>
        <w:tc>
          <w:tcPr>
            <w:tcW w:w="516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/s/ TIMOTHY D. BOSWELL</w:t>
            </w:r>
          </w:p>
        </w:tc>
      </w:tr>
      <w:tr>
        <w:trPr>
          <w:trHeight w:val="196"/>
        </w:trPr>
        <w:tc>
          <w:tcPr>
            <w:tcW w:w="780" w:type="dxa"/>
            <w:vAlign w:val="bottom"/>
          </w:tcPr>
          <w:p>
            <w:pPr>
              <w:spacing w:after="0"/>
              <w:rPr>
                <w:sz w:val="20"/>
                <w:szCs w:val="20"/>
                <w:color w:val="auto"/>
              </w:rPr>
            </w:pPr>
            <w:r>
              <w:rPr>
                <w:rFonts w:ascii="Arial" w:cs="Arial" w:eastAsia="Arial" w:hAnsi="Arial"/>
                <w:sz w:val="15"/>
                <w:szCs w:val="15"/>
                <w:color w:val="auto"/>
              </w:rPr>
              <w:t>Dated:</w:t>
            </w:r>
          </w:p>
        </w:tc>
        <w:tc>
          <w:tcPr>
            <w:tcW w:w="4140" w:type="dxa"/>
            <w:vAlign w:val="bottom"/>
          </w:tcPr>
          <w:p>
            <w:pPr>
              <w:ind w:left="340"/>
              <w:spacing w:after="0"/>
              <w:rPr>
                <w:sz w:val="20"/>
                <w:szCs w:val="20"/>
                <w:color w:val="auto"/>
              </w:rPr>
            </w:pPr>
            <w:r>
              <w:rPr>
                <w:rFonts w:ascii="Arial" w:cs="Arial" w:eastAsia="Arial" w:hAnsi="Arial"/>
                <w:sz w:val="15"/>
                <w:szCs w:val="15"/>
                <w:color w:val="auto"/>
              </w:rPr>
              <w:t>April 28, 2022</w:t>
            </w:r>
          </w:p>
        </w:tc>
        <w:tc>
          <w:tcPr>
            <w:tcW w:w="5160" w:type="dxa"/>
            <w:vAlign w:val="bottom"/>
          </w:tcPr>
          <w:p>
            <w:pPr>
              <w:ind w:left="640"/>
              <w:spacing w:after="0"/>
              <w:rPr>
                <w:sz w:val="20"/>
                <w:szCs w:val="20"/>
                <w:color w:val="auto"/>
              </w:rPr>
            </w:pPr>
            <w:r>
              <w:rPr>
                <w:rFonts w:ascii="Arial" w:cs="Arial" w:eastAsia="Arial" w:hAnsi="Arial"/>
                <w:sz w:val="15"/>
                <w:szCs w:val="15"/>
                <w:color w:val="auto"/>
              </w:rPr>
              <w:t>Timothy D. Boswell</w:t>
            </w:r>
          </w:p>
        </w:tc>
      </w:tr>
    </w:tbl>
    <w:p>
      <w:pPr>
        <w:spacing w:after="0" w:line="2" w:lineRule="exact"/>
        <w:rPr>
          <w:sz w:val="20"/>
          <w:szCs w:val="20"/>
          <w:color w:val="auto"/>
        </w:rPr>
      </w:pPr>
    </w:p>
    <w:p>
      <w:pPr>
        <w:ind w:left="6820"/>
        <w:spacing w:after="0"/>
        <w:rPr>
          <w:sz w:val="20"/>
          <w:szCs w:val="20"/>
          <w:color w:val="auto"/>
        </w:rPr>
      </w:pPr>
      <w:r>
        <w:rPr>
          <w:rFonts w:ascii="Arial" w:cs="Arial" w:eastAsia="Arial" w:hAnsi="Arial"/>
          <w:sz w:val="15"/>
          <w:szCs w:val="15"/>
          <w:i w:val="1"/>
          <w:iCs w:val="1"/>
          <w:color w:val="auto"/>
        </w:rPr>
        <w:t>President &amp; Chief Financial Officer (Principal Financial Officer an</w:t>
      </w:r>
    </w:p>
    <w:p>
      <w:pPr>
        <w:ind w:left="6200"/>
        <w:spacing w:after="0"/>
        <w:rPr>
          <w:sz w:val="20"/>
          <w:szCs w:val="20"/>
          <w:color w:val="auto"/>
        </w:rPr>
      </w:pPr>
      <w:r>
        <w:rPr>
          <w:rFonts w:ascii="Arial" w:cs="Arial" w:eastAsia="Arial" w:hAnsi="Arial"/>
          <w:sz w:val="15"/>
          <w:szCs w:val="15"/>
          <w:i w:val="1"/>
          <w:iCs w:val="1"/>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40"/>
          </w:cols>
          <w:pgMar w:left="320" w:top="107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85" w:lineRule="exact"/>
        <w:rPr>
          <w:rFonts w:ascii="Arial" w:cs="Arial" w:eastAsia="Arial" w:hAnsi="Arial"/>
          <w:sz w:val="15"/>
          <w:szCs w:val="15"/>
          <w:color w:val="auto"/>
        </w:rPr>
      </w:pPr>
    </w:p>
    <w:p>
      <w:pPr>
        <w:ind w:firstLine="3"/>
        <w:spacing w:after="0" w:line="358" w:lineRule="auto"/>
        <w:tabs>
          <w:tab w:leader="none" w:pos="181"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58" w:lineRule="auto"/>
        <w:tabs>
          <w:tab w:leader="none" w:pos="197"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58" w:lineRule="auto"/>
        <w:tabs>
          <w:tab w:leader="none" w:pos="18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58" w:lineRule="auto"/>
        <w:tabs>
          <w:tab w:leader="none" w:pos="805"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58" w:lineRule="auto"/>
        <w:tabs>
          <w:tab w:leader="none" w:pos="808"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58" w:lineRule="auto"/>
        <w:tabs>
          <w:tab w:leader="none" w:pos="795"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58" w:lineRule="auto"/>
        <w:tabs>
          <w:tab w:leader="none" w:pos="821"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58" w:lineRule="auto"/>
        <w:tabs>
          <w:tab w:leader="none" w:pos="183"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58" w:lineRule="auto"/>
        <w:tabs>
          <w:tab w:leader="none" w:pos="81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377" w:lineRule="auto"/>
        <w:tabs>
          <w:tab w:leader="none" w:pos="817"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Date: April 28, 2022</w:t>
      </w:r>
    </w:p>
    <w:p>
      <w:pPr>
        <w:spacing w:after="0" w:line="44"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7620</wp:posOffset>
            </wp:positionV>
            <wp:extent cx="28403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19"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85" w:lineRule="exact"/>
        <w:rPr>
          <w:rFonts w:ascii="Arial" w:cs="Arial" w:eastAsia="Arial" w:hAnsi="Arial"/>
          <w:sz w:val="15"/>
          <w:szCs w:val="15"/>
          <w:color w:val="auto"/>
        </w:rPr>
      </w:pPr>
    </w:p>
    <w:p>
      <w:pPr>
        <w:ind w:firstLine="3"/>
        <w:spacing w:after="0" w:line="358" w:lineRule="auto"/>
        <w:tabs>
          <w:tab w:leader="none" w:pos="181"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58" w:lineRule="auto"/>
        <w:tabs>
          <w:tab w:leader="none" w:pos="197"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58" w:lineRule="auto"/>
        <w:tabs>
          <w:tab w:leader="none" w:pos="18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58" w:lineRule="auto"/>
        <w:tabs>
          <w:tab w:leader="none" w:pos="805"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58" w:lineRule="auto"/>
        <w:tabs>
          <w:tab w:leader="none" w:pos="808"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58" w:lineRule="auto"/>
        <w:tabs>
          <w:tab w:leader="none" w:pos="795"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58" w:lineRule="auto"/>
        <w:tabs>
          <w:tab w:leader="none" w:pos="821" w:val="left"/>
        </w:tabs>
        <w:numPr>
          <w:ilvl w:val="1"/>
          <w:numId w:val="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58" w:lineRule="auto"/>
        <w:tabs>
          <w:tab w:leader="none" w:pos="1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58" w:lineRule="auto"/>
        <w:tabs>
          <w:tab w:leader="none" w:pos="81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377" w:lineRule="auto"/>
        <w:tabs>
          <w:tab w:leader="none" w:pos="817" w:val="left"/>
        </w:tabs>
        <w:numPr>
          <w:ilvl w:val="1"/>
          <w:numId w:val="1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Date: April 28, 2022</w:t>
      </w:r>
    </w:p>
    <w:p>
      <w:pPr>
        <w:spacing w:after="0" w:line="4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12065</wp:posOffset>
            </wp:positionV>
            <wp:extent cx="28403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and 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400" w:lineRule="exact"/>
        <w:rPr>
          <w:sz w:val="20"/>
          <w:szCs w:val="20"/>
          <w:color w:val="auto"/>
        </w:rPr>
      </w:pPr>
    </w:p>
    <w:p>
      <w:pPr>
        <w:ind w:firstLine="309"/>
        <w:spacing w:after="0" w:line="358"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58" w:lineRule="auto"/>
        <w:tabs>
          <w:tab w:leader="none" w:pos="834"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Date: April 28, 2022</w:t>
      </w:r>
    </w:p>
    <w:p>
      <w:pPr>
        <w:spacing w:after="0" w:line="85"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12065</wp:posOffset>
            </wp:positionV>
            <wp:extent cx="25215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68" w:lineRule="exact"/>
        <w:rPr>
          <w:sz w:val="20"/>
          <w:szCs w:val="20"/>
          <w:color w:val="auto"/>
        </w:rPr>
      </w:pPr>
    </w:p>
    <w:p>
      <w:pPr>
        <w:ind w:firstLine="309"/>
        <w:spacing w:after="0" w:line="358"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58" w:lineRule="auto"/>
        <w:tabs>
          <w:tab w:leader="none" w:pos="83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Date: April 28, 2022</w:t>
      </w:r>
    </w:p>
    <w:p>
      <w:pPr>
        <w:spacing w:after="0" w:line="8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12065</wp:posOffset>
            </wp:positionV>
            <wp:extent cx="25215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1)"/>
      <w:numFmt w:val="lowerLetter"/>
      <w:start w:val="2"/>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lvl w:ilvl="1">
      <w:lvlJc w:val="left"/>
      <w:lvlText w:val="\endash "/>
      <w:numFmt w:val="bullet"/>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2022-04-28T21:06:29Z</dcterms:created>
  <dcterms:modified xsi:type="dcterms:W3CDTF">2022-04-28T21:06:29Z</dcterms:modified>
</cp:coreProperties>
</file>